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7A83" w14:textId="2753AAA2" w:rsidR="00CB3BC4" w:rsidRPr="00910E3A" w:rsidRDefault="00502845" w:rsidP="00207165">
      <w:pPr>
        <w:jc w:val="center"/>
        <w:rPr>
          <w:b/>
          <w:bCs/>
        </w:rPr>
      </w:pPr>
      <w:r>
        <w:rPr>
          <w:b/>
          <w:bCs/>
          <w:sz w:val="32"/>
          <w:szCs w:val="28"/>
        </w:rPr>
        <w:t>A</w:t>
      </w:r>
      <w:r w:rsidR="0051457D">
        <w:rPr>
          <w:b/>
          <w:bCs/>
          <w:sz w:val="32"/>
          <w:szCs w:val="28"/>
        </w:rPr>
        <w:t xml:space="preserve">pplication </w:t>
      </w:r>
      <w:r>
        <w:rPr>
          <w:b/>
          <w:bCs/>
          <w:sz w:val="32"/>
          <w:szCs w:val="28"/>
        </w:rPr>
        <w:t xml:space="preserve">of Bayesian Informative Priors to </w:t>
      </w:r>
      <w:r w:rsidR="00207165">
        <w:rPr>
          <w:b/>
          <w:bCs/>
          <w:sz w:val="32"/>
          <w:szCs w:val="28"/>
        </w:rPr>
        <w:t xml:space="preserve">Enhance the </w:t>
      </w:r>
      <w:r w:rsidR="00207165" w:rsidRPr="00207165">
        <w:rPr>
          <w:b/>
          <w:bCs/>
          <w:sz w:val="32"/>
          <w:szCs w:val="28"/>
        </w:rPr>
        <w:t>Transferability</w:t>
      </w:r>
      <w:r w:rsidR="00207165">
        <w:rPr>
          <w:b/>
          <w:bCs/>
          <w:sz w:val="32"/>
          <w:szCs w:val="28"/>
        </w:rPr>
        <w:t xml:space="preserve"> of</w:t>
      </w:r>
      <w:r>
        <w:rPr>
          <w:b/>
          <w:bCs/>
          <w:sz w:val="32"/>
          <w:szCs w:val="28"/>
        </w:rPr>
        <w:t xml:space="preserve"> Safety Performan</w:t>
      </w:r>
      <w:r w:rsidR="00713069">
        <w:rPr>
          <w:b/>
          <w:bCs/>
          <w:sz w:val="32"/>
          <w:szCs w:val="28"/>
        </w:rPr>
        <w:t>ce Functions</w:t>
      </w:r>
    </w:p>
    <w:p w14:paraId="4214D320" w14:textId="77777777" w:rsidR="00CB3BC4" w:rsidRPr="00910E3A" w:rsidRDefault="00CB3BC4" w:rsidP="00CB3BC4">
      <w:pPr>
        <w:spacing w:after="0"/>
      </w:pPr>
    </w:p>
    <w:p w14:paraId="3BCD7DEF" w14:textId="77777777" w:rsidR="00CB3BC4" w:rsidRPr="00910E3A" w:rsidRDefault="00CB3BC4" w:rsidP="00CB3BC4">
      <w:pPr>
        <w:spacing w:after="0"/>
        <w:contextualSpacing/>
        <w:jc w:val="center"/>
        <w:rPr>
          <w:b/>
          <w:bCs/>
        </w:rPr>
      </w:pPr>
    </w:p>
    <w:p w14:paraId="5564FE28" w14:textId="77777777" w:rsidR="00CB3BC4" w:rsidRDefault="00CB3BC4" w:rsidP="00CB3BC4">
      <w:pPr>
        <w:spacing w:after="0"/>
        <w:contextualSpacing/>
        <w:jc w:val="center"/>
        <w:rPr>
          <w:b/>
          <w:bCs/>
        </w:rPr>
      </w:pPr>
    </w:p>
    <w:p w14:paraId="3C13644F" w14:textId="77777777" w:rsidR="00DA78DD" w:rsidRDefault="00DA78DD" w:rsidP="00CB3BC4">
      <w:pPr>
        <w:spacing w:after="0"/>
        <w:contextualSpacing/>
        <w:jc w:val="center"/>
        <w:rPr>
          <w:b/>
          <w:bCs/>
        </w:rPr>
      </w:pPr>
    </w:p>
    <w:p w14:paraId="10A245BF" w14:textId="77777777" w:rsidR="00DA78DD" w:rsidRPr="00910E3A" w:rsidRDefault="00DA78DD" w:rsidP="00CB3BC4">
      <w:pPr>
        <w:spacing w:after="0"/>
        <w:contextualSpacing/>
        <w:jc w:val="center"/>
        <w:rPr>
          <w:b/>
          <w:bCs/>
        </w:rPr>
      </w:pPr>
    </w:p>
    <w:p w14:paraId="1E77378C" w14:textId="77777777" w:rsidR="00CB3BC4" w:rsidRPr="00910E3A" w:rsidRDefault="00CB3BC4" w:rsidP="00CB3BC4">
      <w:pPr>
        <w:spacing w:after="0"/>
        <w:contextualSpacing/>
        <w:jc w:val="center"/>
        <w:rPr>
          <w:b/>
          <w:bCs/>
        </w:rPr>
      </w:pPr>
    </w:p>
    <w:p w14:paraId="5E9AC8BB" w14:textId="3139ADCF" w:rsidR="00CB3BC4" w:rsidRPr="00910E3A" w:rsidRDefault="00CB3BC4" w:rsidP="00CB3BC4">
      <w:pPr>
        <w:spacing w:after="0"/>
        <w:jc w:val="center"/>
        <w:rPr>
          <w:b/>
          <w:bCs/>
        </w:rPr>
      </w:pPr>
      <w:r w:rsidRPr="00910E3A">
        <w:rPr>
          <w:b/>
          <w:bCs/>
        </w:rPr>
        <w:t>Ahmed Farid*</w:t>
      </w:r>
    </w:p>
    <w:p w14:paraId="731383B9" w14:textId="0CCDBABD" w:rsidR="00CB3BC4" w:rsidRPr="00910E3A" w:rsidRDefault="00CB3BC4" w:rsidP="00CB3BC4">
      <w:pPr>
        <w:spacing w:after="0"/>
        <w:jc w:val="center"/>
        <w:rPr>
          <w:shd w:val="clear" w:color="auto" w:fill="FFFFFF"/>
        </w:rPr>
      </w:pPr>
      <w:r w:rsidRPr="00910E3A">
        <w:rPr>
          <w:b/>
          <w:bCs/>
        </w:rPr>
        <w:t>Mohamed Abdel-Aty</w:t>
      </w:r>
    </w:p>
    <w:p w14:paraId="4EB14F96" w14:textId="4B81A4A6" w:rsidR="00CB3BC4" w:rsidRPr="00910E3A" w:rsidRDefault="00CB3BC4" w:rsidP="00CB3BC4">
      <w:pPr>
        <w:spacing w:after="0"/>
        <w:jc w:val="center"/>
        <w:rPr>
          <w:b/>
          <w:bCs/>
        </w:rPr>
      </w:pPr>
      <w:r w:rsidRPr="00910E3A">
        <w:rPr>
          <w:b/>
          <w:bCs/>
        </w:rPr>
        <w:t>Jaeyoung Lee</w:t>
      </w:r>
    </w:p>
    <w:p w14:paraId="0346FF3E" w14:textId="479652CA" w:rsidR="00CB3BC4" w:rsidRPr="00910E3A" w:rsidRDefault="00CB3BC4" w:rsidP="00CB3BC4">
      <w:pPr>
        <w:spacing w:after="0"/>
        <w:jc w:val="center"/>
        <w:rPr>
          <w:shd w:val="clear" w:color="auto" w:fill="FFFFFF"/>
        </w:rPr>
      </w:pPr>
      <w:r w:rsidRPr="00910E3A">
        <w:rPr>
          <w:b/>
          <w:bCs/>
        </w:rPr>
        <w:t xml:space="preserve">Naveen </w:t>
      </w:r>
      <w:proofErr w:type="spellStart"/>
      <w:r w:rsidRPr="00910E3A">
        <w:rPr>
          <w:b/>
          <w:bCs/>
        </w:rPr>
        <w:t>Eluru</w:t>
      </w:r>
      <w:proofErr w:type="spellEnd"/>
    </w:p>
    <w:p w14:paraId="55BAA784" w14:textId="77777777" w:rsidR="00CB3BC4" w:rsidRPr="00910E3A" w:rsidRDefault="00CB3BC4" w:rsidP="00CB3BC4">
      <w:pPr>
        <w:contextualSpacing/>
        <w:jc w:val="center"/>
      </w:pPr>
    </w:p>
    <w:p w14:paraId="74B9636C" w14:textId="77777777" w:rsidR="00CB3BC4" w:rsidRPr="00910E3A" w:rsidRDefault="00CB3BC4" w:rsidP="00CB3BC4">
      <w:pPr>
        <w:spacing w:after="0"/>
        <w:jc w:val="center"/>
      </w:pPr>
    </w:p>
    <w:p w14:paraId="0728095E" w14:textId="77777777" w:rsidR="00CB3BC4" w:rsidRPr="00910E3A" w:rsidRDefault="00CB3BC4" w:rsidP="00CB3BC4">
      <w:pPr>
        <w:spacing w:after="0"/>
        <w:jc w:val="center"/>
      </w:pPr>
    </w:p>
    <w:p w14:paraId="25FC1A9D" w14:textId="77777777" w:rsidR="00CB3BC4" w:rsidRDefault="00CB3BC4" w:rsidP="00CB3BC4">
      <w:pPr>
        <w:spacing w:after="0"/>
        <w:jc w:val="center"/>
      </w:pPr>
    </w:p>
    <w:p w14:paraId="2D6CAE75" w14:textId="77777777" w:rsidR="00DA78DD" w:rsidRPr="00910E3A" w:rsidRDefault="00DA78DD" w:rsidP="00CB3BC4">
      <w:pPr>
        <w:spacing w:after="0"/>
        <w:jc w:val="center"/>
      </w:pPr>
    </w:p>
    <w:p w14:paraId="5395CD1B" w14:textId="77777777" w:rsidR="00CB3BC4" w:rsidRPr="00910E3A" w:rsidRDefault="00CB3BC4" w:rsidP="00CB3BC4">
      <w:pPr>
        <w:contextualSpacing/>
        <w:jc w:val="center"/>
      </w:pPr>
    </w:p>
    <w:p w14:paraId="34EA5702" w14:textId="77777777" w:rsidR="00CB3BC4" w:rsidRPr="00910E3A" w:rsidRDefault="00CB3BC4" w:rsidP="00CB3BC4">
      <w:pPr>
        <w:contextualSpacing/>
        <w:jc w:val="center"/>
      </w:pPr>
    </w:p>
    <w:p w14:paraId="1D18A52C" w14:textId="77777777" w:rsidR="00CB3BC4" w:rsidRPr="00910E3A" w:rsidRDefault="00CB3BC4" w:rsidP="00CB3BC4">
      <w:pPr>
        <w:contextualSpacing/>
        <w:jc w:val="center"/>
      </w:pPr>
    </w:p>
    <w:p w14:paraId="55853A5C" w14:textId="77777777" w:rsidR="00CB3BC4" w:rsidRPr="00910E3A" w:rsidRDefault="00CB3BC4" w:rsidP="00CB3BC4">
      <w:pPr>
        <w:spacing w:after="0"/>
        <w:jc w:val="center"/>
      </w:pPr>
      <w:r w:rsidRPr="00910E3A">
        <w:t>*Corresponding Author</w:t>
      </w:r>
    </w:p>
    <w:p w14:paraId="731CD028" w14:textId="77777777" w:rsidR="00CB3BC4" w:rsidRPr="00910E3A" w:rsidRDefault="00CB3BC4" w:rsidP="00CB3BC4">
      <w:pPr>
        <w:spacing w:after="0"/>
        <w:jc w:val="center"/>
      </w:pPr>
    </w:p>
    <w:p w14:paraId="336A8E96" w14:textId="77777777" w:rsidR="00CB3BC4" w:rsidRPr="00910E3A" w:rsidRDefault="00CB3BC4" w:rsidP="00CB3BC4">
      <w:pPr>
        <w:spacing w:after="0"/>
        <w:contextualSpacing/>
        <w:jc w:val="center"/>
      </w:pPr>
      <w:r w:rsidRPr="00910E3A">
        <w:t>Department of Civil, Environmental and Construction Engineering</w:t>
      </w:r>
    </w:p>
    <w:p w14:paraId="19ECD44E" w14:textId="77777777" w:rsidR="00CB3BC4" w:rsidRPr="00910E3A" w:rsidRDefault="00CB3BC4" w:rsidP="00CB3BC4">
      <w:pPr>
        <w:spacing w:after="0"/>
        <w:contextualSpacing/>
        <w:jc w:val="center"/>
      </w:pPr>
      <w:r w:rsidRPr="00910E3A">
        <w:t>University of Central Florida</w:t>
      </w:r>
    </w:p>
    <w:p w14:paraId="2D997693" w14:textId="77777777" w:rsidR="00CB3BC4" w:rsidRPr="00910E3A" w:rsidRDefault="00CB3BC4" w:rsidP="00CB3BC4">
      <w:pPr>
        <w:spacing w:after="0"/>
        <w:contextualSpacing/>
        <w:jc w:val="center"/>
      </w:pPr>
      <w:r w:rsidRPr="00910E3A">
        <w:t>Orlando, Florida 32816-2450</w:t>
      </w:r>
    </w:p>
    <w:p w14:paraId="7366AEC1" w14:textId="77777777" w:rsidR="00CB3BC4" w:rsidRPr="00910E3A" w:rsidRDefault="00CB3BC4" w:rsidP="00CB3BC4">
      <w:pPr>
        <w:spacing w:after="0"/>
        <w:contextualSpacing/>
        <w:jc w:val="center"/>
      </w:pPr>
      <w:r w:rsidRPr="00910E3A">
        <w:t>(407) 530-9360</w:t>
      </w:r>
    </w:p>
    <w:p w14:paraId="454B1BA6" w14:textId="77777777" w:rsidR="00CB3BC4" w:rsidRPr="00910E3A" w:rsidRDefault="00CB3BC4" w:rsidP="00CB3BC4">
      <w:pPr>
        <w:spacing w:after="0"/>
        <w:contextualSpacing/>
        <w:jc w:val="center"/>
      </w:pPr>
      <w:r w:rsidRPr="00910E3A">
        <w:t>Ahmedtf91@knights.ucf.edu</w:t>
      </w:r>
    </w:p>
    <w:p w14:paraId="6D707AC1" w14:textId="77777777" w:rsidR="00CB3BC4" w:rsidRPr="00910E3A" w:rsidRDefault="00CB3BC4" w:rsidP="00CB3BC4">
      <w:pPr>
        <w:spacing w:after="0"/>
        <w:jc w:val="center"/>
      </w:pPr>
    </w:p>
    <w:p w14:paraId="0F223AF2" w14:textId="77777777" w:rsidR="00CB3BC4" w:rsidRDefault="00CB3BC4" w:rsidP="00CB3BC4">
      <w:pPr>
        <w:jc w:val="center"/>
      </w:pPr>
    </w:p>
    <w:p w14:paraId="0D003558" w14:textId="77777777" w:rsidR="00785D01" w:rsidRDefault="00785D01" w:rsidP="00CB3BC4">
      <w:pPr>
        <w:jc w:val="center"/>
      </w:pPr>
    </w:p>
    <w:p w14:paraId="0043ADDA" w14:textId="77777777" w:rsidR="00785D01" w:rsidRDefault="00785D01" w:rsidP="00CB3BC4">
      <w:pPr>
        <w:jc w:val="center"/>
      </w:pPr>
    </w:p>
    <w:p w14:paraId="1BD4BDB4" w14:textId="77777777" w:rsidR="00785D01" w:rsidRPr="00910E3A" w:rsidRDefault="00785D01" w:rsidP="00CB3BC4">
      <w:pPr>
        <w:jc w:val="center"/>
      </w:pPr>
    </w:p>
    <w:p w14:paraId="30CD6A22" w14:textId="2F407AF4" w:rsidR="00CB3BC4" w:rsidRPr="00910E3A" w:rsidRDefault="00713069" w:rsidP="00713069">
      <w:pPr>
        <w:jc w:val="center"/>
      </w:pPr>
      <w:r>
        <w:t>January</w:t>
      </w:r>
      <w:r w:rsidR="00DA78DD" w:rsidRPr="00910E3A">
        <w:t xml:space="preserve"> </w:t>
      </w:r>
      <w:r w:rsidR="00CB3BC4" w:rsidRPr="00910E3A">
        <w:t>201</w:t>
      </w:r>
      <w:r>
        <w:t>7</w:t>
      </w:r>
    </w:p>
    <w:p w14:paraId="536D75D7" w14:textId="77777777" w:rsidR="00CB3BC4" w:rsidRDefault="00CB3BC4" w:rsidP="00CB3BC4">
      <w:pPr>
        <w:jc w:val="center"/>
      </w:pPr>
    </w:p>
    <w:p w14:paraId="1FEA4594" w14:textId="77777777" w:rsidR="00113368" w:rsidRPr="00910E3A" w:rsidRDefault="00113368" w:rsidP="00CB3BC4">
      <w:pPr>
        <w:jc w:val="center"/>
      </w:pPr>
    </w:p>
    <w:p w14:paraId="45290DF1" w14:textId="77777777" w:rsidR="00CB3BC4" w:rsidRPr="00910E3A" w:rsidRDefault="00CB3BC4" w:rsidP="00CB3BC4">
      <w:pPr>
        <w:jc w:val="center"/>
      </w:pPr>
    </w:p>
    <w:p w14:paraId="1E1C4250" w14:textId="13772A5A" w:rsidR="00696E72" w:rsidRPr="00910E3A" w:rsidRDefault="00696E72" w:rsidP="00CB3BC4">
      <w:pPr>
        <w:jc w:val="center"/>
      </w:pPr>
    </w:p>
    <w:p w14:paraId="3D28B46E" w14:textId="77777777" w:rsidR="00696E72" w:rsidRDefault="00696E72" w:rsidP="00CB3BC4">
      <w:pPr>
        <w:jc w:val="center"/>
      </w:pPr>
    </w:p>
    <w:p w14:paraId="2FACAF76" w14:textId="77777777" w:rsidR="002271C6" w:rsidRDefault="002271C6" w:rsidP="00CB3BC4">
      <w:pPr>
        <w:jc w:val="center"/>
        <w:sectPr w:rsidR="002271C6" w:rsidSect="00F71667">
          <w:headerReference w:type="default" r:id="rId8"/>
          <w:pgSz w:w="12240" w:h="15840"/>
          <w:pgMar w:top="1440" w:right="1440" w:bottom="1440" w:left="1440" w:header="720" w:footer="720" w:gutter="0"/>
          <w:lnNumType w:countBy="1"/>
          <w:cols w:space="720"/>
          <w:docGrid w:linePitch="360"/>
        </w:sectPr>
      </w:pPr>
    </w:p>
    <w:p w14:paraId="2BEEEECB" w14:textId="77777777" w:rsidR="00D42478" w:rsidRDefault="00F71667" w:rsidP="00F71667">
      <w:pPr>
        <w:pStyle w:val="Heading1"/>
      </w:pPr>
      <w:r w:rsidRPr="00382739">
        <w:lastRenderedPageBreak/>
        <w:t>Abstract</w:t>
      </w:r>
    </w:p>
    <w:p w14:paraId="084BBB10" w14:textId="77777777" w:rsidR="00502845" w:rsidRPr="00502845" w:rsidRDefault="00502845" w:rsidP="00382739">
      <w:pPr>
        <w:spacing w:after="0"/>
      </w:pPr>
    </w:p>
    <w:p w14:paraId="5C541C11" w14:textId="1C09E3C0" w:rsidR="00A9477B" w:rsidRPr="00910E3A" w:rsidRDefault="00A9477B" w:rsidP="006948A2">
      <w:r w:rsidRPr="00910E3A">
        <w:t>Safety performance functions (SPFs)</w:t>
      </w:r>
      <w:r w:rsidR="009C4BA9" w:rsidRPr="00910E3A">
        <w:t xml:space="preserve"> are essential tools for highway agencies to predict crashes</w:t>
      </w:r>
      <w:r w:rsidR="005919CC">
        <w:t>,</w:t>
      </w:r>
      <w:r w:rsidR="009C4BA9" w:rsidRPr="00910E3A">
        <w:t xml:space="preserve"> identify hotspots and assess safety countermeasures. </w:t>
      </w:r>
      <w:r w:rsidR="00EC2E22" w:rsidRPr="00910E3A">
        <w:t>In t</w:t>
      </w:r>
      <w:r w:rsidR="009C4BA9" w:rsidRPr="00910E3A">
        <w:t>he Highway Safety Manual</w:t>
      </w:r>
      <w:r w:rsidR="009374AC" w:rsidRPr="00910E3A">
        <w:t xml:space="preserve"> </w:t>
      </w:r>
      <w:r w:rsidR="0022395D" w:rsidRPr="00910E3A">
        <w:t>(HSM)</w:t>
      </w:r>
      <w:r w:rsidR="00EC2E22" w:rsidRPr="00910E3A">
        <w:t xml:space="preserve">, a variety of SPFs </w:t>
      </w:r>
      <w:r w:rsidR="00502845">
        <w:t>are</w:t>
      </w:r>
      <w:r w:rsidR="00502845" w:rsidRPr="00910E3A">
        <w:t xml:space="preserve"> </w:t>
      </w:r>
      <w:r w:rsidR="00EC2E22" w:rsidRPr="00910E3A">
        <w:t xml:space="preserve">provided for different types of roadway facilities, crash types and severity levels. </w:t>
      </w:r>
      <w:r w:rsidR="005677BF" w:rsidRPr="00910E3A">
        <w:t>Agencies</w:t>
      </w:r>
      <w:r w:rsidR="00C74E7A">
        <w:t>,</w:t>
      </w:r>
      <w:r w:rsidR="005677BF" w:rsidRPr="00910E3A">
        <w:t xml:space="preserve"> lacking the necessary resources</w:t>
      </w:r>
      <w:r w:rsidR="00EC2E22" w:rsidRPr="00910E3A">
        <w:t xml:space="preserve"> </w:t>
      </w:r>
      <w:r w:rsidR="005677BF" w:rsidRPr="00910E3A">
        <w:t>to develop</w:t>
      </w:r>
      <w:r w:rsidR="00EC2E22" w:rsidRPr="00910E3A">
        <w:t xml:space="preserve"> </w:t>
      </w:r>
      <w:r w:rsidR="00502845">
        <w:t xml:space="preserve">own </w:t>
      </w:r>
      <w:r w:rsidR="00EC2E22" w:rsidRPr="00910E3A">
        <w:t>local</w:t>
      </w:r>
      <w:r w:rsidR="00502845">
        <w:t>ized</w:t>
      </w:r>
      <w:r w:rsidR="00EC2E22" w:rsidRPr="00910E3A">
        <w:t xml:space="preserve"> SPFs, </w:t>
      </w:r>
      <w:r w:rsidR="005677BF" w:rsidRPr="00910E3A">
        <w:t>may opt to apply the</w:t>
      </w:r>
      <w:r w:rsidR="008D5AF5" w:rsidRPr="00910E3A">
        <w:t xml:space="preserve"> HSM</w:t>
      </w:r>
      <w:r w:rsidR="003146A9" w:rsidRPr="00910E3A">
        <w:t>’s</w:t>
      </w:r>
      <w:r w:rsidR="008D5AF5" w:rsidRPr="00910E3A">
        <w:t xml:space="preserve"> SPFs for their jurisdictions. Yet, municipalities that </w:t>
      </w:r>
      <w:r w:rsidR="00140D07">
        <w:t xml:space="preserve">want to </w:t>
      </w:r>
      <w:r w:rsidR="008D5AF5" w:rsidRPr="00910E3A">
        <w:t xml:space="preserve">develop and maintain their regional SPFs </w:t>
      </w:r>
      <w:r w:rsidR="00140D07">
        <w:t>might</w:t>
      </w:r>
      <w:r w:rsidR="008D5AF5" w:rsidRPr="00910E3A">
        <w:t xml:space="preserve"> encounter the issue of </w:t>
      </w:r>
      <w:r w:rsidR="00140D07">
        <w:t>the small sample bias.</w:t>
      </w:r>
      <w:r w:rsidR="00CE28BE" w:rsidRPr="00910E3A">
        <w:t xml:space="preserve"> Bayesian inference </w:t>
      </w:r>
      <w:r w:rsidR="00F6196D">
        <w:t>i</w:t>
      </w:r>
      <w:r w:rsidR="00F6196D" w:rsidRPr="00910E3A">
        <w:t>s be</w:t>
      </w:r>
      <w:r w:rsidR="00F6196D">
        <w:t>ing</w:t>
      </w:r>
      <w:r w:rsidR="00F6196D" w:rsidRPr="00910E3A">
        <w:t xml:space="preserve"> </w:t>
      </w:r>
      <w:r w:rsidR="00CE28BE" w:rsidRPr="00910E3A">
        <w:t>conducted to address this issue by combining the current data with prior information to achieve r</w:t>
      </w:r>
      <w:r w:rsidR="00473FB7">
        <w:t>eliable</w:t>
      </w:r>
      <w:r w:rsidR="00CE28BE" w:rsidRPr="00910E3A">
        <w:t xml:space="preserve"> results.</w:t>
      </w:r>
      <w:r w:rsidR="00653AAB" w:rsidRPr="00910E3A">
        <w:t xml:space="preserve"> It follows that the essence of Bayesian statistics is the application of</w:t>
      </w:r>
      <w:r w:rsidR="00140D07">
        <w:t xml:space="preserve"> </w:t>
      </w:r>
      <w:r w:rsidR="00653AAB" w:rsidRPr="00910E3A">
        <w:t>informative priors</w:t>
      </w:r>
      <w:r w:rsidR="00140D07">
        <w:t>, obtained from other SPFs or experts’ experience</w:t>
      </w:r>
      <w:r w:rsidR="00713069">
        <w:t>s</w:t>
      </w:r>
      <w:r w:rsidR="00140D07">
        <w:t xml:space="preserve">. </w:t>
      </w:r>
      <w:r w:rsidR="00653AAB" w:rsidRPr="00910E3A">
        <w:t xml:space="preserve">In this study, we investigate the applicability of informative priors </w:t>
      </w:r>
      <w:r w:rsidR="00155A9A" w:rsidRPr="00910E3A">
        <w:t xml:space="preserve">for </w:t>
      </w:r>
      <w:r w:rsidR="00140D07">
        <w:t xml:space="preserve">Bayesian </w:t>
      </w:r>
      <w:r w:rsidR="006D3A3D">
        <w:t>negative binomial</w:t>
      </w:r>
      <w:r w:rsidR="003146A9" w:rsidRPr="00910E3A">
        <w:t xml:space="preserve"> </w:t>
      </w:r>
      <w:r w:rsidR="00155A9A" w:rsidRPr="00910E3A">
        <w:t xml:space="preserve">SPFs </w:t>
      </w:r>
      <w:r w:rsidR="005919CC">
        <w:t>for</w:t>
      </w:r>
      <w:r w:rsidR="005919CC" w:rsidRPr="00910E3A">
        <w:t xml:space="preserve"> </w:t>
      </w:r>
      <w:r w:rsidR="00155A9A" w:rsidRPr="00910E3A">
        <w:t xml:space="preserve">rural divided multilane highway segments in Florida and California. </w:t>
      </w:r>
      <w:r w:rsidR="00B26F86" w:rsidRPr="00910E3A">
        <w:t>A</w:t>
      </w:r>
      <w:r w:rsidR="00E85CF6">
        <w:t>n</w:t>
      </w:r>
      <w:r w:rsidR="00B26F86" w:rsidRPr="00910E3A">
        <w:t xml:space="preserve"> SPF with non-informative priors is developed for each state and its parameter</w:t>
      </w:r>
      <w:r w:rsidR="003146A9" w:rsidRPr="00910E3A">
        <w:t>s’</w:t>
      </w:r>
      <w:r w:rsidR="00B26F86" w:rsidRPr="00910E3A">
        <w:t xml:space="preserve"> distributi</w:t>
      </w:r>
      <w:r w:rsidR="00900A50">
        <w:t>ons are assigned to the other state</w:t>
      </w:r>
      <w:r w:rsidR="00713069">
        <w:t>’s SPF</w:t>
      </w:r>
      <w:r w:rsidR="00A82BF1" w:rsidRPr="00910E3A">
        <w:t xml:space="preserve"> as informative priors. The performances of SPFs are evaluated by applying each </w:t>
      </w:r>
      <w:r w:rsidR="00900A50">
        <w:t>state’s SPFs to the other state</w:t>
      </w:r>
      <w:r w:rsidR="00A82BF1" w:rsidRPr="00910E3A">
        <w:t>.</w:t>
      </w:r>
      <w:r w:rsidR="006948A2">
        <w:t xml:space="preserve"> The analysis is conducted for both total (KABCO) and severe (KAB) crashes. </w:t>
      </w:r>
      <w:r w:rsidR="00713069">
        <w:t>As per the results, applying one state’s SPF with informative priors, which are the other state’s SPF independent variable estimates, to the latter state</w:t>
      </w:r>
      <w:r w:rsidR="006948A2">
        <w:t xml:space="preserve">’s conditions yields better </w:t>
      </w:r>
      <w:r w:rsidR="006948A2" w:rsidRPr="00910E3A">
        <w:t>goodness</w:t>
      </w:r>
      <w:r w:rsidR="006948A2">
        <w:t xml:space="preserve"> </w:t>
      </w:r>
      <w:r w:rsidR="006948A2" w:rsidRPr="00910E3A">
        <w:t>of</w:t>
      </w:r>
      <w:r w:rsidR="006948A2">
        <w:t xml:space="preserve"> </w:t>
      </w:r>
      <w:r w:rsidR="006948A2" w:rsidRPr="00910E3A">
        <w:t>fit</w:t>
      </w:r>
      <w:r w:rsidR="006948A2">
        <w:t xml:space="preserve"> (GOF) values than applying the former state’s SPF with non-informative priors to the conditions of the latter</w:t>
      </w:r>
      <w:r w:rsidR="00402C9D">
        <w:t xml:space="preserve"> state</w:t>
      </w:r>
      <w:r w:rsidR="006948A2">
        <w:t>.</w:t>
      </w:r>
      <w:r w:rsidR="00713069">
        <w:t xml:space="preserve"> </w:t>
      </w:r>
      <w:r w:rsidR="006948A2">
        <w:t>This is for both total and severe crash SPFs.</w:t>
      </w:r>
      <w:r w:rsidR="00F84EAB" w:rsidRPr="00910E3A">
        <w:t xml:space="preserve"> </w:t>
      </w:r>
      <w:r w:rsidR="00A82BF1" w:rsidRPr="00910E3A">
        <w:t xml:space="preserve">  </w:t>
      </w:r>
    </w:p>
    <w:p w14:paraId="21C5AE6A" w14:textId="7A5F1237" w:rsidR="00E90696" w:rsidRPr="00910E3A" w:rsidRDefault="00696E72">
      <w:r w:rsidRPr="00910E3A">
        <w:rPr>
          <w:b/>
          <w:bCs/>
        </w:rPr>
        <w:t>Keywords:</w:t>
      </w:r>
      <w:r w:rsidR="000434A2" w:rsidRPr="00910E3A">
        <w:t xml:space="preserve"> </w:t>
      </w:r>
      <w:r w:rsidR="008D539D">
        <w:t xml:space="preserve">Bayesian </w:t>
      </w:r>
      <w:r w:rsidR="00927973" w:rsidRPr="00910E3A">
        <w:t xml:space="preserve">Informative Priors, </w:t>
      </w:r>
      <w:r w:rsidR="006D3A3D">
        <w:t>Negative Binomial</w:t>
      </w:r>
      <w:r w:rsidR="00927973" w:rsidRPr="00910E3A">
        <w:t xml:space="preserve"> Models, </w:t>
      </w:r>
      <w:r w:rsidR="00C74E7A">
        <w:t>Markov Chain Monte Carlo Simulations</w:t>
      </w:r>
      <w:r w:rsidR="00794AE5" w:rsidRPr="00910E3A">
        <w:t xml:space="preserve">, </w:t>
      </w:r>
      <w:r w:rsidR="00927973" w:rsidRPr="00910E3A">
        <w:t>Highway Safety Manual</w:t>
      </w:r>
      <w:r w:rsidR="00140D07">
        <w:t>, Transferability</w:t>
      </w:r>
      <w:r w:rsidR="00E90696" w:rsidRPr="00910E3A">
        <w:br w:type="page"/>
      </w:r>
    </w:p>
    <w:p w14:paraId="37C0E41C" w14:textId="77777777" w:rsidR="00F71667" w:rsidRDefault="00F71667" w:rsidP="00F71667">
      <w:pPr>
        <w:pStyle w:val="Heading1"/>
      </w:pPr>
      <w:r w:rsidRPr="00382739">
        <w:lastRenderedPageBreak/>
        <w:t>Introduction</w:t>
      </w:r>
    </w:p>
    <w:p w14:paraId="7DFBEA93" w14:textId="77777777" w:rsidR="00502845" w:rsidRPr="00502845" w:rsidRDefault="00502845" w:rsidP="00382739">
      <w:pPr>
        <w:spacing w:after="0"/>
      </w:pPr>
    </w:p>
    <w:p w14:paraId="56C5CBF3" w14:textId="3B8F3C49" w:rsidR="005919CC" w:rsidRDefault="003A36F2" w:rsidP="00402C9D">
      <w:r w:rsidRPr="00910E3A">
        <w:t>Safety performance functions</w:t>
      </w:r>
      <w:r w:rsidR="007B531B" w:rsidRPr="00910E3A">
        <w:t xml:space="preserve"> (SPFs)</w:t>
      </w:r>
      <w:r w:rsidRPr="00910E3A">
        <w:t xml:space="preserve">, regression models used for predicting crash frequencies, are an indispensable constituent of traffic safety </w:t>
      </w:r>
      <w:r w:rsidR="00F40DE9">
        <w:t>analyse</w:t>
      </w:r>
      <w:r w:rsidR="005F3753">
        <w:t>s</w:t>
      </w:r>
      <w:r w:rsidRPr="00910E3A">
        <w:t>.</w:t>
      </w:r>
      <w:r w:rsidR="00F129D8" w:rsidRPr="00910E3A">
        <w:t xml:space="preserve"> </w:t>
      </w:r>
      <w:r w:rsidR="007B0E3C" w:rsidRPr="00910E3A">
        <w:t>They are used to predict crashes of any type or severity.</w:t>
      </w:r>
      <w:r w:rsidR="009C1230">
        <w:t xml:space="preserve"> The HSM </w:t>
      </w:r>
      <w:r w:rsidR="009C1230" w:rsidRPr="006C1AD5">
        <w:t>(</w:t>
      </w:r>
      <w:r w:rsidR="00785D01">
        <w:t>AASHTO, 2010</w:t>
      </w:r>
      <w:r w:rsidR="009C1230" w:rsidRPr="006C1AD5">
        <w:t>)</w:t>
      </w:r>
      <w:r w:rsidR="009C1230">
        <w:t xml:space="preserve"> provides SPFs by facility type, crash type and severity.</w:t>
      </w:r>
      <w:r w:rsidR="007B0E3C" w:rsidRPr="00910E3A">
        <w:t xml:space="preserve"> The SPF development process involves </w:t>
      </w:r>
      <w:r w:rsidR="005436AD">
        <w:t>regressi</w:t>
      </w:r>
      <w:r w:rsidR="009473BA">
        <w:t>ng</w:t>
      </w:r>
      <w:r w:rsidR="005436AD">
        <w:t xml:space="preserve"> traffic crash</w:t>
      </w:r>
      <w:r w:rsidR="009473BA">
        <w:t xml:space="preserve"> </w:t>
      </w:r>
      <w:r w:rsidR="005919CC">
        <w:t>counts</w:t>
      </w:r>
      <w:r w:rsidR="005919CC" w:rsidRPr="00910E3A">
        <w:t xml:space="preserve"> </w:t>
      </w:r>
      <w:r w:rsidR="007B0E3C" w:rsidRPr="00910E3A">
        <w:t xml:space="preserve">with contributing factors. </w:t>
      </w:r>
      <w:r w:rsidR="00F731F3">
        <w:t>Modeling crashes using the o</w:t>
      </w:r>
      <w:r w:rsidR="007B0E3C" w:rsidRPr="00910E3A">
        <w:t xml:space="preserve">rdinary linear least square regression framework is </w:t>
      </w:r>
      <w:r w:rsidR="00F731F3">
        <w:t xml:space="preserve">faulty </w:t>
      </w:r>
      <w:r w:rsidR="007B0E3C" w:rsidRPr="00910E3A">
        <w:t>since crash patterns are non-negative</w:t>
      </w:r>
      <w:r w:rsidR="005436AD">
        <w:t xml:space="preserve"> integers</w:t>
      </w:r>
      <w:r w:rsidR="007B0E3C" w:rsidRPr="00910E3A">
        <w:t xml:space="preserve"> </w:t>
      </w:r>
      <w:r w:rsidR="007B0E3C" w:rsidRPr="006C1AD5">
        <w:rPr>
          <w:iCs/>
        </w:rPr>
        <w:t>(</w:t>
      </w:r>
      <w:r w:rsidR="00785D01">
        <w:rPr>
          <w:iCs/>
        </w:rPr>
        <w:t>Miaou et al., 1993; Miaou, 1994; Kim et al., 2005; Garber and Wu, 2001</w:t>
      </w:r>
      <w:r w:rsidR="007B0E3C" w:rsidRPr="006C1AD5">
        <w:rPr>
          <w:iCs/>
        </w:rPr>
        <w:t>)</w:t>
      </w:r>
      <w:r w:rsidR="007B0E3C" w:rsidRPr="00910E3A">
        <w:t xml:space="preserve">. Generalized linear models </w:t>
      </w:r>
      <w:r w:rsidR="00F6196D">
        <w:t>a</w:t>
      </w:r>
      <w:r w:rsidR="00F6196D" w:rsidRPr="00910E3A">
        <w:t xml:space="preserve">re </w:t>
      </w:r>
      <w:r w:rsidR="007B0E3C" w:rsidRPr="00910E3A">
        <w:t xml:space="preserve">applied </w:t>
      </w:r>
      <w:r w:rsidR="005919CC">
        <w:t xml:space="preserve">for </w:t>
      </w:r>
      <w:r w:rsidR="007B0E3C" w:rsidRPr="00910E3A">
        <w:t>crash analysis studies</w:t>
      </w:r>
      <w:r w:rsidR="00A16DBA">
        <w:t xml:space="preserve"> </w:t>
      </w:r>
      <w:r w:rsidR="007B0E3C" w:rsidRPr="006C1AD5">
        <w:rPr>
          <w:iCs/>
        </w:rPr>
        <w:t>(</w:t>
      </w:r>
      <w:r w:rsidR="00785D01">
        <w:rPr>
          <w:iCs/>
        </w:rPr>
        <w:t>Sawalha and Sayed, 2006; Taylor et al., 2002; Harnen et al., 2004; Donnel and Mason, 2006</w:t>
      </w:r>
      <w:r w:rsidR="007B0E3C" w:rsidRPr="006C1AD5">
        <w:rPr>
          <w:iCs/>
        </w:rPr>
        <w:t>)</w:t>
      </w:r>
      <w:r w:rsidR="007B0E3C" w:rsidRPr="00910E3A">
        <w:t>.</w:t>
      </w:r>
      <w:r w:rsidR="00C74E7A">
        <w:t xml:space="preserve"> The</w:t>
      </w:r>
      <w:r w:rsidR="007B0E3C" w:rsidRPr="00910E3A">
        <w:t xml:space="preserve"> Poisson model</w:t>
      </w:r>
      <w:r w:rsidR="00A16DBA">
        <w:t xml:space="preserve"> </w:t>
      </w:r>
      <w:r w:rsidR="00F6196D">
        <w:t xml:space="preserve">is </w:t>
      </w:r>
      <w:r w:rsidR="00A16DBA">
        <w:t>proposed as it has</w:t>
      </w:r>
      <w:r w:rsidR="007B0E3C" w:rsidRPr="00910E3A">
        <w:t xml:space="preserve"> a statistically appropriate structure </w:t>
      </w:r>
      <w:r w:rsidR="00A16DBA">
        <w:t>for non-negative integer data</w:t>
      </w:r>
      <w:r w:rsidR="00332040">
        <w:t>.</w:t>
      </w:r>
      <w:r w:rsidR="00A16DBA">
        <w:t xml:space="preserve"> </w:t>
      </w:r>
      <w:r w:rsidR="00332040">
        <w:t>Y</w:t>
      </w:r>
      <w:r w:rsidR="00332040" w:rsidRPr="00910E3A">
        <w:t>et</w:t>
      </w:r>
      <w:r w:rsidR="00332040">
        <w:t>, it</w:t>
      </w:r>
      <w:r w:rsidR="007B0E3C" w:rsidRPr="00910E3A">
        <w:t xml:space="preserve"> </w:t>
      </w:r>
      <w:r w:rsidR="001B01E9" w:rsidRPr="00910E3A">
        <w:t>offers a restriction that the mean crash frequency is equivalent to the variance</w:t>
      </w:r>
      <w:r w:rsidR="007B0E3C" w:rsidRPr="00910E3A">
        <w:t>.</w:t>
      </w:r>
      <w:r w:rsidR="001B01E9" w:rsidRPr="00910E3A">
        <w:t xml:space="preserve"> </w:t>
      </w:r>
      <w:r w:rsidR="00402C9D">
        <w:t>T</w:t>
      </w:r>
      <w:r w:rsidR="001B01E9" w:rsidRPr="00910E3A">
        <w:t>he</w:t>
      </w:r>
      <w:r w:rsidR="00C74E7A">
        <w:t xml:space="preserve"> condition in which the</w:t>
      </w:r>
      <w:r w:rsidR="001B01E9" w:rsidRPr="00910E3A">
        <w:t xml:space="preserve"> variance</w:t>
      </w:r>
      <w:r w:rsidR="00C74E7A">
        <w:t xml:space="preserve"> is</w:t>
      </w:r>
      <w:r w:rsidR="001B01E9" w:rsidRPr="00910E3A">
        <w:t xml:space="preserve"> </w:t>
      </w:r>
      <w:r w:rsidR="00A16DBA">
        <w:t xml:space="preserve">greater than </w:t>
      </w:r>
      <w:r w:rsidR="00A16DBA" w:rsidRPr="00910E3A">
        <w:t>the mean</w:t>
      </w:r>
      <w:r w:rsidR="00A16DBA">
        <w:t xml:space="preserve"> is often observed</w:t>
      </w:r>
      <w:r w:rsidR="001B01E9" w:rsidRPr="00910E3A">
        <w:t xml:space="preserve"> </w:t>
      </w:r>
      <w:r w:rsidR="00A16DBA">
        <w:t>in crash data</w:t>
      </w:r>
      <w:r w:rsidR="00C74E7A">
        <w:t xml:space="preserve"> and is</w:t>
      </w:r>
      <w:r w:rsidR="001B01E9" w:rsidRPr="00910E3A">
        <w:t xml:space="preserve"> termed over-dispersion. </w:t>
      </w:r>
      <w:r w:rsidR="00332040">
        <w:t xml:space="preserve">The negative </w:t>
      </w:r>
      <w:r w:rsidR="006D3A3D">
        <w:t>binomial</w:t>
      </w:r>
      <w:r w:rsidR="00332040">
        <w:t xml:space="preserve"> model</w:t>
      </w:r>
      <w:r w:rsidR="00CF4772">
        <w:t xml:space="preserve">, </w:t>
      </w:r>
      <w:r w:rsidR="00332040">
        <w:t>a type of</w:t>
      </w:r>
      <w:r w:rsidR="00CF4772">
        <w:t xml:space="preserve"> Poisson-gamma</w:t>
      </w:r>
      <w:r w:rsidR="001B01E9" w:rsidRPr="00910E3A">
        <w:t xml:space="preserve"> model</w:t>
      </w:r>
      <w:r w:rsidR="00A16DBA">
        <w:t>s</w:t>
      </w:r>
      <w:r w:rsidR="00332040">
        <w:t>,</w:t>
      </w:r>
      <w:r w:rsidR="001B01E9" w:rsidRPr="00910E3A">
        <w:t xml:space="preserve"> relax the restrictive assumption of the Poisson model and </w:t>
      </w:r>
      <w:r w:rsidR="00332040">
        <w:t>is</w:t>
      </w:r>
      <w:r w:rsidR="00332040" w:rsidRPr="00910E3A">
        <w:t xml:space="preserve"> </w:t>
      </w:r>
      <w:r w:rsidR="001B01E9" w:rsidRPr="00910E3A">
        <w:t xml:space="preserve">used as the conventional modeling framework in estimating SPFs in the literature </w:t>
      </w:r>
      <w:r w:rsidR="001B01E9" w:rsidRPr="006C1AD5">
        <w:rPr>
          <w:iCs/>
        </w:rPr>
        <w:t>(</w:t>
      </w:r>
      <w:r w:rsidR="00785D01">
        <w:rPr>
          <w:iCs/>
        </w:rPr>
        <w:t>Lord et al., 2005</w:t>
      </w:r>
      <w:r w:rsidR="001B01E9" w:rsidRPr="006C1AD5">
        <w:rPr>
          <w:iCs/>
        </w:rPr>
        <w:t>)</w:t>
      </w:r>
      <w:r w:rsidR="00C32AF6" w:rsidRPr="00910E3A">
        <w:t>.</w:t>
      </w:r>
      <w:r w:rsidRPr="00910E3A">
        <w:t xml:space="preserve"> </w:t>
      </w:r>
      <w:r w:rsidR="007B531B" w:rsidRPr="00910E3A">
        <w:t xml:space="preserve">Often, municipalities develop and update jurisdiction specific SPFs with the least possible </w:t>
      </w:r>
      <w:r w:rsidR="005919CC">
        <w:t xml:space="preserve">number of </w:t>
      </w:r>
      <w:r w:rsidR="007B531B" w:rsidRPr="00910E3A">
        <w:t>independent variables</w:t>
      </w:r>
      <w:r w:rsidR="00332040">
        <w:t xml:space="preserve">, </w:t>
      </w:r>
      <w:r w:rsidR="005919CC">
        <w:t>or factors</w:t>
      </w:r>
      <w:r w:rsidR="00332040">
        <w:t>,</w:t>
      </w:r>
      <w:r w:rsidR="007B531B" w:rsidRPr="00910E3A">
        <w:t xml:space="preserve"> that contribute to crashes. A typical problem encountered is the lack of available resources to gather data of sufficient sample sizes </w:t>
      </w:r>
      <w:r w:rsidR="007B531B" w:rsidRPr="006C1AD5">
        <w:rPr>
          <w:iCs/>
        </w:rPr>
        <w:t>(</w:t>
      </w:r>
      <w:r w:rsidR="00785D01">
        <w:rPr>
          <w:iCs/>
        </w:rPr>
        <w:t>Heydari et al., 2014</w:t>
      </w:r>
      <w:r w:rsidR="007B531B" w:rsidRPr="006C1AD5">
        <w:rPr>
          <w:iCs/>
        </w:rPr>
        <w:t>)</w:t>
      </w:r>
      <w:r w:rsidR="007B531B" w:rsidRPr="00910E3A">
        <w:t xml:space="preserve">. </w:t>
      </w:r>
      <w:r w:rsidR="00840125" w:rsidRPr="00910E3A">
        <w:t>Application of the</w:t>
      </w:r>
      <w:r w:rsidR="00C133EB" w:rsidRPr="00910E3A">
        <w:t xml:space="preserve"> maximum likelihood estimation</w:t>
      </w:r>
      <w:r w:rsidR="002D0285" w:rsidRPr="00910E3A">
        <w:t xml:space="preserve"> (MLE)</w:t>
      </w:r>
      <w:r w:rsidR="00C133EB" w:rsidRPr="00910E3A">
        <w:t xml:space="preserve"> method</w:t>
      </w:r>
      <w:r w:rsidR="00840125" w:rsidRPr="00910E3A">
        <w:t xml:space="preserve"> to obtain the optimal estimate</w:t>
      </w:r>
      <w:r w:rsidR="001B01E9" w:rsidRPr="00910E3A">
        <w:t>s</w:t>
      </w:r>
      <w:r w:rsidR="00840125" w:rsidRPr="00910E3A">
        <w:t xml:space="preserve"> of the model parameters produces inaccurate results under limited data whereas </w:t>
      </w:r>
      <w:r w:rsidR="00003F04" w:rsidRPr="00910E3A">
        <w:t>the full Bayesian method is an efficient alternative approach applicable</w:t>
      </w:r>
      <w:r w:rsidR="00951FCB" w:rsidRPr="00910E3A">
        <w:t xml:space="preserve"> to circumvent the limited sample size problem</w:t>
      </w:r>
      <w:r w:rsidR="00840125" w:rsidRPr="00910E3A">
        <w:t>.</w:t>
      </w:r>
      <w:r w:rsidR="00951B08" w:rsidRPr="00910E3A">
        <w:t xml:space="preserve"> </w:t>
      </w:r>
    </w:p>
    <w:p w14:paraId="11398291" w14:textId="2C0F444D" w:rsidR="00C5440A" w:rsidRPr="00785D01" w:rsidRDefault="00951B08" w:rsidP="00E758F2">
      <w:r w:rsidRPr="00910E3A">
        <w:t>The essence of the full Bayesian method is that prior knowledge is taken into account by introducing informative prior distribution</w:t>
      </w:r>
      <w:r w:rsidR="002D0285" w:rsidRPr="00910E3A">
        <w:t>s for the parameters</w:t>
      </w:r>
      <w:r w:rsidRPr="00910E3A">
        <w:t xml:space="preserve">. It </w:t>
      </w:r>
      <w:r w:rsidR="00AD1007">
        <w:t>is</w:t>
      </w:r>
      <w:r w:rsidRPr="00910E3A">
        <w:t xml:space="preserve"> demonstrate</w:t>
      </w:r>
      <w:r w:rsidRPr="00785D01">
        <w:t xml:space="preserve">d that </w:t>
      </w:r>
      <w:r w:rsidR="005919CC" w:rsidRPr="00785D01">
        <w:t xml:space="preserve">even for </w:t>
      </w:r>
      <w:r w:rsidRPr="00785D01">
        <w:t>small sample sizes</w:t>
      </w:r>
      <w:r w:rsidR="00AD1007" w:rsidRPr="00785D01">
        <w:t>,</w:t>
      </w:r>
      <w:r w:rsidRPr="00785D01">
        <w:t xml:space="preserve"> the full Bayesian method yields unbiased estimates of the parameters </w:t>
      </w:r>
      <w:r w:rsidRPr="006C1AD5">
        <w:rPr>
          <w:iCs/>
        </w:rPr>
        <w:t>(</w:t>
      </w:r>
      <w:r w:rsidR="007C5AC8">
        <w:rPr>
          <w:iCs/>
        </w:rPr>
        <w:t>Heydari et al., 2014</w:t>
      </w:r>
      <w:r w:rsidRPr="006C1AD5">
        <w:rPr>
          <w:iCs/>
        </w:rPr>
        <w:t>)</w:t>
      </w:r>
      <w:r w:rsidRPr="00785D01">
        <w:t>. The other advantage of the full Bayesian approach is that unlike the Frequentist approach, where the</w:t>
      </w:r>
      <w:r w:rsidR="00EA108F" w:rsidRPr="00785D01">
        <w:t xml:space="preserve"> traditional</w:t>
      </w:r>
      <w:r w:rsidRPr="00785D01">
        <w:t xml:space="preserve"> MLE method is applied,</w:t>
      </w:r>
      <w:r w:rsidR="00EA108F" w:rsidRPr="00785D01">
        <w:t xml:space="preserve"> the probability that an estimate</w:t>
      </w:r>
      <w:r w:rsidR="002D0285" w:rsidRPr="00785D01">
        <w:t xml:space="preserve"> of a parameter</w:t>
      </w:r>
      <w:r w:rsidR="00EA108F" w:rsidRPr="00785D01">
        <w:t xml:space="preserve"> falls within a certain range is obtained by direct computation. In the Frequentist approach, it can be interpreted that the estimates are within confidence limits if multiple samples are collected </w:t>
      </w:r>
      <w:r w:rsidR="00EA108F" w:rsidRPr="006C1AD5">
        <w:rPr>
          <w:iCs/>
        </w:rPr>
        <w:t>(</w:t>
      </w:r>
      <w:r w:rsidR="007C5AC8">
        <w:rPr>
          <w:iCs/>
        </w:rPr>
        <w:t>Heydari et al., 2014</w:t>
      </w:r>
      <w:r w:rsidR="00EA108F" w:rsidRPr="006C1AD5">
        <w:rPr>
          <w:iCs/>
        </w:rPr>
        <w:t>)</w:t>
      </w:r>
      <w:r w:rsidR="00EA108F" w:rsidRPr="00785D01">
        <w:t xml:space="preserve">. </w:t>
      </w:r>
      <w:r w:rsidR="00152298" w:rsidRPr="00785D01">
        <w:t>Investigating the application of prior information to achieve accurate parameter estimates</w:t>
      </w:r>
      <w:r w:rsidR="00362C40" w:rsidRPr="00785D01">
        <w:t xml:space="preserve"> is a topic of interest </w:t>
      </w:r>
      <w:r w:rsidR="005919CC" w:rsidRPr="00785D01">
        <w:t xml:space="preserve">for </w:t>
      </w:r>
      <w:r w:rsidR="00362C40" w:rsidRPr="00785D01">
        <w:t xml:space="preserve">researchers in road safety as </w:t>
      </w:r>
      <w:r w:rsidR="00AD1007" w:rsidRPr="00785D01">
        <w:t>is</w:t>
      </w:r>
      <w:r w:rsidR="00362C40" w:rsidRPr="00785D01">
        <w:t xml:space="preserve"> discussed in the following section</w:t>
      </w:r>
      <w:r w:rsidR="00A87358" w:rsidRPr="00785D01">
        <w:t xml:space="preserve"> </w:t>
      </w:r>
      <w:r w:rsidR="00A87358" w:rsidRPr="006C1AD5">
        <w:rPr>
          <w:iCs/>
        </w:rPr>
        <w:t>(</w:t>
      </w:r>
      <w:r w:rsidR="007C5AC8">
        <w:rPr>
          <w:iCs/>
        </w:rPr>
        <w:t>Heydari et al., 2014, Lord and Miranda-Moreno, 2008; Part et al., 2010; Miranda-Moreno et al., 2013; Yu and Abdel-Aty, 2013; Washington and Oh, 2006; Jang et al., 2010; Haleem et al., 2010</w:t>
      </w:r>
      <w:r w:rsidR="00A87358" w:rsidRPr="006C1AD5">
        <w:rPr>
          <w:iCs/>
        </w:rPr>
        <w:t>)</w:t>
      </w:r>
      <w:r w:rsidR="00362C40" w:rsidRPr="00785D01">
        <w:t>.</w:t>
      </w:r>
      <w:r w:rsidR="00A87358" w:rsidRPr="00785D01">
        <w:t xml:space="preserve"> </w:t>
      </w:r>
      <w:r w:rsidR="001C20B6" w:rsidRPr="00785D01">
        <w:t xml:space="preserve">Yet, the main objective of these studies is to develop informative priors for modeling crashes for regions with limited data. </w:t>
      </w:r>
      <w:r w:rsidR="005919CC" w:rsidRPr="00785D01">
        <w:t>The objective of this study is clearly distinguished from th</w:t>
      </w:r>
      <w:r w:rsidR="00332040">
        <w:t>ose of the</w:t>
      </w:r>
      <w:r w:rsidR="005919CC" w:rsidRPr="00785D01">
        <w:t xml:space="preserve"> previous studies. In our study, the </w:t>
      </w:r>
      <w:r w:rsidR="00402C9D">
        <w:t>goal</w:t>
      </w:r>
      <w:r w:rsidR="005919CC" w:rsidRPr="00785D01">
        <w:t xml:space="preserve"> is </w:t>
      </w:r>
      <w:r w:rsidR="00332040">
        <w:t>to</w:t>
      </w:r>
      <w:r w:rsidR="005919CC" w:rsidRPr="00785D01">
        <w:t xml:space="preserve"> </w:t>
      </w:r>
      <w:r w:rsidR="00332040" w:rsidRPr="00785D01">
        <w:t>examin</w:t>
      </w:r>
      <w:r w:rsidR="00332040">
        <w:t>e</w:t>
      </w:r>
      <w:r w:rsidR="00332040" w:rsidRPr="00785D01">
        <w:t xml:space="preserve"> </w:t>
      </w:r>
      <w:r w:rsidR="00E758F2">
        <w:t>the influence of informative priors in the transferability of SPFs</w:t>
      </w:r>
      <w:r w:rsidR="005919CC" w:rsidRPr="00785D01">
        <w:t>.</w:t>
      </w:r>
      <w:r w:rsidR="00E758F2">
        <w:t xml:space="preserve"> That is, when transferring an SPF from one jurisdiction to another, an investigation is made to check whether adopting informative prior information on the parameters from the jurisdiction where the SPF is being transferred</w:t>
      </w:r>
      <w:r w:rsidR="00504B79">
        <w:t xml:space="preserve"> will facilitate the transferability of the SPF.</w:t>
      </w:r>
      <w:r w:rsidR="005919CC" w:rsidRPr="00785D01">
        <w:t xml:space="preserve"> </w:t>
      </w:r>
      <w:r w:rsidR="00CF4772" w:rsidRPr="00785D01">
        <w:t>We aim at developing</w:t>
      </w:r>
      <w:r w:rsidR="00E00144" w:rsidRPr="00785D01">
        <w:t xml:space="preserve"> Bayesian</w:t>
      </w:r>
      <w:r w:rsidR="001C20B6" w:rsidRPr="00785D01">
        <w:t xml:space="preserve"> </w:t>
      </w:r>
      <w:r w:rsidR="006D3A3D" w:rsidRPr="00785D01">
        <w:t>negative binomial</w:t>
      </w:r>
      <w:r w:rsidR="001C20B6" w:rsidRPr="00785D01">
        <w:t xml:space="preserve"> SPFs</w:t>
      </w:r>
      <w:r w:rsidR="00E00144" w:rsidRPr="00785D01">
        <w:t xml:space="preserve"> with non-informative priors</w:t>
      </w:r>
      <w:r w:rsidR="001C20B6" w:rsidRPr="00785D01">
        <w:t xml:space="preserve"> for rural divided multilane highway segments</w:t>
      </w:r>
      <w:r w:rsidR="00E00144" w:rsidRPr="00785D01">
        <w:t xml:space="preserve"> in t</w:t>
      </w:r>
      <w:r w:rsidR="00332040">
        <w:t>wo</w:t>
      </w:r>
      <w:r w:rsidR="00E00144" w:rsidRPr="00785D01">
        <w:t xml:space="preserve"> states</w:t>
      </w:r>
      <w:r w:rsidR="00402C9D">
        <w:t>,</w:t>
      </w:r>
      <w:r w:rsidR="00332040">
        <w:t xml:space="preserve"> which are</w:t>
      </w:r>
      <w:r w:rsidR="00CF4772" w:rsidRPr="00785D01">
        <w:t xml:space="preserve"> Florida and California</w:t>
      </w:r>
      <w:r w:rsidR="005919CC" w:rsidRPr="00785D01">
        <w:t>.</w:t>
      </w:r>
      <w:r w:rsidR="00E00144" w:rsidRPr="00785D01">
        <w:t xml:space="preserve"> Then, each state’s data are provided with parameter estimates of the other state to re</w:t>
      </w:r>
      <w:r w:rsidR="00263EFC">
        <w:t>-</w:t>
      </w:r>
      <w:r w:rsidR="00E00144" w:rsidRPr="00785D01">
        <w:t>develop</w:t>
      </w:r>
      <w:r w:rsidR="002D0285" w:rsidRPr="00785D01">
        <w:t xml:space="preserve"> SPFs</w:t>
      </w:r>
      <w:r w:rsidR="00E00144" w:rsidRPr="00785D01">
        <w:t xml:space="preserve"> with informative priors. </w:t>
      </w:r>
      <w:r w:rsidR="005919CC" w:rsidRPr="00785D01">
        <w:t xml:space="preserve">We evaluate the improvement in model fit based on the consideration of informative priors.  </w:t>
      </w:r>
      <w:r w:rsidR="00362C40" w:rsidRPr="00785D01">
        <w:t xml:space="preserve"> </w:t>
      </w:r>
      <w:r w:rsidR="00EA108F" w:rsidRPr="00785D01">
        <w:t xml:space="preserve"> </w:t>
      </w:r>
      <w:r w:rsidRPr="00785D01">
        <w:t xml:space="preserve"> </w:t>
      </w:r>
      <w:r w:rsidR="00166E85" w:rsidRPr="00785D01">
        <w:t xml:space="preserve"> </w:t>
      </w:r>
    </w:p>
    <w:p w14:paraId="5023909E" w14:textId="77777777" w:rsidR="00C5440A" w:rsidRDefault="00C5440A" w:rsidP="00403E0E"/>
    <w:p w14:paraId="22FEF8E4" w14:textId="77777777" w:rsidR="00F71667" w:rsidRDefault="00F71667" w:rsidP="00F71667">
      <w:pPr>
        <w:pStyle w:val="Heading1"/>
      </w:pPr>
      <w:r w:rsidRPr="00382739">
        <w:lastRenderedPageBreak/>
        <w:t>Literature Review</w:t>
      </w:r>
    </w:p>
    <w:p w14:paraId="2A9F001F" w14:textId="77777777" w:rsidR="00502845" w:rsidRPr="00502845" w:rsidRDefault="00502845" w:rsidP="00382739">
      <w:pPr>
        <w:spacing w:after="0"/>
      </w:pPr>
    </w:p>
    <w:p w14:paraId="30D46F11" w14:textId="0F5F33A3" w:rsidR="007B700A" w:rsidRPr="007C5AC8" w:rsidRDefault="008522C1" w:rsidP="00900A50">
      <w:r w:rsidRPr="007C5AC8">
        <w:t xml:space="preserve">Few </w:t>
      </w:r>
      <w:r w:rsidR="006343BC" w:rsidRPr="007C5AC8">
        <w:t xml:space="preserve">studies </w:t>
      </w:r>
      <w:r w:rsidR="000869F7" w:rsidRPr="007C5AC8">
        <w:t>are focused</w:t>
      </w:r>
      <w:r w:rsidR="006343BC" w:rsidRPr="007C5AC8">
        <w:t xml:space="preserve"> on the application of Bayesian priors in traffic crash modeling.</w:t>
      </w:r>
      <w:r w:rsidR="00C378D8" w:rsidRPr="007C5AC8">
        <w:t xml:space="preserve"> Lord and Miranda-Moreno </w:t>
      </w:r>
      <w:r w:rsidR="00C378D8" w:rsidRPr="006C1AD5">
        <w:rPr>
          <w:iCs/>
        </w:rPr>
        <w:t>(</w:t>
      </w:r>
      <w:r w:rsidR="007C5AC8">
        <w:rPr>
          <w:iCs/>
        </w:rPr>
        <w:t>2008</w:t>
      </w:r>
      <w:r w:rsidR="00C378D8" w:rsidRPr="006C1AD5">
        <w:rPr>
          <w:iCs/>
        </w:rPr>
        <w:t>)</w:t>
      </w:r>
      <w:r w:rsidR="00C378D8" w:rsidRPr="007C5AC8">
        <w:t xml:space="preserve"> address the low sample mean and size problem encountered by transport</w:t>
      </w:r>
      <w:r w:rsidR="00F77687" w:rsidRPr="007C5AC8">
        <w:t>ation</w:t>
      </w:r>
      <w:r w:rsidR="00C378D8" w:rsidRPr="007C5AC8">
        <w:t xml:space="preserve"> authorities when collecting data for developing </w:t>
      </w:r>
      <w:r w:rsidR="007D5CD1" w:rsidRPr="007C5AC8">
        <w:t>SPFs</w:t>
      </w:r>
      <w:r w:rsidR="00C378D8" w:rsidRPr="007C5AC8">
        <w:t xml:space="preserve">. The authors simulate and model crash data using </w:t>
      </w:r>
      <w:r w:rsidR="006D3A3D" w:rsidRPr="007C5AC8">
        <w:t>negative binomial</w:t>
      </w:r>
      <w:r w:rsidR="00C378D8" w:rsidRPr="007C5AC8">
        <w:t xml:space="preserve"> and Poisson-lognormal </w:t>
      </w:r>
      <w:r w:rsidR="007D5CD1" w:rsidRPr="007C5AC8">
        <w:t>formulations</w:t>
      </w:r>
      <w:r w:rsidR="00C378D8" w:rsidRPr="007C5AC8">
        <w:t xml:space="preserve">. Specifically, several datasets </w:t>
      </w:r>
      <w:r w:rsidR="00473FB7" w:rsidRPr="007C5AC8">
        <w:t xml:space="preserve">are </w:t>
      </w:r>
      <w:r w:rsidR="00C378D8" w:rsidRPr="007C5AC8">
        <w:t>simulated with varying sample sizes and means</w:t>
      </w:r>
      <w:r w:rsidR="00986FD3" w:rsidRPr="007C5AC8">
        <w:t xml:space="preserve">. Non-informative and informative priors </w:t>
      </w:r>
      <w:r w:rsidR="00B7142E" w:rsidRPr="007C5AC8">
        <w:t>a</w:t>
      </w:r>
      <w:r w:rsidR="00986FD3" w:rsidRPr="007C5AC8">
        <w:t xml:space="preserve">re </w:t>
      </w:r>
      <w:r w:rsidR="00F77687" w:rsidRPr="007C5AC8">
        <w:t>tested</w:t>
      </w:r>
      <w:r w:rsidR="00986FD3" w:rsidRPr="007C5AC8">
        <w:t xml:space="preserve"> for Bayesian modeling of the simulated data. </w:t>
      </w:r>
      <w:r w:rsidR="00F77687" w:rsidRPr="007C5AC8">
        <w:t xml:space="preserve">For the models with informative priors, a shape parameter of 0.1 and a scale of 1 are assigned to the inverse dispersion parameter which is assumed to follow a gamma distribution. According to the authors’ findings, modeling small datasets with low means leads to </w:t>
      </w:r>
      <w:r w:rsidR="001C6212" w:rsidRPr="007C5AC8">
        <w:t>an</w:t>
      </w:r>
      <w:r w:rsidR="00900A50">
        <w:t xml:space="preserve"> inaccurate estimation</w:t>
      </w:r>
      <w:r w:rsidR="00D5636A" w:rsidRPr="007C5AC8">
        <w:t xml:space="preserve"> of the inverse dispersion parameter’s distribution mean. Th</w:t>
      </w:r>
      <w:r w:rsidR="005919CC" w:rsidRPr="007C5AC8">
        <w:t>is is particularly true in the case where</w:t>
      </w:r>
      <w:r w:rsidR="00D5636A" w:rsidRPr="007C5AC8">
        <w:t xml:space="preserve"> non-informative priors are applied. The chances of encountering </w:t>
      </w:r>
      <w:r w:rsidR="00C74E7A" w:rsidRPr="007C5AC8">
        <w:t xml:space="preserve">the </w:t>
      </w:r>
      <w:r w:rsidR="00D5636A" w:rsidRPr="007C5AC8">
        <w:t xml:space="preserve">poor accuracy problem are </w:t>
      </w:r>
      <w:r w:rsidR="005919CC" w:rsidRPr="007C5AC8">
        <w:t xml:space="preserve">reduced </w:t>
      </w:r>
      <w:r w:rsidR="00D5636A" w:rsidRPr="007C5AC8">
        <w:t xml:space="preserve">when informative priors </w:t>
      </w:r>
      <w:r w:rsidR="005919CC" w:rsidRPr="007C5AC8">
        <w:t xml:space="preserve">are provided </w:t>
      </w:r>
      <w:r w:rsidR="00D5636A" w:rsidRPr="007C5AC8">
        <w:t>for the inverse dispersion parameter.</w:t>
      </w:r>
    </w:p>
    <w:p w14:paraId="60B5B5CB" w14:textId="0B1CE047" w:rsidR="0045340F" w:rsidRPr="007C5AC8" w:rsidRDefault="007B700A">
      <w:r w:rsidRPr="007C5AC8">
        <w:t xml:space="preserve">Park et al. </w:t>
      </w:r>
      <w:r w:rsidRPr="006C1AD5">
        <w:rPr>
          <w:iCs/>
        </w:rPr>
        <w:t>(</w:t>
      </w:r>
      <w:r w:rsidR="007C5AC8">
        <w:rPr>
          <w:iCs/>
        </w:rPr>
        <w:t>2010</w:t>
      </w:r>
      <w:r w:rsidRPr="006C1AD5">
        <w:rPr>
          <w:iCs/>
        </w:rPr>
        <w:t>)</w:t>
      </w:r>
      <w:r w:rsidR="00D5636A" w:rsidRPr="007C5AC8">
        <w:t xml:space="preserve"> </w:t>
      </w:r>
      <w:r w:rsidRPr="007C5AC8">
        <w:t>address the unobserved heterogeneity for datasets of low sample means and sizes.</w:t>
      </w:r>
      <w:r w:rsidR="00EB09BE" w:rsidRPr="007C5AC8">
        <w:t xml:space="preserve"> </w:t>
      </w:r>
      <w:r w:rsidR="005919CC" w:rsidRPr="007C5AC8">
        <w:t>As described earlier</w:t>
      </w:r>
      <w:r w:rsidR="00EB09BE" w:rsidRPr="007C5AC8">
        <w:t xml:space="preserve">, several datasets </w:t>
      </w:r>
      <w:r w:rsidR="00B7142E" w:rsidRPr="007C5AC8">
        <w:t>a</w:t>
      </w:r>
      <w:r w:rsidR="00EB09BE" w:rsidRPr="007C5AC8">
        <w:t xml:space="preserve">re simulated with different sample means and sizes. </w:t>
      </w:r>
      <w:r w:rsidR="006D3A3D" w:rsidRPr="007C5AC8">
        <w:t>Negative binomial</w:t>
      </w:r>
      <w:r w:rsidR="00EB09BE" w:rsidRPr="007C5AC8">
        <w:t xml:space="preserve">, finite mixture </w:t>
      </w:r>
      <w:r w:rsidR="006D3A3D" w:rsidRPr="007C5AC8">
        <w:t>negative binomial</w:t>
      </w:r>
      <w:r w:rsidR="00EB09BE" w:rsidRPr="007C5AC8">
        <w:t xml:space="preserve"> and finite mixture Poisson models </w:t>
      </w:r>
      <w:r w:rsidR="00B7142E" w:rsidRPr="007C5AC8">
        <w:t>a</w:t>
      </w:r>
      <w:r w:rsidR="00EB09BE" w:rsidRPr="007C5AC8">
        <w:t>re applied.</w:t>
      </w:r>
      <w:r w:rsidR="00BF6121" w:rsidRPr="007C5AC8">
        <w:t xml:space="preserve"> The analysis </w:t>
      </w:r>
      <w:r w:rsidR="00B7142E" w:rsidRPr="007C5AC8">
        <w:t>i</w:t>
      </w:r>
      <w:r w:rsidR="005F3753" w:rsidRPr="007C5AC8">
        <w:t>s</w:t>
      </w:r>
      <w:r w:rsidR="00BF6121" w:rsidRPr="007C5AC8">
        <w:t xml:space="preserve"> conducted using Bayesian inference once with non-informative priors and once with informative priors for the inverse dispersion parameter that follows a gamma distribution. The priors are 0.5 and 0.1 for the shape and scale respectively.</w:t>
      </w:r>
      <w:r w:rsidR="00EB09BE" w:rsidRPr="007C5AC8">
        <w:t xml:space="preserve"> Finite mixture </w:t>
      </w:r>
      <w:r w:rsidR="006D3A3D" w:rsidRPr="007C5AC8">
        <w:t>negative binomial</w:t>
      </w:r>
      <w:r w:rsidR="00EB09BE" w:rsidRPr="007C5AC8">
        <w:t xml:space="preserve"> models </w:t>
      </w:r>
      <w:r w:rsidR="008522C1" w:rsidRPr="007C5AC8">
        <w:t xml:space="preserve">exhibit </w:t>
      </w:r>
      <w:r w:rsidR="00EB09BE" w:rsidRPr="007C5AC8">
        <w:t xml:space="preserve">the best fit since they account for the unobserved heterogeneity more accurately than the traditional </w:t>
      </w:r>
      <w:r w:rsidR="006D3A3D" w:rsidRPr="007C5AC8">
        <w:t>negative binomial</w:t>
      </w:r>
      <w:r w:rsidR="00EB09BE" w:rsidRPr="007C5AC8">
        <w:t xml:space="preserve"> model</w:t>
      </w:r>
      <w:r w:rsidR="004A0425" w:rsidRPr="007C5AC8">
        <w:t>s</w:t>
      </w:r>
      <w:r w:rsidR="00EB09BE" w:rsidRPr="007C5AC8">
        <w:t xml:space="preserve">. </w:t>
      </w:r>
      <w:r w:rsidR="00655EE0">
        <w:t>Nevertheless</w:t>
      </w:r>
      <w:r w:rsidR="00EB09BE" w:rsidRPr="007C5AC8">
        <w:t>, the results of the</w:t>
      </w:r>
      <w:r w:rsidR="004A0425" w:rsidRPr="007C5AC8">
        <w:t xml:space="preserve"> finite mixture </w:t>
      </w:r>
      <w:r w:rsidR="006D3A3D" w:rsidRPr="007C5AC8">
        <w:t>negative binomial</w:t>
      </w:r>
      <w:r w:rsidR="004A0425" w:rsidRPr="007C5AC8">
        <w:t xml:space="preserve"> models</w:t>
      </w:r>
      <w:r w:rsidR="002D4CB8" w:rsidRPr="007C5AC8">
        <w:t xml:space="preserve"> with non-informative priors</w:t>
      </w:r>
      <w:r w:rsidR="00EB09BE" w:rsidRPr="007C5AC8">
        <w:t xml:space="preserve"> demonstrate that </w:t>
      </w:r>
      <w:r w:rsidR="004A0425" w:rsidRPr="007C5AC8">
        <w:t>for datasets of low means and sample sizes</w:t>
      </w:r>
      <w:r w:rsidR="007D5CD1" w:rsidRPr="007C5AC8">
        <w:t>,</w:t>
      </w:r>
      <w:r w:rsidR="004A0425" w:rsidRPr="007C5AC8">
        <w:t xml:space="preserve"> the </w:t>
      </w:r>
      <w:r w:rsidR="002D4CB8" w:rsidRPr="007C5AC8">
        <w:t xml:space="preserve">estimated posterior distribution mean of the inverse dispersion parameter </w:t>
      </w:r>
      <w:r w:rsidR="00B7142E" w:rsidRPr="007C5AC8">
        <w:t xml:space="preserve">is </w:t>
      </w:r>
      <w:r w:rsidR="002D4CB8" w:rsidRPr="007C5AC8">
        <w:t xml:space="preserve">biased. </w:t>
      </w:r>
      <w:r w:rsidR="007D5CD1" w:rsidRPr="007C5AC8">
        <w:t>Based on the findings, t</w:t>
      </w:r>
      <w:r w:rsidR="00415306" w:rsidRPr="007C5AC8">
        <w:t>he authors suggest</w:t>
      </w:r>
      <w:r w:rsidR="001C6212" w:rsidRPr="007C5AC8">
        <w:t xml:space="preserve"> minimum</w:t>
      </w:r>
      <w:r w:rsidR="00415306" w:rsidRPr="007C5AC8">
        <w:t xml:space="preserve"> sample sizes of 300, 500 and 1</w:t>
      </w:r>
      <w:r w:rsidR="00263EFC">
        <w:t>,</w:t>
      </w:r>
      <w:r w:rsidR="00415306" w:rsidRPr="007C5AC8">
        <w:t>500 sites for datasets with high, medium and low mean crash frequencies</w:t>
      </w:r>
      <w:r w:rsidR="005F3753" w:rsidRPr="007C5AC8">
        <w:t>,</w:t>
      </w:r>
      <w:r w:rsidR="00415306" w:rsidRPr="007C5AC8">
        <w:t xml:space="preserve"> respectively. </w:t>
      </w:r>
    </w:p>
    <w:p w14:paraId="52BF7FF5" w14:textId="5D447382" w:rsidR="00C378D8" w:rsidRPr="007C5AC8" w:rsidRDefault="0045340F" w:rsidP="006C1AD5">
      <w:r w:rsidRPr="007C5AC8">
        <w:t>In another study by Miranda-Moreno et al</w:t>
      </w:r>
      <w:r w:rsidR="00C8196F" w:rsidRPr="007C5AC8">
        <w:t>.</w:t>
      </w:r>
      <w:r w:rsidRPr="007C5AC8">
        <w:t xml:space="preserve"> </w:t>
      </w:r>
      <w:r w:rsidRPr="006C1AD5">
        <w:rPr>
          <w:iCs/>
        </w:rPr>
        <w:t>(</w:t>
      </w:r>
      <w:r w:rsidR="007C5AC8">
        <w:rPr>
          <w:iCs/>
        </w:rPr>
        <w:t>2013</w:t>
      </w:r>
      <w:r w:rsidRPr="006C1AD5">
        <w:rPr>
          <w:iCs/>
        </w:rPr>
        <w:t>)</w:t>
      </w:r>
      <w:r w:rsidR="004D050F" w:rsidRPr="007C5AC8">
        <w:t xml:space="preserve">, the authors investigate </w:t>
      </w:r>
      <w:r w:rsidR="001C6212" w:rsidRPr="007C5AC8">
        <w:t xml:space="preserve">the benefit of incorporating </w:t>
      </w:r>
      <w:r w:rsidR="004D050F" w:rsidRPr="007C5AC8">
        <w:t>knowledge of previous experiences in the Bayesian inference framework when having limited data.</w:t>
      </w:r>
      <w:r w:rsidR="00D03BC2" w:rsidRPr="007C5AC8">
        <w:t xml:space="preserve"> The study </w:t>
      </w:r>
      <w:r w:rsidR="00B7142E" w:rsidRPr="007C5AC8">
        <w:t>i</w:t>
      </w:r>
      <w:r w:rsidR="00D03BC2" w:rsidRPr="007C5AC8">
        <w:t>s aimed at identifying hot spots in rural three-leg intersections in California and four-lane highway segments in Texas. Th</w:t>
      </w:r>
      <w:r w:rsidR="00DB42BC" w:rsidRPr="007C5AC8">
        <w:t xml:space="preserve">e data </w:t>
      </w:r>
      <w:r w:rsidR="00D03BC2" w:rsidRPr="007C5AC8">
        <w:t xml:space="preserve">include both divided and undivided segments. </w:t>
      </w:r>
      <w:r w:rsidR="00075AF5" w:rsidRPr="007C5AC8">
        <w:t xml:space="preserve">Several specifications of the prior distributions of the inverse dispersion parameter </w:t>
      </w:r>
      <w:r w:rsidR="00B7142E" w:rsidRPr="007C5AC8">
        <w:t>a</w:t>
      </w:r>
      <w:r w:rsidR="00075AF5" w:rsidRPr="007C5AC8">
        <w:t>re tested for different sample sizes.</w:t>
      </w:r>
      <w:r w:rsidR="00A87702" w:rsidRPr="007C5AC8">
        <w:t xml:space="preserve"> The informative prior distributions</w:t>
      </w:r>
      <w:r w:rsidR="00263EFC">
        <w:t>,</w:t>
      </w:r>
      <w:r w:rsidR="00A87702" w:rsidRPr="007C5AC8">
        <w:t xml:space="preserve"> applied</w:t>
      </w:r>
      <w:r w:rsidR="00263EFC">
        <w:t>,</w:t>
      </w:r>
      <w:r w:rsidR="00A87702" w:rsidRPr="007C5AC8">
        <w:t xml:space="preserve"> </w:t>
      </w:r>
      <w:r w:rsidR="00B7142E" w:rsidRPr="007C5AC8">
        <w:t>a</w:t>
      </w:r>
      <w:r w:rsidR="00A87702" w:rsidRPr="007C5AC8">
        <w:t>re the uniform distribution, Christiansen’s distribution</w:t>
      </w:r>
      <w:r w:rsidR="00A40E8D" w:rsidRPr="007C5AC8">
        <w:t xml:space="preserve"> and the gamma distribution. Results of the Bayesian models with the gamma and uniform informative prior distributions </w:t>
      </w:r>
      <w:r w:rsidR="00B7142E" w:rsidRPr="007C5AC8">
        <w:t xml:space="preserve">are </w:t>
      </w:r>
      <w:r w:rsidR="00263EFC">
        <w:t>superior to</w:t>
      </w:r>
      <w:r w:rsidR="00A40E8D" w:rsidRPr="007C5AC8">
        <w:t xml:space="preserve"> those of the models with the informative prior distribution of Christiansen</w:t>
      </w:r>
      <w:r w:rsidR="00607DC6" w:rsidRPr="007C5AC8">
        <w:t xml:space="preserve"> for data of 50 sites</w:t>
      </w:r>
      <w:r w:rsidR="00A40E8D" w:rsidRPr="007C5AC8">
        <w:t>.</w:t>
      </w:r>
      <w:r w:rsidR="00607DC6" w:rsidRPr="007C5AC8">
        <w:t xml:space="preserve"> Furthermore, under </w:t>
      </w:r>
      <w:r w:rsidR="001C6212" w:rsidRPr="007C5AC8">
        <w:t>low sample sizes</w:t>
      </w:r>
      <w:r w:rsidR="00607DC6" w:rsidRPr="007C5AC8">
        <w:t xml:space="preserve">, informative prior models outperform non-informative prior models. </w:t>
      </w:r>
      <w:r w:rsidR="00655EE0">
        <w:t>However,</w:t>
      </w:r>
      <w:r w:rsidR="00607DC6" w:rsidRPr="007C5AC8">
        <w:t xml:space="preserve"> for data of large samples of more than 100 sites, the benefit of assigning informative priors to the inverse dispersion parameter </w:t>
      </w:r>
      <w:r w:rsidR="00B7142E" w:rsidRPr="007C5AC8">
        <w:t>i</w:t>
      </w:r>
      <w:r w:rsidR="001C6212" w:rsidRPr="007C5AC8">
        <w:t>s</w:t>
      </w:r>
      <w:r w:rsidR="00607DC6" w:rsidRPr="007C5AC8">
        <w:t xml:space="preserve"> less pronounced. </w:t>
      </w:r>
    </w:p>
    <w:p w14:paraId="179CCA19" w14:textId="1AE52804" w:rsidR="00C06FF1" w:rsidRPr="007C5AC8" w:rsidRDefault="00C236E5" w:rsidP="00403E0E">
      <w:r w:rsidRPr="007C5AC8">
        <w:t xml:space="preserve">Heydari et al. </w:t>
      </w:r>
      <w:r w:rsidRPr="006C1AD5">
        <w:rPr>
          <w:iCs/>
        </w:rPr>
        <w:t>(</w:t>
      </w:r>
      <w:r w:rsidR="007C5AC8">
        <w:rPr>
          <w:iCs/>
        </w:rPr>
        <w:t>2014</w:t>
      </w:r>
      <w:r w:rsidRPr="006C1AD5">
        <w:rPr>
          <w:iCs/>
        </w:rPr>
        <w:t>)</w:t>
      </w:r>
      <w:r w:rsidRPr="007C5AC8">
        <w:t xml:space="preserve"> </w:t>
      </w:r>
      <w:r w:rsidR="00D12880" w:rsidRPr="007C5AC8">
        <w:t xml:space="preserve">offer a practical Bayesian methodology to </w:t>
      </w:r>
      <w:r w:rsidR="00ED6714" w:rsidRPr="007C5AC8">
        <w:t>estimate</w:t>
      </w:r>
      <w:r w:rsidR="00D12880" w:rsidRPr="007C5AC8">
        <w:t xml:space="preserve"> and update </w:t>
      </w:r>
      <w:r w:rsidR="00ED6714" w:rsidRPr="007C5AC8">
        <w:t>SPFs</w:t>
      </w:r>
      <w:r w:rsidR="00D12880" w:rsidRPr="007C5AC8">
        <w:t xml:space="preserve"> by making use of both data of limited samples and the national </w:t>
      </w:r>
      <w:r w:rsidR="00ED6714" w:rsidRPr="007C5AC8">
        <w:t>HSM’s</w:t>
      </w:r>
      <w:r w:rsidR="00D12880" w:rsidRPr="007C5AC8">
        <w:t xml:space="preserve"> SPF parameters.</w:t>
      </w:r>
      <w:r w:rsidR="00253537" w:rsidRPr="007C5AC8">
        <w:t xml:space="preserve"> The study </w:t>
      </w:r>
      <w:r w:rsidR="00B7142E" w:rsidRPr="007C5AC8">
        <w:t>i</w:t>
      </w:r>
      <w:r w:rsidR="00253537" w:rsidRPr="007C5AC8">
        <w:t>s conducted for rural undivided multilane highways.</w:t>
      </w:r>
      <w:r w:rsidR="00D12880" w:rsidRPr="007C5AC8">
        <w:t xml:space="preserve"> A sensitivity analysis </w:t>
      </w:r>
      <w:r w:rsidR="00B7142E" w:rsidRPr="007C5AC8">
        <w:t>i</w:t>
      </w:r>
      <w:r w:rsidR="00ED6714" w:rsidRPr="007C5AC8">
        <w:t>s</w:t>
      </w:r>
      <w:r w:rsidR="00D12880" w:rsidRPr="007C5AC8">
        <w:t xml:space="preserve"> undertaken by proposing </w:t>
      </w:r>
      <w:r w:rsidR="00113A1A" w:rsidRPr="007C5AC8">
        <w:t xml:space="preserve">15 </w:t>
      </w:r>
      <w:r w:rsidR="00D12880" w:rsidRPr="007C5AC8">
        <w:t>combinations of</w:t>
      </w:r>
      <w:r w:rsidR="00113A1A" w:rsidRPr="007C5AC8">
        <w:t xml:space="preserve"> informative and non-informative</w:t>
      </w:r>
      <w:r w:rsidR="00D12880" w:rsidRPr="007C5AC8">
        <w:t xml:space="preserve"> prior specifications</w:t>
      </w:r>
      <w:r w:rsidR="00113A1A" w:rsidRPr="007C5AC8">
        <w:t xml:space="preserve"> for both the independent variables and the inverse dispersion parameter</w:t>
      </w:r>
      <w:r w:rsidR="00D12880" w:rsidRPr="007C5AC8">
        <w:t>.</w:t>
      </w:r>
      <w:r w:rsidR="00970C34" w:rsidRPr="007C5AC8">
        <w:t xml:space="preserve"> </w:t>
      </w:r>
      <w:r w:rsidR="00253537" w:rsidRPr="007C5AC8">
        <w:t xml:space="preserve">According to the results, there </w:t>
      </w:r>
      <w:r w:rsidR="00B7142E" w:rsidRPr="007C5AC8">
        <w:t>i</w:t>
      </w:r>
      <w:r w:rsidR="00253537" w:rsidRPr="007C5AC8">
        <w:t>s no single combination that yield</w:t>
      </w:r>
      <w:r w:rsidR="000869F7" w:rsidRPr="007C5AC8">
        <w:t>s</w:t>
      </w:r>
      <w:r w:rsidR="00253537" w:rsidRPr="007C5AC8">
        <w:t xml:space="preserve"> the best estimate for each regression coefficient</w:t>
      </w:r>
      <w:r w:rsidR="00AE4717" w:rsidRPr="007C5AC8">
        <w:t xml:space="preserve"> including that of </w:t>
      </w:r>
      <w:r w:rsidR="00AE4717" w:rsidRPr="007C5AC8">
        <w:lastRenderedPageBreak/>
        <w:t>the inverse dispersion parameter</w:t>
      </w:r>
      <w:r w:rsidR="00253537" w:rsidRPr="007C5AC8">
        <w:t xml:space="preserve">. </w:t>
      </w:r>
      <w:r w:rsidR="00113A1A" w:rsidRPr="007C5AC8">
        <w:t>Yet</w:t>
      </w:r>
      <w:r w:rsidR="00137FBC" w:rsidRPr="007C5AC8">
        <w:t xml:space="preserve">, two combinations outperform the others in terms of overall model fit. One </w:t>
      </w:r>
      <w:r w:rsidR="00B7142E" w:rsidRPr="007C5AC8">
        <w:t>i</w:t>
      </w:r>
      <w:r w:rsidR="00137FBC" w:rsidRPr="007C5AC8">
        <w:t xml:space="preserve">s a combination in which a variance of 10 is assumed for the independent variables while the HSM’s provided parameters are assumed as the means. </w:t>
      </w:r>
      <w:r w:rsidR="009F091B" w:rsidRPr="007C5AC8">
        <w:t xml:space="preserve">The ratio of the </w:t>
      </w:r>
      <w:r w:rsidR="00113A1A" w:rsidRPr="007C5AC8">
        <w:t xml:space="preserve">squared </w:t>
      </w:r>
      <w:r w:rsidR="009F091B" w:rsidRPr="007C5AC8">
        <w:t xml:space="preserve">mean to the variance of the </w:t>
      </w:r>
      <w:r w:rsidR="00137FBC" w:rsidRPr="007C5AC8">
        <w:t>inverse dispersion parameter</w:t>
      </w:r>
      <w:r w:rsidR="009F091B" w:rsidRPr="007C5AC8">
        <w:t xml:space="preserve"> is assigned as the shape prior of the inverse dispersion parameter that follows a gamma distribution</w:t>
      </w:r>
      <w:r w:rsidR="00137FBC" w:rsidRPr="007C5AC8">
        <w:t>.</w:t>
      </w:r>
      <w:r w:rsidR="009F091B" w:rsidRPr="007C5AC8">
        <w:t xml:space="preserve"> The scale</w:t>
      </w:r>
      <w:r w:rsidR="00B34EFB" w:rsidRPr="007C5AC8">
        <w:t>,</w:t>
      </w:r>
      <w:r w:rsidR="009F091B" w:rsidRPr="007C5AC8">
        <w:t xml:space="preserve"> assigned</w:t>
      </w:r>
      <w:r w:rsidR="00B34EFB" w:rsidRPr="007C5AC8">
        <w:t>,</w:t>
      </w:r>
      <w:r w:rsidR="009F091B" w:rsidRPr="007C5AC8">
        <w:t xml:space="preserve"> is the ratio of the mean to the variance of the inverse dispersion parameter. </w:t>
      </w:r>
      <w:r w:rsidR="00137FBC" w:rsidRPr="007C5AC8">
        <w:t>The sec</w:t>
      </w:r>
      <w:r w:rsidR="00110A81" w:rsidRPr="007C5AC8">
        <w:t xml:space="preserve">ond best combination </w:t>
      </w:r>
      <w:r w:rsidR="00B7142E" w:rsidRPr="007C5AC8">
        <w:t>i</w:t>
      </w:r>
      <w:r w:rsidR="00110A81" w:rsidRPr="007C5AC8">
        <w:t>s similar to the aforementioned one. However, the inverse dispersion parameter is</w:t>
      </w:r>
      <w:r w:rsidR="00B34EFB" w:rsidRPr="007C5AC8">
        <w:t xml:space="preserve"> exponentially distributed and</w:t>
      </w:r>
      <w:r w:rsidR="00110A81" w:rsidRPr="007C5AC8">
        <w:t xml:space="preserve"> assigned the inverse of i</w:t>
      </w:r>
      <w:r w:rsidR="00B34EFB" w:rsidRPr="007C5AC8">
        <w:t>ts mean as an informative prior</w:t>
      </w:r>
      <w:r w:rsidR="00110A81" w:rsidRPr="007C5AC8">
        <w:t>.</w:t>
      </w:r>
    </w:p>
    <w:p w14:paraId="7D157373" w14:textId="16EFEE2B" w:rsidR="00CF648B" w:rsidRPr="007C5AC8" w:rsidRDefault="006343BC">
      <w:r w:rsidRPr="007C5AC8">
        <w:t xml:space="preserve">Yu and Abdel-Aty </w:t>
      </w:r>
      <w:r w:rsidRPr="006C1AD5">
        <w:rPr>
          <w:iCs/>
        </w:rPr>
        <w:t>(</w:t>
      </w:r>
      <w:r w:rsidR="007C5AC8">
        <w:rPr>
          <w:iCs/>
        </w:rPr>
        <w:t>2013</w:t>
      </w:r>
      <w:r w:rsidRPr="006C1AD5">
        <w:rPr>
          <w:iCs/>
        </w:rPr>
        <w:t>)</w:t>
      </w:r>
      <w:r w:rsidRPr="007C5AC8">
        <w:t xml:space="preserve"> examine </w:t>
      </w:r>
      <w:r w:rsidR="0031244F" w:rsidRPr="007C5AC8">
        <w:t xml:space="preserve">four </w:t>
      </w:r>
      <w:r w:rsidR="00B769FC" w:rsidRPr="007C5AC8">
        <w:t>approaches</w:t>
      </w:r>
      <w:r w:rsidRPr="007C5AC8">
        <w:t xml:space="preserve"> to </w:t>
      </w:r>
      <w:r w:rsidR="00B769FC" w:rsidRPr="007C5AC8">
        <w:t>formulate</w:t>
      </w:r>
      <w:r w:rsidRPr="007C5AC8">
        <w:t xml:space="preserve"> Bayesian informative priors for</w:t>
      </w:r>
      <w:r w:rsidR="00AB5221" w:rsidRPr="007C5AC8">
        <w:t xml:space="preserve"> negative binomial and Poisson-lognormal</w:t>
      </w:r>
      <w:r w:rsidRPr="007C5AC8">
        <w:t xml:space="preserve"> </w:t>
      </w:r>
      <w:r w:rsidR="00955051" w:rsidRPr="007C5AC8">
        <w:t>models of crashes</w:t>
      </w:r>
      <w:r w:rsidR="00B769FC" w:rsidRPr="007C5AC8">
        <w:t xml:space="preserve"> in a freeway section in Colorado. </w:t>
      </w:r>
      <w:r w:rsidR="0045670E" w:rsidRPr="007C5AC8">
        <w:t>One</w:t>
      </w:r>
      <w:r w:rsidR="00AB5221" w:rsidRPr="007C5AC8">
        <w:t xml:space="preserve"> approach</w:t>
      </w:r>
      <w:r w:rsidR="0045670E" w:rsidRPr="007C5AC8">
        <w:t xml:space="preserve"> is the two-stage Bayesian updating approach where</w:t>
      </w:r>
      <w:r w:rsidR="00AA1D92" w:rsidRPr="007C5AC8">
        <w:t xml:space="preserve"> </w:t>
      </w:r>
      <w:r w:rsidR="0045670E" w:rsidRPr="007C5AC8">
        <w:t xml:space="preserve">past data are modeled </w:t>
      </w:r>
      <w:r w:rsidR="0070539E" w:rsidRPr="007C5AC8">
        <w:t>while non-informative priors are assigned to all independent variables and the</w:t>
      </w:r>
      <w:r w:rsidR="00B7142E" w:rsidRPr="007C5AC8">
        <w:t xml:space="preserve"> inverse</w:t>
      </w:r>
      <w:r w:rsidR="0070539E" w:rsidRPr="007C5AC8">
        <w:t xml:space="preserve"> dispersion parameter. The output means and variances of the variables’ posterior distributions act a</w:t>
      </w:r>
      <w:r w:rsidR="00AA1D92" w:rsidRPr="007C5AC8">
        <w:t>s the informative priors for</w:t>
      </w:r>
      <w:r w:rsidR="0070539E" w:rsidRPr="007C5AC8">
        <w:t xml:space="preserve"> modeling the </w:t>
      </w:r>
      <w:r w:rsidR="00AB5221" w:rsidRPr="007C5AC8">
        <w:t>training</w:t>
      </w:r>
      <w:r w:rsidR="0070539E" w:rsidRPr="007C5AC8">
        <w:t xml:space="preserve"> data. The second appr</w:t>
      </w:r>
      <w:r w:rsidR="00AA1D92" w:rsidRPr="007C5AC8">
        <w:t>oach is the MLE</w:t>
      </w:r>
      <w:r w:rsidR="0070539E" w:rsidRPr="007C5AC8">
        <w:t xml:space="preserve"> approach</w:t>
      </w:r>
      <w:r w:rsidR="00E92F1A" w:rsidRPr="007C5AC8">
        <w:t xml:space="preserve"> where the likelihood function is maximized and the estimated variable coefficients are used as informative priors for Bayesian modeling. </w:t>
      </w:r>
      <w:r w:rsidR="00AB5221" w:rsidRPr="007C5AC8">
        <w:t>Third</w:t>
      </w:r>
      <w:r w:rsidR="00E92F1A" w:rsidRPr="007C5AC8">
        <w:t xml:space="preserve">, the method of moments is one where the dataset’s </w:t>
      </w:r>
      <w:r w:rsidR="00AA1D92" w:rsidRPr="007C5AC8">
        <w:t>independent variable</w:t>
      </w:r>
      <w:r w:rsidR="00E92F1A" w:rsidRPr="007C5AC8">
        <w:t>s</w:t>
      </w:r>
      <w:r w:rsidR="00AA1D92" w:rsidRPr="007C5AC8">
        <w:t>’</w:t>
      </w:r>
      <w:r w:rsidR="00E92F1A" w:rsidRPr="007C5AC8">
        <w:t xml:space="preserve"> means and variances are used as informative priors for the analysis</w:t>
      </w:r>
      <w:r w:rsidR="004E100C" w:rsidRPr="007C5AC8">
        <w:t xml:space="preserve"> and</w:t>
      </w:r>
      <w:r w:rsidR="00E92F1A" w:rsidRPr="007C5AC8">
        <w:t xml:space="preserve"> </w:t>
      </w:r>
      <w:r w:rsidR="004E100C" w:rsidRPr="007C5AC8">
        <w:t>t</w:t>
      </w:r>
      <w:r w:rsidR="00E92F1A" w:rsidRPr="007C5AC8">
        <w:t>he variables are assumed to be normally distributed. The last approach is the expert experience method</w:t>
      </w:r>
      <w:r w:rsidR="00AB5221" w:rsidRPr="007C5AC8">
        <w:t xml:space="preserve"> which is</w:t>
      </w:r>
      <w:r w:rsidR="00A84725" w:rsidRPr="007C5AC8">
        <w:t xml:space="preserve"> based on experts’ </w:t>
      </w:r>
      <w:r w:rsidR="004E100C" w:rsidRPr="007C5AC8">
        <w:t>judgments</w:t>
      </w:r>
      <w:r w:rsidR="00A84725" w:rsidRPr="007C5AC8">
        <w:t xml:space="preserve"> on crash contributing factors provided by means of surveys. </w:t>
      </w:r>
      <w:r w:rsidR="002D217E" w:rsidRPr="007C5AC8">
        <w:t>The authors conclude that the two-stage updating approach is the superior one. If</w:t>
      </w:r>
      <w:r w:rsidR="00287840" w:rsidRPr="007C5AC8">
        <w:t>,</w:t>
      </w:r>
      <w:r w:rsidR="002D217E" w:rsidRPr="007C5AC8">
        <w:t xml:space="preserve"> however</w:t>
      </w:r>
      <w:r w:rsidR="00287840" w:rsidRPr="007C5AC8">
        <w:t>,</w:t>
      </w:r>
      <w:r w:rsidR="002D217E" w:rsidRPr="007C5AC8">
        <w:t xml:space="preserve"> past data are limited</w:t>
      </w:r>
      <w:r w:rsidR="00DE428F" w:rsidRPr="007C5AC8">
        <w:t>,</w:t>
      </w:r>
      <w:r w:rsidR="002D217E" w:rsidRPr="007C5AC8">
        <w:t xml:space="preserve"> the authors recommend the method of moments approach since its performance </w:t>
      </w:r>
      <w:r w:rsidR="00B7142E" w:rsidRPr="007C5AC8">
        <w:t>i</w:t>
      </w:r>
      <w:r w:rsidR="002D217E" w:rsidRPr="007C5AC8">
        <w:t>s not substantially different from</w:t>
      </w:r>
      <w:r w:rsidR="00287840" w:rsidRPr="007C5AC8">
        <w:t xml:space="preserve"> that of</w:t>
      </w:r>
      <w:r w:rsidR="002D217E" w:rsidRPr="007C5AC8">
        <w:t xml:space="preserve"> the MLE approach. Overall</w:t>
      </w:r>
      <w:r w:rsidR="004D11B0">
        <w:t>,</w:t>
      </w:r>
      <w:r w:rsidR="002D217E" w:rsidRPr="007C5AC8">
        <w:t xml:space="preserve"> it </w:t>
      </w:r>
      <w:r w:rsidR="000869F7" w:rsidRPr="007C5AC8">
        <w:t xml:space="preserve">is </w:t>
      </w:r>
      <w:r w:rsidR="002D217E" w:rsidRPr="007C5AC8">
        <w:t xml:space="preserve">concluded that the performances of the models with informative priors </w:t>
      </w:r>
      <w:r w:rsidR="005B2527" w:rsidRPr="007C5AC8">
        <w:t>are superior to those with non-informative priors.</w:t>
      </w:r>
    </w:p>
    <w:p w14:paraId="0523EAD7" w14:textId="49D0A72C" w:rsidR="00DB42BC" w:rsidRPr="007C5AC8" w:rsidRDefault="0080012C">
      <w:r w:rsidRPr="007C5AC8">
        <w:t xml:space="preserve">Washington and Oh </w:t>
      </w:r>
      <w:r w:rsidRPr="006C1AD5">
        <w:rPr>
          <w:iCs/>
        </w:rPr>
        <w:t>(</w:t>
      </w:r>
      <w:r w:rsidR="007C5AC8">
        <w:rPr>
          <w:iCs/>
        </w:rPr>
        <w:t>2006</w:t>
      </w:r>
      <w:r w:rsidRPr="006C1AD5">
        <w:rPr>
          <w:iCs/>
        </w:rPr>
        <w:t>)</w:t>
      </w:r>
      <w:r w:rsidR="00D076E4" w:rsidRPr="007C5AC8">
        <w:t xml:space="preserve"> develop</w:t>
      </w:r>
      <w:r w:rsidRPr="007C5AC8">
        <w:t xml:space="preserve"> crash modification factors (CMFs) for railroad crossing crashes in South Korea</w:t>
      </w:r>
      <w:r w:rsidR="009012AF" w:rsidRPr="007C5AC8">
        <w:t xml:space="preserve"> while relying on expert knowledge</w:t>
      </w:r>
      <w:r w:rsidRPr="007C5AC8">
        <w:t xml:space="preserve">. Jang et al. </w:t>
      </w:r>
      <w:r w:rsidRPr="006C1AD5">
        <w:rPr>
          <w:iCs/>
        </w:rPr>
        <w:t>(</w:t>
      </w:r>
      <w:r w:rsidR="007C5AC8">
        <w:rPr>
          <w:iCs/>
        </w:rPr>
        <w:t>2010</w:t>
      </w:r>
      <w:r w:rsidRPr="006C1AD5">
        <w:rPr>
          <w:iCs/>
        </w:rPr>
        <w:t>)</w:t>
      </w:r>
      <w:r w:rsidRPr="007C5AC8">
        <w:t xml:space="preserve"> </w:t>
      </w:r>
      <w:r w:rsidR="009012AF" w:rsidRPr="007C5AC8">
        <w:t>estimate</w:t>
      </w:r>
      <w:r w:rsidR="00736670" w:rsidRPr="007C5AC8">
        <w:t xml:space="preserve"> </w:t>
      </w:r>
      <w:r w:rsidRPr="007C5AC8">
        <w:t>zero-inflated Poisson and zero inflated negative binomial models</w:t>
      </w:r>
      <w:r w:rsidR="009012AF" w:rsidRPr="007C5AC8">
        <w:t xml:space="preserve"> with the likelihood function raised to an exponent which is an informative prior</w:t>
      </w:r>
      <w:r w:rsidRPr="007C5AC8">
        <w:t xml:space="preserve">. </w:t>
      </w:r>
      <w:r w:rsidR="00736670" w:rsidRPr="007C5AC8">
        <w:t xml:space="preserve">Also, in </w:t>
      </w:r>
      <w:r w:rsidR="009012AF" w:rsidRPr="007C5AC8">
        <w:t>a</w:t>
      </w:r>
      <w:r w:rsidR="00736670" w:rsidRPr="007C5AC8">
        <w:t xml:space="preserve"> study by </w:t>
      </w:r>
      <w:r w:rsidRPr="007C5AC8">
        <w:t xml:space="preserve">Haleem et al. </w:t>
      </w:r>
      <w:r w:rsidRPr="006C1AD5">
        <w:rPr>
          <w:iCs/>
        </w:rPr>
        <w:t>(</w:t>
      </w:r>
      <w:r w:rsidR="007C5AC8">
        <w:rPr>
          <w:iCs/>
        </w:rPr>
        <w:t>2010</w:t>
      </w:r>
      <w:r w:rsidRPr="006C1AD5">
        <w:rPr>
          <w:iCs/>
        </w:rPr>
        <w:t>)</w:t>
      </w:r>
      <w:r w:rsidR="00736670" w:rsidRPr="007C5AC8">
        <w:t>,</w:t>
      </w:r>
      <w:r w:rsidRPr="007C5AC8">
        <w:t xml:space="preserve"> a reliability analysis</w:t>
      </w:r>
      <w:r w:rsidR="00736670" w:rsidRPr="007C5AC8">
        <w:t xml:space="preserve"> is undertaken</w:t>
      </w:r>
      <w:r w:rsidRPr="007C5AC8">
        <w:t xml:space="preserve"> using the Bayesian updating approach with informative priors to accurately estimate crash frequencies at three-leg and four-leg un</w:t>
      </w:r>
      <w:r w:rsidR="004D11B0">
        <w:t>-</w:t>
      </w:r>
      <w:r w:rsidRPr="007C5AC8">
        <w:t>signalized intersections in Florida.</w:t>
      </w:r>
      <w:r w:rsidR="00CF648B" w:rsidRPr="007C5AC8">
        <w:t xml:space="preserve"> </w:t>
      </w:r>
      <w:r w:rsidR="002A6748" w:rsidRPr="007C5AC8">
        <w:t>Overall, there is a general interest in</w:t>
      </w:r>
      <w:r w:rsidR="008C7CAA" w:rsidRPr="007C5AC8">
        <w:t xml:space="preserve"> the application of</w:t>
      </w:r>
      <w:r w:rsidR="002A6748" w:rsidRPr="007C5AC8">
        <w:t xml:space="preserve"> Bayesian inference</w:t>
      </w:r>
      <w:r w:rsidR="008C7CAA" w:rsidRPr="007C5AC8">
        <w:t xml:space="preserve"> particularly to address the issue of developing </w:t>
      </w:r>
      <w:r w:rsidR="00CE24E5" w:rsidRPr="007C5AC8">
        <w:t>SPFs</w:t>
      </w:r>
      <w:r w:rsidR="008C7CAA" w:rsidRPr="007C5AC8">
        <w:t xml:space="preserve"> </w:t>
      </w:r>
      <w:r w:rsidR="00DB42BC" w:rsidRPr="007C5AC8">
        <w:t>in cases where data</w:t>
      </w:r>
      <w:r w:rsidR="00287840" w:rsidRPr="007C5AC8">
        <w:t xml:space="preserve"> are</w:t>
      </w:r>
      <w:r w:rsidR="00DB42BC" w:rsidRPr="007C5AC8">
        <w:t xml:space="preserve"> of limited sample size</w:t>
      </w:r>
      <w:r w:rsidR="008C7CAA" w:rsidRPr="007C5AC8">
        <w:t xml:space="preserve">. </w:t>
      </w:r>
      <w:r w:rsidR="00E86E7D" w:rsidRPr="007C5AC8">
        <w:t xml:space="preserve">As previously discussed, </w:t>
      </w:r>
      <w:r w:rsidR="008C7CAA" w:rsidRPr="007C5AC8">
        <w:t xml:space="preserve">historical data </w:t>
      </w:r>
      <w:r w:rsidR="00490F6A" w:rsidRPr="007C5AC8">
        <w:t>are</w:t>
      </w:r>
      <w:r w:rsidR="008C7CAA" w:rsidRPr="007C5AC8">
        <w:t xml:space="preserve"> implemented as the informative prior</w:t>
      </w:r>
      <w:r w:rsidR="00CE24E5" w:rsidRPr="007C5AC8">
        <w:t xml:space="preserve"> information</w:t>
      </w:r>
      <w:r w:rsidR="008C7CAA" w:rsidRPr="007C5AC8">
        <w:t xml:space="preserve"> and the limited current data</w:t>
      </w:r>
      <w:r w:rsidR="004D11B0">
        <w:t>,</w:t>
      </w:r>
      <w:r w:rsidR="008C7CAA" w:rsidRPr="007C5AC8">
        <w:t xml:space="preserve"> collected</w:t>
      </w:r>
      <w:r w:rsidR="004D11B0">
        <w:t>,</w:t>
      </w:r>
      <w:r w:rsidR="008C7CAA" w:rsidRPr="007C5AC8">
        <w:t xml:space="preserve"> are used for Bayesian analysis.</w:t>
      </w:r>
      <w:r w:rsidR="00A9148A" w:rsidRPr="007C5AC8">
        <w:t xml:space="preserve"> Indeed</w:t>
      </w:r>
      <w:r w:rsidR="00905D5A" w:rsidRPr="007C5AC8">
        <w:t>,</w:t>
      </w:r>
      <w:r w:rsidR="00A9148A" w:rsidRPr="007C5AC8">
        <w:t xml:space="preserve"> the </w:t>
      </w:r>
      <w:r w:rsidR="00593D34" w:rsidRPr="007C5AC8">
        <w:t>analysis is efficient</w:t>
      </w:r>
      <w:r w:rsidR="00863CD3" w:rsidRPr="007C5AC8">
        <w:t xml:space="preserve"> since the small sample size problem is </w:t>
      </w:r>
      <w:r w:rsidR="001A257F" w:rsidRPr="007C5AC8">
        <w:t>circumvented</w:t>
      </w:r>
      <w:r w:rsidR="00863CD3" w:rsidRPr="007C5AC8">
        <w:t>.</w:t>
      </w:r>
      <w:r w:rsidR="00704772" w:rsidRPr="007C5AC8">
        <w:t xml:space="preserve"> </w:t>
      </w:r>
    </w:p>
    <w:p w14:paraId="4B3EA660" w14:textId="0ABCF940" w:rsidR="002A6748" w:rsidRPr="007C5AC8" w:rsidRDefault="00704772" w:rsidP="00445C9C">
      <w:r w:rsidRPr="007C5AC8">
        <w:t>In this study</w:t>
      </w:r>
      <w:r w:rsidR="001A257F" w:rsidRPr="007C5AC8">
        <w:t>,</w:t>
      </w:r>
      <w:r w:rsidRPr="007C5AC8">
        <w:t xml:space="preserve"> Bayesian </w:t>
      </w:r>
      <w:r w:rsidR="006D3A3D" w:rsidRPr="007C5AC8">
        <w:t>negative binomial</w:t>
      </w:r>
      <w:r w:rsidRPr="007C5AC8">
        <w:t xml:space="preserve"> </w:t>
      </w:r>
      <w:r w:rsidR="001A257F" w:rsidRPr="007C5AC8">
        <w:t>SPFs</w:t>
      </w:r>
      <w:r w:rsidRPr="007C5AC8">
        <w:t xml:space="preserve"> </w:t>
      </w:r>
      <w:r w:rsidR="00445C9C">
        <w:t>are developed to estimate KABCO</w:t>
      </w:r>
      <w:r w:rsidR="00C44F18" w:rsidRPr="007C5AC8">
        <w:t xml:space="preserve"> and KAB crashes</w:t>
      </w:r>
      <w:r w:rsidRPr="007C5AC8">
        <w:t xml:space="preserve"> for</w:t>
      </w:r>
      <w:r w:rsidR="00E86E7D" w:rsidRPr="007C5AC8">
        <w:t xml:space="preserve"> rural divided multilane highway segments in</w:t>
      </w:r>
      <w:r w:rsidRPr="007C5AC8">
        <w:t xml:space="preserve"> Florida and California. Each state’s SPF is developed with non-informative priors</w:t>
      </w:r>
      <w:r w:rsidR="00E81313" w:rsidRPr="007C5AC8">
        <w:t>. Then, each state’s SPF parameters are assigned the estimated regression coefficients’ distributions of the other state</w:t>
      </w:r>
      <w:r w:rsidR="004D11B0">
        <w:t>’</w:t>
      </w:r>
      <w:r w:rsidR="00E81313" w:rsidRPr="007C5AC8">
        <w:t>s</w:t>
      </w:r>
      <w:r w:rsidR="00F40F8B" w:rsidRPr="007C5AC8">
        <w:t xml:space="preserve"> model</w:t>
      </w:r>
      <w:r w:rsidR="00E81313" w:rsidRPr="007C5AC8">
        <w:t xml:space="preserve"> as informative priors and the SPFs are re</w:t>
      </w:r>
      <w:r w:rsidR="00D16B01">
        <w:t>-</w:t>
      </w:r>
      <w:r w:rsidR="00E81313" w:rsidRPr="007C5AC8">
        <w:t>developed.</w:t>
      </w:r>
      <w:r w:rsidR="00F40F8B" w:rsidRPr="007C5AC8">
        <w:t xml:space="preserve"> The aim of this study is similar to those of Yu and Abdel-Aty </w:t>
      </w:r>
      <w:r w:rsidR="00F40F8B" w:rsidRPr="006C1AD5">
        <w:rPr>
          <w:iCs/>
        </w:rPr>
        <w:t>(</w:t>
      </w:r>
      <w:r w:rsidR="007C5AC8">
        <w:rPr>
          <w:iCs/>
        </w:rPr>
        <w:t>2013</w:t>
      </w:r>
      <w:r w:rsidR="00F40F8B" w:rsidRPr="006C1AD5">
        <w:rPr>
          <w:iCs/>
        </w:rPr>
        <w:t>)</w:t>
      </w:r>
      <w:r w:rsidR="00F40F8B" w:rsidRPr="007C5AC8">
        <w:t xml:space="preserve"> and </w:t>
      </w:r>
      <w:r w:rsidR="00F1233F" w:rsidRPr="007C5AC8">
        <w:t>Heydari et al</w:t>
      </w:r>
      <w:r w:rsidR="00245894" w:rsidRPr="007C5AC8">
        <w:t>.</w:t>
      </w:r>
      <w:r w:rsidR="00F1233F" w:rsidRPr="007C5AC8">
        <w:t xml:space="preserve"> </w:t>
      </w:r>
      <w:r w:rsidR="00F1233F" w:rsidRPr="006C1AD5">
        <w:rPr>
          <w:iCs/>
        </w:rPr>
        <w:t>(</w:t>
      </w:r>
      <w:r w:rsidR="007C5AC8">
        <w:rPr>
          <w:iCs/>
        </w:rPr>
        <w:t>2014</w:t>
      </w:r>
      <w:r w:rsidR="00F1233F" w:rsidRPr="006C1AD5">
        <w:rPr>
          <w:iCs/>
        </w:rPr>
        <w:t>)</w:t>
      </w:r>
      <w:r w:rsidR="00F1233F" w:rsidRPr="007C5AC8">
        <w:t>.</w:t>
      </w:r>
      <w:r w:rsidR="00C66416" w:rsidRPr="007C5AC8">
        <w:t xml:space="preserve"> However</w:t>
      </w:r>
      <w:r w:rsidR="004D11B0">
        <w:t>,</w:t>
      </w:r>
      <w:r w:rsidR="00C66416" w:rsidRPr="007C5AC8">
        <w:t xml:space="preserve"> the advantage</w:t>
      </w:r>
      <w:r w:rsidR="00DB42BC" w:rsidRPr="007C5AC8">
        <w:t>s</w:t>
      </w:r>
      <w:r w:rsidR="00C66416" w:rsidRPr="007C5AC8">
        <w:t xml:space="preserve"> of the </w:t>
      </w:r>
      <w:r w:rsidR="00DB42BC" w:rsidRPr="007C5AC8">
        <w:t xml:space="preserve">proposed research </w:t>
      </w:r>
      <w:r w:rsidR="004D11B0">
        <w:t>are</w:t>
      </w:r>
      <w:r w:rsidR="004D11B0" w:rsidRPr="007C5AC8">
        <w:t xml:space="preserve"> </w:t>
      </w:r>
      <w:r w:rsidR="00C66416" w:rsidRPr="007C5AC8">
        <w:t>two</w:t>
      </w:r>
      <w:r w:rsidR="004D11B0">
        <w:t>-</w:t>
      </w:r>
      <w:r w:rsidR="00C66416" w:rsidRPr="007C5AC8">
        <w:t xml:space="preserve">fold. </w:t>
      </w:r>
      <w:r w:rsidR="00287840" w:rsidRPr="007C5AC8">
        <w:t>T</w:t>
      </w:r>
      <w:r w:rsidR="00DB42BC" w:rsidRPr="007C5AC8">
        <w:t>he research</w:t>
      </w:r>
      <w:r w:rsidR="00C66416" w:rsidRPr="007C5AC8">
        <w:t xml:space="preserve"> not only check</w:t>
      </w:r>
      <w:r w:rsidR="00DB42BC" w:rsidRPr="007C5AC8">
        <w:t>s</w:t>
      </w:r>
      <w:r w:rsidR="00C66416" w:rsidRPr="007C5AC8">
        <w:t xml:space="preserve"> the efficiency of Bayesian informative priors but also assess</w:t>
      </w:r>
      <w:r w:rsidR="00DB42BC" w:rsidRPr="007C5AC8">
        <w:t>es</w:t>
      </w:r>
      <w:r w:rsidR="00C66416" w:rsidRPr="007C5AC8">
        <w:t xml:space="preserve"> whether</w:t>
      </w:r>
      <w:r w:rsidR="00CB24DF" w:rsidRPr="007C5AC8">
        <w:t xml:space="preserve"> informative priors from elsewhere are applicable to the jurisdiction of interest. </w:t>
      </w:r>
      <w:r w:rsidR="00BB1632" w:rsidRPr="007C5AC8">
        <w:t>This study is a follow up on a previous investigation</w:t>
      </w:r>
      <w:r w:rsidR="00C868BC" w:rsidRPr="007C5AC8">
        <w:t xml:space="preserve"> by Farid et al.</w:t>
      </w:r>
      <w:r w:rsidR="00BB1632" w:rsidRPr="007C5AC8">
        <w:t xml:space="preserve"> </w:t>
      </w:r>
      <w:r w:rsidR="00BB1632" w:rsidRPr="006C1AD5">
        <w:rPr>
          <w:iCs/>
        </w:rPr>
        <w:t>(</w:t>
      </w:r>
      <w:r w:rsidR="007C5AC8">
        <w:rPr>
          <w:iCs/>
        </w:rPr>
        <w:t>2016</w:t>
      </w:r>
      <w:r w:rsidR="00BB1632" w:rsidRPr="006C1AD5">
        <w:rPr>
          <w:iCs/>
        </w:rPr>
        <w:t>)</w:t>
      </w:r>
      <w:r w:rsidR="00BB1632" w:rsidRPr="007C5AC8">
        <w:t xml:space="preserve"> where the</w:t>
      </w:r>
      <w:r w:rsidR="00E279B8" w:rsidRPr="007C5AC8">
        <w:t xml:space="preserve"> transferability of SPFs</w:t>
      </w:r>
      <w:r w:rsidR="00F95382" w:rsidRPr="007C5AC8">
        <w:t>, taking the functional form of th</w:t>
      </w:r>
      <w:r w:rsidR="001A257F" w:rsidRPr="007C5AC8">
        <w:t>ose</w:t>
      </w:r>
      <w:r w:rsidR="00F95382" w:rsidRPr="007C5AC8">
        <w:t xml:space="preserve"> of the HSM,</w:t>
      </w:r>
      <w:r w:rsidR="00E279B8" w:rsidRPr="007C5AC8">
        <w:t xml:space="preserve"> are explored among the same </w:t>
      </w:r>
      <w:r w:rsidR="00E279B8" w:rsidRPr="007C5AC8">
        <w:lastRenderedPageBreak/>
        <w:t>aforementioned states.</w:t>
      </w:r>
      <w:r w:rsidR="00F95382" w:rsidRPr="007C5AC8">
        <w:t xml:space="preserve"> </w:t>
      </w:r>
      <w:r w:rsidR="004D11B0">
        <w:t>In the previous study, i</w:t>
      </w:r>
      <w:r w:rsidR="004D11B0" w:rsidRPr="007C5AC8">
        <w:t xml:space="preserve">t </w:t>
      </w:r>
      <w:r w:rsidR="009012AF" w:rsidRPr="007C5AC8">
        <w:t xml:space="preserve">is </w:t>
      </w:r>
      <w:r w:rsidR="00F95382" w:rsidRPr="007C5AC8">
        <w:t>concluded that Florida and California’s</w:t>
      </w:r>
      <w:r w:rsidR="004D11B0">
        <w:t xml:space="preserve"> SPFs</w:t>
      </w:r>
      <w:r w:rsidR="00F40DE9">
        <w:t xml:space="preserve"> of multiple vehicle crashes</w:t>
      </w:r>
      <w:r w:rsidR="00F95382" w:rsidRPr="007C5AC8">
        <w:t xml:space="preserve"> </w:t>
      </w:r>
      <w:r w:rsidR="009012AF" w:rsidRPr="007C5AC8">
        <w:t xml:space="preserve">are </w:t>
      </w:r>
      <w:r w:rsidR="00F95382" w:rsidRPr="007C5AC8">
        <w:t xml:space="preserve">to an extent transferable. </w:t>
      </w:r>
      <w:r w:rsidR="00161E92" w:rsidRPr="007C5AC8">
        <w:t>This study</w:t>
      </w:r>
      <w:r w:rsidR="004B5EC9" w:rsidRPr="007C5AC8">
        <w:t xml:space="preserve"> is of great value for roadway agencies </w:t>
      </w:r>
      <w:r w:rsidR="00D16B01">
        <w:t>not having the resources to collect and process</w:t>
      </w:r>
      <w:r w:rsidR="004B5EC9" w:rsidRPr="007C5AC8">
        <w:t xml:space="preserve"> data in that Bayesia</w:t>
      </w:r>
      <w:r w:rsidR="00D16B01">
        <w:t>n SPFs can be developed swiftly. The SPFs can be estimated</w:t>
      </w:r>
      <w:r w:rsidR="004B5EC9" w:rsidRPr="007C5AC8">
        <w:t xml:space="preserve"> efficiently and at a reduced cost by borrowing informative priors from other regions</w:t>
      </w:r>
      <w:r w:rsidR="00CC297B" w:rsidRPr="007C5AC8">
        <w:t xml:space="preserve"> </w:t>
      </w:r>
      <w:r w:rsidR="00DB42BC" w:rsidRPr="007C5AC8">
        <w:t xml:space="preserve">as </w:t>
      </w:r>
      <w:r w:rsidR="00CC297B" w:rsidRPr="007C5AC8">
        <w:t>opposed to</w:t>
      </w:r>
      <w:r w:rsidR="004B5EC9" w:rsidRPr="007C5AC8">
        <w:t xml:space="preserve"> </w:t>
      </w:r>
      <w:r w:rsidR="00CC297B" w:rsidRPr="007C5AC8">
        <w:t>spending excessively on retrieving and preparing historical data</w:t>
      </w:r>
      <w:r w:rsidR="004B5EC9" w:rsidRPr="007C5AC8">
        <w:t>.</w:t>
      </w:r>
      <w:r w:rsidR="00406BD7" w:rsidRPr="007C5AC8">
        <w:t xml:space="preserve"> </w:t>
      </w:r>
      <w:r w:rsidR="00905D5A" w:rsidRPr="007C5AC8">
        <w:t>In the following sections, the preparation of the data, details of the research methodology and analysis results are discussed.</w:t>
      </w:r>
    </w:p>
    <w:p w14:paraId="3D8186F8" w14:textId="77777777" w:rsidR="00F71667" w:rsidRDefault="00F71667" w:rsidP="00F71667">
      <w:pPr>
        <w:pStyle w:val="Heading1"/>
      </w:pPr>
      <w:r w:rsidRPr="00382739">
        <w:t>Data Preparation</w:t>
      </w:r>
    </w:p>
    <w:p w14:paraId="2D23A69F" w14:textId="77777777" w:rsidR="00502845" w:rsidRPr="00502845" w:rsidRDefault="00502845" w:rsidP="00382739">
      <w:pPr>
        <w:spacing w:after="0"/>
      </w:pPr>
    </w:p>
    <w:p w14:paraId="6F31A4F0" w14:textId="3679755F" w:rsidR="00DD61CC" w:rsidRDefault="008A115E" w:rsidP="00B61464">
      <w:pPr>
        <w:sectPr w:rsidR="00DD61CC" w:rsidSect="002632BD">
          <w:headerReference w:type="default" r:id="rId9"/>
          <w:pgSz w:w="12240" w:h="15840"/>
          <w:pgMar w:top="1440" w:right="1440" w:bottom="1440" w:left="1440" w:header="720" w:footer="720" w:gutter="0"/>
          <w:lnNumType w:countBy="1"/>
          <w:pgNumType w:start="1"/>
          <w:cols w:space="720"/>
          <w:docGrid w:linePitch="360"/>
        </w:sectPr>
      </w:pPr>
      <w:r w:rsidRPr="00910E3A">
        <w:t xml:space="preserve">The data </w:t>
      </w:r>
      <w:r w:rsidR="004D11B0">
        <w:t>of</w:t>
      </w:r>
      <w:r w:rsidR="00F62FA6" w:rsidRPr="00910E3A">
        <w:t xml:space="preserve"> </w:t>
      </w:r>
      <w:r w:rsidR="00634D8C">
        <w:t>KABCO and KAB</w:t>
      </w:r>
      <w:r w:rsidR="00634D8C" w:rsidRPr="00910E3A">
        <w:t xml:space="preserve"> </w:t>
      </w:r>
      <w:r w:rsidR="00F62FA6" w:rsidRPr="00910E3A">
        <w:t>crashes at</w:t>
      </w:r>
      <w:r w:rsidRPr="00910E3A">
        <w:t xml:space="preserve"> rural divided multilane highway segments in Florida</w:t>
      </w:r>
      <w:r w:rsidR="004825C1">
        <w:t xml:space="preserve"> </w:t>
      </w:r>
      <w:r w:rsidRPr="00910E3A">
        <w:t>and California</w:t>
      </w:r>
      <w:r w:rsidR="00DB42BC">
        <w:t xml:space="preserve"> are employed in our study</w:t>
      </w:r>
      <w:r w:rsidRPr="00910E3A">
        <w:t>.</w:t>
      </w:r>
      <w:r w:rsidR="00634D8C">
        <w:t xml:space="preserve"> Geometric characteristics are included as well.</w:t>
      </w:r>
      <w:r w:rsidRPr="00910E3A">
        <w:t xml:space="preserve"> Specifically, Florida’s road geometric data are obtained from the Roadway Characteristics Inventory of the Florida Department of Transportation</w:t>
      </w:r>
      <w:r w:rsidR="00287840">
        <w:t xml:space="preserve"> (FDOT)</w:t>
      </w:r>
      <w:r w:rsidR="00CF4772">
        <w:t xml:space="preserve">. </w:t>
      </w:r>
      <w:r w:rsidRPr="00910E3A">
        <w:t xml:space="preserve">The crash data of Florida are retrieved from the Crash Analysis </w:t>
      </w:r>
      <w:r w:rsidR="00552E7F" w:rsidRPr="00910E3A">
        <w:t>R</w:t>
      </w:r>
      <w:r w:rsidRPr="00910E3A">
        <w:t>eporting System</w:t>
      </w:r>
      <w:r w:rsidR="004825C1">
        <w:t xml:space="preserve"> (CARS)</w:t>
      </w:r>
      <w:r w:rsidR="00531C89">
        <w:t>,</w:t>
      </w:r>
      <w:r w:rsidRPr="00910E3A">
        <w:t xml:space="preserve"> which also belongs to </w:t>
      </w:r>
      <w:r w:rsidR="00287840">
        <w:t>FDOT</w:t>
      </w:r>
      <w:r w:rsidRPr="00910E3A">
        <w:t>.</w:t>
      </w:r>
      <w:r w:rsidR="00F62FA6" w:rsidRPr="00910E3A">
        <w:t xml:space="preserve"> There are 436 homogenous segments with a total of </w:t>
      </w:r>
      <w:r w:rsidR="00B61464">
        <w:t>1,114</w:t>
      </w:r>
      <w:r w:rsidR="00F62FA6" w:rsidRPr="00910E3A">
        <w:t xml:space="preserve"> crashes sampled from Florida. On the other hand, </w:t>
      </w:r>
      <w:r w:rsidR="004825C1">
        <w:t xml:space="preserve">the </w:t>
      </w:r>
      <w:r w:rsidR="00F62FA6" w:rsidRPr="00910E3A">
        <w:t>California</w:t>
      </w:r>
      <w:r w:rsidRPr="00910E3A">
        <w:t xml:space="preserve"> </w:t>
      </w:r>
      <w:r w:rsidR="00F62FA6" w:rsidRPr="00910E3A">
        <w:t>data, including crash and road geometric characteristics, are obtained from the Highway Safety Information System (HSIS). It is a database that includes traffic data on multiple states including not only California but also</w:t>
      </w:r>
      <w:r w:rsidR="004825C1">
        <w:t xml:space="preserve"> Ohio,</w:t>
      </w:r>
      <w:r w:rsidR="00F62FA6" w:rsidRPr="00910E3A">
        <w:t xml:space="preserve"> Washington, Minnesota, Illinois, North Carolina and Maine </w:t>
      </w:r>
      <w:r w:rsidR="00F62FA6" w:rsidRPr="006C1AD5">
        <w:rPr>
          <w:iCs/>
        </w:rPr>
        <w:t>(</w:t>
      </w:r>
      <w:r w:rsidR="007C5AC8">
        <w:rPr>
          <w:iCs/>
        </w:rPr>
        <w:t>Highway Safety Information System</w:t>
      </w:r>
      <w:r w:rsidR="00F62FA6" w:rsidRPr="006C1AD5">
        <w:rPr>
          <w:iCs/>
        </w:rPr>
        <w:t>)</w:t>
      </w:r>
      <w:r w:rsidR="00F62FA6" w:rsidRPr="00910E3A">
        <w:t xml:space="preserve">. </w:t>
      </w:r>
      <w:r w:rsidR="00DD61CC">
        <w:t>I</w:t>
      </w:r>
      <w:r w:rsidR="00840CC4" w:rsidRPr="00910E3A">
        <w:t>n California</w:t>
      </w:r>
      <w:r w:rsidR="00DD61CC">
        <w:t>,</w:t>
      </w:r>
      <w:r w:rsidR="00840CC4" w:rsidRPr="00910E3A">
        <w:t xml:space="preserve"> the</w:t>
      </w:r>
      <w:r w:rsidR="00DD61CC">
        <w:t xml:space="preserve"> samples, obtained,</w:t>
      </w:r>
      <w:r w:rsidR="00840CC4" w:rsidRPr="00910E3A">
        <w:t xml:space="preserve"> are 1,</w:t>
      </w:r>
      <w:r w:rsidR="00B61464">
        <w:t>153</w:t>
      </w:r>
      <w:r w:rsidR="00840CC4" w:rsidRPr="00910E3A">
        <w:t xml:space="preserve"> segment</w:t>
      </w:r>
      <w:r w:rsidR="00D16B01">
        <w:t>s with 3,</w:t>
      </w:r>
      <w:r w:rsidR="00B61464">
        <w:t>887</w:t>
      </w:r>
      <w:r w:rsidR="00D16B01">
        <w:t xml:space="preserve"> crashes. Note that</w:t>
      </w:r>
      <w:r w:rsidR="00FD78BA" w:rsidRPr="00910E3A">
        <w:t xml:space="preserve"> Florida’s crash data are from the years 2009 to 2011 while those of California are from 2009 to 2010. </w:t>
      </w:r>
      <w:r w:rsidR="00142218" w:rsidRPr="00910E3A">
        <w:t>Th</w:t>
      </w:r>
      <w:r w:rsidR="00D16B01">
        <w:t>e descriptive statistics of both</w:t>
      </w:r>
      <w:r w:rsidR="00142218" w:rsidRPr="00910E3A">
        <w:t xml:space="preserve"> states</w:t>
      </w:r>
      <w:r w:rsidR="00BA0B5E" w:rsidRPr="00910E3A">
        <w:t>’ data</w:t>
      </w:r>
      <w:r w:rsidR="00142218" w:rsidRPr="00910E3A">
        <w:t xml:space="preserve"> are shown in</w:t>
      </w:r>
      <w:r w:rsidR="00381E48">
        <w:t xml:space="preserve"> Table 1</w:t>
      </w:r>
      <w:r w:rsidR="00142218" w:rsidRPr="00910E3A">
        <w:t>.</w:t>
      </w:r>
      <w:r w:rsidR="0035635B">
        <w:t xml:space="preserve"> The minimum segment length</w:t>
      </w:r>
      <w:r w:rsidR="00F40DE9">
        <w:t>, sampled,</w:t>
      </w:r>
      <w:r w:rsidR="0035635B">
        <w:t xml:space="preserve"> is not less than 0.1 mi to be consistent with the HSM standards.</w:t>
      </w:r>
      <w:r w:rsidR="005E231F">
        <w:t xml:space="preserve"> The AADT, in Table 1, is the average annual daily traffic.   </w:t>
      </w:r>
    </w:p>
    <w:p w14:paraId="04DC1EA8" w14:textId="748B021C" w:rsidR="007B3BD6" w:rsidRPr="00910E3A" w:rsidRDefault="00856C7B" w:rsidP="00C54425">
      <w:pPr>
        <w:pStyle w:val="Caption"/>
      </w:pPr>
      <w:r>
        <w:lastRenderedPageBreak/>
        <w:tab/>
      </w:r>
      <w:bookmarkStart w:id="0" w:name="_Ref456091595"/>
      <w:r w:rsidR="004F50E5" w:rsidRPr="00910E3A">
        <w:t>T</w:t>
      </w:r>
      <w:r w:rsidR="00F6765C" w:rsidRPr="00910E3A">
        <w:t>able</w:t>
      </w:r>
      <w:r w:rsidR="004F50E5" w:rsidRPr="00910E3A">
        <w:t xml:space="preserve"> </w:t>
      </w:r>
      <w:r w:rsidR="00C14F70">
        <w:fldChar w:fldCharType="begin"/>
      </w:r>
      <w:r w:rsidR="00C14F70">
        <w:instrText xml:space="preserve"> SEQ Table \* ARABIC </w:instrText>
      </w:r>
      <w:r w:rsidR="00C14F70">
        <w:fldChar w:fldCharType="separate"/>
      </w:r>
      <w:r w:rsidR="006804C3">
        <w:rPr>
          <w:noProof/>
        </w:rPr>
        <w:t>1</w:t>
      </w:r>
      <w:r w:rsidR="00C14F70">
        <w:rPr>
          <w:noProof/>
        </w:rPr>
        <w:fldChar w:fldCharType="end"/>
      </w:r>
      <w:bookmarkEnd w:id="0"/>
      <w:r w:rsidR="004F50E5" w:rsidRPr="00910E3A">
        <w:t xml:space="preserve"> Descriptive Statistics of the States' Data</w:t>
      </w:r>
    </w:p>
    <w:tbl>
      <w:tblPr>
        <w:tblStyle w:val="TableGrid"/>
        <w:tblW w:w="0" w:type="auto"/>
        <w:jc w:val="center"/>
        <w:tblLook w:val="04A0" w:firstRow="1" w:lastRow="0" w:firstColumn="1" w:lastColumn="0" w:noHBand="0" w:noVBand="1"/>
      </w:tblPr>
      <w:tblGrid>
        <w:gridCol w:w="2106"/>
        <w:gridCol w:w="1161"/>
        <w:gridCol w:w="1973"/>
        <w:gridCol w:w="1115"/>
        <w:gridCol w:w="1150"/>
        <w:gridCol w:w="1161"/>
        <w:gridCol w:w="1973"/>
        <w:gridCol w:w="1115"/>
        <w:gridCol w:w="1150"/>
      </w:tblGrid>
      <w:tr w:rsidR="006C1AD5" w:rsidRPr="006C1AD5" w14:paraId="72961585" w14:textId="32FF79ED" w:rsidTr="00F02BE3">
        <w:trPr>
          <w:trHeight w:val="70"/>
          <w:jc w:val="center"/>
        </w:trPr>
        <w:tc>
          <w:tcPr>
            <w:tcW w:w="0" w:type="auto"/>
            <w:vAlign w:val="center"/>
          </w:tcPr>
          <w:p w14:paraId="2D869BB3" w14:textId="1D9486BA" w:rsidR="00DD61CC" w:rsidRPr="00F02BE3" w:rsidRDefault="00DD61CC" w:rsidP="006C1AD5">
            <w:pPr>
              <w:pStyle w:val="NoSpacing"/>
              <w:rPr>
                <w:b/>
                <w:bCs/>
                <w:sz w:val="21"/>
                <w:szCs w:val="21"/>
              </w:rPr>
            </w:pPr>
            <w:r w:rsidRPr="006C1AD5">
              <w:rPr>
                <w:b/>
                <w:bCs/>
                <w:sz w:val="21"/>
                <w:szCs w:val="21"/>
              </w:rPr>
              <w:t>State</w:t>
            </w:r>
          </w:p>
        </w:tc>
        <w:tc>
          <w:tcPr>
            <w:tcW w:w="0" w:type="auto"/>
            <w:gridSpan w:val="4"/>
            <w:vAlign w:val="center"/>
          </w:tcPr>
          <w:p w14:paraId="5967B353" w14:textId="74F91E5E" w:rsidR="00DD61CC" w:rsidRPr="00F02BE3" w:rsidRDefault="00DD61CC" w:rsidP="00F02BE3">
            <w:pPr>
              <w:pStyle w:val="NoSpacing"/>
              <w:rPr>
                <w:b/>
                <w:bCs/>
                <w:sz w:val="21"/>
                <w:szCs w:val="21"/>
              </w:rPr>
            </w:pPr>
            <w:r w:rsidRPr="00F02BE3">
              <w:rPr>
                <w:b/>
                <w:bCs/>
                <w:sz w:val="21"/>
                <w:szCs w:val="21"/>
              </w:rPr>
              <w:t>Florida (N=436)</w:t>
            </w:r>
          </w:p>
        </w:tc>
        <w:tc>
          <w:tcPr>
            <w:tcW w:w="0" w:type="auto"/>
            <w:gridSpan w:val="4"/>
            <w:vAlign w:val="center"/>
          </w:tcPr>
          <w:p w14:paraId="0DF554F7" w14:textId="008BD9FE" w:rsidR="00DD61CC" w:rsidRPr="00F02BE3" w:rsidRDefault="00DD61CC" w:rsidP="00B61464">
            <w:pPr>
              <w:pStyle w:val="NoSpacing"/>
              <w:rPr>
                <w:b/>
                <w:bCs/>
                <w:sz w:val="21"/>
                <w:szCs w:val="21"/>
              </w:rPr>
            </w:pPr>
            <w:r w:rsidRPr="00F02BE3">
              <w:rPr>
                <w:b/>
                <w:bCs/>
                <w:sz w:val="21"/>
                <w:szCs w:val="21"/>
              </w:rPr>
              <w:t>California (N=1,</w:t>
            </w:r>
            <w:r w:rsidR="00B61464">
              <w:rPr>
                <w:b/>
                <w:bCs/>
                <w:sz w:val="21"/>
                <w:szCs w:val="21"/>
              </w:rPr>
              <w:t>153</w:t>
            </w:r>
            <w:r w:rsidRPr="00F02BE3">
              <w:rPr>
                <w:b/>
                <w:bCs/>
                <w:sz w:val="21"/>
                <w:szCs w:val="21"/>
              </w:rPr>
              <w:t>)</w:t>
            </w:r>
          </w:p>
        </w:tc>
      </w:tr>
      <w:tr w:rsidR="006C1AD5" w:rsidRPr="006C1AD5" w14:paraId="15793536" w14:textId="17C92F5F" w:rsidTr="00F02BE3">
        <w:trPr>
          <w:trHeight w:val="70"/>
          <w:jc w:val="center"/>
        </w:trPr>
        <w:tc>
          <w:tcPr>
            <w:tcW w:w="0" w:type="auto"/>
            <w:vAlign w:val="center"/>
          </w:tcPr>
          <w:p w14:paraId="0205C879" w14:textId="77777777" w:rsidR="00DD61CC" w:rsidRPr="00F02BE3" w:rsidRDefault="00DD61CC" w:rsidP="00F02BE3">
            <w:pPr>
              <w:pStyle w:val="NoSpacing"/>
              <w:rPr>
                <w:b/>
                <w:bCs/>
                <w:sz w:val="21"/>
                <w:szCs w:val="21"/>
              </w:rPr>
            </w:pPr>
            <w:r w:rsidRPr="00F02BE3">
              <w:rPr>
                <w:b/>
                <w:bCs/>
                <w:sz w:val="21"/>
                <w:szCs w:val="21"/>
              </w:rPr>
              <w:t>Variable</w:t>
            </w:r>
          </w:p>
        </w:tc>
        <w:tc>
          <w:tcPr>
            <w:tcW w:w="0" w:type="auto"/>
            <w:vAlign w:val="center"/>
          </w:tcPr>
          <w:p w14:paraId="1BCAA0E1" w14:textId="77777777" w:rsidR="00DD61CC" w:rsidRPr="00F02BE3" w:rsidRDefault="00DD61CC" w:rsidP="00F02BE3">
            <w:pPr>
              <w:pStyle w:val="NoSpacing"/>
              <w:rPr>
                <w:b/>
                <w:bCs/>
                <w:sz w:val="21"/>
                <w:szCs w:val="21"/>
              </w:rPr>
            </w:pPr>
            <w:r w:rsidRPr="00F02BE3">
              <w:rPr>
                <w:b/>
                <w:bCs/>
                <w:sz w:val="21"/>
                <w:szCs w:val="21"/>
              </w:rPr>
              <w:t>Mean</w:t>
            </w:r>
          </w:p>
        </w:tc>
        <w:tc>
          <w:tcPr>
            <w:tcW w:w="0" w:type="auto"/>
            <w:vAlign w:val="center"/>
          </w:tcPr>
          <w:p w14:paraId="478AAA4F" w14:textId="77777777" w:rsidR="00DD61CC" w:rsidRPr="00F02BE3" w:rsidRDefault="00DD61CC" w:rsidP="00F02BE3">
            <w:pPr>
              <w:pStyle w:val="NoSpacing"/>
              <w:rPr>
                <w:b/>
                <w:bCs/>
                <w:sz w:val="21"/>
                <w:szCs w:val="21"/>
              </w:rPr>
            </w:pPr>
            <w:r w:rsidRPr="00F02BE3">
              <w:rPr>
                <w:b/>
                <w:bCs/>
                <w:sz w:val="21"/>
                <w:szCs w:val="21"/>
              </w:rPr>
              <w:t>Standard Deviation</w:t>
            </w:r>
          </w:p>
        </w:tc>
        <w:tc>
          <w:tcPr>
            <w:tcW w:w="0" w:type="auto"/>
            <w:vAlign w:val="center"/>
          </w:tcPr>
          <w:p w14:paraId="7B0EE52C" w14:textId="2D670263" w:rsidR="00DD61CC" w:rsidRPr="00F02BE3" w:rsidRDefault="00DD61CC" w:rsidP="00F02BE3">
            <w:pPr>
              <w:pStyle w:val="NoSpacing"/>
              <w:rPr>
                <w:b/>
                <w:bCs/>
                <w:sz w:val="21"/>
                <w:szCs w:val="21"/>
              </w:rPr>
            </w:pPr>
            <w:r w:rsidRPr="00F02BE3">
              <w:rPr>
                <w:b/>
                <w:bCs/>
                <w:sz w:val="21"/>
                <w:szCs w:val="21"/>
              </w:rPr>
              <w:t>Minimum</w:t>
            </w:r>
          </w:p>
        </w:tc>
        <w:tc>
          <w:tcPr>
            <w:tcW w:w="0" w:type="auto"/>
            <w:vAlign w:val="center"/>
          </w:tcPr>
          <w:p w14:paraId="02AB535F" w14:textId="246D3160" w:rsidR="00DD61CC" w:rsidRPr="00F02BE3" w:rsidRDefault="00DD61CC" w:rsidP="00F02BE3">
            <w:pPr>
              <w:pStyle w:val="NoSpacing"/>
              <w:rPr>
                <w:b/>
                <w:bCs/>
                <w:sz w:val="21"/>
                <w:szCs w:val="21"/>
              </w:rPr>
            </w:pPr>
            <w:r w:rsidRPr="00F02BE3">
              <w:rPr>
                <w:b/>
                <w:bCs/>
                <w:sz w:val="21"/>
                <w:szCs w:val="21"/>
              </w:rPr>
              <w:t>Maximum</w:t>
            </w:r>
          </w:p>
        </w:tc>
        <w:tc>
          <w:tcPr>
            <w:tcW w:w="0" w:type="auto"/>
            <w:vAlign w:val="center"/>
          </w:tcPr>
          <w:p w14:paraId="4B0690F7" w14:textId="7A57502A" w:rsidR="00DD61CC" w:rsidRPr="00F02BE3" w:rsidRDefault="00DD61CC" w:rsidP="00F02BE3">
            <w:pPr>
              <w:pStyle w:val="NoSpacing"/>
              <w:rPr>
                <w:b/>
                <w:bCs/>
                <w:sz w:val="21"/>
                <w:szCs w:val="21"/>
              </w:rPr>
            </w:pPr>
            <w:r w:rsidRPr="00F02BE3">
              <w:rPr>
                <w:b/>
                <w:bCs/>
                <w:sz w:val="21"/>
                <w:szCs w:val="21"/>
              </w:rPr>
              <w:t>Mean</w:t>
            </w:r>
          </w:p>
        </w:tc>
        <w:tc>
          <w:tcPr>
            <w:tcW w:w="0" w:type="auto"/>
            <w:vAlign w:val="center"/>
          </w:tcPr>
          <w:p w14:paraId="55F43A9B" w14:textId="77777777" w:rsidR="00DD61CC" w:rsidRPr="00F02BE3" w:rsidRDefault="00DD61CC" w:rsidP="00F02BE3">
            <w:pPr>
              <w:pStyle w:val="NoSpacing"/>
              <w:rPr>
                <w:b/>
                <w:bCs/>
                <w:sz w:val="21"/>
                <w:szCs w:val="21"/>
              </w:rPr>
            </w:pPr>
            <w:r w:rsidRPr="00F02BE3">
              <w:rPr>
                <w:b/>
                <w:bCs/>
                <w:sz w:val="21"/>
                <w:szCs w:val="21"/>
              </w:rPr>
              <w:t>Standard Deviation</w:t>
            </w:r>
          </w:p>
        </w:tc>
        <w:tc>
          <w:tcPr>
            <w:tcW w:w="0" w:type="auto"/>
            <w:vAlign w:val="center"/>
          </w:tcPr>
          <w:p w14:paraId="2256F7F4" w14:textId="01BAF2ED" w:rsidR="00DD61CC" w:rsidRPr="00F02BE3" w:rsidRDefault="00DD61CC" w:rsidP="00F02BE3">
            <w:pPr>
              <w:pStyle w:val="NoSpacing"/>
              <w:rPr>
                <w:b/>
                <w:bCs/>
                <w:sz w:val="21"/>
                <w:szCs w:val="21"/>
              </w:rPr>
            </w:pPr>
            <w:r w:rsidRPr="00F02BE3">
              <w:rPr>
                <w:b/>
                <w:bCs/>
                <w:sz w:val="21"/>
                <w:szCs w:val="21"/>
              </w:rPr>
              <w:t>Minimum</w:t>
            </w:r>
          </w:p>
        </w:tc>
        <w:tc>
          <w:tcPr>
            <w:tcW w:w="0" w:type="auto"/>
            <w:vAlign w:val="center"/>
          </w:tcPr>
          <w:p w14:paraId="1C2B065D" w14:textId="7C062DC9" w:rsidR="00DD61CC" w:rsidRPr="00F02BE3" w:rsidRDefault="00DD61CC" w:rsidP="00F02BE3">
            <w:pPr>
              <w:pStyle w:val="NoSpacing"/>
              <w:rPr>
                <w:b/>
                <w:bCs/>
                <w:sz w:val="21"/>
                <w:szCs w:val="21"/>
              </w:rPr>
            </w:pPr>
            <w:r w:rsidRPr="00F02BE3">
              <w:rPr>
                <w:b/>
                <w:bCs/>
                <w:sz w:val="21"/>
                <w:szCs w:val="21"/>
              </w:rPr>
              <w:t>Maximum</w:t>
            </w:r>
          </w:p>
        </w:tc>
      </w:tr>
      <w:tr w:rsidR="00B61464" w:rsidRPr="006C1AD5" w14:paraId="57C4D4F8" w14:textId="399FCFC3" w:rsidTr="00F02BE3">
        <w:trPr>
          <w:trHeight w:val="470"/>
          <w:jc w:val="center"/>
        </w:trPr>
        <w:tc>
          <w:tcPr>
            <w:tcW w:w="0" w:type="auto"/>
            <w:vAlign w:val="center"/>
          </w:tcPr>
          <w:p w14:paraId="65FB177B" w14:textId="77777777" w:rsidR="00B61464" w:rsidRPr="00F02BE3" w:rsidRDefault="00B61464" w:rsidP="00B61464">
            <w:pPr>
              <w:pStyle w:val="NoSpacing"/>
              <w:rPr>
                <w:b/>
                <w:bCs/>
                <w:sz w:val="21"/>
                <w:szCs w:val="21"/>
              </w:rPr>
            </w:pPr>
            <w:r w:rsidRPr="00F02BE3">
              <w:rPr>
                <w:b/>
                <w:bCs/>
                <w:sz w:val="21"/>
                <w:szCs w:val="21"/>
              </w:rPr>
              <w:t>Segment Length (mi)</w:t>
            </w:r>
          </w:p>
        </w:tc>
        <w:tc>
          <w:tcPr>
            <w:tcW w:w="0" w:type="auto"/>
            <w:vAlign w:val="center"/>
          </w:tcPr>
          <w:p w14:paraId="3795A319" w14:textId="0F8186AD" w:rsidR="00B61464" w:rsidRPr="00B61464" w:rsidRDefault="00B61464" w:rsidP="00B61464">
            <w:pPr>
              <w:pStyle w:val="NoSpacing"/>
              <w:rPr>
                <w:sz w:val="21"/>
                <w:szCs w:val="21"/>
              </w:rPr>
            </w:pPr>
            <w:r w:rsidRPr="00B61464">
              <w:rPr>
                <w:sz w:val="21"/>
                <w:szCs w:val="21"/>
              </w:rPr>
              <w:t>0.804</w:t>
            </w:r>
          </w:p>
        </w:tc>
        <w:tc>
          <w:tcPr>
            <w:tcW w:w="0" w:type="auto"/>
            <w:vAlign w:val="center"/>
          </w:tcPr>
          <w:p w14:paraId="029ED6F8" w14:textId="77184FAB" w:rsidR="00B61464" w:rsidRPr="00B61464" w:rsidRDefault="00B61464" w:rsidP="00B61464">
            <w:pPr>
              <w:pStyle w:val="NoSpacing"/>
              <w:rPr>
                <w:sz w:val="21"/>
                <w:szCs w:val="21"/>
              </w:rPr>
            </w:pPr>
            <w:r w:rsidRPr="00B61464">
              <w:rPr>
                <w:sz w:val="21"/>
                <w:szCs w:val="21"/>
              </w:rPr>
              <w:t>1.459</w:t>
            </w:r>
          </w:p>
        </w:tc>
        <w:tc>
          <w:tcPr>
            <w:tcW w:w="0" w:type="auto"/>
            <w:vAlign w:val="center"/>
          </w:tcPr>
          <w:p w14:paraId="52348BCE" w14:textId="7AB5557E" w:rsidR="00B61464" w:rsidRPr="00B61464" w:rsidRDefault="00B61464" w:rsidP="00B61464">
            <w:pPr>
              <w:pStyle w:val="NoSpacing"/>
              <w:rPr>
                <w:sz w:val="21"/>
                <w:szCs w:val="21"/>
              </w:rPr>
            </w:pPr>
            <w:r w:rsidRPr="00B61464">
              <w:rPr>
                <w:sz w:val="21"/>
                <w:szCs w:val="21"/>
              </w:rPr>
              <w:t>0.100</w:t>
            </w:r>
          </w:p>
        </w:tc>
        <w:tc>
          <w:tcPr>
            <w:tcW w:w="0" w:type="auto"/>
            <w:vAlign w:val="center"/>
          </w:tcPr>
          <w:p w14:paraId="763DAE33" w14:textId="199DC514" w:rsidR="00B61464" w:rsidRPr="00B61464" w:rsidRDefault="00B61464" w:rsidP="00B61464">
            <w:pPr>
              <w:pStyle w:val="NoSpacing"/>
              <w:rPr>
                <w:sz w:val="21"/>
                <w:szCs w:val="21"/>
              </w:rPr>
            </w:pPr>
            <w:r w:rsidRPr="00B61464">
              <w:rPr>
                <w:sz w:val="21"/>
                <w:szCs w:val="21"/>
              </w:rPr>
              <w:t>18.078</w:t>
            </w:r>
          </w:p>
        </w:tc>
        <w:tc>
          <w:tcPr>
            <w:tcW w:w="0" w:type="auto"/>
            <w:vAlign w:val="center"/>
          </w:tcPr>
          <w:p w14:paraId="7D795020" w14:textId="6AFCAE40" w:rsidR="00B61464" w:rsidRPr="00B61464" w:rsidRDefault="00B61464" w:rsidP="00B61464">
            <w:pPr>
              <w:pStyle w:val="NoSpacing"/>
              <w:rPr>
                <w:sz w:val="21"/>
                <w:szCs w:val="21"/>
              </w:rPr>
            </w:pPr>
            <w:r w:rsidRPr="00B61464">
              <w:rPr>
                <w:sz w:val="21"/>
                <w:szCs w:val="21"/>
              </w:rPr>
              <w:t>0.516</w:t>
            </w:r>
          </w:p>
        </w:tc>
        <w:tc>
          <w:tcPr>
            <w:tcW w:w="0" w:type="auto"/>
            <w:vAlign w:val="center"/>
          </w:tcPr>
          <w:p w14:paraId="3203D310" w14:textId="7AB5C79B" w:rsidR="00B61464" w:rsidRPr="00B61464" w:rsidRDefault="00B61464" w:rsidP="00B61464">
            <w:pPr>
              <w:pStyle w:val="NoSpacing"/>
              <w:rPr>
                <w:sz w:val="21"/>
                <w:szCs w:val="21"/>
              </w:rPr>
            </w:pPr>
            <w:r w:rsidRPr="00B61464">
              <w:rPr>
                <w:sz w:val="21"/>
                <w:szCs w:val="21"/>
              </w:rPr>
              <w:t>0.572</w:t>
            </w:r>
          </w:p>
        </w:tc>
        <w:tc>
          <w:tcPr>
            <w:tcW w:w="0" w:type="auto"/>
            <w:vAlign w:val="center"/>
          </w:tcPr>
          <w:p w14:paraId="436C48A2" w14:textId="2AB776FA" w:rsidR="00B61464" w:rsidRPr="00B61464" w:rsidRDefault="00B61464" w:rsidP="00B61464">
            <w:pPr>
              <w:pStyle w:val="NoSpacing"/>
              <w:rPr>
                <w:sz w:val="21"/>
                <w:szCs w:val="21"/>
              </w:rPr>
            </w:pPr>
            <w:r w:rsidRPr="00B61464">
              <w:rPr>
                <w:sz w:val="21"/>
                <w:szCs w:val="21"/>
              </w:rPr>
              <w:t>0.100</w:t>
            </w:r>
          </w:p>
        </w:tc>
        <w:tc>
          <w:tcPr>
            <w:tcW w:w="0" w:type="auto"/>
            <w:vAlign w:val="center"/>
          </w:tcPr>
          <w:p w14:paraId="42F24B99" w14:textId="5B5C1D6D" w:rsidR="00B61464" w:rsidRPr="00B61464" w:rsidRDefault="00B61464" w:rsidP="00B61464">
            <w:pPr>
              <w:pStyle w:val="NoSpacing"/>
              <w:rPr>
                <w:sz w:val="21"/>
                <w:szCs w:val="21"/>
              </w:rPr>
            </w:pPr>
            <w:r w:rsidRPr="00B61464">
              <w:rPr>
                <w:sz w:val="21"/>
                <w:szCs w:val="21"/>
              </w:rPr>
              <w:t>5.329</w:t>
            </w:r>
          </w:p>
        </w:tc>
      </w:tr>
      <w:tr w:rsidR="00B61464" w:rsidRPr="006C1AD5" w14:paraId="4B8027B0" w14:textId="644B0BAA" w:rsidTr="00F02BE3">
        <w:trPr>
          <w:trHeight w:val="307"/>
          <w:jc w:val="center"/>
        </w:trPr>
        <w:tc>
          <w:tcPr>
            <w:tcW w:w="0" w:type="auto"/>
            <w:vAlign w:val="center"/>
          </w:tcPr>
          <w:p w14:paraId="352B04DD" w14:textId="781A3B05" w:rsidR="00B61464" w:rsidRPr="00F02BE3" w:rsidRDefault="00B61464" w:rsidP="00B61464">
            <w:pPr>
              <w:pStyle w:val="NoSpacing"/>
              <w:rPr>
                <w:b/>
                <w:bCs/>
                <w:sz w:val="21"/>
                <w:szCs w:val="21"/>
              </w:rPr>
            </w:pPr>
            <w:r w:rsidRPr="00F02BE3">
              <w:rPr>
                <w:b/>
                <w:bCs/>
                <w:sz w:val="21"/>
                <w:szCs w:val="21"/>
              </w:rPr>
              <w:t>AADT (</w:t>
            </w:r>
            <w:proofErr w:type="spellStart"/>
            <w:r w:rsidRPr="00F02BE3">
              <w:rPr>
                <w:b/>
                <w:bCs/>
                <w:sz w:val="21"/>
                <w:szCs w:val="21"/>
              </w:rPr>
              <w:t>veh</w:t>
            </w:r>
            <w:proofErr w:type="spellEnd"/>
            <w:r>
              <w:rPr>
                <w:b/>
                <w:bCs/>
                <w:sz w:val="21"/>
                <w:szCs w:val="21"/>
              </w:rPr>
              <w:t>/</w:t>
            </w:r>
            <w:r w:rsidRPr="00F02BE3">
              <w:rPr>
                <w:b/>
                <w:bCs/>
                <w:sz w:val="21"/>
                <w:szCs w:val="21"/>
              </w:rPr>
              <w:t>d</w:t>
            </w:r>
            <w:r>
              <w:rPr>
                <w:b/>
                <w:bCs/>
                <w:sz w:val="21"/>
                <w:szCs w:val="21"/>
              </w:rPr>
              <w:t>ay</w:t>
            </w:r>
            <w:r w:rsidRPr="00F02BE3">
              <w:rPr>
                <w:b/>
                <w:bCs/>
                <w:sz w:val="21"/>
                <w:szCs w:val="21"/>
              </w:rPr>
              <w:t>)</w:t>
            </w:r>
          </w:p>
        </w:tc>
        <w:tc>
          <w:tcPr>
            <w:tcW w:w="0" w:type="auto"/>
            <w:vAlign w:val="center"/>
          </w:tcPr>
          <w:p w14:paraId="46834502" w14:textId="50EFDC24" w:rsidR="00B61464" w:rsidRPr="00B61464" w:rsidRDefault="00B61464" w:rsidP="00B61464">
            <w:pPr>
              <w:pStyle w:val="NoSpacing"/>
              <w:rPr>
                <w:sz w:val="21"/>
                <w:szCs w:val="21"/>
              </w:rPr>
            </w:pPr>
            <w:r w:rsidRPr="00B61464">
              <w:rPr>
                <w:sz w:val="21"/>
                <w:szCs w:val="21"/>
              </w:rPr>
              <w:t>12</w:t>
            </w:r>
            <w:r>
              <w:rPr>
                <w:sz w:val="21"/>
                <w:szCs w:val="21"/>
              </w:rPr>
              <w:t>,</w:t>
            </w:r>
            <w:r w:rsidRPr="00B61464">
              <w:rPr>
                <w:sz w:val="21"/>
                <w:szCs w:val="21"/>
              </w:rPr>
              <w:t>681.930</w:t>
            </w:r>
          </w:p>
        </w:tc>
        <w:tc>
          <w:tcPr>
            <w:tcW w:w="0" w:type="auto"/>
            <w:vAlign w:val="center"/>
          </w:tcPr>
          <w:p w14:paraId="34FB42F5" w14:textId="11422F50" w:rsidR="00B61464" w:rsidRPr="00B61464" w:rsidRDefault="00B61464" w:rsidP="00B61464">
            <w:pPr>
              <w:pStyle w:val="NoSpacing"/>
              <w:rPr>
                <w:sz w:val="21"/>
                <w:szCs w:val="21"/>
              </w:rPr>
            </w:pPr>
            <w:r w:rsidRPr="00B61464">
              <w:rPr>
                <w:sz w:val="21"/>
                <w:szCs w:val="21"/>
              </w:rPr>
              <w:t>8</w:t>
            </w:r>
            <w:r>
              <w:rPr>
                <w:sz w:val="21"/>
                <w:szCs w:val="21"/>
              </w:rPr>
              <w:t>,</w:t>
            </w:r>
            <w:r w:rsidRPr="00B61464">
              <w:rPr>
                <w:sz w:val="21"/>
                <w:szCs w:val="21"/>
              </w:rPr>
              <w:t>709.680</w:t>
            </w:r>
          </w:p>
        </w:tc>
        <w:tc>
          <w:tcPr>
            <w:tcW w:w="0" w:type="auto"/>
            <w:vAlign w:val="center"/>
          </w:tcPr>
          <w:p w14:paraId="033E4DC1" w14:textId="4A004AD8" w:rsidR="00B61464" w:rsidRPr="00B61464" w:rsidRDefault="00B61464" w:rsidP="00B61464">
            <w:pPr>
              <w:pStyle w:val="NoSpacing"/>
              <w:rPr>
                <w:sz w:val="21"/>
                <w:szCs w:val="21"/>
              </w:rPr>
            </w:pPr>
            <w:r w:rsidRPr="00B61464">
              <w:rPr>
                <w:sz w:val="21"/>
                <w:szCs w:val="21"/>
              </w:rPr>
              <w:t>2</w:t>
            </w:r>
            <w:r>
              <w:rPr>
                <w:sz w:val="21"/>
                <w:szCs w:val="21"/>
              </w:rPr>
              <w:t>,</w:t>
            </w:r>
            <w:r w:rsidRPr="00B61464">
              <w:rPr>
                <w:sz w:val="21"/>
                <w:szCs w:val="21"/>
              </w:rPr>
              <w:t>500</w:t>
            </w:r>
          </w:p>
        </w:tc>
        <w:tc>
          <w:tcPr>
            <w:tcW w:w="0" w:type="auto"/>
            <w:vAlign w:val="center"/>
          </w:tcPr>
          <w:p w14:paraId="34AA274A" w14:textId="473D9104" w:rsidR="00B61464" w:rsidRPr="00B61464" w:rsidRDefault="00B61464" w:rsidP="00B61464">
            <w:pPr>
              <w:pStyle w:val="NoSpacing"/>
              <w:rPr>
                <w:sz w:val="21"/>
                <w:szCs w:val="21"/>
              </w:rPr>
            </w:pPr>
            <w:r w:rsidRPr="00B61464">
              <w:rPr>
                <w:sz w:val="21"/>
                <w:szCs w:val="21"/>
              </w:rPr>
              <w:t>49</w:t>
            </w:r>
            <w:r>
              <w:rPr>
                <w:sz w:val="21"/>
                <w:szCs w:val="21"/>
              </w:rPr>
              <w:t>,</w:t>
            </w:r>
            <w:r w:rsidRPr="00B61464">
              <w:rPr>
                <w:sz w:val="21"/>
                <w:szCs w:val="21"/>
              </w:rPr>
              <w:t>500</w:t>
            </w:r>
          </w:p>
        </w:tc>
        <w:tc>
          <w:tcPr>
            <w:tcW w:w="0" w:type="auto"/>
            <w:vAlign w:val="center"/>
          </w:tcPr>
          <w:p w14:paraId="79029C05" w14:textId="38BFEF25" w:rsidR="00B61464" w:rsidRPr="00B61464" w:rsidRDefault="00B61464" w:rsidP="00B61464">
            <w:pPr>
              <w:pStyle w:val="NoSpacing"/>
              <w:rPr>
                <w:sz w:val="21"/>
                <w:szCs w:val="21"/>
              </w:rPr>
            </w:pPr>
            <w:r w:rsidRPr="00B61464">
              <w:rPr>
                <w:sz w:val="21"/>
                <w:szCs w:val="21"/>
              </w:rPr>
              <w:t>21</w:t>
            </w:r>
            <w:r>
              <w:rPr>
                <w:sz w:val="21"/>
                <w:szCs w:val="21"/>
              </w:rPr>
              <w:t>,</w:t>
            </w:r>
            <w:r w:rsidRPr="00B61464">
              <w:rPr>
                <w:sz w:val="21"/>
                <w:szCs w:val="21"/>
              </w:rPr>
              <w:t>243.260</w:t>
            </w:r>
          </w:p>
        </w:tc>
        <w:tc>
          <w:tcPr>
            <w:tcW w:w="0" w:type="auto"/>
            <w:vAlign w:val="center"/>
          </w:tcPr>
          <w:p w14:paraId="74285CE1" w14:textId="748D8981" w:rsidR="00B61464" w:rsidRPr="00B61464" w:rsidRDefault="00B61464" w:rsidP="00B61464">
            <w:pPr>
              <w:pStyle w:val="NoSpacing"/>
              <w:rPr>
                <w:sz w:val="21"/>
                <w:szCs w:val="21"/>
              </w:rPr>
            </w:pPr>
            <w:r w:rsidRPr="00B61464">
              <w:rPr>
                <w:sz w:val="21"/>
                <w:szCs w:val="21"/>
              </w:rPr>
              <w:t>14</w:t>
            </w:r>
            <w:r>
              <w:rPr>
                <w:sz w:val="21"/>
                <w:szCs w:val="21"/>
              </w:rPr>
              <w:t>,</w:t>
            </w:r>
            <w:r w:rsidRPr="00B61464">
              <w:rPr>
                <w:sz w:val="21"/>
                <w:szCs w:val="21"/>
              </w:rPr>
              <w:t>642.420</w:t>
            </w:r>
          </w:p>
        </w:tc>
        <w:tc>
          <w:tcPr>
            <w:tcW w:w="0" w:type="auto"/>
            <w:vAlign w:val="center"/>
          </w:tcPr>
          <w:p w14:paraId="15736A40" w14:textId="4A818D41" w:rsidR="00B61464" w:rsidRPr="00B61464" w:rsidRDefault="00B61464" w:rsidP="00B61464">
            <w:pPr>
              <w:pStyle w:val="NoSpacing"/>
              <w:rPr>
                <w:sz w:val="21"/>
                <w:szCs w:val="21"/>
              </w:rPr>
            </w:pPr>
            <w:r w:rsidRPr="00B61464">
              <w:rPr>
                <w:sz w:val="21"/>
                <w:szCs w:val="21"/>
              </w:rPr>
              <w:t>2</w:t>
            </w:r>
            <w:r>
              <w:rPr>
                <w:sz w:val="21"/>
                <w:szCs w:val="21"/>
              </w:rPr>
              <w:t>,</w:t>
            </w:r>
            <w:r w:rsidRPr="00B61464">
              <w:rPr>
                <w:sz w:val="21"/>
                <w:szCs w:val="21"/>
              </w:rPr>
              <w:t>325</w:t>
            </w:r>
          </w:p>
        </w:tc>
        <w:tc>
          <w:tcPr>
            <w:tcW w:w="0" w:type="auto"/>
            <w:vAlign w:val="center"/>
          </w:tcPr>
          <w:p w14:paraId="2E0B65DB" w14:textId="555F5850" w:rsidR="00B61464" w:rsidRPr="00B61464" w:rsidRDefault="00B61464" w:rsidP="00B61464">
            <w:pPr>
              <w:pStyle w:val="NoSpacing"/>
              <w:rPr>
                <w:sz w:val="21"/>
                <w:szCs w:val="21"/>
              </w:rPr>
            </w:pPr>
            <w:r w:rsidRPr="00B61464">
              <w:rPr>
                <w:sz w:val="21"/>
                <w:szCs w:val="21"/>
              </w:rPr>
              <w:t>79</w:t>
            </w:r>
            <w:r>
              <w:rPr>
                <w:sz w:val="21"/>
                <w:szCs w:val="21"/>
              </w:rPr>
              <w:t>,</w:t>
            </w:r>
            <w:r w:rsidRPr="00B61464">
              <w:rPr>
                <w:sz w:val="21"/>
                <w:szCs w:val="21"/>
              </w:rPr>
              <w:t>500</w:t>
            </w:r>
          </w:p>
        </w:tc>
      </w:tr>
      <w:tr w:rsidR="00B61464" w:rsidRPr="006C1AD5" w14:paraId="3777930E" w14:textId="064F4805" w:rsidTr="00F02BE3">
        <w:trPr>
          <w:trHeight w:val="317"/>
          <w:jc w:val="center"/>
        </w:trPr>
        <w:tc>
          <w:tcPr>
            <w:tcW w:w="0" w:type="auto"/>
            <w:vAlign w:val="center"/>
          </w:tcPr>
          <w:p w14:paraId="0E7F5FD6" w14:textId="2EDC6CD4" w:rsidR="00B61464" w:rsidRPr="00F02BE3" w:rsidRDefault="00B61464" w:rsidP="00F40DE9">
            <w:pPr>
              <w:pStyle w:val="NoSpacing"/>
              <w:rPr>
                <w:b/>
                <w:bCs/>
                <w:sz w:val="21"/>
                <w:szCs w:val="21"/>
              </w:rPr>
            </w:pPr>
            <w:r w:rsidRPr="00F02BE3">
              <w:rPr>
                <w:b/>
                <w:bCs/>
                <w:sz w:val="21"/>
                <w:szCs w:val="21"/>
              </w:rPr>
              <w:t xml:space="preserve">Lane </w:t>
            </w:r>
            <w:r w:rsidR="00F40DE9">
              <w:rPr>
                <w:b/>
                <w:bCs/>
                <w:sz w:val="21"/>
                <w:szCs w:val="21"/>
              </w:rPr>
              <w:t>W</w:t>
            </w:r>
            <w:r w:rsidRPr="00F02BE3">
              <w:rPr>
                <w:b/>
                <w:bCs/>
                <w:sz w:val="21"/>
                <w:szCs w:val="21"/>
              </w:rPr>
              <w:t>idth (</w:t>
            </w:r>
            <w:proofErr w:type="spellStart"/>
            <w:r w:rsidRPr="00F02BE3">
              <w:rPr>
                <w:b/>
                <w:bCs/>
                <w:sz w:val="21"/>
                <w:szCs w:val="21"/>
              </w:rPr>
              <w:t>ft</w:t>
            </w:r>
            <w:proofErr w:type="spellEnd"/>
            <w:r w:rsidRPr="00F02BE3">
              <w:rPr>
                <w:b/>
                <w:bCs/>
                <w:sz w:val="21"/>
                <w:szCs w:val="21"/>
              </w:rPr>
              <w:t>)</w:t>
            </w:r>
          </w:p>
        </w:tc>
        <w:tc>
          <w:tcPr>
            <w:tcW w:w="0" w:type="auto"/>
            <w:vAlign w:val="center"/>
          </w:tcPr>
          <w:p w14:paraId="6A934B55" w14:textId="7E537B4B" w:rsidR="00B61464" w:rsidRPr="00B61464" w:rsidRDefault="00B61464" w:rsidP="00B61464">
            <w:pPr>
              <w:pStyle w:val="NoSpacing"/>
              <w:rPr>
                <w:sz w:val="21"/>
                <w:szCs w:val="21"/>
              </w:rPr>
            </w:pPr>
            <w:r w:rsidRPr="00B61464">
              <w:rPr>
                <w:sz w:val="21"/>
                <w:szCs w:val="21"/>
              </w:rPr>
              <w:t>12.008</w:t>
            </w:r>
          </w:p>
        </w:tc>
        <w:tc>
          <w:tcPr>
            <w:tcW w:w="0" w:type="auto"/>
            <w:vAlign w:val="center"/>
          </w:tcPr>
          <w:p w14:paraId="2FBDFE1B" w14:textId="63ADF5F6" w:rsidR="00B61464" w:rsidRPr="00B61464" w:rsidRDefault="00B61464" w:rsidP="00B61464">
            <w:pPr>
              <w:pStyle w:val="NoSpacing"/>
              <w:rPr>
                <w:sz w:val="21"/>
                <w:szCs w:val="21"/>
              </w:rPr>
            </w:pPr>
            <w:r w:rsidRPr="00B61464">
              <w:rPr>
                <w:sz w:val="21"/>
                <w:szCs w:val="21"/>
              </w:rPr>
              <w:t>0.205</w:t>
            </w:r>
          </w:p>
        </w:tc>
        <w:tc>
          <w:tcPr>
            <w:tcW w:w="0" w:type="auto"/>
            <w:vAlign w:val="center"/>
          </w:tcPr>
          <w:p w14:paraId="25D8FC6F" w14:textId="23C1D92D" w:rsidR="00B61464" w:rsidRPr="00B61464" w:rsidRDefault="00B61464" w:rsidP="00B61464">
            <w:pPr>
              <w:pStyle w:val="NoSpacing"/>
              <w:rPr>
                <w:sz w:val="21"/>
                <w:szCs w:val="21"/>
              </w:rPr>
            </w:pPr>
            <w:r w:rsidRPr="00B61464">
              <w:rPr>
                <w:sz w:val="21"/>
                <w:szCs w:val="21"/>
              </w:rPr>
              <w:t>10</w:t>
            </w:r>
          </w:p>
        </w:tc>
        <w:tc>
          <w:tcPr>
            <w:tcW w:w="0" w:type="auto"/>
            <w:vAlign w:val="center"/>
          </w:tcPr>
          <w:p w14:paraId="0EA55F00" w14:textId="5EB56205" w:rsidR="00B61464" w:rsidRPr="00B61464" w:rsidRDefault="00B61464" w:rsidP="00B61464">
            <w:pPr>
              <w:pStyle w:val="NoSpacing"/>
              <w:rPr>
                <w:sz w:val="21"/>
                <w:szCs w:val="21"/>
              </w:rPr>
            </w:pPr>
            <w:r w:rsidRPr="00B61464">
              <w:rPr>
                <w:sz w:val="21"/>
                <w:szCs w:val="21"/>
              </w:rPr>
              <w:t>13</w:t>
            </w:r>
          </w:p>
        </w:tc>
        <w:tc>
          <w:tcPr>
            <w:tcW w:w="0" w:type="auto"/>
            <w:vAlign w:val="center"/>
          </w:tcPr>
          <w:p w14:paraId="636CCEEB" w14:textId="263B90DF" w:rsidR="00B61464" w:rsidRPr="00B61464" w:rsidRDefault="00B61464" w:rsidP="00B61464">
            <w:pPr>
              <w:pStyle w:val="NoSpacing"/>
              <w:rPr>
                <w:sz w:val="21"/>
                <w:szCs w:val="21"/>
              </w:rPr>
            </w:pPr>
            <w:r w:rsidRPr="00B61464">
              <w:rPr>
                <w:sz w:val="21"/>
                <w:szCs w:val="21"/>
              </w:rPr>
              <w:t>11.995</w:t>
            </w:r>
          </w:p>
        </w:tc>
        <w:tc>
          <w:tcPr>
            <w:tcW w:w="0" w:type="auto"/>
            <w:vAlign w:val="center"/>
          </w:tcPr>
          <w:p w14:paraId="604AFA77" w14:textId="5631936D" w:rsidR="00B61464" w:rsidRPr="00B61464" w:rsidRDefault="00B61464" w:rsidP="00B61464">
            <w:pPr>
              <w:pStyle w:val="NoSpacing"/>
              <w:rPr>
                <w:sz w:val="21"/>
                <w:szCs w:val="21"/>
              </w:rPr>
            </w:pPr>
            <w:r w:rsidRPr="00B61464">
              <w:rPr>
                <w:sz w:val="21"/>
                <w:szCs w:val="21"/>
              </w:rPr>
              <w:t>0.204</w:t>
            </w:r>
          </w:p>
        </w:tc>
        <w:tc>
          <w:tcPr>
            <w:tcW w:w="0" w:type="auto"/>
            <w:vAlign w:val="center"/>
          </w:tcPr>
          <w:p w14:paraId="63C7911F" w14:textId="46F1A353" w:rsidR="00B61464" w:rsidRPr="00B61464" w:rsidRDefault="00B61464" w:rsidP="00B61464">
            <w:pPr>
              <w:pStyle w:val="NoSpacing"/>
              <w:rPr>
                <w:sz w:val="21"/>
                <w:szCs w:val="21"/>
              </w:rPr>
            </w:pPr>
            <w:r w:rsidRPr="00B61464">
              <w:rPr>
                <w:sz w:val="21"/>
                <w:szCs w:val="21"/>
              </w:rPr>
              <w:t>11</w:t>
            </w:r>
          </w:p>
        </w:tc>
        <w:tc>
          <w:tcPr>
            <w:tcW w:w="0" w:type="auto"/>
            <w:vAlign w:val="center"/>
          </w:tcPr>
          <w:p w14:paraId="2A8AA9E8" w14:textId="3F13821E" w:rsidR="00B61464" w:rsidRPr="00B61464" w:rsidRDefault="00B61464" w:rsidP="00B61464">
            <w:pPr>
              <w:pStyle w:val="NoSpacing"/>
              <w:rPr>
                <w:sz w:val="21"/>
                <w:szCs w:val="21"/>
              </w:rPr>
            </w:pPr>
            <w:r w:rsidRPr="00B61464">
              <w:rPr>
                <w:sz w:val="21"/>
                <w:szCs w:val="21"/>
              </w:rPr>
              <w:t>13</w:t>
            </w:r>
          </w:p>
        </w:tc>
      </w:tr>
      <w:tr w:rsidR="00B61464" w:rsidRPr="006C1AD5" w14:paraId="5D8968BD" w14:textId="24A4E4B4" w:rsidTr="00F02BE3">
        <w:trPr>
          <w:trHeight w:val="307"/>
          <w:jc w:val="center"/>
        </w:trPr>
        <w:tc>
          <w:tcPr>
            <w:tcW w:w="0" w:type="auto"/>
            <w:vAlign w:val="center"/>
          </w:tcPr>
          <w:p w14:paraId="0151422D" w14:textId="77777777" w:rsidR="00B61464" w:rsidRPr="00F02BE3" w:rsidRDefault="00B61464" w:rsidP="00B61464">
            <w:pPr>
              <w:pStyle w:val="NoSpacing"/>
              <w:rPr>
                <w:b/>
                <w:bCs/>
                <w:sz w:val="21"/>
                <w:szCs w:val="21"/>
              </w:rPr>
            </w:pPr>
            <w:r w:rsidRPr="00F02BE3">
              <w:rPr>
                <w:b/>
                <w:bCs/>
                <w:sz w:val="21"/>
                <w:szCs w:val="21"/>
              </w:rPr>
              <w:t>Shoulder Width (</w:t>
            </w:r>
            <w:proofErr w:type="spellStart"/>
            <w:r w:rsidRPr="00F02BE3">
              <w:rPr>
                <w:b/>
                <w:bCs/>
                <w:sz w:val="21"/>
                <w:szCs w:val="21"/>
              </w:rPr>
              <w:t>ft</w:t>
            </w:r>
            <w:proofErr w:type="spellEnd"/>
            <w:r w:rsidRPr="00F02BE3">
              <w:rPr>
                <w:b/>
                <w:bCs/>
                <w:sz w:val="21"/>
                <w:szCs w:val="21"/>
              </w:rPr>
              <w:t>)</w:t>
            </w:r>
          </w:p>
        </w:tc>
        <w:tc>
          <w:tcPr>
            <w:tcW w:w="0" w:type="auto"/>
            <w:vAlign w:val="center"/>
          </w:tcPr>
          <w:p w14:paraId="19BA019F" w14:textId="6F7E4F60" w:rsidR="00B61464" w:rsidRPr="00B61464" w:rsidRDefault="00B61464" w:rsidP="00B61464">
            <w:pPr>
              <w:pStyle w:val="NoSpacing"/>
              <w:rPr>
                <w:sz w:val="21"/>
                <w:szCs w:val="21"/>
              </w:rPr>
            </w:pPr>
            <w:r w:rsidRPr="00B61464">
              <w:rPr>
                <w:sz w:val="21"/>
                <w:szCs w:val="21"/>
              </w:rPr>
              <w:t>4.752</w:t>
            </w:r>
          </w:p>
        </w:tc>
        <w:tc>
          <w:tcPr>
            <w:tcW w:w="0" w:type="auto"/>
            <w:vAlign w:val="center"/>
          </w:tcPr>
          <w:p w14:paraId="0FDCE075" w14:textId="5BB815DA" w:rsidR="00B61464" w:rsidRPr="00B61464" w:rsidRDefault="00B61464" w:rsidP="00B61464">
            <w:pPr>
              <w:pStyle w:val="NoSpacing"/>
              <w:rPr>
                <w:sz w:val="21"/>
                <w:szCs w:val="21"/>
              </w:rPr>
            </w:pPr>
            <w:r w:rsidRPr="00B61464">
              <w:rPr>
                <w:sz w:val="21"/>
                <w:szCs w:val="21"/>
              </w:rPr>
              <w:t>1.669</w:t>
            </w:r>
          </w:p>
        </w:tc>
        <w:tc>
          <w:tcPr>
            <w:tcW w:w="0" w:type="auto"/>
            <w:vAlign w:val="center"/>
          </w:tcPr>
          <w:p w14:paraId="41E870F9" w14:textId="402B2F53" w:rsidR="00B61464" w:rsidRPr="00B61464" w:rsidRDefault="00B61464" w:rsidP="00B61464">
            <w:pPr>
              <w:pStyle w:val="NoSpacing"/>
              <w:rPr>
                <w:sz w:val="21"/>
                <w:szCs w:val="21"/>
              </w:rPr>
            </w:pPr>
            <w:r w:rsidRPr="00B61464">
              <w:rPr>
                <w:sz w:val="21"/>
                <w:szCs w:val="21"/>
              </w:rPr>
              <w:t>1.5</w:t>
            </w:r>
          </w:p>
        </w:tc>
        <w:tc>
          <w:tcPr>
            <w:tcW w:w="0" w:type="auto"/>
            <w:vAlign w:val="center"/>
          </w:tcPr>
          <w:p w14:paraId="484043E4" w14:textId="53C368E7" w:rsidR="00B61464" w:rsidRPr="00B61464" w:rsidRDefault="00B61464" w:rsidP="00B61464">
            <w:pPr>
              <w:pStyle w:val="NoSpacing"/>
              <w:rPr>
                <w:sz w:val="21"/>
                <w:szCs w:val="21"/>
              </w:rPr>
            </w:pPr>
            <w:r w:rsidRPr="00B61464">
              <w:rPr>
                <w:sz w:val="21"/>
                <w:szCs w:val="21"/>
              </w:rPr>
              <w:t>12</w:t>
            </w:r>
          </w:p>
        </w:tc>
        <w:tc>
          <w:tcPr>
            <w:tcW w:w="0" w:type="auto"/>
            <w:vAlign w:val="center"/>
          </w:tcPr>
          <w:p w14:paraId="1AC1DABE" w14:textId="6A738001" w:rsidR="00B61464" w:rsidRPr="00B61464" w:rsidRDefault="00B61464" w:rsidP="00B61464">
            <w:pPr>
              <w:pStyle w:val="NoSpacing"/>
              <w:rPr>
                <w:sz w:val="21"/>
                <w:szCs w:val="21"/>
              </w:rPr>
            </w:pPr>
            <w:r w:rsidRPr="00B61464">
              <w:rPr>
                <w:sz w:val="21"/>
                <w:szCs w:val="21"/>
              </w:rPr>
              <w:t>6.370</w:t>
            </w:r>
          </w:p>
        </w:tc>
        <w:tc>
          <w:tcPr>
            <w:tcW w:w="0" w:type="auto"/>
            <w:vAlign w:val="center"/>
          </w:tcPr>
          <w:p w14:paraId="19F16A58" w14:textId="6C028EA9" w:rsidR="00B61464" w:rsidRPr="00B61464" w:rsidRDefault="00B61464" w:rsidP="00B61464">
            <w:pPr>
              <w:pStyle w:val="NoSpacing"/>
              <w:rPr>
                <w:sz w:val="21"/>
                <w:szCs w:val="21"/>
              </w:rPr>
            </w:pPr>
            <w:r w:rsidRPr="00B61464">
              <w:rPr>
                <w:sz w:val="21"/>
                <w:szCs w:val="21"/>
              </w:rPr>
              <w:t>2.013</w:t>
            </w:r>
          </w:p>
        </w:tc>
        <w:tc>
          <w:tcPr>
            <w:tcW w:w="0" w:type="auto"/>
            <w:vAlign w:val="center"/>
          </w:tcPr>
          <w:p w14:paraId="673A2526" w14:textId="3927E39A" w:rsidR="00B61464" w:rsidRPr="00B61464" w:rsidRDefault="00B61464" w:rsidP="00B61464">
            <w:pPr>
              <w:pStyle w:val="NoSpacing"/>
              <w:rPr>
                <w:sz w:val="21"/>
                <w:szCs w:val="21"/>
              </w:rPr>
            </w:pPr>
            <w:r w:rsidRPr="00B61464">
              <w:rPr>
                <w:sz w:val="21"/>
                <w:szCs w:val="21"/>
              </w:rPr>
              <w:t>0</w:t>
            </w:r>
          </w:p>
        </w:tc>
        <w:tc>
          <w:tcPr>
            <w:tcW w:w="0" w:type="auto"/>
            <w:vAlign w:val="center"/>
          </w:tcPr>
          <w:p w14:paraId="64E68270" w14:textId="4A536EAD" w:rsidR="00B61464" w:rsidRPr="00B61464" w:rsidRDefault="00B61464" w:rsidP="00B61464">
            <w:pPr>
              <w:pStyle w:val="NoSpacing"/>
              <w:rPr>
                <w:sz w:val="21"/>
                <w:szCs w:val="21"/>
              </w:rPr>
            </w:pPr>
            <w:r w:rsidRPr="00B61464">
              <w:rPr>
                <w:sz w:val="21"/>
                <w:szCs w:val="21"/>
              </w:rPr>
              <w:t>11</w:t>
            </w:r>
          </w:p>
        </w:tc>
      </w:tr>
      <w:tr w:rsidR="00B61464" w:rsidRPr="006C1AD5" w14:paraId="1CDE396F" w14:textId="7A26F39A" w:rsidTr="00F02BE3">
        <w:trPr>
          <w:trHeight w:val="307"/>
          <w:jc w:val="center"/>
        </w:trPr>
        <w:tc>
          <w:tcPr>
            <w:tcW w:w="0" w:type="auto"/>
            <w:tcBorders>
              <w:bottom w:val="double" w:sz="4" w:space="0" w:color="auto"/>
            </w:tcBorders>
            <w:vAlign w:val="center"/>
          </w:tcPr>
          <w:p w14:paraId="7B841264" w14:textId="77777777" w:rsidR="00B61464" w:rsidRPr="00F02BE3" w:rsidRDefault="00B61464" w:rsidP="00B61464">
            <w:pPr>
              <w:pStyle w:val="NoSpacing"/>
              <w:rPr>
                <w:b/>
                <w:bCs/>
                <w:sz w:val="21"/>
                <w:szCs w:val="21"/>
              </w:rPr>
            </w:pPr>
            <w:r w:rsidRPr="00F02BE3">
              <w:rPr>
                <w:b/>
                <w:bCs/>
                <w:sz w:val="21"/>
                <w:szCs w:val="21"/>
              </w:rPr>
              <w:t>Median Width (</w:t>
            </w:r>
            <w:proofErr w:type="spellStart"/>
            <w:r w:rsidRPr="00F02BE3">
              <w:rPr>
                <w:b/>
                <w:bCs/>
                <w:sz w:val="21"/>
                <w:szCs w:val="21"/>
              </w:rPr>
              <w:t>ft</w:t>
            </w:r>
            <w:proofErr w:type="spellEnd"/>
            <w:r w:rsidRPr="00F02BE3">
              <w:rPr>
                <w:b/>
                <w:bCs/>
                <w:sz w:val="21"/>
                <w:szCs w:val="21"/>
              </w:rPr>
              <w:t>)</w:t>
            </w:r>
          </w:p>
        </w:tc>
        <w:tc>
          <w:tcPr>
            <w:tcW w:w="0" w:type="auto"/>
            <w:tcBorders>
              <w:bottom w:val="double" w:sz="4" w:space="0" w:color="auto"/>
            </w:tcBorders>
            <w:vAlign w:val="center"/>
          </w:tcPr>
          <w:p w14:paraId="07310FD4" w14:textId="0A9C5963" w:rsidR="00B61464" w:rsidRPr="00B61464" w:rsidRDefault="00B61464" w:rsidP="00B61464">
            <w:pPr>
              <w:pStyle w:val="NoSpacing"/>
              <w:rPr>
                <w:sz w:val="21"/>
                <w:szCs w:val="21"/>
              </w:rPr>
            </w:pPr>
            <w:r w:rsidRPr="00B61464">
              <w:rPr>
                <w:sz w:val="21"/>
                <w:szCs w:val="21"/>
              </w:rPr>
              <w:t>40.429</w:t>
            </w:r>
          </w:p>
        </w:tc>
        <w:tc>
          <w:tcPr>
            <w:tcW w:w="0" w:type="auto"/>
            <w:tcBorders>
              <w:bottom w:val="double" w:sz="4" w:space="0" w:color="auto"/>
            </w:tcBorders>
            <w:vAlign w:val="center"/>
          </w:tcPr>
          <w:p w14:paraId="0038E2E1" w14:textId="2B1DDAEC" w:rsidR="00B61464" w:rsidRPr="00B61464" w:rsidRDefault="00B61464" w:rsidP="00B61464">
            <w:pPr>
              <w:pStyle w:val="NoSpacing"/>
              <w:rPr>
                <w:sz w:val="21"/>
                <w:szCs w:val="21"/>
              </w:rPr>
            </w:pPr>
            <w:r w:rsidRPr="00B61464">
              <w:rPr>
                <w:sz w:val="21"/>
                <w:szCs w:val="21"/>
              </w:rPr>
              <w:t>23.504</w:t>
            </w:r>
          </w:p>
        </w:tc>
        <w:tc>
          <w:tcPr>
            <w:tcW w:w="0" w:type="auto"/>
            <w:tcBorders>
              <w:bottom w:val="double" w:sz="4" w:space="0" w:color="auto"/>
            </w:tcBorders>
            <w:vAlign w:val="center"/>
          </w:tcPr>
          <w:p w14:paraId="59CD0B05" w14:textId="33644CCD" w:rsidR="00B61464" w:rsidRPr="00B61464" w:rsidRDefault="00B61464" w:rsidP="00B61464">
            <w:pPr>
              <w:pStyle w:val="NoSpacing"/>
              <w:rPr>
                <w:sz w:val="21"/>
                <w:szCs w:val="21"/>
              </w:rPr>
            </w:pPr>
            <w:r w:rsidRPr="00B61464">
              <w:rPr>
                <w:sz w:val="21"/>
                <w:szCs w:val="21"/>
              </w:rPr>
              <w:t>8</w:t>
            </w:r>
          </w:p>
        </w:tc>
        <w:tc>
          <w:tcPr>
            <w:tcW w:w="0" w:type="auto"/>
            <w:tcBorders>
              <w:bottom w:val="double" w:sz="4" w:space="0" w:color="auto"/>
            </w:tcBorders>
            <w:vAlign w:val="center"/>
          </w:tcPr>
          <w:p w14:paraId="1E068912" w14:textId="29E32FBD" w:rsidR="00B61464" w:rsidRPr="00B61464" w:rsidRDefault="00B61464" w:rsidP="00B61464">
            <w:pPr>
              <w:pStyle w:val="NoSpacing"/>
              <w:rPr>
                <w:sz w:val="21"/>
                <w:szCs w:val="21"/>
              </w:rPr>
            </w:pPr>
            <w:r w:rsidRPr="00B61464">
              <w:rPr>
                <w:sz w:val="21"/>
                <w:szCs w:val="21"/>
              </w:rPr>
              <w:t>140</w:t>
            </w:r>
          </w:p>
        </w:tc>
        <w:tc>
          <w:tcPr>
            <w:tcW w:w="0" w:type="auto"/>
            <w:tcBorders>
              <w:bottom w:val="double" w:sz="4" w:space="0" w:color="auto"/>
            </w:tcBorders>
            <w:vAlign w:val="center"/>
          </w:tcPr>
          <w:p w14:paraId="1B81DD6C" w14:textId="7DC9B39E" w:rsidR="00B61464" w:rsidRPr="00B61464" w:rsidRDefault="00B61464" w:rsidP="00B61464">
            <w:pPr>
              <w:pStyle w:val="NoSpacing"/>
              <w:rPr>
                <w:sz w:val="21"/>
                <w:szCs w:val="21"/>
              </w:rPr>
            </w:pPr>
            <w:r w:rsidRPr="00B61464">
              <w:rPr>
                <w:sz w:val="21"/>
                <w:szCs w:val="21"/>
              </w:rPr>
              <w:t>42.699</w:t>
            </w:r>
          </w:p>
        </w:tc>
        <w:tc>
          <w:tcPr>
            <w:tcW w:w="0" w:type="auto"/>
            <w:tcBorders>
              <w:bottom w:val="double" w:sz="4" w:space="0" w:color="auto"/>
            </w:tcBorders>
            <w:vAlign w:val="center"/>
          </w:tcPr>
          <w:p w14:paraId="60183CB8" w14:textId="3DFCAD42" w:rsidR="00B61464" w:rsidRPr="00B61464" w:rsidRDefault="00B61464" w:rsidP="00B61464">
            <w:pPr>
              <w:pStyle w:val="NoSpacing"/>
              <w:rPr>
                <w:sz w:val="21"/>
                <w:szCs w:val="21"/>
              </w:rPr>
            </w:pPr>
            <w:r w:rsidRPr="00B61464">
              <w:rPr>
                <w:sz w:val="21"/>
                <w:szCs w:val="21"/>
              </w:rPr>
              <w:t>30.238</w:t>
            </w:r>
          </w:p>
        </w:tc>
        <w:tc>
          <w:tcPr>
            <w:tcW w:w="0" w:type="auto"/>
            <w:tcBorders>
              <w:bottom w:val="double" w:sz="4" w:space="0" w:color="auto"/>
            </w:tcBorders>
            <w:vAlign w:val="center"/>
          </w:tcPr>
          <w:p w14:paraId="48BAFDBF" w14:textId="218F965E" w:rsidR="00B61464" w:rsidRPr="00B61464" w:rsidRDefault="00B61464" w:rsidP="00B61464">
            <w:pPr>
              <w:pStyle w:val="NoSpacing"/>
              <w:rPr>
                <w:sz w:val="21"/>
                <w:szCs w:val="21"/>
              </w:rPr>
            </w:pPr>
            <w:r w:rsidRPr="00B61464">
              <w:rPr>
                <w:sz w:val="21"/>
                <w:szCs w:val="21"/>
              </w:rPr>
              <w:t>5</w:t>
            </w:r>
          </w:p>
        </w:tc>
        <w:tc>
          <w:tcPr>
            <w:tcW w:w="0" w:type="auto"/>
            <w:tcBorders>
              <w:bottom w:val="double" w:sz="4" w:space="0" w:color="auto"/>
            </w:tcBorders>
            <w:vAlign w:val="center"/>
          </w:tcPr>
          <w:p w14:paraId="435C50E2" w14:textId="1C886260" w:rsidR="00B61464" w:rsidRPr="00B61464" w:rsidRDefault="00B61464" w:rsidP="00B61464">
            <w:pPr>
              <w:pStyle w:val="NoSpacing"/>
              <w:rPr>
                <w:sz w:val="21"/>
                <w:szCs w:val="21"/>
              </w:rPr>
            </w:pPr>
            <w:r w:rsidRPr="00B61464">
              <w:rPr>
                <w:sz w:val="21"/>
                <w:szCs w:val="21"/>
              </w:rPr>
              <w:t>99</w:t>
            </w:r>
          </w:p>
        </w:tc>
      </w:tr>
      <w:tr w:rsidR="006C1AD5" w:rsidRPr="006C1AD5" w14:paraId="0FA264CE" w14:textId="77777777" w:rsidTr="00F02BE3">
        <w:trPr>
          <w:trHeight w:val="307"/>
          <w:jc w:val="center"/>
        </w:trPr>
        <w:tc>
          <w:tcPr>
            <w:tcW w:w="0" w:type="auto"/>
            <w:tcBorders>
              <w:top w:val="single" w:sz="4" w:space="0" w:color="auto"/>
            </w:tcBorders>
            <w:vAlign w:val="center"/>
          </w:tcPr>
          <w:p w14:paraId="6F969619" w14:textId="77777777" w:rsidR="00DD61CC" w:rsidRPr="00F02BE3" w:rsidRDefault="00DD61CC" w:rsidP="00F02BE3">
            <w:pPr>
              <w:pStyle w:val="NoSpacing"/>
              <w:rPr>
                <w:b/>
                <w:bCs/>
                <w:sz w:val="21"/>
                <w:szCs w:val="21"/>
              </w:rPr>
            </w:pPr>
          </w:p>
        </w:tc>
        <w:tc>
          <w:tcPr>
            <w:tcW w:w="0" w:type="auto"/>
            <w:gridSpan w:val="8"/>
            <w:tcBorders>
              <w:top w:val="single" w:sz="4" w:space="0" w:color="auto"/>
            </w:tcBorders>
            <w:vAlign w:val="center"/>
          </w:tcPr>
          <w:p w14:paraId="148A105C" w14:textId="762B342B" w:rsidR="00DD61CC" w:rsidRPr="00F02BE3" w:rsidRDefault="00DD61CC" w:rsidP="00F02BE3">
            <w:pPr>
              <w:pStyle w:val="NoSpacing"/>
              <w:rPr>
                <w:sz w:val="21"/>
                <w:szCs w:val="21"/>
              </w:rPr>
            </w:pPr>
            <w:r w:rsidRPr="00F02BE3">
              <w:rPr>
                <w:b/>
                <w:sz w:val="21"/>
                <w:szCs w:val="21"/>
              </w:rPr>
              <w:t>Crashes Per Hundred Million Vehicle Miles Traveled Per Year</w:t>
            </w:r>
          </w:p>
        </w:tc>
      </w:tr>
      <w:tr w:rsidR="002E6CE9" w:rsidRPr="006C1AD5" w14:paraId="0A98BED2" w14:textId="4F389B58" w:rsidTr="00BC0489">
        <w:trPr>
          <w:trHeight w:val="307"/>
          <w:jc w:val="center"/>
        </w:trPr>
        <w:tc>
          <w:tcPr>
            <w:tcW w:w="0" w:type="auto"/>
            <w:tcBorders>
              <w:top w:val="single" w:sz="4" w:space="0" w:color="auto"/>
            </w:tcBorders>
            <w:vAlign w:val="center"/>
          </w:tcPr>
          <w:p w14:paraId="144E21F5" w14:textId="038E7E7B" w:rsidR="002E6CE9" w:rsidRPr="00F02BE3" w:rsidRDefault="002E6CE9" w:rsidP="002E6CE9">
            <w:pPr>
              <w:pStyle w:val="NoSpacing"/>
              <w:rPr>
                <w:b/>
                <w:bCs/>
                <w:sz w:val="21"/>
                <w:szCs w:val="21"/>
              </w:rPr>
            </w:pPr>
            <w:r w:rsidRPr="00F02BE3">
              <w:rPr>
                <w:b/>
                <w:bCs/>
                <w:sz w:val="21"/>
                <w:szCs w:val="21"/>
              </w:rPr>
              <w:t>KABCO</w:t>
            </w:r>
          </w:p>
        </w:tc>
        <w:tc>
          <w:tcPr>
            <w:tcW w:w="0" w:type="auto"/>
            <w:gridSpan w:val="4"/>
            <w:tcBorders>
              <w:top w:val="single" w:sz="4" w:space="0" w:color="auto"/>
            </w:tcBorders>
            <w:vAlign w:val="center"/>
          </w:tcPr>
          <w:p w14:paraId="20B0AC4E" w14:textId="6D23B728" w:rsidR="002E6CE9" w:rsidRPr="00792EA4" w:rsidRDefault="002E6CE9" w:rsidP="002E6CE9">
            <w:pPr>
              <w:pStyle w:val="NoSpacing"/>
              <w:rPr>
                <w:sz w:val="21"/>
                <w:szCs w:val="21"/>
              </w:rPr>
            </w:pPr>
            <w:r w:rsidRPr="00792EA4">
              <w:rPr>
                <w:color w:val="000000"/>
                <w:sz w:val="21"/>
                <w:szCs w:val="21"/>
              </w:rPr>
              <w:t>22.704</w:t>
            </w:r>
          </w:p>
        </w:tc>
        <w:tc>
          <w:tcPr>
            <w:tcW w:w="0" w:type="auto"/>
            <w:gridSpan w:val="4"/>
            <w:tcBorders>
              <w:top w:val="single" w:sz="4" w:space="0" w:color="auto"/>
            </w:tcBorders>
            <w:vAlign w:val="center"/>
          </w:tcPr>
          <w:p w14:paraId="49AC6193" w14:textId="0D02E047" w:rsidR="002E6CE9" w:rsidRPr="00792EA4" w:rsidRDefault="002E6CE9" w:rsidP="002E6CE9">
            <w:pPr>
              <w:pStyle w:val="NoSpacing"/>
              <w:rPr>
                <w:sz w:val="21"/>
                <w:szCs w:val="21"/>
              </w:rPr>
            </w:pPr>
            <w:r w:rsidRPr="00792EA4">
              <w:rPr>
                <w:color w:val="000000"/>
                <w:sz w:val="21"/>
                <w:szCs w:val="21"/>
              </w:rPr>
              <w:t>43.712</w:t>
            </w:r>
          </w:p>
        </w:tc>
      </w:tr>
      <w:tr w:rsidR="002E6CE9" w:rsidRPr="006C1AD5" w14:paraId="3C5EF82E" w14:textId="75281FBD" w:rsidTr="00BC0489">
        <w:trPr>
          <w:trHeight w:val="307"/>
          <w:jc w:val="center"/>
        </w:trPr>
        <w:tc>
          <w:tcPr>
            <w:tcW w:w="0" w:type="auto"/>
            <w:vAlign w:val="center"/>
          </w:tcPr>
          <w:p w14:paraId="20DD312B" w14:textId="2ADFEB45" w:rsidR="002E6CE9" w:rsidRPr="006C1AD5" w:rsidRDefault="002E6CE9" w:rsidP="002E6CE9">
            <w:pPr>
              <w:pStyle w:val="NoSpacing"/>
              <w:rPr>
                <w:b/>
                <w:bCs/>
                <w:sz w:val="21"/>
                <w:szCs w:val="21"/>
              </w:rPr>
            </w:pPr>
            <w:r w:rsidRPr="006C1AD5">
              <w:rPr>
                <w:b/>
                <w:bCs/>
                <w:sz w:val="21"/>
                <w:szCs w:val="21"/>
              </w:rPr>
              <w:t>KAB</w:t>
            </w:r>
          </w:p>
        </w:tc>
        <w:tc>
          <w:tcPr>
            <w:tcW w:w="0" w:type="auto"/>
            <w:gridSpan w:val="4"/>
            <w:vAlign w:val="center"/>
          </w:tcPr>
          <w:p w14:paraId="7FC33C5A" w14:textId="57681B64" w:rsidR="002E6CE9" w:rsidRPr="00792EA4" w:rsidRDefault="002E6CE9" w:rsidP="002E6CE9">
            <w:pPr>
              <w:pStyle w:val="NoSpacing"/>
              <w:rPr>
                <w:sz w:val="21"/>
                <w:szCs w:val="21"/>
              </w:rPr>
            </w:pPr>
            <w:r w:rsidRPr="00792EA4">
              <w:rPr>
                <w:color w:val="000000"/>
                <w:sz w:val="21"/>
                <w:szCs w:val="21"/>
              </w:rPr>
              <w:t>8.213</w:t>
            </w:r>
          </w:p>
        </w:tc>
        <w:tc>
          <w:tcPr>
            <w:tcW w:w="0" w:type="auto"/>
            <w:gridSpan w:val="4"/>
            <w:vAlign w:val="center"/>
          </w:tcPr>
          <w:p w14:paraId="1F567F9C" w14:textId="4262B027" w:rsidR="002E6CE9" w:rsidRPr="00792EA4" w:rsidRDefault="002E6CE9" w:rsidP="002E6CE9">
            <w:pPr>
              <w:pStyle w:val="NoSpacing"/>
              <w:rPr>
                <w:sz w:val="21"/>
                <w:szCs w:val="21"/>
              </w:rPr>
            </w:pPr>
            <w:r w:rsidRPr="00792EA4">
              <w:rPr>
                <w:color w:val="000000"/>
                <w:sz w:val="21"/>
                <w:szCs w:val="21"/>
              </w:rPr>
              <w:t>7.928</w:t>
            </w:r>
          </w:p>
        </w:tc>
      </w:tr>
    </w:tbl>
    <w:p w14:paraId="692C21F1" w14:textId="6103C3CB" w:rsidR="007B3BD6" w:rsidRDefault="007B3BD6" w:rsidP="008A115E"/>
    <w:p w14:paraId="06224041" w14:textId="77777777" w:rsidR="00DD61CC" w:rsidRDefault="00DD61CC" w:rsidP="008A115E">
      <w:pPr>
        <w:sectPr w:rsidR="00DD61CC" w:rsidSect="001C5A09">
          <w:pgSz w:w="15840" w:h="12240" w:orient="landscape"/>
          <w:pgMar w:top="1440" w:right="1440" w:bottom="1440" w:left="1440" w:header="720" w:footer="720" w:gutter="0"/>
          <w:lnNumType w:countBy="1"/>
          <w:pgNumType w:start="6"/>
          <w:cols w:space="720"/>
          <w:docGrid w:linePitch="360"/>
        </w:sectPr>
      </w:pPr>
    </w:p>
    <w:p w14:paraId="48F76565" w14:textId="4E26DA7D" w:rsidR="00904A4C" w:rsidRDefault="006E7CD8" w:rsidP="00F02BE3">
      <w:r w:rsidRPr="00910E3A">
        <w:lastRenderedPageBreak/>
        <w:t xml:space="preserve">Large differences in geometric characteristics may inhibit improvements in model fits after incorporating informative priors. </w:t>
      </w:r>
      <w:r w:rsidR="004F50E5" w:rsidRPr="00910E3A">
        <w:t>From</w:t>
      </w:r>
      <w:r w:rsidR="00381E48">
        <w:t xml:space="preserve"> Table 1</w:t>
      </w:r>
      <w:r w:rsidR="004F50E5" w:rsidRPr="00910E3A">
        <w:t xml:space="preserve">, it can be observed that Florida’s shoulders are narrower than those of </w:t>
      </w:r>
      <w:r w:rsidR="006C1AD5">
        <w:t>California</w:t>
      </w:r>
      <w:r w:rsidR="004F50E5" w:rsidRPr="00910E3A">
        <w:t>, as indicated by the mean</w:t>
      </w:r>
      <w:r w:rsidR="00D049D0">
        <w:t>s</w:t>
      </w:r>
      <w:r w:rsidR="004F50E5" w:rsidRPr="00910E3A">
        <w:t>. The variation i</w:t>
      </w:r>
      <w:r w:rsidR="00DF244B" w:rsidRPr="00910E3A">
        <w:t>n</w:t>
      </w:r>
      <w:r w:rsidR="004F50E5" w:rsidRPr="00910E3A">
        <w:t xml:space="preserve"> shoulder widths in Flori</w:t>
      </w:r>
      <w:r w:rsidR="00D049D0">
        <w:t>da is marginally less than that of shoulder widths</w:t>
      </w:r>
      <w:r w:rsidR="004F50E5" w:rsidRPr="00910E3A">
        <w:t xml:space="preserve"> of California</w:t>
      </w:r>
      <w:r w:rsidR="006C1AD5">
        <w:t xml:space="preserve"> as well</w:t>
      </w:r>
      <w:r w:rsidR="004F50E5" w:rsidRPr="00910E3A">
        <w:t>. It should</w:t>
      </w:r>
      <w:r w:rsidR="0035635B">
        <w:t xml:space="preserve"> also</w:t>
      </w:r>
      <w:r w:rsidR="004F50E5" w:rsidRPr="00910E3A">
        <w:t xml:space="preserve"> be noted that the variation in median widths is large</w:t>
      </w:r>
      <w:r w:rsidR="006C1AD5">
        <w:t>r</w:t>
      </w:r>
      <w:r w:rsidR="004F50E5" w:rsidRPr="00910E3A">
        <w:t xml:space="preserve"> for California’</w:t>
      </w:r>
      <w:r w:rsidRPr="00910E3A">
        <w:t>s segments.</w:t>
      </w:r>
      <w:r w:rsidR="004B4FA6">
        <w:t xml:space="preserve"> Also, California experiences</w:t>
      </w:r>
      <w:r w:rsidR="006C1AD5">
        <w:t xml:space="preserve"> a</w:t>
      </w:r>
      <w:r w:rsidR="004B4FA6">
        <w:t xml:space="preserve"> </w:t>
      </w:r>
      <w:r w:rsidR="006C1AD5">
        <w:t>greater</w:t>
      </w:r>
      <w:r w:rsidR="004B4FA6">
        <w:t xml:space="preserve"> KABCO crash rate while the opposite is the case for KAB crashes. </w:t>
      </w:r>
    </w:p>
    <w:p w14:paraId="0966A9AA" w14:textId="77777777" w:rsidR="00F71667" w:rsidRDefault="00F71667" w:rsidP="00F71667">
      <w:pPr>
        <w:pStyle w:val="Heading1"/>
      </w:pPr>
      <w:r w:rsidRPr="00382739">
        <w:t>Research Methodology</w:t>
      </w:r>
    </w:p>
    <w:p w14:paraId="652A432B" w14:textId="77777777" w:rsidR="009C1230" w:rsidRPr="00502845" w:rsidRDefault="009C1230" w:rsidP="00382739">
      <w:pPr>
        <w:spacing w:after="0"/>
      </w:pPr>
    </w:p>
    <w:p w14:paraId="6D2A7790" w14:textId="6EFD3648" w:rsidR="00A10CCB" w:rsidRPr="007C5AC8" w:rsidRDefault="00F57412" w:rsidP="00AC7D88">
      <w:pPr>
        <w:rPr>
          <w:rFonts w:eastAsiaTheme="minorEastAsia"/>
        </w:rPr>
      </w:pPr>
      <w:r w:rsidRPr="00910E3A">
        <w:t xml:space="preserve">The </w:t>
      </w:r>
      <w:r w:rsidR="006D3A3D">
        <w:t>negative binomial</w:t>
      </w:r>
      <w:r w:rsidRPr="00910E3A">
        <w:t xml:space="preserve"> framework is used as the traditional structure for developing </w:t>
      </w:r>
      <w:r w:rsidR="00AC7D88">
        <w:t>SPFs</w:t>
      </w:r>
      <w:r w:rsidRPr="007C5AC8">
        <w:t>. That is because the over-dispersion is accommodated</w:t>
      </w:r>
      <w:r w:rsidR="00DF244B" w:rsidRPr="007C5AC8">
        <w:t xml:space="preserve"> </w:t>
      </w:r>
      <w:r w:rsidR="00DF244B" w:rsidRPr="006C1AD5">
        <w:rPr>
          <w:iCs/>
        </w:rPr>
        <w:t>(</w:t>
      </w:r>
      <w:r w:rsidR="007C5AC8">
        <w:rPr>
          <w:iCs/>
        </w:rPr>
        <w:t>Lord et al., 2005</w:t>
      </w:r>
      <w:r w:rsidR="00DF244B" w:rsidRPr="006C1AD5">
        <w:rPr>
          <w:iCs/>
        </w:rPr>
        <w:t>)</w:t>
      </w:r>
      <w:r w:rsidRPr="007C5AC8">
        <w:t>.</w:t>
      </w:r>
      <w:r w:rsidR="00DE3C86" w:rsidRPr="007C5AC8">
        <w:t xml:space="preserve"> </w:t>
      </w:r>
      <w:r w:rsidR="006E7CD8" w:rsidRPr="007C5AC8">
        <w:t>The research approach</w:t>
      </w:r>
      <w:r w:rsidR="006C1AD5">
        <w:t>,</w:t>
      </w:r>
      <w:r w:rsidR="006E7CD8" w:rsidRPr="007C5AC8">
        <w:t xml:space="preserve"> employe</w:t>
      </w:r>
      <w:r w:rsidR="006C1AD5">
        <w:t>d,</w:t>
      </w:r>
      <w:r w:rsidR="006E7CD8" w:rsidRPr="007C5AC8">
        <w:t xml:space="preserve"> is the application of Bayesian</w:t>
      </w:r>
      <w:r w:rsidR="00A15530" w:rsidRPr="007C5AC8">
        <w:t xml:space="preserve"> </w:t>
      </w:r>
      <w:r w:rsidR="000D4BBD" w:rsidRPr="007C5AC8">
        <w:t>inference</w:t>
      </w:r>
      <w:r w:rsidR="006E7CD8" w:rsidRPr="007C5AC8">
        <w:t xml:space="preserve"> </w:t>
      </w:r>
      <w:r w:rsidR="00E763BA" w:rsidRPr="007C5AC8">
        <w:t xml:space="preserve">to estimate </w:t>
      </w:r>
      <w:r w:rsidR="006D3A3D" w:rsidRPr="007C5AC8">
        <w:t>negative binomial</w:t>
      </w:r>
      <w:r w:rsidR="00E763BA" w:rsidRPr="007C5AC8">
        <w:t xml:space="preserve"> models.</w:t>
      </w:r>
      <w:r w:rsidR="00A15530" w:rsidRPr="007C5AC8">
        <w:t xml:space="preserve"> </w:t>
      </w:r>
      <w:r w:rsidR="004667F7" w:rsidRPr="007C5AC8">
        <w:t xml:space="preserve">Under the </w:t>
      </w:r>
      <w:r w:rsidR="006D3A3D" w:rsidRPr="007C5AC8">
        <w:t>negative binomial</w:t>
      </w:r>
      <w:r w:rsidR="004667F7" w:rsidRPr="007C5AC8">
        <w:t xml:space="preserve"> model, t</w:t>
      </w:r>
      <w:r w:rsidR="00A15530" w:rsidRPr="007C5AC8">
        <w:t xml:space="preserve">he </w:t>
      </w:r>
      <w:r w:rsidR="004667F7" w:rsidRPr="007C5AC8">
        <w:t xml:space="preserve">probability, </w:t>
      </w:r>
      <w:r w:rsidR="004667F7" w:rsidRPr="007C5AC8">
        <w:rPr>
          <w:i/>
        </w:rPr>
        <w:t>p</w:t>
      </w:r>
      <w:r w:rsidR="004667F7" w:rsidRPr="007C5AC8">
        <w:t xml:space="preserve">, of a crash at site, </w:t>
      </w:r>
      <w:proofErr w:type="spellStart"/>
      <w:r w:rsidR="004667F7" w:rsidRPr="007C5AC8">
        <w:rPr>
          <w:i/>
        </w:rPr>
        <w:t>i</w:t>
      </w:r>
      <w:proofErr w:type="spellEnd"/>
      <w:r w:rsidR="004667F7" w:rsidRPr="007C5AC8">
        <w:t>, is given by the following function</w:t>
      </w:r>
      <w:r w:rsidR="00907D6E" w:rsidRPr="007C5AC8">
        <w:t xml:space="preserve"> </w:t>
      </w:r>
      <w:r w:rsidR="00907D6E" w:rsidRPr="006C1AD5">
        <w:rPr>
          <w:iCs/>
        </w:rPr>
        <w:t>(</w:t>
      </w:r>
      <w:r w:rsidR="007C5AC8">
        <w:rPr>
          <w:iCs/>
        </w:rPr>
        <w:t>Lord and Miranda-Moreno, 2008</w:t>
      </w:r>
      <w:r w:rsidR="00907D6E" w:rsidRPr="006C1AD5">
        <w:rPr>
          <w:iCs/>
        </w:rPr>
        <w:t>)</w:t>
      </w:r>
      <w:r w:rsidR="00531C89" w:rsidRPr="007C5AC8">
        <w:t>:</w:t>
      </w:r>
    </w:p>
    <w:p w14:paraId="6F14CC91" w14:textId="7ECE40F7" w:rsidR="00A10CCB" w:rsidRDefault="00A10CCB" w:rsidP="00242876">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Γ</m:t>
            </m:r>
            <m:d>
              <m:dPr>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+φ</m:t>
                </m:r>
              </m:e>
            </m:d>
          </m:num>
          <m:den>
            <m:r>
              <m:rPr>
                <m:sty m:val="p"/>
              </m:rPr>
              <w:rPr>
                <w:rFonts w:ascii="Cambria Math" w:eastAsiaTheme="minorEastAsia" w:hAnsi="Cambria Math"/>
              </w:rPr>
              <m:t>Γ</m:t>
            </m:r>
            <m:d>
              <m:dPr>
                <m:ctrlPr>
                  <w:rPr>
                    <w:rFonts w:ascii="Cambria Math" w:eastAsiaTheme="minorEastAsia" w:hAnsi="Cambria Math"/>
                  </w:rPr>
                </m:ctrlPr>
              </m:dPr>
              <m:e>
                <m:r>
                  <w:rPr>
                    <w:rFonts w:ascii="Cambria Math" w:eastAsiaTheme="minorEastAsia" w:hAnsi="Cambria Math"/>
                  </w:rPr>
                  <m:t>φ</m:t>
                </m:r>
              </m:e>
            </m:d>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den>
        </m:f>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φ</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r>
                      <w:rPr>
                        <w:rFonts w:ascii="Cambria Math" w:eastAsiaTheme="minorEastAsia" w:hAnsi="Cambria Math"/>
                      </w:rPr>
                      <m:t>+φ</m:t>
                    </m:r>
                  </m:den>
                </m:f>
              </m:e>
            </m:d>
          </m:e>
          <m:sup>
            <m:r>
              <w:rPr>
                <w:rFonts w:ascii="Cambria Math" w:eastAsiaTheme="minorEastAsia" w:hAnsi="Cambria Math"/>
              </w:rPr>
              <m:t>φ</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r>
                      <w:rPr>
                        <w:rFonts w:ascii="Cambria Math" w:eastAsiaTheme="minorEastAsia" w:hAnsi="Cambria Math"/>
                      </w:rPr>
                      <m:t>+φ</m:t>
                    </m:r>
                  </m:den>
                </m:f>
              </m:e>
            </m:d>
          </m:e>
          <m:sup>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sup>
        </m:sSup>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330000">
        <w:rPr>
          <w:rFonts w:eastAsiaTheme="minorEastAsia"/>
        </w:rPr>
        <w:tab/>
      </w:r>
      <w:r w:rsidR="00330000">
        <w:rPr>
          <w:rFonts w:eastAsiaTheme="minorEastAsia"/>
        </w:rPr>
        <w:tab/>
      </w:r>
      <w:r w:rsidR="00330000">
        <w:rPr>
          <w:rFonts w:eastAsiaTheme="minorEastAsia"/>
        </w:rPr>
        <w:tab/>
        <w:t xml:space="preserve">    </w:t>
      </w:r>
      <w:r>
        <w:rPr>
          <w:rFonts w:eastAsiaTheme="minorEastAsia"/>
        </w:rPr>
        <w:t xml:space="preserve"> </w:t>
      </w:r>
      <w:r w:rsidR="00AA4F7F">
        <w:rPr>
          <w:rFonts w:eastAsiaTheme="minorEastAsia"/>
        </w:rPr>
        <w:t xml:space="preserve">  </w:t>
      </w:r>
      <w:r w:rsidR="00A62EAD" w:rsidRPr="00910E3A">
        <w:rPr>
          <w:rFonts w:eastAsiaTheme="minorEastAsia"/>
        </w:rPr>
        <w:t>(1)</w:t>
      </w:r>
      <w:r>
        <w:rPr>
          <w:rFonts w:eastAsiaTheme="minorEastAsia"/>
        </w:rPr>
        <w:t xml:space="preserve"> </w:t>
      </w:r>
    </w:p>
    <w:p w14:paraId="0BF8C486" w14:textId="497ED8E9" w:rsidR="004667F7" w:rsidRPr="00910E3A" w:rsidRDefault="000D4BBD">
      <w:pPr>
        <w:rPr>
          <w:rFonts w:eastAsiaTheme="minorEastAsia" w:cs="Times New Roman"/>
        </w:rPr>
      </w:pPr>
      <w:r w:rsidRPr="00910E3A">
        <w:rPr>
          <w:rFonts w:eastAsiaTheme="minorEastAsia"/>
        </w:rPr>
        <w:t xml:space="preserve">The </w:t>
      </w:r>
      <w:r w:rsidR="00E96AD2">
        <w:rPr>
          <w:rFonts w:eastAsiaTheme="minorEastAsia"/>
        </w:rPr>
        <w:t>term</w:t>
      </w:r>
      <w:r w:rsidRPr="00910E3A">
        <w:rPr>
          <w:rFonts w:eastAsiaTheme="minorEastAsia"/>
        </w:rPr>
        <w:t>,</w:t>
      </w:r>
      <w:r w:rsidR="004667F7" w:rsidRPr="00910E3A">
        <w:rPr>
          <w:rFonts w:eastAsiaTheme="minorEastAsia"/>
        </w:rPr>
        <w:t xml:space="preserve"> </w:t>
      </w:r>
      <w:r w:rsidR="00242876" w:rsidRPr="00242876">
        <w:rPr>
          <w:rFonts w:eastAsiaTheme="minorEastAsia" w:cs="Times New Roman"/>
          <w:i/>
          <w:iCs/>
        </w:rPr>
        <w:t>φ</w:t>
      </w:r>
      <w:r w:rsidRPr="00910E3A">
        <w:rPr>
          <w:rFonts w:eastAsiaTheme="minorEastAsia"/>
        </w:rPr>
        <w:t>,</w:t>
      </w:r>
      <w:r w:rsidR="004667F7" w:rsidRPr="00910E3A">
        <w:rPr>
          <w:rFonts w:eastAsiaTheme="minorEastAsia"/>
        </w:rPr>
        <w:t xml:space="preserve"> denotes the inverse dispersion parameter</w:t>
      </w:r>
      <w:r w:rsidR="00DA78DD">
        <w:rPr>
          <w:rFonts w:eastAsiaTheme="minorEastAsia"/>
        </w:rPr>
        <w:t>,</w:t>
      </w:r>
      <w:r w:rsidR="006C1AD5">
        <w:rPr>
          <w:rFonts w:eastAsiaTheme="minorEastAsia"/>
        </w:rPr>
        <w:t xml:space="preserve"> while</w:t>
      </w:r>
      <w:r w:rsidR="00DA78DD">
        <w:rPr>
          <w:rFonts w:eastAsiaTheme="minorEastAsia"/>
        </w:rPr>
        <w:t xml:space="preserve"> </w:t>
      </w:r>
      <w:proofErr w:type="spellStart"/>
      <w:r w:rsidR="00DA78DD" w:rsidRPr="00EA4450">
        <w:rPr>
          <w:rFonts w:eastAsiaTheme="minorEastAsia" w:cs="Times New Roman"/>
          <w:i/>
        </w:rPr>
        <w:t>y</w:t>
      </w:r>
      <w:r w:rsidR="00DA78DD" w:rsidRPr="00EA4450">
        <w:rPr>
          <w:rFonts w:eastAsiaTheme="minorEastAsia" w:cs="Times New Roman"/>
          <w:i/>
          <w:vertAlign w:val="subscript"/>
        </w:rPr>
        <w:t>i</w:t>
      </w:r>
      <w:proofErr w:type="spellEnd"/>
      <w:r w:rsidR="00DA78DD">
        <w:rPr>
          <w:rFonts w:eastAsiaTheme="minorEastAsia" w:cs="Times New Roman"/>
        </w:rPr>
        <w:t xml:space="preserve"> is the observed crash frequency and</w:t>
      </w:r>
      <w:r w:rsidR="004667F7" w:rsidRPr="00910E3A">
        <w:rPr>
          <w:rFonts w:eastAsiaTheme="minorEastAsia"/>
        </w:rPr>
        <w:t xml:space="preserve"> </w:t>
      </w:r>
      <w:proofErr w:type="spellStart"/>
      <w:r w:rsidR="004667F7" w:rsidRPr="00910E3A">
        <w:rPr>
          <w:rFonts w:eastAsiaTheme="minorEastAsia" w:cs="Times New Roman"/>
          <w:i/>
        </w:rPr>
        <w:t>μ</w:t>
      </w:r>
      <w:r w:rsidR="004667F7" w:rsidRPr="00910E3A">
        <w:rPr>
          <w:rFonts w:eastAsiaTheme="minorEastAsia" w:cs="Times New Roman"/>
          <w:i/>
          <w:vertAlign w:val="subscript"/>
        </w:rPr>
        <w:t>i</w:t>
      </w:r>
      <w:proofErr w:type="spellEnd"/>
      <w:r w:rsidR="00B6303B" w:rsidRPr="00910E3A">
        <w:rPr>
          <w:rFonts w:eastAsiaTheme="minorEastAsia" w:cs="Times New Roman"/>
        </w:rPr>
        <w:t xml:space="preserve"> is the </w:t>
      </w:r>
      <w:r w:rsidR="00DE615D" w:rsidRPr="00910E3A">
        <w:rPr>
          <w:rFonts w:eastAsiaTheme="minorEastAsia" w:cs="Times New Roman"/>
        </w:rPr>
        <w:t>mean</w:t>
      </w:r>
      <w:r w:rsidR="00B6303B" w:rsidRPr="00910E3A">
        <w:rPr>
          <w:rFonts w:eastAsiaTheme="minorEastAsia" w:cs="Times New Roman"/>
        </w:rPr>
        <w:t xml:space="preserve"> crash frequency at site </w:t>
      </w:r>
      <w:proofErr w:type="spellStart"/>
      <w:r w:rsidR="00B6303B" w:rsidRPr="00910E3A">
        <w:rPr>
          <w:rFonts w:eastAsiaTheme="minorEastAsia" w:cs="Times New Roman"/>
          <w:i/>
        </w:rPr>
        <w:t>i</w:t>
      </w:r>
      <w:proofErr w:type="spellEnd"/>
      <w:r w:rsidR="00B6303B" w:rsidRPr="00910E3A">
        <w:rPr>
          <w:rFonts w:eastAsiaTheme="minorEastAsia" w:cs="Times New Roman"/>
        </w:rPr>
        <w:t xml:space="preserve">. The </w:t>
      </w:r>
      <w:r w:rsidR="006D3A3D">
        <w:rPr>
          <w:rFonts w:eastAsiaTheme="minorEastAsia" w:cs="Times New Roman"/>
        </w:rPr>
        <w:t>negative binomial</w:t>
      </w:r>
      <w:r w:rsidR="00B6303B" w:rsidRPr="00910E3A">
        <w:rPr>
          <w:rFonts w:eastAsiaTheme="minorEastAsia" w:cs="Times New Roman"/>
        </w:rPr>
        <w:t xml:space="preserve"> model converges to the Poisson model as </w:t>
      </w:r>
      <w:r w:rsidR="00242876" w:rsidRPr="00CE5020">
        <w:rPr>
          <w:rFonts w:eastAsiaTheme="minorEastAsia" w:cs="Times New Roman"/>
          <w:i/>
          <w:iCs/>
        </w:rPr>
        <w:t>φ</w:t>
      </w:r>
      <w:r w:rsidR="00242876" w:rsidRPr="00910E3A" w:rsidDel="00242876">
        <w:rPr>
          <w:rFonts w:eastAsiaTheme="minorEastAsia" w:cs="Times New Roman"/>
          <w:i/>
          <w:iCs/>
        </w:rPr>
        <w:t xml:space="preserve"> </w:t>
      </w:r>
      <w:r w:rsidR="00B6303B" w:rsidRPr="00910E3A">
        <w:rPr>
          <w:rFonts w:eastAsiaTheme="minorEastAsia" w:cs="Times New Roman"/>
        </w:rPr>
        <w:t>→</w:t>
      </w:r>
      <w:r w:rsidR="00242876">
        <w:rPr>
          <w:rFonts w:eastAsiaTheme="minorEastAsia" w:cs="Times New Roman"/>
        </w:rPr>
        <w:t xml:space="preserve"> ∞</w:t>
      </w:r>
      <w:r w:rsidR="00B6303B" w:rsidRPr="00910E3A">
        <w:rPr>
          <w:rFonts w:eastAsiaTheme="minorEastAsia" w:cs="Times New Roman"/>
        </w:rPr>
        <w:t xml:space="preserve">. The </w:t>
      </w:r>
      <w:r w:rsidR="00DE615D" w:rsidRPr="00910E3A">
        <w:rPr>
          <w:rFonts w:eastAsiaTheme="minorEastAsia" w:cs="Times New Roman"/>
        </w:rPr>
        <w:t>mean</w:t>
      </w:r>
      <w:r w:rsidR="00B6303B" w:rsidRPr="00910E3A">
        <w:rPr>
          <w:rFonts w:eastAsiaTheme="minorEastAsia" w:cs="Times New Roman"/>
        </w:rPr>
        <w:t xml:space="preserve"> crash frequency per site is a function of the estimated </w:t>
      </w:r>
      <w:r w:rsidR="00DF244B" w:rsidRPr="00910E3A">
        <w:rPr>
          <w:rFonts w:eastAsiaTheme="minorEastAsia" w:cs="Times New Roman"/>
        </w:rPr>
        <w:t>independent variable coefficients</w:t>
      </w:r>
      <w:r w:rsidR="005D76FE" w:rsidRPr="00910E3A">
        <w:rPr>
          <w:rFonts w:eastAsiaTheme="minorEastAsia" w:cs="Times New Roman"/>
        </w:rPr>
        <w:t xml:space="preserve">, </w:t>
      </w:r>
      <w:r w:rsidR="005D76FE" w:rsidRPr="00910E3A">
        <w:rPr>
          <w:rFonts w:eastAsiaTheme="minorEastAsia" w:cs="Times New Roman"/>
          <w:i/>
        </w:rPr>
        <w:t>β</w:t>
      </w:r>
      <w:r w:rsidR="005D76FE" w:rsidRPr="00910E3A">
        <w:rPr>
          <w:rFonts w:eastAsiaTheme="minorEastAsia" w:cs="Times New Roman"/>
          <w:i/>
          <w:vertAlign w:val="subscript"/>
        </w:rPr>
        <w:t>j</w:t>
      </w:r>
      <w:r w:rsidR="005D76FE" w:rsidRPr="00910E3A">
        <w:rPr>
          <w:rFonts w:eastAsiaTheme="minorEastAsia" w:cs="Times New Roman"/>
        </w:rPr>
        <w:t xml:space="preserve">’s, the site characteristics whether roadway geometrics, demographics or any other characteristics, </w:t>
      </w:r>
      <w:proofErr w:type="spellStart"/>
      <w:r w:rsidR="005D76FE" w:rsidRPr="00D16B01">
        <w:rPr>
          <w:rFonts w:eastAsiaTheme="minorEastAsia" w:cs="Times New Roman"/>
          <w:i/>
          <w:iCs/>
        </w:rPr>
        <w:t>X</w:t>
      </w:r>
      <w:r w:rsidR="00DE615D" w:rsidRPr="00910E3A">
        <w:rPr>
          <w:rFonts w:eastAsiaTheme="minorEastAsia" w:cs="Times New Roman"/>
          <w:i/>
          <w:vertAlign w:val="subscript"/>
        </w:rPr>
        <w:t>i</w:t>
      </w:r>
      <w:r w:rsidR="005D76FE" w:rsidRPr="00910E3A">
        <w:rPr>
          <w:rFonts w:eastAsiaTheme="minorEastAsia" w:cs="Times New Roman"/>
          <w:i/>
          <w:vertAlign w:val="subscript"/>
        </w:rPr>
        <w:t>j</w:t>
      </w:r>
      <w:r w:rsidR="005D76FE" w:rsidRPr="00910E3A">
        <w:rPr>
          <w:rFonts w:eastAsiaTheme="minorEastAsia" w:cs="Times New Roman"/>
        </w:rPr>
        <w:t>’s</w:t>
      </w:r>
      <w:proofErr w:type="spellEnd"/>
      <w:r w:rsidR="005D76FE" w:rsidRPr="00910E3A">
        <w:rPr>
          <w:rFonts w:eastAsiaTheme="minorEastAsia" w:cs="Times New Roman"/>
        </w:rPr>
        <w:t xml:space="preserve">, and finally the </w:t>
      </w:r>
      <w:r w:rsidR="00A9397F" w:rsidRPr="00910E3A">
        <w:rPr>
          <w:rFonts w:eastAsiaTheme="minorEastAsia" w:cs="Times New Roman"/>
        </w:rPr>
        <w:t>inverse dispersion parameter</w:t>
      </w:r>
      <w:r w:rsidR="00E96AD2">
        <w:rPr>
          <w:rFonts w:eastAsiaTheme="minorEastAsia" w:cs="Times New Roman"/>
        </w:rPr>
        <w:t>’s function</w:t>
      </w:r>
      <w:r w:rsidR="00D16B01">
        <w:rPr>
          <w:rFonts w:eastAsiaTheme="minorEastAsia" w:cs="Times New Roman"/>
        </w:rPr>
        <w:t>,</w:t>
      </w:r>
      <w:r w:rsidR="00A9397F" w:rsidRPr="00910E3A">
        <w:rPr>
          <w:rFonts w:eastAsiaTheme="minorEastAsia" w:cs="Times New Roman"/>
        </w:rPr>
        <w:t xml:space="preserve"> </w:t>
      </w:r>
      <w:r w:rsidR="00291C5C" w:rsidRPr="00910E3A">
        <w:rPr>
          <w:rFonts w:eastAsiaTheme="minorEastAsia" w:cs="Times New Roman"/>
          <w:i/>
        </w:rPr>
        <w:t>θ</w:t>
      </w:r>
      <w:r w:rsidR="005D76FE" w:rsidRPr="00910E3A">
        <w:rPr>
          <w:rFonts w:eastAsiaTheme="minorEastAsia" w:cs="Times New Roman"/>
        </w:rPr>
        <w:t xml:space="preserve">. The </w:t>
      </w:r>
      <w:r w:rsidR="00DE615D" w:rsidRPr="00910E3A">
        <w:rPr>
          <w:rFonts w:eastAsiaTheme="minorEastAsia" w:cs="Times New Roman"/>
        </w:rPr>
        <w:t>mean</w:t>
      </w:r>
      <w:r w:rsidR="005D76FE" w:rsidRPr="00910E3A">
        <w:rPr>
          <w:rFonts w:eastAsiaTheme="minorEastAsia" w:cs="Times New Roman"/>
        </w:rPr>
        <w:t xml:space="preserve"> crash </w:t>
      </w:r>
      <w:r w:rsidR="00DE615D" w:rsidRPr="00910E3A">
        <w:rPr>
          <w:rFonts w:eastAsiaTheme="minorEastAsia" w:cs="Times New Roman"/>
        </w:rPr>
        <w:t>frequency</w:t>
      </w:r>
      <w:r w:rsidR="005D76FE" w:rsidRPr="00910E3A">
        <w:rPr>
          <w:rFonts w:eastAsiaTheme="minorEastAsia" w:cs="Times New Roman"/>
        </w:rPr>
        <w:t xml:space="preserve"> is </w:t>
      </w:r>
      <w:r w:rsidR="00242876">
        <w:rPr>
          <w:rFonts w:eastAsiaTheme="minorEastAsia" w:cs="Times New Roman"/>
        </w:rPr>
        <w:t xml:space="preserve">defined </w:t>
      </w:r>
      <w:r w:rsidR="005D76FE" w:rsidRPr="00910E3A">
        <w:rPr>
          <w:rFonts w:eastAsiaTheme="minorEastAsia" w:cs="Times New Roman"/>
        </w:rPr>
        <w:t>as follows</w:t>
      </w:r>
      <w:r w:rsidR="00242876">
        <w:rPr>
          <w:rFonts w:eastAsiaTheme="minorEastAsia" w:cs="Times New Roman"/>
        </w:rPr>
        <w:t xml:space="preserve"> </w:t>
      </w:r>
      <w:r w:rsidR="00242876" w:rsidRPr="006C1AD5">
        <w:rPr>
          <w:iCs/>
        </w:rPr>
        <w:t>(</w:t>
      </w:r>
      <w:r w:rsidR="007C5AC8" w:rsidRPr="007C5AC8">
        <w:rPr>
          <w:iCs/>
        </w:rPr>
        <w:t>Lord and Miranda-Moreno, 2008</w:t>
      </w:r>
      <w:r w:rsidR="00242876" w:rsidRPr="006C1AD5">
        <w:rPr>
          <w:iCs/>
        </w:rPr>
        <w:t>)</w:t>
      </w:r>
      <w:r w:rsidR="00531C89">
        <w:rPr>
          <w:rFonts w:eastAsiaTheme="minorEastAsia" w:cs="Times New Roman"/>
        </w:rPr>
        <w:t>:</w:t>
      </w:r>
    </w:p>
    <w:p w14:paraId="6198073E" w14:textId="77777777" w:rsidR="005D76FE" w:rsidRPr="00910E3A" w:rsidRDefault="00C14F70" w:rsidP="00A62EAD">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r>
          <w:rPr>
            <w:rFonts w:ascii="Cambria Math" w:eastAsiaTheme="minorEastAsia" w:hAnsi="Cambria Math"/>
          </w:rPr>
          <m:t>=</m:t>
        </m:r>
        <m:r>
          <m:rPr>
            <m:sty m:val="p"/>
          </m:rPr>
          <w:rPr>
            <w:rFonts w:ascii="Cambria Math" w:eastAsiaTheme="minorEastAsia" w:hAnsi="Cambria Math"/>
          </w:rPr>
          <m:t>exp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oMath>
      <w:r w:rsidR="00A62EAD" w:rsidRPr="00910E3A">
        <w:rPr>
          <w:rFonts w:eastAsiaTheme="minorEastAsia"/>
        </w:rPr>
        <w:t xml:space="preserve"> </w:t>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t xml:space="preserve">       (2)</w:t>
      </w:r>
    </w:p>
    <w:p w14:paraId="205AC911" w14:textId="636A3541" w:rsidR="00291C5C" w:rsidRPr="00910E3A" w:rsidRDefault="00291C5C">
      <w:pPr>
        <w:rPr>
          <w:rFonts w:eastAsiaTheme="minorEastAsia"/>
        </w:rPr>
      </w:pPr>
      <w:r w:rsidRPr="00910E3A">
        <w:rPr>
          <w:rFonts w:eastAsiaTheme="minorEastAsia"/>
        </w:rPr>
        <w:t>The parameter</w:t>
      </w:r>
      <w:r w:rsidR="00DF244B" w:rsidRPr="00910E3A">
        <w:rPr>
          <w:rFonts w:eastAsiaTheme="minorEastAsia"/>
        </w:rPr>
        <w:t>,</w:t>
      </w:r>
      <w:r w:rsidRPr="00910E3A">
        <w:rPr>
          <w:rFonts w:eastAsiaTheme="minorEastAsia"/>
        </w:rPr>
        <w:t xml:space="preserve"> </w:t>
      </w:r>
      <w:r w:rsidRPr="00910E3A">
        <w:rPr>
          <w:rFonts w:eastAsiaTheme="minorEastAsia" w:cs="Times New Roman"/>
          <w:i/>
        </w:rPr>
        <w:t>θ</w:t>
      </w:r>
      <w:r w:rsidR="00DF244B" w:rsidRPr="00910E3A">
        <w:rPr>
          <w:rFonts w:eastAsiaTheme="minorEastAsia" w:cs="Times New Roman"/>
          <w:iCs/>
        </w:rPr>
        <w:t>,</w:t>
      </w:r>
      <w:r w:rsidRPr="00910E3A">
        <w:rPr>
          <w:rFonts w:eastAsiaTheme="minorEastAsia" w:cs="Times New Roman"/>
          <w:i/>
        </w:rPr>
        <w:t xml:space="preserve"> </w:t>
      </w:r>
      <w:r w:rsidRPr="00910E3A">
        <w:rPr>
          <w:rFonts w:eastAsiaTheme="minorEastAsia" w:cs="Times New Roman"/>
        </w:rPr>
        <w:t>is a function of the</w:t>
      </w:r>
      <w:r w:rsidR="006E457D">
        <w:rPr>
          <w:rFonts w:eastAsiaTheme="minorEastAsia" w:cs="Times New Roman"/>
        </w:rPr>
        <w:t xml:space="preserve"> inverse</w:t>
      </w:r>
      <w:r w:rsidRPr="00910E3A">
        <w:rPr>
          <w:rFonts w:eastAsiaTheme="minorEastAsia" w:cs="Times New Roman"/>
        </w:rPr>
        <w:t xml:space="preserve"> dispersion parameter</w:t>
      </w:r>
      <w:r w:rsidR="00DF244B" w:rsidRPr="00910E3A">
        <w:rPr>
          <w:rFonts w:eastAsiaTheme="minorEastAsia" w:cs="Times New Roman"/>
        </w:rPr>
        <w:t>,</w:t>
      </w:r>
      <w:r w:rsidRPr="00910E3A">
        <w:rPr>
          <w:rFonts w:eastAsiaTheme="minorEastAsia" w:cs="Times New Roman"/>
        </w:rPr>
        <w:t xml:space="preserve"> </w:t>
      </w:r>
      <w:r w:rsidR="00242876" w:rsidRPr="00CE5020">
        <w:rPr>
          <w:rFonts w:eastAsiaTheme="minorEastAsia" w:cs="Times New Roman"/>
          <w:i/>
          <w:iCs/>
        </w:rPr>
        <w:t>φ</w:t>
      </w:r>
      <w:r w:rsidR="00DF244B" w:rsidRPr="00910E3A">
        <w:rPr>
          <w:rFonts w:eastAsiaTheme="minorEastAsia" w:cs="Times New Roman"/>
          <w:iCs/>
        </w:rPr>
        <w:t>,</w:t>
      </w:r>
      <w:r w:rsidRPr="00910E3A">
        <w:rPr>
          <w:rFonts w:eastAsiaTheme="minorEastAsia" w:cs="Times New Roman"/>
        </w:rPr>
        <w:t xml:space="preserve"> </w:t>
      </w:r>
      <w:r w:rsidR="00DF244B" w:rsidRPr="00910E3A">
        <w:rPr>
          <w:rFonts w:eastAsiaTheme="minorEastAsia" w:cs="Times New Roman"/>
        </w:rPr>
        <w:t>both</w:t>
      </w:r>
      <w:r w:rsidR="00A62EAD" w:rsidRPr="00910E3A">
        <w:rPr>
          <w:rFonts w:eastAsiaTheme="minorEastAsia" w:cs="Times New Roman"/>
        </w:rPr>
        <w:t xml:space="preserve"> </w:t>
      </w:r>
      <w:r w:rsidR="00DF244B" w:rsidRPr="00910E3A">
        <w:rPr>
          <w:rFonts w:eastAsiaTheme="minorEastAsia" w:cs="Times New Roman"/>
        </w:rPr>
        <w:t xml:space="preserve">of </w:t>
      </w:r>
      <w:r w:rsidRPr="00910E3A">
        <w:rPr>
          <w:rFonts w:eastAsiaTheme="minorEastAsia" w:cs="Times New Roman"/>
        </w:rPr>
        <w:t>which are assumed to follow gamma distributions as follows</w:t>
      </w:r>
      <w:r w:rsidR="00242876">
        <w:rPr>
          <w:rFonts w:eastAsiaTheme="minorEastAsia" w:cs="Times New Roman"/>
        </w:rPr>
        <w:t xml:space="preserve"> </w:t>
      </w:r>
      <w:r w:rsidR="00242876" w:rsidRPr="006C1AD5">
        <w:rPr>
          <w:iCs/>
        </w:rPr>
        <w:t>(</w:t>
      </w:r>
      <w:r w:rsidR="007C5AC8">
        <w:rPr>
          <w:iCs/>
        </w:rPr>
        <w:t>Lord and Miranda-Moreno, 2008</w:t>
      </w:r>
      <w:r w:rsidR="00242876" w:rsidRPr="006C1AD5">
        <w:rPr>
          <w:iCs/>
        </w:rPr>
        <w:t>)</w:t>
      </w:r>
      <w:r w:rsidRPr="00910E3A">
        <w:rPr>
          <w:rFonts w:eastAsiaTheme="minorEastAsia" w:cs="Times New Roman"/>
        </w:rPr>
        <w:t>.</w:t>
      </w:r>
    </w:p>
    <w:p w14:paraId="55E04819" w14:textId="1B98FC36" w:rsidR="00A9397F" w:rsidRPr="00910E3A" w:rsidRDefault="00A9397F">
      <w:pPr>
        <w:rPr>
          <w:rFonts w:eastAsiaTheme="minorEastAsia"/>
        </w:rPr>
      </w:pPr>
      <m:oMath>
        <m:r>
          <w:rPr>
            <w:rFonts w:ascii="Cambria Math" w:eastAsiaTheme="minorEastAsia" w:hAnsi="Cambria Math"/>
          </w:rPr>
          <m:t>θ~</m:t>
        </m:r>
        <m:r>
          <m:rPr>
            <m:sty m:val="p"/>
          </m:rP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φ,φ</m:t>
            </m:r>
          </m:e>
        </m:d>
      </m:oMath>
      <w:r w:rsidR="00A62EAD" w:rsidRPr="00910E3A">
        <w:rPr>
          <w:rFonts w:eastAsiaTheme="minorEastAsia"/>
        </w:rPr>
        <w:t xml:space="preserve"> </w:t>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6E457D">
        <w:rPr>
          <w:rFonts w:eastAsiaTheme="minorEastAsia"/>
        </w:rPr>
        <w:t xml:space="preserve"> </w:t>
      </w:r>
      <w:r w:rsidR="00A62EAD" w:rsidRPr="00910E3A">
        <w:rPr>
          <w:rFonts w:eastAsiaTheme="minorEastAsia"/>
        </w:rPr>
        <w:t xml:space="preserve">                  </w:t>
      </w:r>
      <w:r w:rsidR="00300942">
        <w:rPr>
          <w:rFonts w:eastAsiaTheme="minorEastAsia"/>
        </w:rPr>
        <w:t xml:space="preserve">            </w:t>
      </w:r>
      <w:r w:rsidR="00A62EAD" w:rsidRPr="00910E3A">
        <w:rPr>
          <w:rFonts w:eastAsiaTheme="minorEastAsia"/>
        </w:rPr>
        <w:t>(3)</w:t>
      </w:r>
    </w:p>
    <w:p w14:paraId="183AC665" w14:textId="57106D6C" w:rsidR="00A9397F" w:rsidRPr="00910E3A" w:rsidRDefault="00242876" w:rsidP="00A62EAD">
      <w:pPr>
        <w:jc w:val="center"/>
        <w:rPr>
          <w:rFonts w:eastAsiaTheme="minorEastAsia"/>
        </w:rPr>
      </w:pPr>
      <m:oMath>
        <m:r>
          <w:rPr>
            <w:rFonts w:ascii="Cambria Math" w:eastAsiaTheme="minorEastAsia" w:hAnsi="Cambria Math"/>
          </w:rPr>
          <m:t>φ~</m:t>
        </m:r>
        <m:r>
          <m:rPr>
            <m:sty m:val="p"/>
          </m:rP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a,b</m:t>
            </m:r>
          </m:e>
        </m:d>
      </m:oMath>
      <w:r w:rsidR="00A62EAD" w:rsidRPr="00910E3A">
        <w:rPr>
          <w:rFonts w:eastAsiaTheme="minorEastAsia"/>
        </w:rPr>
        <w:t xml:space="preserve"> </w:t>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r>
      <w:r w:rsidR="00A62EAD" w:rsidRPr="00910E3A">
        <w:rPr>
          <w:rFonts w:eastAsiaTheme="minorEastAsia"/>
        </w:rPr>
        <w:tab/>
        <w:t xml:space="preserve">                   (4)</w:t>
      </w:r>
      <w:r w:rsidR="00A62EAD" w:rsidRPr="00910E3A">
        <w:rPr>
          <w:rFonts w:eastAsiaTheme="minorEastAsia"/>
        </w:rPr>
        <w:tab/>
      </w:r>
    </w:p>
    <w:p w14:paraId="21D9C5F8" w14:textId="7CF265CA" w:rsidR="00DE615D" w:rsidRPr="00910E3A" w:rsidRDefault="00291C5C" w:rsidP="00DE615D">
      <w:pPr>
        <w:rPr>
          <w:rFonts w:eastAsiaTheme="minorEastAsia"/>
        </w:rPr>
      </w:pPr>
      <w:r w:rsidRPr="00910E3A">
        <w:rPr>
          <w:rFonts w:eastAsiaTheme="minorEastAsia"/>
        </w:rPr>
        <w:t>The terms</w:t>
      </w:r>
      <w:r w:rsidR="00DF244B" w:rsidRPr="00910E3A">
        <w:rPr>
          <w:rFonts w:eastAsiaTheme="minorEastAsia"/>
        </w:rPr>
        <w:t>,</w:t>
      </w:r>
      <w:r w:rsidRPr="00910E3A">
        <w:rPr>
          <w:rFonts w:eastAsiaTheme="minorEastAsia"/>
        </w:rPr>
        <w:t xml:space="preserve"> </w:t>
      </w:r>
      <w:proofErr w:type="gramStart"/>
      <w:r w:rsidRPr="00910E3A">
        <w:rPr>
          <w:rFonts w:eastAsiaTheme="minorEastAsia"/>
          <w:i/>
        </w:rPr>
        <w:t>a</w:t>
      </w:r>
      <w:proofErr w:type="gramEnd"/>
      <w:r w:rsidRPr="00910E3A">
        <w:rPr>
          <w:rFonts w:eastAsiaTheme="minorEastAsia"/>
        </w:rPr>
        <w:t xml:space="preserve"> and </w:t>
      </w:r>
      <w:r w:rsidRPr="00910E3A">
        <w:rPr>
          <w:rFonts w:eastAsiaTheme="minorEastAsia"/>
          <w:i/>
        </w:rPr>
        <w:t>b</w:t>
      </w:r>
      <w:r w:rsidR="00DF244B" w:rsidRPr="00910E3A">
        <w:rPr>
          <w:rFonts w:eastAsiaTheme="minorEastAsia"/>
          <w:iCs/>
        </w:rPr>
        <w:t>,</w:t>
      </w:r>
      <w:r w:rsidRPr="00910E3A">
        <w:rPr>
          <w:rFonts w:eastAsiaTheme="minorEastAsia"/>
        </w:rPr>
        <w:t xml:space="preserve"> are the shape and scale parameters of the gamma distribution. </w:t>
      </w:r>
      <w:r w:rsidR="00DE615D" w:rsidRPr="00910E3A">
        <w:rPr>
          <w:rFonts w:eastAsiaTheme="minorEastAsia"/>
        </w:rPr>
        <w:t>In this study</w:t>
      </w:r>
      <w:r w:rsidR="00DF244B" w:rsidRPr="00910E3A">
        <w:rPr>
          <w:rFonts w:eastAsiaTheme="minorEastAsia"/>
        </w:rPr>
        <w:t>,</w:t>
      </w:r>
      <w:r w:rsidR="00DE615D" w:rsidRPr="00910E3A">
        <w:rPr>
          <w:rFonts w:eastAsiaTheme="minorEastAsia"/>
        </w:rPr>
        <w:t xml:space="preserve"> the mean crash frequency function,</w:t>
      </w:r>
      <w:r w:rsidR="00D16B01">
        <w:rPr>
          <w:rFonts w:eastAsiaTheme="minorEastAsia"/>
        </w:rPr>
        <w:t xml:space="preserve"> which is</w:t>
      </w:r>
      <w:r w:rsidR="00DE615D" w:rsidRPr="00910E3A">
        <w:rPr>
          <w:rFonts w:eastAsiaTheme="minorEastAsia"/>
        </w:rPr>
        <w:t xml:space="preserve"> the prediction equation</w:t>
      </w:r>
      <w:r w:rsidR="003360C9" w:rsidRPr="00910E3A">
        <w:rPr>
          <w:rFonts w:eastAsiaTheme="minorEastAsia"/>
        </w:rPr>
        <w:t>,</w:t>
      </w:r>
      <w:r w:rsidR="00DE615D" w:rsidRPr="00910E3A">
        <w:rPr>
          <w:rFonts w:eastAsiaTheme="minorEastAsia"/>
        </w:rPr>
        <w:t xml:space="preserve"> is </w:t>
      </w:r>
      <w:r w:rsidR="00DB42BC">
        <w:rPr>
          <w:rFonts w:eastAsiaTheme="minorEastAsia"/>
        </w:rPr>
        <w:t>considered as</w:t>
      </w:r>
      <w:r w:rsidR="00DB42BC" w:rsidRPr="00910E3A">
        <w:rPr>
          <w:rFonts w:eastAsiaTheme="minorEastAsia"/>
        </w:rPr>
        <w:t xml:space="preserve"> </w:t>
      </w:r>
      <w:r w:rsidR="00DE615D" w:rsidRPr="00910E3A">
        <w:rPr>
          <w:rFonts w:eastAsiaTheme="minorEastAsia"/>
        </w:rPr>
        <w:t>follow</w:t>
      </w:r>
      <w:r w:rsidR="00D16B01">
        <w:rPr>
          <w:rFonts w:eastAsiaTheme="minorEastAsia"/>
        </w:rPr>
        <w:t>s.</w:t>
      </w:r>
    </w:p>
    <w:p w14:paraId="3A8C7431" w14:textId="3908A0BE" w:rsidR="00DE615D" w:rsidRPr="00910E3A" w:rsidRDefault="00C14F70" w:rsidP="002E6CE9">
      <w:pPr>
        <w:rPr>
          <w:rFonts w:eastAsiaTheme="minorEastAsia"/>
        </w:rPr>
      </w:pP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e>
        </m:acc>
        <m:r>
          <w:rPr>
            <w:rFonts w:ascii="Cambria Math" w:eastAsiaTheme="minorEastAsia" w:hAnsi="Cambria Math"/>
          </w:rPr>
          <m:t>=</m:t>
        </m:r>
        <m:r>
          <m:rPr>
            <m:sty m:val="p"/>
          </m:rPr>
          <w:rPr>
            <w:rFonts w:ascii="Cambria Math" w:eastAsiaTheme="minorEastAsia" w:hAnsi="Cambria Math"/>
          </w:rPr>
          <m:t>exp</m:t>
        </m:r>
        <m:d>
          <m:dPr>
            <m:begChr m:val="["/>
            <m:endChr m:val="]"/>
            <m:ctrlPr>
              <w:rPr>
                <w:rFonts w:ascii="Cambria Math" w:eastAsiaTheme="minorEastAsia" w:hAnsi="Cambria Math"/>
                <w:i/>
              </w:rPr>
            </m:ctrlPr>
          </m:dPr>
          <m:e>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r>
              <m:rPr>
                <m:sty m:val="p"/>
              </m:rPr>
              <w:rPr>
                <w:rFonts w:ascii="Cambria Math" w:eastAsiaTheme="minorEastAsia" w:hAnsi="Cambria Math"/>
              </w:rPr>
              <m:t>ln</m:t>
            </m:r>
            <m:d>
              <m:dPr>
                <m:ctrlPr>
                  <w:rPr>
                    <w:rFonts w:ascii="Cambria Math" w:eastAsiaTheme="minorEastAsia" w:hAnsi="Cambria Math"/>
                  </w:rPr>
                </m:ctrlPr>
              </m:dPr>
              <m:e>
                <m:r>
                  <w:rPr>
                    <w:rFonts w:ascii="Cambria Math" w:eastAsiaTheme="minorEastAsia" w:hAnsi="Cambria Math"/>
                  </w:rPr>
                  <m:t>AADT</m:t>
                </m:r>
              </m:e>
            </m:d>
            <m:r>
              <w:rPr>
                <w:rFonts w:ascii="Cambria Math" w:eastAsiaTheme="minorEastAsia" w:hAnsi="Cambria Math"/>
              </w:rPr>
              <m:t>+</m:t>
            </m:r>
            <m:r>
              <m:rPr>
                <m:sty m:val="p"/>
              </m:rPr>
              <w:rPr>
                <w:rFonts w:ascii="Cambria Math" w:eastAsiaTheme="minorEastAsia" w:hAnsi="Cambria Math"/>
              </w:rPr>
              <m:t>ln</m:t>
            </m:r>
            <m:d>
              <m:dPr>
                <m:ctrlPr>
                  <w:rPr>
                    <w:rFonts w:ascii="Cambria Math" w:eastAsiaTheme="minorEastAsia" w:hAnsi="Cambria Math"/>
                    <w:i/>
                  </w:rPr>
                </m:ctrlPr>
              </m:dPr>
              <m:e>
                <m:r>
                  <w:rPr>
                    <w:rFonts w:ascii="Cambria Math" w:eastAsiaTheme="minorEastAsia" w:hAnsi="Cambria Math"/>
                  </w:rPr>
                  <m:t>segment length×year</m:t>
                </m:r>
              </m:e>
            </m:d>
          </m:e>
        </m:d>
      </m:oMath>
      <w:r w:rsidR="00A62EAD" w:rsidRPr="00910E3A">
        <w:rPr>
          <w:rFonts w:eastAsiaTheme="minorEastAsia"/>
        </w:rPr>
        <w:t xml:space="preserve">      </w:t>
      </w:r>
      <w:r w:rsidR="002E6CE9">
        <w:rPr>
          <w:rFonts w:eastAsiaTheme="minorEastAsia"/>
        </w:rPr>
        <w:t xml:space="preserve">                                           </w:t>
      </w:r>
      <w:r w:rsidR="00A62EAD" w:rsidRPr="00910E3A">
        <w:rPr>
          <w:rFonts w:eastAsiaTheme="minorEastAsia"/>
        </w:rPr>
        <w:t>(5)</w:t>
      </w:r>
    </w:p>
    <w:p w14:paraId="39523F03" w14:textId="25B43361" w:rsidR="00981ABC" w:rsidRPr="00910E3A" w:rsidRDefault="00381C22">
      <w:r w:rsidRPr="00910E3A">
        <w:t>The last term is not associated with a coefficient to be consistent with the H</w:t>
      </w:r>
      <w:r w:rsidR="00DF244B" w:rsidRPr="00910E3A">
        <w:t>SM</w:t>
      </w:r>
      <w:r w:rsidRPr="00910E3A">
        <w:t xml:space="preserve">’s </w:t>
      </w:r>
      <w:r w:rsidR="00DF244B" w:rsidRPr="00910E3A">
        <w:t>SPFs</w:t>
      </w:r>
      <w:r w:rsidR="00291C5C" w:rsidRPr="00910E3A">
        <w:t xml:space="preserve"> for rural divided multilane highway segments</w:t>
      </w:r>
      <w:r w:rsidRPr="00910E3A">
        <w:t xml:space="preserve">. The year is an offset variable that takes into consideration the fact that crashes occurred </w:t>
      </w:r>
      <w:r w:rsidR="00D23045" w:rsidRPr="00910E3A">
        <w:t>throughout multiple years</w:t>
      </w:r>
      <w:r w:rsidR="00DF244B" w:rsidRPr="00910E3A">
        <w:t xml:space="preserve"> and that the mean function yields the crash counts per year</w:t>
      </w:r>
      <w:r w:rsidR="00D23045" w:rsidRPr="00910E3A">
        <w:t>.</w:t>
      </w:r>
      <w:r w:rsidR="00863C10">
        <w:t xml:space="preserve"> </w:t>
      </w:r>
      <w:r w:rsidRPr="00910E3A">
        <w:t xml:space="preserve"> </w:t>
      </w:r>
    </w:p>
    <w:p w14:paraId="23482D4F" w14:textId="7C89FD77" w:rsidR="00DE24F1" w:rsidRPr="00910E3A" w:rsidRDefault="003E6979" w:rsidP="00403E0E">
      <w:pPr>
        <w:rPr>
          <w:rFonts w:cs="Times New Roman"/>
        </w:rPr>
      </w:pPr>
      <w:r w:rsidRPr="00910E3A">
        <w:t>According to</w:t>
      </w:r>
      <w:r w:rsidR="00981ABC" w:rsidRPr="00910E3A">
        <w:t xml:space="preserve"> Bayes</w:t>
      </w:r>
      <w:r w:rsidRPr="00910E3A">
        <w:t>’</w:t>
      </w:r>
      <w:r w:rsidR="00981ABC" w:rsidRPr="00910E3A">
        <w:t xml:space="preserve"> </w:t>
      </w:r>
      <w:r w:rsidRPr="00910E3A">
        <w:t>theorem</w:t>
      </w:r>
      <w:r w:rsidR="00981ABC" w:rsidRPr="00910E3A">
        <w:t>,</w:t>
      </w:r>
      <w:r w:rsidR="00DE24F1" w:rsidRPr="00910E3A">
        <w:t xml:space="preserve"> which forms the basis of the Bayesian inference, both</w:t>
      </w:r>
      <w:r w:rsidR="00981ABC" w:rsidRPr="00910E3A">
        <w:t xml:space="preserve"> the</w:t>
      </w:r>
      <w:r w:rsidR="00DE24F1" w:rsidRPr="00910E3A">
        <w:t xml:space="preserve"> likelihood of a crash and the parameters’ prior distributions are required. </w:t>
      </w:r>
      <w:r w:rsidR="0076134D" w:rsidRPr="00910E3A">
        <w:t>T</w:t>
      </w:r>
      <w:r w:rsidR="00DE24F1" w:rsidRPr="00910E3A">
        <w:t>he</w:t>
      </w:r>
      <w:r w:rsidR="00981ABC" w:rsidRPr="00910E3A">
        <w:t xml:space="preserve"> posterior probability</w:t>
      </w:r>
      <w:r w:rsidR="00DE24F1" w:rsidRPr="00910E3A">
        <w:t xml:space="preserve"> </w:t>
      </w:r>
      <w:r w:rsidRPr="00910E3A">
        <w:t>of the</w:t>
      </w:r>
      <w:r w:rsidR="00DE24F1" w:rsidRPr="00910E3A">
        <w:t xml:space="preserve"> vector of parameters, </w:t>
      </w:r>
      <w:r w:rsidR="00DE24F1" w:rsidRPr="00910E3A">
        <w:rPr>
          <w:rFonts w:cs="Times New Roman"/>
          <w:b/>
          <w:i/>
        </w:rPr>
        <w:t>β</w:t>
      </w:r>
      <w:r w:rsidR="00DE24F1" w:rsidRPr="00910E3A">
        <w:rPr>
          <w:rFonts w:cs="Times New Roman"/>
        </w:rPr>
        <w:t>,</w:t>
      </w:r>
      <w:r w:rsidR="0076134D" w:rsidRPr="00910E3A">
        <w:rPr>
          <w:rFonts w:cs="Times New Roman"/>
        </w:rPr>
        <w:t xml:space="preserve"> </w:t>
      </w:r>
      <w:r w:rsidR="00826B0E" w:rsidRPr="00910E3A">
        <w:rPr>
          <w:rFonts w:cs="Times New Roman"/>
        </w:rPr>
        <w:t xml:space="preserve">can be </w:t>
      </w:r>
      <w:r w:rsidR="0076134D" w:rsidRPr="00910E3A">
        <w:rPr>
          <w:rFonts w:cs="Times New Roman"/>
        </w:rPr>
        <w:t>interpreted</w:t>
      </w:r>
      <w:r w:rsidR="00826B0E" w:rsidRPr="00910E3A">
        <w:rPr>
          <w:rFonts w:cs="Times New Roman"/>
        </w:rPr>
        <w:t xml:space="preserve"> as the</w:t>
      </w:r>
      <w:r w:rsidR="00DE24F1" w:rsidRPr="00910E3A">
        <w:rPr>
          <w:rFonts w:cs="Times New Roman"/>
        </w:rPr>
        <w:t xml:space="preserve"> following</w:t>
      </w:r>
      <w:r w:rsidR="00737B7C" w:rsidRPr="00910E3A">
        <w:rPr>
          <w:rFonts w:cs="Times New Roman"/>
        </w:rPr>
        <w:t xml:space="preserve"> </w:t>
      </w:r>
      <w:r w:rsidR="00737B7C" w:rsidRPr="006C1AD5">
        <w:rPr>
          <w:rFonts w:cs="Times New Roman"/>
          <w:iCs/>
        </w:rPr>
        <w:t>(</w:t>
      </w:r>
      <w:r w:rsidR="007C5AC8">
        <w:rPr>
          <w:rFonts w:cs="Times New Roman"/>
          <w:iCs/>
        </w:rPr>
        <w:t>Heydari et al., 2014</w:t>
      </w:r>
      <w:r w:rsidR="00737B7C" w:rsidRPr="006C1AD5">
        <w:rPr>
          <w:rFonts w:cs="Times New Roman"/>
          <w:iCs/>
        </w:rPr>
        <w:t>)</w:t>
      </w:r>
      <w:r w:rsidR="00531C89">
        <w:rPr>
          <w:rFonts w:cs="Times New Roman"/>
        </w:rPr>
        <w:t>:</w:t>
      </w:r>
    </w:p>
    <w:p w14:paraId="22FEF3A9" w14:textId="77777777" w:rsidR="00981ABC" w:rsidRPr="00910E3A" w:rsidRDefault="00DE24F1" w:rsidP="003C22DC">
      <m:oMath>
        <m:r>
          <w:rPr>
            <w:rFonts w:ascii="Cambria Math" w:hAnsi="Cambria Math"/>
          </w:rPr>
          <m:t>f</m:t>
        </m:r>
        <m:d>
          <m:dPr>
            <m:ctrlPr>
              <w:rPr>
                <w:rFonts w:ascii="Cambria Math" w:hAnsi="Cambria Math"/>
                <w:i/>
              </w:rPr>
            </m:ctrlPr>
          </m:dPr>
          <m:e>
            <m:r>
              <m:rPr>
                <m:sty m:val="bi"/>
              </m:rPr>
              <w:rPr>
                <w:rFonts w:ascii="Cambria Math" w:hAnsi="Cambria Math"/>
              </w:rPr>
              <m:t>β, γ</m:t>
            </m:r>
            <m:r>
              <w:rPr>
                <w:rFonts w:ascii="Cambria Math" w:hAnsi="Cambria Math"/>
              </w:rPr>
              <m:t>|</m:t>
            </m:r>
            <m:r>
              <m:rPr>
                <m:sty m:val="bi"/>
              </m:rPr>
              <w:rPr>
                <w:rFonts w:ascii="Cambria Math" w:hAnsi="Cambria Math"/>
              </w:rPr>
              <m:t>y</m:t>
            </m:r>
          </m:e>
        </m:d>
        <m:r>
          <w:rPr>
            <w:rFonts w:ascii="Cambria Math" w:hAnsi="Cambria Math"/>
          </w:rPr>
          <m:t>∝f</m:t>
        </m:r>
        <m:d>
          <m:dPr>
            <m:ctrlPr>
              <w:rPr>
                <w:rFonts w:ascii="Cambria Math" w:hAnsi="Cambria Math"/>
                <w:i/>
              </w:rPr>
            </m:ctrlPr>
          </m:dPr>
          <m:e>
            <m:r>
              <m:rPr>
                <m:sty m:val="bi"/>
              </m:rPr>
              <w:rPr>
                <w:rFonts w:ascii="Cambria Math" w:hAnsi="Cambria Math"/>
              </w:rPr>
              <m:t>y</m:t>
            </m:r>
            <m:r>
              <w:rPr>
                <w:rFonts w:ascii="Cambria Math" w:hAnsi="Cambria Math"/>
              </w:rPr>
              <m:t>|</m:t>
            </m:r>
            <m:r>
              <m:rPr>
                <m:sty m:val="bi"/>
              </m:rPr>
              <w:rPr>
                <w:rFonts w:ascii="Cambria Math" w:hAnsi="Cambria Math"/>
              </w:rPr>
              <m:t>β</m:t>
            </m:r>
          </m:e>
        </m:d>
        <m:r>
          <w:rPr>
            <w:rFonts w:ascii="Cambria Math" w:eastAsiaTheme="minorEastAsia" w:hAnsi="Cambria Math"/>
          </w:rPr>
          <m:t>×f</m:t>
        </m:r>
        <m:d>
          <m:dPr>
            <m:ctrlPr>
              <w:rPr>
                <w:rFonts w:ascii="Cambria Math" w:eastAsiaTheme="minorEastAsia" w:hAnsi="Cambria Math"/>
                <w:i/>
              </w:rPr>
            </m:ctrlPr>
          </m:dPr>
          <m:e>
            <m:r>
              <m:rPr>
                <m:sty m:val="bi"/>
              </m:rPr>
              <w:rPr>
                <w:rFonts w:ascii="Cambria Math" w:hAnsi="Cambria Math"/>
              </w:rPr>
              <m:t>β|γ</m:t>
            </m:r>
          </m:e>
        </m:d>
        <m:r>
          <w:rPr>
            <w:rFonts w:ascii="Cambria Math" w:eastAsiaTheme="minorEastAsia" w:hAnsi="Cambria Math"/>
          </w:rPr>
          <m:t>×f</m:t>
        </m:r>
        <m:d>
          <m:dPr>
            <m:ctrlPr>
              <w:rPr>
                <w:rFonts w:ascii="Cambria Math" w:eastAsiaTheme="minorEastAsia" w:hAnsi="Cambria Math"/>
                <w:i/>
              </w:rPr>
            </m:ctrlPr>
          </m:dPr>
          <m:e>
            <m:r>
              <m:rPr>
                <m:sty m:val="bi"/>
              </m:rPr>
              <w:rPr>
                <w:rFonts w:ascii="Cambria Math" w:hAnsi="Cambria Math"/>
              </w:rPr>
              <m:t>γ</m:t>
            </m:r>
          </m:e>
        </m:d>
      </m:oMath>
      <w:r w:rsidR="003C22DC" w:rsidRPr="00910E3A">
        <w:rPr>
          <w:rFonts w:eastAsiaTheme="minorEastAsia"/>
        </w:rPr>
        <w:tab/>
      </w:r>
      <w:r w:rsidR="003C22DC" w:rsidRPr="00910E3A">
        <w:rPr>
          <w:rFonts w:eastAsiaTheme="minorEastAsia"/>
        </w:rPr>
        <w:tab/>
      </w:r>
      <w:r w:rsidR="003C22DC" w:rsidRPr="00910E3A">
        <w:rPr>
          <w:rFonts w:eastAsiaTheme="minorEastAsia"/>
        </w:rPr>
        <w:tab/>
      </w:r>
      <w:r w:rsidR="003C22DC" w:rsidRPr="00910E3A">
        <w:rPr>
          <w:rFonts w:eastAsiaTheme="minorEastAsia"/>
        </w:rPr>
        <w:tab/>
      </w:r>
      <w:r w:rsidR="003C22DC" w:rsidRPr="00910E3A">
        <w:rPr>
          <w:rFonts w:eastAsiaTheme="minorEastAsia"/>
        </w:rPr>
        <w:tab/>
      </w:r>
      <w:r w:rsidR="003C22DC" w:rsidRPr="00910E3A">
        <w:rPr>
          <w:rFonts w:eastAsiaTheme="minorEastAsia"/>
        </w:rPr>
        <w:tab/>
      </w:r>
      <w:r w:rsidR="003C22DC" w:rsidRPr="00910E3A">
        <w:rPr>
          <w:rFonts w:eastAsiaTheme="minorEastAsia"/>
        </w:rPr>
        <w:tab/>
        <w:t xml:space="preserve">       (6)</w:t>
      </w:r>
    </w:p>
    <w:p w14:paraId="29D66A92" w14:textId="631CD743" w:rsidR="0076134D" w:rsidRPr="00910E3A" w:rsidRDefault="00737B7C" w:rsidP="002E6CE9">
      <w:r w:rsidRPr="00910E3A">
        <w:lastRenderedPageBreak/>
        <w:t>The vectors</w:t>
      </w:r>
      <w:r w:rsidR="00DF244B" w:rsidRPr="00910E3A">
        <w:t>,</w:t>
      </w:r>
      <w:r w:rsidR="0076134D" w:rsidRPr="00910E3A">
        <w:t xml:space="preserve"> </w:t>
      </w:r>
      <w:r w:rsidR="0076134D" w:rsidRPr="00910E3A">
        <w:rPr>
          <w:b/>
          <w:i/>
        </w:rPr>
        <w:t>y</w:t>
      </w:r>
      <w:r w:rsidRPr="00910E3A">
        <w:rPr>
          <w:b/>
          <w:iCs/>
        </w:rPr>
        <w:t xml:space="preserve"> </w:t>
      </w:r>
      <w:r w:rsidRPr="00910E3A">
        <w:rPr>
          <w:bCs/>
          <w:iCs/>
        </w:rPr>
        <w:t>and</w:t>
      </w:r>
      <w:r w:rsidRPr="00910E3A">
        <w:rPr>
          <w:b/>
          <w:i/>
        </w:rPr>
        <w:t xml:space="preserve"> </w:t>
      </w:r>
      <w:r w:rsidRPr="00910E3A">
        <w:rPr>
          <w:rFonts w:cs="Times New Roman"/>
          <w:b/>
          <w:i/>
        </w:rPr>
        <w:t>γ</w:t>
      </w:r>
      <w:r w:rsidR="00DF244B" w:rsidRPr="00910E3A">
        <w:rPr>
          <w:rFonts w:cs="Times New Roman"/>
          <w:bCs/>
          <w:iCs/>
        </w:rPr>
        <w:t>,</w:t>
      </w:r>
      <w:r w:rsidR="0076134D" w:rsidRPr="00910E3A">
        <w:rPr>
          <w:b/>
          <w:i/>
        </w:rPr>
        <w:t xml:space="preserve"> </w:t>
      </w:r>
      <w:r w:rsidRPr="00910E3A">
        <w:t>are</w:t>
      </w:r>
      <w:r w:rsidR="0076134D" w:rsidRPr="00910E3A">
        <w:rPr>
          <w:rFonts w:cs="Times New Roman"/>
        </w:rPr>
        <w:t xml:space="preserve"> th</w:t>
      </w:r>
      <w:r w:rsidRPr="00910E3A">
        <w:rPr>
          <w:rFonts w:cs="Times New Roman"/>
        </w:rPr>
        <w:t>ose</w:t>
      </w:r>
      <w:r w:rsidR="0076134D" w:rsidRPr="00910E3A">
        <w:rPr>
          <w:rFonts w:cs="Times New Roman"/>
        </w:rPr>
        <w:t xml:space="preserve"> of the crashes</w:t>
      </w:r>
      <w:r w:rsidR="002A4447" w:rsidRPr="00910E3A">
        <w:rPr>
          <w:rFonts w:cs="Times New Roman"/>
        </w:rPr>
        <w:t>,</w:t>
      </w:r>
      <w:r w:rsidR="0076134D" w:rsidRPr="00910E3A">
        <w:rPr>
          <w:rFonts w:cs="Times New Roman"/>
        </w:rPr>
        <w:t xml:space="preserve"> observed</w:t>
      </w:r>
      <w:r w:rsidR="002A4447" w:rsidRPr="00910E3A">
        <w:rPr>
          <w:rFonts w:cs="Times New Roman"/>
        </w:rPr>
        <w:t>, and</w:t>
      </w:r>
      <w:r w:rsidR="0076134D" w:rsidRPr="00910E3A">
        <w:rPr>
          <w:rFonts w:cs="Times New Roman"/>
        </w:rPr>
        <w:t xml:space="preserve"> parameters of the </w:t>
      </w:r>
      <w:r w:rsidR="002A4447" w:rsidRPr="00910E3A">
        <w:rPr>
          <w:rFonts w:cs="Times New Roman"/>
        </w:rPr>
        <w:t>inverse dispersion parameter</w:t>
      </w:r>
      <w:r w:rsidRPr="00910E3A">
        <w:rPr>
          <w:rFonts w:cs="Times New Roman"/>
        </w:rPr>
        <w:t xml:space="preserve"> which follows the gamma distribution</w:t>
      </w:r>
      <w:r w:rsidR="002A4447" w:rsidRPr="00910E3A">
        <w:rPr>
          <w:rFonts w:cs="Times New Roman"/>
        </w:rPr>
        <w:t>.</w:t>
      </w:r>
      <w:r w:rsidRPr="00910E3A">
        <w:rPr>
          <w:rFonts w:cs="Times New Roman"/>
        </w:rPr>
        <w:t xml:space="preserve"> Thus, the posterior probability is proportional to the product of the likelihoods of crashes in the current dataset, </w:t>
      </w:r>
      <w:r w:rsidRPr="00910E3A">
        <w:rPr>
          <w:rFonts w:cs="Times New Roman"/>
          <w:i/>
          <w:iCs/>
        </w:rPr>
        <w:t>f</w:t>
      </w:r>
      <w:r w:rsidRPr="00910E3A">
        <w:rPr>
          <w:rFonts w:cs="Times New Roman"/>
        </w:rPr>
        <w:t>(</w:t>
      </w:r>
      <w:r w:rsidRPr="00910E3A">
        <w:rPr>
          <w:rFonts w:cs="Times New Roman"/>
          <w:b/>
          <w:bCs/>
          <w:i/>
          <w:iCs/>
        </w:rPr>
        <w:t>y</w:t>
      </w:r>
      <w:r w:rsidRPr="00910E3A">
        <w:rPr>
          <w:rFonts w:cs="Times New Roman"/>
          <w:i/>
          <w:iCs/>
        </w:rPr>
        <w:t>|</w:t>
      </w:r>
      <w:r w:rsidRPr="00910E3A">
        <w:rPr>
          <w:rFonts w:cs="Times New Roman"/>
          <w:b/>
          <w:bCs/>
          <w:i/>
          <w:iCs/>
        </w:rPr>
        <w:t>β</w:t>
      </w:r>
      <w:r w:rsidRPr="00910E3A">
        <w:rPr>
          <w:rFonts w:cs="Times New Roman"/>
        </w:rPr>
        <w:t xml:space="preserve">), the prior knowledge of the independent variables, </w:t>
      </w:r>
      <w:r w:rsidRPr="00910E3A">
        <w:rPr>
          <w:rFonts w:cs="Times New Roman"/>
          <w:i/>
          <w:iCs/>
        </w:rPr>
        <w:t>f</w:t>
      </w:r>
      <w:r w:rsidRPr="00910E3A">
        <w:rPr>
          <w:rFonts w:cs="Times New Roman"/>
        </w:rPr>
        <w:t>(</w:t>
      </w:r>
      <w:r w:rsidR="00DD250A" w:rsidRPr="00910E3A">
        <w:rPr>
          <w:rFonts w:cs="Times New Roman"/>
          <w:b/>
          <w:bCs/>
          <w:i/>
          <w:iCs/>
        </w:rPr>
        <w:t>β</w:t>
      </w:r>
      <w:r w:rsidR="00DD250A" w:rsidRPr="00910E3A">
        <w:rPr>
          <w:rFonts w:cs="Times New Roman"/>
          <w:i/>
          <w:iCs/>
        </w:rPr>
        <w:t xml:space="preserve"> </w:t>
      </w:r>
      <w:r w:rsidRPr="00910E3A">
        <w:rPr>
          <w:rFonts w:cs="Times New Roman"/>
          <w:i/>
          <w:iCs/>
        </w:rPr>
        <w:t>|</w:t>
      </w:r>
      <w:r w:rsidR="00DD250A" w:rsidRPr="00910E3A">
        <w:rPr>
          <w:rFonts w:cs="Times New Roman"/>
          <w:b/>
          <w:bCs/>
          <w:i/>
          <w:iCs/>
        </w:rPr>
        <w:t>γ</w:t>
      </w:r>
      <w:r w:rsidRPr="00910E3A">
        <w:rPr>
          <w:rFonts w:cs="Times New Roman"/>
        </w:rPr>
        <w:t>),</w:t>
      </w:r>
      <w:r w:rsidR="00DD250A" w:rsidRPr="00910E3A">
        <w:rPr>
          <w:rFonts w:cs="Times New Roman"/>
        </w:rPr>
        <w:t xml:space="preserve"> and that of the inverse dispersion parameter,</w:t>
      </w:r>
      <w:r w:rsidRPr="00910E3A">
        <w:rPr>
          <w:rFonts w:cs="Times New Roman"/>
        </w:rPr>
        <w:t xml:space="preserve"> </w:t>
      </w:r>
      <w:r w:rsidR="00DD250A" w:rsidRPr="00910E3A">
        <w:rPr>
          <w:rFonts w:cs="Times New Roman"/>
          <w:i/>
          <w:iCs/>
        </w:rPr>
        <w:t>f</w:t>
      </w:r>
      <w:r w:rsidR="00DD250A" w:rsidRPr="00910E3A">
        <w:rPr>
          <w:rFonts w:cs="Times New Roman"/>
        </w:rPr>
        <w:t>(</w:t>
      </w:r>
      <w:r w:rsidR="00DD250A" w:rsidRPr="00910E3A">
        <w:rPr>
          <w:rFonts w:cs="Times New Roman"/>
          <w:b/>
          <w:bCs/>
          <w:i/>
          <w:iCs/>
        </w:rPr>
        <w:t>γ</w:t>
      </w:r>
      <w:r w:rsidR="00DD250A" w:rsidRPr="00910E3A">
        <w:rPr>
          <w:rFonts w:cs="Times New Roman"/>
        </w:rPr>
        <w:t>)</w:t>
      </w:r>
      <w:r w:rsidRPr="00910E3A">
        <w:rPr>
          <w:rFonts w:cs="Times New Roman"/>
        </w:rPr>
        <w:t>.</w:t>
      </w:r>
      <w:r w:rsidR="00971010" w:rsidRPr="00910E3A">
        <w:rPr>
          <w:rFonts w:cs="Times New Roman"/>
        </w:rPr>
        <w:t xml:space="preserve"> The posterior distribution</w:t>
      </w:r>
      <w:r w:rsidR="002A4447" w:rsidRPr="00910E3A">
        <w:rPr>
          <w:rFonts w:cs="Times New Roman"/>
        </w:rPr>
        <w:t xml:space="preserve"> cannot be obtained by direct computation</w:t>
      </w:r>
      <w:r w:rsidR="00971010" w:rsidRPr="00910E3A">
        <w:rPr>
          <w:rFonts w:cs="Times New Roman"/>
        </w:rPr>
        <w:t xml:space="preserve">. Integrations with </w:t>
      </w:r>
      <w:r w:rsidR="002E6CE9">
        <w:rPr>
          <w:rFonts w:cs="Times New Roman"/>
        </w:rPr>
        <w:t>a large number of</w:t>
      </w:r>
      <w:r w:rsidR="00971010" w:rsidRPr="00910E3A">
        <w:rPr>
          <w:rFonts w:cs="Times New Roman"/>
        </w:rPr>
        <w:t xml:space="preserve"> dimensions are required.</w:t>
      </w:r>
      <w:r w:rsidR="00CC5B0D" w:rsidRPr="00910E3A">
        <w:rPr>
          <w:rFonts w:cs="Times New Roman"/>
        </w:rPr>
        <w:t xml:space="preserve"> Markov Chain Monte Carlo</w:t>
      </w:r>
      <w:r w:rsidR="00971010" w:rsidRPr="00910E3A">
        <w:rPr>
          <w:rFonts w:cs="Times New Roman"/>
        </w:rPr>
        <w:t xml:space="preserve"> (MCMC)</w:t>
      </w:r>
      <w:r w:rsidR="00CC5B0D" w:rsidRPr="00910E3A">
        <w:rPr>
          <w:rFonts w:cs="Times New Roman"/>
        </w:rPr>
        <w:t xml:space="preserve"> simulations including the </w:t>
      </w:r>
      <w:r w:rsidR="00A32014">
        <w:rPr>
          <w:rFonts w:cs="Times New Roman"/>
        </w:rPr>
        <w:t>M</w:t>
      </w:r>
      <w:r w:rsidR="00A32014" w:rsidRPr="00910E3A">
        <w:rPr>
          <w:rFonts w:cs="Times New Roman"/>
        </w:rPr>
        <w:t>etropolis</w:t>
      </w:r>
      <w:r w:rsidR="00CC5B0D" w:rsidRPr="00910E3A">
        <w:rPr>
          <w:rFonts w:cs="Times New Roman"/>
        </w:rPr>
        <w:t xml:space="preserve">-Hastings </w:t>
      </w:r>
      <w:r w:rsidR="00971010" w:rsidRPr="00910E3A">
        <w:rPr>
          <w:rFonts w:cs="Times New Roman"/>
        </w:rPr>
        <w:t>and</w:t>
      </w:r>
      <w:r w:rsidR="00CC5B0D" w:rsidRPr="00910E3A">
        <w:rPr>
          <w:rFonts w:cs="Times New Roman"/>
        </w:rPr>
        <w:t xml:space="preserve"> the Gibbs methods are applicable</w:t>
      </w:r>
      <w:r w:rsidR="00CF0390" w:rsidRPr="00910E3A">
        <w:rPr>
          <w:rFonts w:cs="Times New Roman"/>
        </w:rPr>
        <w:t xml:space="preserve"> </w:t>
      </w:r>
      <w:r w:rsidR="00CF0390" w:rsidRPr="006C1AD5">
        <w:rPr>
          <w:rFonts w:cs="Times New Roman"/>
          <w:iCs/>
        </w:rPr>
        <w:t>(</w:t>
      </w:r>
      <w:r w:rsidR="007C5AC8">
        <w:rPr>
          <w:rFonts w:cs="Times New Roman"/>
          <w:iCs/>
        </w:rPr>
        <w:t>Heydari et al., 2014;</w:t>
      </w:r>
      <w:r w:rsidR="0020290E" w:rsidRPr="006C1AD5">
        <w:rPr>
          <w:rFonts w:cs="Times New Roman"/>
          <w:iCs/>
        </w:rPr>
        <w:t xml:space="preserve"> </w:t>
      </w:r>
      <w:r w:rsidR="007C5AC8">
        <w:rPr>
          <w:rFonts w:cs="Times New Roman"/>
          <w:iCs/>
        </w:rPr>
        <w:t>Cowles, 2013</w:t>
      </w:r>
      <w:r w:rsidR="00CF0390" w:rsidRPr="006C1AD5">
        <w:rPr>
          <w:rFonts w:cs="Times New Roman"/>
          <w:iCs/>
        </w:rPr>
        <w:t>)</w:t>
      </w:r>
      <w:r w:rsidR="00CC5B0D" w:rsidRPr="00910E3A">
        <w:rPr>
          <w:rFonts w:cs="Times New Roman"/>
        </w:rPr>
        <w:t>.</w:t>
      </w:r>
      <w:r w:rsidR="002A4447" w:rsidRPr="00910E3A">
        <w:rPr>
          <w:rFonts w:cs="Times New Roman"/>
        </w:rPr>
        <w:t xml:space="preserve">  </w:t>
      </w:r>
    </w:p>
    <w:p w14:paraId="1BEE9B2F" w14:textId="1D852E5F" w:rsidR="006E7EA2" w:rsidRDefault="00E763BA" w:rsidP="00EE67A0">
      <w:r w:rsidRPr="00910E3A">
        <w:t xml:space="preserve">First, a model with non-informative priors for the </w:t>
      </w:r>
      <w:r w:rsidR="00DF244B" w:rsidRPr="00910E3A">
        <w:t>independent variables</w:t>
      </w:r>
      <w:r w:rsidRPr="00910E3A">
        <w:t xml:space="preserve"> is developed for each state. That is, each </w:t>
      </w:r>
      <w:r w:rsidR="00DF244B" w:rsidRPr="00910E3A">
        <w:t>variable</w:t>
      </w:r>
      <w:r w:rsidRPr="00910E3A">
        <w:t xml:space="preserve"> is assigned a prior of 0 and a precision factor, which is the inverse of the variance, of 0.001</w:t>
      </w:r>
      <w:r w:rsidR="009A2518" w:rsidRPr="00910E3A">
        <w:t xml:space="preserve"> to indicate no prior information</w:t>
      </w:r>
      <w:r w:rsidRPr="00910E3A">
        <w:t>.</w:t>
      </w:r>
      <w:r w:rsidR="00DF244B" w:rsidRPr="00910E3A">
        <w:t xml:space="preserve"> The variables are assumed to follow normal distributions.</w:t>
      </w:r>
      <w:r w:rsidR="00642676" w:rsidRPr="00910E3A">
        <w:t xml:space="preserve"> Likewise, the dispersion parameter is assigned a shape and a scale of 0.01 each.</w:t>
      </w:r>
      <w:r w:rsidR="00B24BEF" w:rsidRPr="00910E3A">
        <w:t xml:space="preserve"> The models are run in R software</w:t>
      </w:r>
      <w:r w:rsidR="0020290E" w:rsidRPr="00910E3A">
        <w:t xml:space="preserve"> </w:t>
      </w:r>
      <w:r w:rsidR="0020290E" w:rsidRPr="006C1AD5">
        <w:rPr>
          <w:iCs/>
        </w:rPr>
        <w:t>(</w:t>
      </w:r>
      <w:r w:rsidR="00C41BB4">
        <w:rPr>
          <w:iCs/>
        </w:rPr>
        <w:t>R Core Team</w:t>
      </w:r>
      <w:r w:rsidR="0020290E" w:rsidRPr="006C1AD5">
        <w:rPr>
          <w:iCs/>
        </w:rPr>
        <w:t>)</w:t>
      </w:r>
      <w:r w:rsidR="00B24BEF" w:rsidRPr="00910E3A">
        <w:t xml:space="preserve"> and </w:t>
      </w:r>
      <w:proofErr w:type="spellStart"/>
      <w:r w:rsidR="00B24BEF" w:rsidRPr="00910E3A">
        <w:t>WinBUGS</w:t>
      </w:r>
      <w:proofErr w:type="spellEnd"/>
      <w:r w:rsidR="0020290E" w:rsidRPr="00910E3A">
        <w:t xml:space="preserve"> </w:t>
      </w:r>
      <w:r w:rsidR="00B24BEF" w:rsidRPr="00910E3A">
        <w:t>open source software</w:t>
      </w:r>
      <w:r w:rsidR="0020290E" w:rsidRPr="00910E3A">
        <w:t xml:space="preserve"> </w:t>
      </w:r>
      <w:r w:rsidR="0020290E" w:rsidRPr="006C1AD5">
        <w:rPr>
          <w:iCs/>
        </w:rPr>
        <w:t>(</w:t>
      </w:r>
      <w:r w:rsidR="00C41BB4">
        <w:rPr>
          <w:iCs/>
        </w:rPr>
        <w:t>Lunn et al., 2000</w:t>
      </w:r>
      <w:r w:rsidR="0020290E" w:rsidRPr="006C1AD5">
        <w:rPr>
          <w:iCs/>
        </w:rPr>
        <w:t>)</w:t>
      </w:r>
      <w:r w:rsidR="00B24BEF" w:rsidRPr="00910E3A">
        <w:t xml:space="preserve"> using</w:t>
      </w:r>
      <w:r w:rsidRPr="00910E3A">
        <w:t xml:space="preserve"> </w:t>
      </w:r>
      <w:r w:rsidR="00B24BEF" w:rsidRPr="00910E3A">
        <w:t>the R package</w:t>
      </w:r>
      <w:r w:rsidR="00AD381A">
        <w:t>,</w:t>
      </w:r>
      <w:r w:rsidR="00B24BEF" w:rsidRPr="00910E3A">
        <w:t xml:space="preserve"> R2WinBUGS</w:t>
      </w:r>
      <w:r w:rsidR="0020290E" w:rsidRPr="00910E3A">
        <w:t xml:space="preserve"> </w:t>
      </w:r>
      <w:r w:rsidR="0020290E" w:rsidRPr="006C1AD5">
        <w:rPr>
          <w:iCs/>
        </w:rPr>
        <w:t>(</w:t>
      </w:r>
      <w:proofErr w:type="spellStart"/>
      <w:r w:rsidR="00C41BB4">
        <w:rPr>
          <w:iCs/>
        </w:rPr>
        <w:t>Sturtz</w:t>
      </w:r>
      <w:proofErr w:type="spellEnd"/>
      <w:r w:rsidR="00C41BB4">
        <w:rPr>
          <w:iCs/>
        </w:rPr>
        <w:t>, 2005</w:t>
      </w:r>
      <w:r w:rsidR="0020290E" w:rsidRPr="006C1AD5">
        <w:rPr>
          <w:iCs/>
        </w:rPr>
        <w:t>)</w:t>
      </w:r>
      <w:r w:rsidR="00AD381A">
        <w:t>,</w:t>
      </w:r>
      <w:r w:rsidR="00B24BEF" w:rsidRPr="00910E3A">
        <w:t xml:space="preserve"> for M</w:t>
      </w:r>
      <w:r w:rsidR="00DF244B" w:rsidRPr="00910E3A">
        <w:t>CMC</w:t>
      </w:r>
      <w:r w:rsidR="00B24BEF" w:rsidRPr="00910E3A">
        <w:t xml:space="preserve"> simulations. The model runs comprise of 3 chains of 120,000 iterations,</w:t>
      </w:r>
      <w:r w:rsidR="00DF244B" w:rsidRPr="00910E3A">
        <w:t xml:space="preserve"> of which</w:t>
      </w:r>
      <w:r w:rsidR="00B24BEF" w:rsidRPr="00910E3A">
        <w:t xml:space="preserve"> 12,000</w:t>
      </w:r>
      <w:r w:rsidR="00DA78DD">
        <w:t xml:space="preserve"> are</w:t>
      </w:r>
      <w:r w:rsidR="00B24BEF" w:rsidRPr="00910E3A">
        <w:t xml:space="preserve"> burn-in iterations</w:t>
      </w:r>
      <w:r w:rsidR="00DF244B" w:rsidRPr="00910E3A">
        <w:t>,</w:t>
      </w:r>
      <w:r w:rsidR="00B24BEF" w:rsidRPr="00910E3A">
        <w:t xml:space="preserve"> and 120,000 simulations. </w:t>
      </w:r>
      <w:r w:rsidR="009B3534" w:rsidRPr="00910E3A">
        <w:t xml:space="preserve">The results </w:t>
      </w:r>
      <w:r w:rsidR="0023701F" w:rsidRPr="00910E3A">
        <w:t>are recorded and checked for model convergence by inspecting the Kernel density plots and</w:t>
      </w:r>
      <w:r w:rsidR="00DF244B" w:rsidRPr="00910E3A">
        <w:t xml:space="preserve"> </w:t>
      </w:r>
      <w:r w:rsidR="003E7900" w:rsidRPr="00910E3A">
        <w:t>trace</w:t>
      </w:r>
      <w:r w:rsidR="0023701F" w:rsidRPr="00910E3A">
        <w:t xml:space="preserve"> plots</w:t>
      </w:r>
      <w:r w:rsidR="003E7900" w:rsidRPr="00910E3A">
        <w:t xml:space="preserve"> </w:t>
      </w:r>
      <w:r w:rsidR="003E7900" w:rsidRPr="006C1AD5">
        <w:rPr>
          <w:iCs/>
        </w:rPr>
        <w:t>(</w:t>
      </w:r>
      <w:r w:rsidR="00C41BB4">
        <w:rPr>
          <w:rFonts w:cs="Times New Roman"/>
          <w:iCs/>
        </w:rPr>
        <w:t>Cowles, 2013</w:t>
      </w:r>
      <w:r w:rsidR="003E7900" w:rsidRPr="006C1AD5">
        <w:rPr>
          <w:iCs/>
        </w:rPr>
        <w:t>)</w:t>
      </w:r>
      <w:r w:rsidR="0023701F" w:rsidRPr="00910E3A">
        <w:t>.</w:t>
      </w:r>
      <w:r w:rsidR="00DE1D12" w:rsidRPr="00910E3A">
        <w:t xml:space="preserve"> The estimated parameter means and standard deviations of each state’s model are recorded and </w:t>
      </w:r>
      <w:r w:rsidR="00EE67A0">
        <w:t>assigned to the other state</w:t>
      </w:r>
      <w:r w:rsidR="00DE1D12" w:rsidRPr="00910E3A">
        <w:t xml:space="preserve"> as informative priors. </w:t>
      </w:r>
      <w:r w:rsidR="00EC0AD1" w:rsidRPr="00910E3A">
        <w:t>Subsequently, t</w:t>
      </w:r>
      <w:r w:rsidR="00DE1D12" w:rsidRPr="00910E3A">
        <w:t>he models are rerun with the informative priors. It should be noted that no prior information is assumed for the dispersion parameter throughout all models. Each state’s models, including those with informative priors and th</w:t>
      </w:r>
      <w:r w:rsidR="00AD381A">
        <w:t>ose</w:t>
      </w:r>
      <w:r w:rsidR="009A4E6A" w:rsidRPr="00910E3A">
        <w:t xml:space="preserve"> with</w:t>
      </w:r>
      <w:r w:rsidR="00DE1D12" w:rsidRPr="00910E3A">
        <w:t xml:space="preserve"> </w:t>
      </w:r>
      <w:r w:rsidR="009A4E6A" w:rsidRPr="00910E3A">
        <w:t>non-</w:t>
      </w:r>
      <w:r w:rsidR="00DE1D12" w:rsidRPr="00910E3A">
        <w:t xml:space="preserve">informative priors, </w:t>
      </w:r>
      <w:r w:rsidR="00AD381A">
        <w:t>are</w:t>
      </w:r>
      <w:r w:rsidR="00AD381A" w:rsidRPr="00910E3A">
        <w:t xml:space="preserve"> </w:t>
      </w:r>
      <w:r w:rsidR="00DE1D12" w:rsidRPr="00910E3A">
        <w:t>applied</w:t>
      </w:r>
      <w:r w:rsidR="00EE67A0">
        <w:t xml:space="preserve"> to the other state</w:t>
      </w:r>
      <w:r w:rsidR="009A4E6A" w:rsidRPr="00910E3A">
        <w:t xml:space="preserve"> for validation.</w:t>
      </w:r>
      <w:r w:rsidR="006E7EA2">
        <w:t xml:space="preserve"> The deviance information criterion (DIC) is used for evaluating the fit of Bayesian SPFs </w:t>
      </w:r>
      <w:r w:rsidR="006E7EA2" w:rsidRPr="00AB10FF">
        <w:t>(</w:t>
      </w:r>
      <w:proofErr w:type="spellStart"/>
      <w:r w:rsidR="006E7EA2" w:rsidRPr="00AB10FF">
        <w:rPr>
          <w:rFonts w:eastAsiaTheme="minorEastAsia" w:cs="Times New Roman"/>
        </w:rPr>
        <w:t>Spiegelhalter</w:t>
      </w:r>
      <w:proofErr w:type="spellEnd"/>
      <w:r w:rsidR="006E7EA2" w:rsidRPr="00AB10FF">
        <w:rPr>
          <w:rFonts w:eastAsiaTheme="minorEastAsia" w:cs="Times New Roman"/>
        </w:rPr>
        <w:t xml:space="preserve"> et al., 2002</w:t>
      </w:r>
      <w:r w:rsidR="006E7EA2" w:rsidRPr="00AB10FF">
        <w:t>)</w:t>
      </w:r>
      <w:r w:rsidR="006E7EA2">
        <w:t xml:space="preserve"> and is defined as shown in Equation (7).</w:t>
      </w:r>
    </w:p>
    <w:p w14:paraId="6A84DAC8" w14:textId="47E1EAE1" w:rsidR="006E7EA2" w:rsidRPr="006E7EA2" w:rsidRDefault="006E7EA2" w:rsidP="00F02BE3">
      <m:oMath>
        <m:r>
          <w:rPr>
            <w:rFonts w:ascii="Cambria Math" w:hAnsi="Cambria Math"/>
          </w:rPr>
          <m:t>DIC</m:t>
        </m:r>
        <m:r>
          <m:rPr>
            <m:sty m:val="p"/>
          </m:rPr>
          <w:rPr>
            <w:rFonts w:ascii="Cambria Math" w:hAnsi="Cambria Math"/>
          </w:rPr>
          <m:t>=</m:t>
        </m:r>
        <m:acc>
          <m:accPr>
            <m:chr m:val="̅"/>
            <m:ctrlPr>
              <w:rPr>
                <w:rFonts w:ascii="Cambria Math" w:hAnsi="Cambria Math"/>
              </w:rPr>
            </m:ctrlPr>
          </m:accPr>
          <m:e>
            <m:r>
              <w:rPr>
                <w:rFonts w:ascii="Cambria Math" w:hAnsi="Cambria Math"/>
              </w:rPr>
              <m:t>D</m:t>
            </m:r>
          </m:e>
        </m:acc>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D</m:t>
            </m:r>
          </m:sub>
        </m:sSub>
      </m:oMath>
      <w:r>
        <w:rPr>
          <w:rFonts w:eastAsiaTheme="minorEastAsia"/>
        </w:rPr>
        <w:t xml:space="preserve">                                                                                                                               (7)</w:t>
      </w:r>
    </w:p>
    <w:p w14:paraId="21C32427" w14:textId="5079F7E3" w:rsidR="006933E7" w:rsidRPr="00910E3A" w:rsidRDefault="00AB10FF" w:rsidP="00AB10FF">
      <w:r>
        <w:t xml:space="preserve">The term, </w:t>
      </w:r>
      <w:r w:rsidRPr="00E7570F">
        <w:rPr>
          <w:i/>
          <w:iCs/>
        </w:rPr>
        <w:t>D̅</w:t>
      </w:r>
      <w:r>
        <w:t xml:space="preserve">, is the average of the SPF’s deviance while </w:t>
      </w:r>
      <w:proofErr w:type="spellStart"/>
      <w:r w:rsidRPr="00AB10FF">
        <w:rPr>
          <w:i/>
          <w:iCs/>
        </w:rPr>
        <w:t>p</w:t>
      </w:r>
      <w:r w:rsidRPr="00AB10FF">
        <w:rPr>
          <w:i/>
          <w:iCs/>
          <w:vertAlign w:val="subscript"/>
        </w:rPr>
        <w:t>D</w:t>
      </w:r>
      <w:proofErr w:type="spellEnd"/>
      <w:r>
        <w:t xml:space="preserve"> is the effective number of parameters. </w:t>
      </w:r>
      <w:r w:rsidR="00EC0AD1" w:rsidRPr="00910E3A">
        <w:t>Furthermore,</w:t>
      </w:r>
      <w:r w:rsidR="006E7EA2">
        <w:t xml:space="preserve"> other</w:t>
      </w:r>
      <w:r w:rsidR="00EC0AD1" w:rsidRPr="00910E3A">
        <w:t xml:space="preserve"> </w:t>
      </w:r>
      <w:r w:rsidR="006933E7" w:rsidRPr="00910E3A">
        <w:t>GOF</w:t>
      </w:r>
      <w:r w:rsidR="009A4E6A" w:rsidRPr="00910E3A">
        <w:t xml:space="preserve"> measures are computed. They are the mean absolute deviation (MAD)</w:t>
      </w:r>
      <w:r w:rsidR="002063CC">
        <w:t xml:space="preserve"> and</w:t>
      </w:r>
      <w:r w:rsidR="009A4E6A" w:rsidRPr="00910E3A">
        <w:t xml:space="preserve"> mean square prediction error (MSPE). </w:t>
      </w:r>
      <w:r w:rsidR="006933E7" w:rsidRPr="00910E3A">
        <w:t>Defined as follows, the GOF measures, applied in this study, are dependent on the difference between the observed and predicted crash frequency per site.</w:t>
      </w:r>
    </w:p>
    <w:p w14:paraId="564EC016" w14:textId="1402067A" w:rsidR="00B71920" w:rsidRPr="00910E3A" w:rsidRDefault="00B71920" w:rsidP="006E7EA2">
      <w:pPr>
        <w:rPr>
          <w:rFonts w:eastAsiaTheme="minorEastAsia"/>
        </w:rPr>
      </w:pPr>
      <m:oMath>
        <m:r>
          <w:rPr>
            <w:rFonts w:ascii="Cambria Math" w:hAnsi="Cambria Math"/>
          </w:rPr>
          <m:t>MAD=(1/n)</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SPF 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obs i</m:t>
                </m:r>
              </m:sub>
            </m:sSub>
            <m:r>
              <w:rPr>
                <w:rFonts w:ascii="Cambria Math" w:hAnsi="Cambria Math"/>
              </w:rPr>
              <m:t>|</m:t>
            </m:r>
          </m:e>
        </m:nary>
      </m:oMath>
      <w:r w:rsidR="00961A9A" w:rsidRPr="00910E3A">
        <w:rPr>
          <w:rFonts w:eastAsiaTheme="minorEastAsia"/>
        </w:rPr>
        <w:t xml:space="preserve"> </w:t>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t xml:space="preserve">       (</w:t>
      </w:r>
      <w:r w:rsidR="006E7EA2">
        <w:rPr>
          <w:rFonts w:eastAsiaTheme="minorEastAsia"/>
        </w:rPr>
        <w:t>8</w:t>
      </w:r>
      <w:r w:rsidR="00961A9A" w:rsidRPr="00910E3A">
        <w:rPr>
          <w:rFonts w:eastAsiaTheme="minorEastAsia"/>
        </w:rPr>
        <w:t>)</w:t>
      </w:r>
    </w:p>
    <w:p w14:paraId="7FA0D114" w14:textId="4029BBE7" w:rsidR="00B71920" w:rsidRPr="00910E3A" w:rsidRDefault="00B71920" w:rsidP="006E7EA2">
      <w:pPr>
        <w:rPr>
          <w:rFonts w:eastAsiaTheme="minorEastAsia"/>
        </w:rPr>
      </w:pPr>
      <m:oMath>
        <m:r>
          <w:rPr>
            <w:rFonts w:ascii="Cambria Math" w:hAnsi="Cambria Math"/>
          </w:rPr>
          <m:t>MSPE=(1/n)</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SPF 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obs i</m:t>
                        </m:r>
                      </m:sub>
                    </m:sSub>
                  </m:e>
                </m:d>
              </m:e>
              <m:sup>
                <m:r>
                  <w:rPr>
                    <w:rFonts w:ascii="Cambria Math" w:hAnsi="Cambria Math"/>
                  </w:rPr>
                  <m:t>2</m:t>
                </m:r>
              </m:sup>
            </m:sSup>
          </m:e>
        </m:nary>
      </m:oMath>
      <w:r w:rsidR="00961A9A" w:rsidRPr="00910E3A">
        <w:rPr>
          <w:rFonts w:eastAsiaTheme="minorEastAsia"/>
        </w:rPr>
        <w:t xml:space="preserve">  </w:t>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r>
      <w:r w:rsidR="00961A9A" w:rsidRPr="00910E3A">
        <w:rPr>
          <w:rFonts w:eastAsiaTheme="minorEastAsia"/>
        </w:rPr>
        <w:tab/>
        <w:t xml:space="preserve">       (</w:t>
      </w:r>
      <w:r w:rsidR="006E7EA2">
        <w:rPr>
          <w:rFonts w:eastAsiaTheme="minorEastAsia"/>
        </w:rPr>
        <w:t>9</w:t>
      </w:r>
      <w:r w:rsidR="00961A9A" w:rsidRPr="00910E3A">
        <w:rPr>
          <w:rFonts w:eastAsiaTheme="minorEastAsia"/>
        </w:rPr>
        <w:t>)</w:t>
      </w:r>
    </w:p>
    <w:p w14:paraId="5781E99F" w14:textId="1E99D334" w:rsidR="006E7CD8" w:rsidRPr="00910E3A" w:rsidRDefault="00B71920" w:rsidP="00EE67A0">
      <w:r w:rsidRPr="00910E3A">
        <w:t xml:space="preserve">The terms, </w:t>
      </w:r>
      <w:r w:rsidRPr="00910E3A">
        <w:rPr>
          <w:i/>
        </w:rPr>
        <w:t>n</w:t>
      </w:r>
      <w:r w:rsidRPr="00910E3A">
        <w:t xml:space="preserve">, </w:t>
      </w:r>
      <w:r w:rsidRPr="00910E3A">
        <w:rPr>
          <w:i/>
        </w:rPr>
        <w:t>N</w:t>
      </w:r>
      <w:r w:rsidRPr="00910E3A">
        <w:rPr>
          <w:i/>
          <w:vertAlign w:val="subscript"/>
        </w:rPr>
        <w:t>SPF</w:t>
      </w:r>
      <w:r w:rsidR="00FC672A" w:rsidRPr="00910E3A">
        <w:rPr>
          <w:i/>
          <w:vertAlign w:val="subscript"/>
        </w:rPr>
        <w:t xml:space="preserve"> </w:t>
      </w:r>
      <w:proofErr w:type="spellStart"/>
      <w:r w:rsidR="00FC672A" w:rsidRPr="00910E3A">
        <w:rPr>
          <w:i/>
          <w:vertAlign w:val="subscript"/>
        </w:rPr>
        <w:t>i</w:t>
      </w:r>
      <w:proofErr w:type="spellEnd"/>
      <w:r w:rsidRPr="00910E3A">
        <w:t xml:space="preserve"> and </w:t>
      </w:r>
      <w:r w:rsidRPr="00910E3A">
        <w:rPr>
          <w:i/>
        </w:rPr>
        <w:t>N</w:t>
      </w:r>
      <w:r w:rsidRPr="00910E3A">
        <w:rPr>
          <w:i/>
          <w:vertAlign w:val="subscript"/>
        </w:rPr>
        <w:t>obs</w:t>
      </w:r>
      <w:r w:rsidR="00FC672A" w:rsidRPr="00910E3A">
        <w:rPr>
          <w:i/>
          <w:vertAlign w:val="subscript"/>
        </w:rPr>
        <w:t xml:space="preserve"> </w:t>
      </w:r>
      <w:proofErr w:type="spellStart"/>
      <w:r w:rsidR="00FC672A" w:rsidRPr="00910E3A">
        <w:rPr>
          <w:i/>
          <w:vertAlign w:val="subscript"/>
        </w:rPr>
        <w:t>i</w:t>
      </w:r>
      <w:proofErr w:type="spellEnd"/>
      <w:r w:rsidRPr="00910E3A">
        <w:t xml:space="preserve"> are the number of sites, predicted number of crashes</w:t>
      </w:r>
      <w:r w:rsidR="00AD381A">
        <w:t>,</w:t>
      </w:r>
      <w:r w:rsidRPr="00910E3A">
        <w:t xml:space="preserve"> which is the mean crash frequency</w:t>
      </w:r>
      <w:r w:rsidR="00AD381A">
        <w:t>,</w:t>
      </w:r>
      <w:r w:rsidR="00FC672A" w:rsidRPr="00910E3A">
        <w:t xml:space="preserve"> and observed number of crashes per site </w:t>
      </w:r>
      <w:proofErr w:type="spellStart"/>
      <w:r w:rsidR="00FC672A" w:rsidRPr="00910E3A">
        <w:rPr>
          <w:i/>
        </w:rPr>
        <w:t>i</w:t>
      </w:r>
      <w:proofErr w:type="spellEnd"/>
      <w:r w:rsidR="00531C89">
        <w:rPr>
          <w:i/>
        </w:rPr>
        <w:t>,</w:t>
      </w:r>
      <w:r w:rsidR="00FC672A" w:rsidRPr="00910E3A">
        <w:t xml:space="preserve"> respectively.</w:t>
      </w:r>
      <w:r w:rsidR="007C4BC6" w:rsidRPr="00910E3A">
        <w:t xml:space="preserve"> The GOF measures are calculated to check whether the informative prior models are superior to the non-informative prior mod</w:t>
      </w:r>
      <w:r w:rsidR="00EE67A0">
        <w:t>els when applied elsewhere</w:t>
      </w:r>
      <w:r w:rsidR="007C4BC6" w:rsidRPr="00910E3A">
        <w:t>.</w:t>
      </w:r>
    </w:p>
    <w:p w14:paraId="2DEC4E42" w14:textId="77777777" w:rsidR="00F71667" w:rsidRDefault="003A4DD9" w:rsidP="00F71667">
      <w:pPr>
        <w:pStyle w:val="Heading1"/>
      </w:pPr>
      <w:r w:rsidRPr="00382739">
        <w:t xml:space="preserve">Empirical </w:t>
      </w:r>
      <w:r w:rsidR="003E5B7C" w:rsidRPr="00382739">
        <w:t>Analysis</w:t>
      </w:r>
    </w:p>
    <w:p w14:paraId="5D82F71E" w14:textId="77777777" w:rsidR="00502845" w:rsidRPr="00502845" w:rsidRDefault="00502845" w:rsidP="00382739">
      <w:pPr>
        <w:spacing w:after="0"/>
      </w:pPr>
    </w:p>
    <w:p w14:paraId="044F1C22" w14:textId="5AEC2B0B" w:rsidR="003A4DD9" w:rsidRPr="00910E3A" w:rsidRDefault="00565CA4" w:rsidP="00131F14">
      <w:r w:rsidRPr="00910E3A">
        <w:t xml:space="preserve">The </w:t>
      </w:r>
      <w:r w:rsidR="00C61648">
        <w:t xml:space="preserve">analysis is conducted by running </w:t>
      </w:r>
      <w:r w:rsidR="004F177F">
        <w:t>4</w:t>
      </w:r>
      <w:r w:rsidR="00C61648">
        <w:t xml:space="preserve"> Bayesian SPFs for KABCO crashes and </w:t>
      </w:r>
      <w:r w:rsidR="004F177F">
        <w:t>4</w:t>
      </w:r>
      <w:r w:rsidR="00C61648">
        <w:t xml:space="preserve"> for KAB crashes</w:t>
      </w:r>
      <w:r w:rsidRPr="00910E3A">
        <w:t>. Accor</w:t>
      </w:r>
      <w:r w:rsidR="00364E72" w:rsidRPr="00910E3A">
        <w:t>ding to the Kernel density</w:t>
      </w:r>
      <w:r w:rsidRPr="00910E3A">
        <w:t xml:space="preserve"> and </w:t>
      </w:r>
      <w:r w:rsidR="00364E72" w:rsidRPr="00910E3A">
        <w:t>trace plots</w:t>
      </w:r>
      <w:r w:rsidRPr="00910E3A">
        <w:t xml:space="preserve">, </w:t>
      </w:r>
      <w:r w:rsidR="003A4DD9" w:rsidRPr="00910E3A">
        <w:t>all</w:t>
      </w:r>
      <w:r w:rsidRPr="00910E3A">
        <w:t xml:space="preserve"> models converged</w:t>
      </w:r>
      <w:r w:rsidR="00C61648">
        <w:t xml:space="preserve"> successfully</w:t>
      </w:r>
      <w:r w:rsidRPr="00910E3A">
        <w:t>.</w:t>
      </w:r>
      <w:r w:rsidR="004B60F2" w:rsidRPr="00910E3A">
        <w:t xml:space="preserve"> Results of </w:t>
      </w:r>
      <w:r w:rsidR="00DF7034" w:rsidRPr="00910E3A">
        <w:t>each state’s</w:t>
      </w:r>
      <w:r w:rsidR="0019067F">
        <w:t xml:space="preserve"> KABCO crash SPFs</w:t>
      </w:r>
      <w:r w:rsidR="00DF7034" w:rsidRPr="00910E3A">
        <w:t xml:space="preserve"> with non-informative priors are shown in </w:t>
      </w:r>
      <w:r w:rsidR="00AA4F7F">
        <w:t xml:space="preserve">Table 2 </w:t>
      </w:r>
      <w:r w:rsidR="006E06F5">
        <w:t>while</w:t>
      </w:r>
      <w:r w:rsidR="0019067F">
        <w:t xml:space="preserve"> results of those with informative priors are presented in </w:t>
      </w:r>
      <w:r w:rsidR="006E06F5">
        <w:t>Table 3</w:t>
      </w:r>
      <w:r w:rsidR="00DF7034" w:rsidRPr="00910E3A">
        <w:t>.</w:t>
      </w:r>
      <w:r w:rsidR="0019067F">
        <w:t xml:space="preserve"> Similarly, the KAB crash SPFs with non-informative priors are shown in </w:t>
      </w:r>
      <w:r w:rsidR="00AA4F7F">
        <w:t xml:space="preserve">Table 4 </w:t>
      </w:r>
      <w:r w:rsidR="006E06F5">
        <w:t>and</w:t>
      </w:r>
      <w:r w:rsidR="0019067F">
        <w:t xml:space="preserve"> those with informative priors are </w:t>
      </w:r>
      <w:r w:rsidR="0019067F">
        <w:lastRenderedPageBreak/>
        <w:t>shown in</w:t>
      </w:r>
      <w:r w:rsidR="00AA4F7F">
        <w:t xml:space="preserve"> Table 5</w:t>
      </w:r>
      <w:r w:rsidR="0019067F">
        <w:t>.</w:t>
      </w:r>
      <w:r w:rsidR="00A02D4A" w:rsidRPr="00910E3A">
        <w:t xml:space="preserve"> As previously mentioned, the means and precisions</w:t>
      </w:r>
      <w:r w:rsidR="009D7C5A">
        <w:t xml:space="preserve"> (i.e., </w:t>
      </w:r>
      <w:r w:rsidR="00DA78DD">
        <w:t xml:space="preserve">inverse </w:t>
      </w:r>
      <w:r w:rsidR="009D7C5A">
        <w:t xml:space="preserve">of </w:t>
      </w:r>
      <w:r w:rsidR="00DA78DD">
        <w:t>variance</w:t>
      </w:r>
      <w:r w:rsidR="00EE67A0">
        <w:t>s</w:t>
      </w:r>
      <w:r w:rsidR="009D7C5A">
        <w:t>)</w:t>
      </w:r>
      <w:r w:rsidR="00A02D4A" w:rsidRPr="00910E3A">
        <w:t xml:space="preserve"> of the parameters, not including those of the inverse dispersion parameter, are used as the informative priors. </w:t>
      </w:r>
      <w:r w:rsidR="0019067F">
        <w:t>S</w:t>
      </w:r>
      <w:r w:rsidR="00F02CDC" w:rsidRPr="00910E3A">
        <w:t>ummaries</w:t>
      </w:r>
      <w:r w:rsidR="003A4DD9" w:rsidRPr="00910E3A">
        <w:t xml:space="preserve"> of the</w:t>
      </w:r>
      <w:r w:rsidR="00F02CDC" w:rsidRPr="00910E3A">
        <w:t xml:space="preserve"> results of the</w:t>
      </w:r>
      <w:r w:rsidRPr="00910E3A">
        <w:t xml:space="preserve"> </w:t>
      </w:r>
      <w:r w:rsidR="003A4DD9" w:rsidRPr="00910E3A">
        <w:t>application of the mod</w:t>
      </w:r>
      <w:r w:rsidR="00D15377" w:rsidRPr="00910E3A">
        <w:t>els</w:t>
      </w:r>
      <w:r w:rsidR="00965986" w:rsidRPr="00910E3A">
        <w:t xml:space="preserve"> with informative priors</w:t>
      </w:r>
      <w:r w:rsidR="00D15377" w:rsidRPr="00910E3A">
        <w:t xml:space="preserve"> for validation are </w:t>
      </w:r>
      <w:r w:rsidR="00965986" w:rsidRPr="00910E3A">
        <w:t>presented</w:t>
      </w:r>
      <w:r w:rsidR="00D15377" w:rsidRPr="00910E3A">
        <w:t xml:space="preserve"> in </w:t>
      </w:r>
      <w:r w:rsidR="00AA4F7F">
        <w:t>Table 6</w:t>
      </w:r>
      <w:r w:rsidR="003A4DD9" w:rsidRPr="00910E3A">
        <w:t>.</w:t>
      </w:r>
      <w:r w:rsidR="00FC2CFA" w:rsidRPr="00FC2CFA">
        <w:t xml:space="preserve"> </w:t>
      </w:r>
      <w:r w:rsidR="00FC2CFA">
        <w:t xml:space="preserve">Note that in Table 6, results of applying jurisdiction specific SPFs, whether with non-informative or informative priors, to local conditions are not presented. </w:t>
      </w:r>
      <w:r w:rsidR="00131F14" w:rsidRPr="0043573C">
        <w:t>Instead, we are interested in transferring SPFs to other state(s) and examining the effect of informative priors, retrieved from the state of which the SPF is transferred to, on the transferability of the SPF.</w:t>
      </w:r>
      <w:bookmarkStart w:id="1" w:name="_GoBack"/>
      <w:bookmarkEnd w:id="1"/>
      <w:r w:rsidR="004E4111">
        <w:br/>
      </w:r>
    </w:p>
    <w:p w14:paraId="15DFC64D" w14:textId="08FEBD3C" w:rsidR="00845EDA" w:rsidRPr="00910E3A" w:rsidRDefault="00845EDA" w:rsidP="00C54425">
      <w:pPr>
        <w:pStyle w:val="Caption"/>
      </w:pPr>
      <w:bookmarkStart w:id="2" w:name="_Ref456388647"/>
      <w:r w:rsidRPr="00910E3A">
        <w:t xml:space="preserve">Table </w:t>
      </w:r>
      <w:r w:rsidR="00C14F70">
        <w:fldChar w:fldCharType="begin"/>
      </w:r>
      <w:r w:rsidR="00C14F70">
        <w:instrText xml:space="preserve"> SEQ Table \* ARABIC </w:instrText>
      </w:r>
      <w:r w:rsidR="00C14F70">
        <w:fldChar w:fldCharType="separate"/>
      </w:r>
      <w:r w:rsidR="006804C3">
        <w:rPr>
          <w:noProof/>
        </w:rPr>
        <w:t>2</w:t>
      </w:r>
      <w:r w:rsidR="00C14F70">
        <w:rPr>
          <w:noProof/>
        </w:rPr>
        <w:fldChar w:fldCharType="end"/>
      </w:r>
      <w:bookmarkEnd w:id="2"/>
      <w:r w:rsidRPr="00910E3A">
        <w:t xml:space="preserve"> States'</w:t>
      </w:r>
      <w:r w:rsidR="00DC1EF0">
        <w:t xml:space="preserve"> </w:t>
      </w:r>
      <w:r w:rsidRPr="00910E3A">
        <w:t>Non-Informative Prior Model Results</w:t>
      </w:r>
      <w:r w:rsidR="00DC1EF0">
        <w:t xml:space="preserve"> for KABCO Crashes</w:t>
      </w:r>
    </w:p>
    <w:tbl>
      <w:tblPr>
        <w:tblStyle w:val="TableGrid"/>
        <w:tblW w:w="9478" w:type="dxa"/>
        <w:jc w:val="center"/>
        <w:tblLook w:val="04A0" w:firstRow="1" w:lastRow="0" w:firstColumn="1" w:lastColumn="0" w:noHBand="0" w:noVBand="1"/>
      </w:tblPr>
      <w:tblGrid>
        <w:gridCol w:w="1138"/>
        <w:gridCol w:w="1173"/>
        <w:gridCol w:w="945"/>
        <w:gridCol w:w="1363"/>
        <w:gridCol w:w="991"/>
        <w:gridCol w:w="991"/>
        <w:gridCol w:w="905"/>
        <w:gridCol w:w="983"/>
        <w:gridCol w:w="983"/>
        <w:gridCol w:w="6"/>
      </w:tblGrid>
      <w:tr w:rsidR="00E44499" w:rsidRPr="007B4982" w14:paraId="06DB3B45" w14:textId="77777777" w:rsidTr="00C97CC5">
        <w:trPr>
          <w:gridAfter w:val="1"/>
          <w:wAfter w:w="6" w:type="dxa"/>
          <w:trHeight w:val="70"/>
          <w:jc w:val="center"/>
        </w:trPr>
        <w:tc>
          <w:tcPr>
            <w:tcW w:w="0" w:type="auto"/>
            <w:vMerge w:val="restart"/>
            <w:vAlign w:val="center"/>
          </w:tcPr>
          <w:p w14:paraId="44C73B25" w14:textId="77777777" w:rsidR="00E44499" w:rsidRPr="00382739" w:rsidRDefault="00E44499" w:rsidP="00204C2A">
            <w:pPr>
              <w:pStyle w:val="NoSpacing"/>
              <w:rPr>
                <w:b/>
                <w:bCs/>
                <w:sz w:val="21"/>
                <w:szCs w:val="21"/>
              </w:rPr>
            </w:pPr>
            <w:r w:rsidRPr="00382739">
              <w:rPr>
                <w:b/>
                <w:bCs/>
                <w:sz w:val="21"/>
                <w:szCs w:val="21"/>
              </w:rPr>
              <w:t>Model</w:t>
            </w:r>
          </w:p>
        </w:tc>
        <w:tc>
          <w:tcPr>
            <w:tcW w:w="0" w:type="auto"/>
            <w:vMerge w:val="restart"/>
            <w:vAlign w:val="center"/>
          </w:tcPr>
          <w:p w14:paraId="2A34E15B" w14:textId="77777777" w:rsidR="00E44499" w:rsidRPr="00382739" w:rsidRDefault="00E44499" w:rsidP="00204C2A">
            <w:pPr>
              <w:pStyle w:val="NoSpacing"/>
              <w:rPr>
                <w:b/>
                <w:bCs/>
                <w:sz w:val="21"/>
                <w:szCs w:val="21"/>
              </w:rPr>
            </w:pPr>
            <w:r w:rsidRPr="00382739">
              <w:rPr>
                <w:b/>
                <w:bCs/>
                <w:sz w:val="21"/>
                <w:szCs w:val="21"/>
              </w:rPr>
              <w:t>Parameter</w:t>
            </w:r>
          </w:p>
        </w:tc>
        <w:tc>
          <w:tcPr>
            <w:tcW w:w="945" w:type="dxa"/>
            <w:vMerge w:val="restart"/>
            <w:vAlign w:val="center"/>
          </w:tcPr>
          <w:p w14:paraId="49B63939" w14:textId="77777777" w:rsidR="00E44499" w:rsidRPr="00382739" w:rsidRDefault="00E44499" w:rsidP="00204C2A">
            <w:pPr>
              <w:pStyle w:val="NoSpacing"/>
              <w:rPr>
                <w:b/>
                <w:bCs/>
                <w:sz w:val="21"/>
                <w:szCs w:val="21"/>
              </w:rPr>
            </w:pPr>
            <w:r w:rsidRPr="00382739">
              <w:rPr>
                <w:b/>
                <w:bCs/>
                <w:sz w:val="21"/>
                <w:szCs w:val="21"/>
              </w:rPr>
              <w:t>Mean</w:t>
            </w:r>
          </w:p>
        </w:tc>
        <w:tc>
          <w:tcPr>
            <w:tcW w:w="1363" w:type="dxa"/>
            <w:vMerge w:val="restart"/>
            <w:vAlign w:val="center"/>
          </w:tcPr>
          <w:p w14:paraId="6EBE1F63" w14:textId="77777777" w:rsidR="00E44499" w:rsidRPr="00382739" w:rsidRDefault="00E44499" w:rsidP="00204C2A">
            <w:pPr>
              <w:pStyle w:val="NoSpacing"/>
              <w:rPr>
                <w:b/>
                <w:bCs/>
                <w:sz w:val="21"/>
                <w:szCs w:val="21"/>
              </w:rPr>
            </w:pPr>
            <w:r w:rsidRPr="00382739">
              <w:rPr>
                <w:b/>
                <w:bCs/>
                <w:sz w:val="21"/>
                <w:szCs w:val="21"/>
              </w:rPr>
              <w:t>Standard Deviation</w:t>
            </w:r>
          </w:p>
        </w:tc>
        <w:tc>
          <w:tcPr>
            <w:tcW w:w="0" w:type="auto"/>
            <w:gridSpan w:val="5"/>
            <w:vAlign w:val="center"/>
          </w:tcPr>
          <w:p w14:paraId="0EC71772" w14:textId="5D8AC3BE" w:rsidR="00E44499" w:rsidRPr="00382739" w:rsidRDefault="00E44499" w:rsidP="00204C2A">
            <w:pPr>
              <w:pStyle w:val="NoSpacing"/>
              <w:rPr>
                <w:b/>
                <w:bCs/>
                <w:sz w:val="21"/>
                <w:szCs w:val="21"/>
              </w:rPr>
            </w:pPr>
            <w:r>
              <w:rPr>
                <w:b/>
                <w:bCs/>
                <w:sz w:val="21"/>
                <w:szCs w:val="21"/>
              </w:rPr>
              <w:t>Bayesian Credible Interval</w:t>
            </w:r>
          </w:p>
        </w:tc>
      </w:tr>
      <w:tr w:rsidR="00E44499" w:rsidRPr="007B4982" w14:paraId="18BC46B4" w14:textId="77777777" w:rsidTr="00C97CC5">
        <w:trPr>
          <w:gridAfter w:val="1"/>
          <w:wAfter w:w="6" w:type="dxa"/>
          <w:trHeight w:val="70"/>
          <w:jc w:val="center"/>
        </w:trPr>
        <w:tc>
          <w:tcPr>
            <w:tcW w:w="0" w:type="auto"/>
            <w:vMerge/>
            <w:vAlign w:val="center"/>
          </w:tcPr>
          <w:p w14:paraId="237D8B27" w14:textId="77777777" w:rsidR="00E44499" w:rsidRPr="00382739" w:rsidRDefault="00E44499" w:rsidP="00204C2A">
            <w:pPr>
              <w:pStyle w:val="NoSpacing"/>
              <w:rPr>
                <w:b/>
                <w:bCs/>
                <w:sz w:val="21"/>
                <w:szCs w:val="21"/>
              </w:rPr>
            </w:pPr>
          </w:p>
        </w:tc>
        <w:tc>
          <w:tcPr>
            <w:tcW w:w="0" w:type="auto"/>
            <w:vMerge/>
            <w:vAlign w:val="center"/>
          </w:tcPr>
          <w:p w14:paraId="22501CC7" w14:textId="77777777" w:rsidR="00E44499" w:rsidRPr="00382739" w:rsidRDefault="00E44499" w:rsidP="00204C2A">
            <w:pPr>
              <w:pStyle w:val="NoSpacing"/>
              <w:rPr>
                <w:b/>
                <w:bCs/>
                <w:sz w:val="21"/>
                <w:szCs w:val="21"/>
              </w:rPr>
            </w:pPr>
          </w:p>
        </w:tc>
        <w:tc>
          <w:tcPr>
            <w:tcW w:w="945" w:type="dxa"/>
            <w:vMerge/>
            <w:vAlign w:val="center"/>
          </w:tcPr>
          <w:p w14:paraId="766CCE50" w14:textId="77777777" w:rsidR="00E44499" w:rsidRPr="00382739" w:rsidRDefault="00E44499" w:rsidP="00204C2A">
            <w:pPr>
              <w:pStyle w:val="NoSpacing"/>
              <w:rPr>
                <w:b/>
                <w:bCs/>
                <w:sz w:val="21"/>
                <w:szCs w:val="21"/>
              </w:rPr>
            </w:pPr>
          </w:p>
        </w:tc>
        <w:tc>
          <w:tcPr>
            <w:tcW w:w="1363" w:type="dxa"/>
            <w:vMerge/>
            <w:vAlign w:val="center"/>
          </w:tcPr>
          <w:p w14:paraId="4733D2F7" w14:textId="77777777" w:rsidR="00E44499" w:rsidRPr="00382739" w:rsidRDefault="00E44499" w:rsidP="00204C2A">
            <w:pPr>
              <w:pStyle w:val="NoSpacing"/>
              <w:rPr>
                <w:b/>
                <w:bCs/>
                <w:sz w:val="21"/>
                <w:szCs w:val="21"/>
              </w:rPr>
            </w:pPr>
          </w:p>
        </w:tc>
        <w:tc>
          <w:tcPr>
            <w:tcW w:w="0" w:type="auto"/>
            <w:vAlign w:val="center"/>
          </w:tcPr>
          <w:p w14:paraId="2A3129F8" w14:textId="7B9364CF" w:rsidR="00E44499" w:rsidRPr="00382739" w:rsidRDefault="00E44499" w:rsidP="00E44499">
            <w:pPr>
              <w:pStyle w:val="NoSpacing"/>
              <w:rPr>
                <w:b/>
                <w:bCs/>
                <w:sz w:val="21"/>
                <w:szCs w:val="21"/>
              </w:rPr>
            </w:pPr>
            <w:r w:rsidRPr="00382739">
              <w:rPr>
                <w:b/>
                <w:bCs/>
                <w:sz w:val="21"/>
                <w:szCs w:val="21"/>
              </w:rPr>
              <w:t>Lower 95%</w:t>
            </w:r>
          </w:p>
        </w:tc>
        <w:tc>
          <w:tcPr>
            <w:tcW w:w="0" w:type="auto"/>
            <w:vAlign w:val="center"/>
          </w:tcPr>
          <w:p w14:paraId="3B23D993" w14:textId="741B308B" w:rsidR="00E44499" w:rsidRPr="00382739" w:rsidRDefault="00E44499" w:rsidP="00E44499">
            <w:pPr>
              <w:pStyle w:val="NoSpacing"/>
              <w:rPr>
                <w:b/>
                <w:bCs/>
                <w:sz w:val="21"/>
                <w:szCs w:val="21"/>
              </w:rPr>
            </w:pPr>
            <w:r w:rsidRPr="00382739">
              <w:rPr>
                <w:b/>
                <w:bCs/>
                <w:sz w:val="21"/>
                <w:szCs w:val="21"/>
              </w:rPr>
              <w:t>Lower 90%</w:t>
            </w:r>
          </w:p>
        </w:tc>
        <w:tc>
          <w:tcPr>
            <w:tcW w:w="0" w:type="auto"/>
            <w:vAlign w:val="center"/>
          </w:tcPr>
          <w:p w14:paraId="4AAD4AF1" w14:textId="55269F7D" w:rsidR="00E44499" w:rsidRPr="00382739" w:rsidRDefault="00E44499" w:rsidP="00E44499">
            <w:pPr>
              <w:pStyle w:val="NoSpacing"/>
              <w:rPr>
                <w:b/>
                <w:bCs/>
                <w:sz w:val="21"/>
                <w:szCs w:val="21"/>
              </w:rPr>
            </w:pPr>
            <w:r>
              <w:rPr>
                <w:b/>
                <w:bCs/>
                <w:sz w:val="21"/>
                <w:szCs w:val="21"/>
              </w:rPr>
              <w:t>Median</w:t>
            </w:r>
          </w:p>
        </w:tc>
        <w:tc>
          <w:tcPr>
            <w:tcW w:w="0" w:type="auto"/>
            <w:vAlign w:val="center"/>
          </w:tcPr>
          <w:p w14:paraId="695EA501" w14:textId="0DA9EB1C" w:rsidR="00E44499" w:rsidRPr="00382739" w:rsidRDefault="00E44499" w:rsidP="00E44499">
            <w:pPr>
              <w:pStyle w:val="NoSpacing"/>
              <w:rPr>
                <w:b/>
                <w:bCs/>
                <w:sz w:val="21"/>
                <w:szCs w:val="21"/>
              </w:rPr>
            </w:pPr>
            <w:r w:rsidRPr="00382739">
              <w:rPr>
                <w:b/>
                <w:bCs/>
                <w:sz w:val="21"/>
                <w:szCs w:val="21"/>
              </w:rPr>
              <w:t>Upper 90%</w:t>
            </w:r>
          </w:p>
        </w:tc>
        <w:tc>
          <w:tcPr>
            <w:tcW w:w="0" w:type="auto"/>
            <w:vAlign w:val="center"/>
          </w:tcPr>
          <w:p w14:paraId="6EED17F0" w14:textId="6CA1EE6F" w:rsidR="00E44499" w:rsidRPr="00382739" w:rsidRDefault="00E44499" w:rsidP="00E44499">
            <w:pPr>
              <w:pStyle w:val="NoSpacing"/>
              <w:rPr>
                <w:b/>
                <w:bCs/>
                <w:sz w:val="21"/>
                <w:szCs w:val="21"/>
              </w:rPr>
            </w:pPr>
            <w:r w:rsidRPr="00382739">
              <w:rPr>
                <w:b/>
                <w:bCs/>
                <w:sz w:val="21"/>
                <w:szCs w:val="21"/>
              </w:rPr>
              <w:t>Upper 95%</w:t>
            </w:r>
          </w:p>
        </w:tc>
      </w:tr>
      <w:tr w:rsidR="00C97CC5" w:rsidRPr="007B4982" w14:paraId="72AB489B" w14:textId="77777777" w:rsidTr="00C97CC5">
        <w:trPr>
          <w:gridAfter w:val="1"/>
          <w:wAfter w:w="6" w:type="dxa"/>
          <w:trHeight w:val="271"/>
          <w:jc w:val="center"/>
        </w:trPr>
        <w:tc>
          <w:tcPr>
            <w:tcW w:w="0" w:type="auto"/>
            <w:vMerge w:val="restart"/>
            <w:vAlign w:val="center"/>
          </w:tcPr>
          <w:p w14:paraId="09F12C41" w14:textId="77777777" w:rsidR="00C97CC5" w:rsidRPr="00382739" w:rsidRDefault="00C97CC5" w:rsidP="00C97CC5">
            <w:pPr>
              <w:pStyle w:val="NoSpacing"/>
              <w:rPr>
                <w:b/>
                <w:bCs/>
                <w:iCs/>
                <w:sz w:val="21"/>
                <w:szCs w:val="21"/>
              </w:rPr>
            </w:pPr>
            <w:r w:rsidRPr="00382739">
              <w:rPr>
                <w:b/>
                <w:bCs/>
                <w:iCs/>
                <w:sz w:val="21"/>
                <w:szCs w:val="21"/>
              </w:rPr>
              <w:t>Florida</w:t>
            </w:r>
          </w:p>
          <w:p w14:paraId="043B6A52" w14:textId="1B44FA2F" w:rsidR="00C97CC5" w:rsidRPr="00382739" w:rsidRDefault="00C97CC5" w:rsidP="00C97CC5">
            <w:pPr>
              <w:pStyle w:val="NoSpacing"/>
              <w:rPr>
                <w:b/>
                <w:bCs/>
                <w:iCs/>
                <w:sz w:val="21"/>
                <w:szCs w:val="21"/>
              </w:rPr>
            </w:pPr>
            <w:r w:rsidRPr="00382739">
              <w:rPr>
                <w:b/>
                <w:bCs/>
                <w:iCs/>
                <w:sz w:val="21"/>
                <w:szCs w:val="21"/>
              </w:rPr>
              <w:t>(N=436)</w:t>
            </w:r>
          </w:p>
        </w:tc>
        <w:tc>
          <w:tcPr>
            <w:tcW w:w="0" w:type="auto"/>
            <w:vAlign w:val="center"/>
          </w:tcPr>
          <w:p w14:paraId="766A81CF" w14:textId="77777777" w:rsidR="00C97CC5" w:rsidRPr="00382739" w:rsidRDefault="00C97CC5" w:rsidP="00C97CC5">
            <w:pPr>
              <w:pStyle w:val="NoSpacing"/>
              <w:rPr>
                <w:b/>
                <w:bCs/>
                <w:iCs/>
                <w:sz w:val="21"/>
                <w:szCs w:val="21"/>
              </w:rPr>
            </w:pPr>
            <w:r w:rsidRPr="00382739">
              <w:rPr>
                <w:b/>
                <w:bCs/>
                <w:iCs/>
                <w:sz w:val="21"/>
                <w:szCs w:val="21"/>
              </w:rPr>
              <w:t>Constant</w:t>
            </w:r>
          </w:p>
        </w:tc>
        <w:tc>
          <w:tcPr>
            <w:tcW w:w="945" w:type="dxa"/>
            <w:vAlign w:val="center"/>
          </w:tcPr>
          <w:p w14:paraId="6F02E0FA" w14:textId="7D6ADC49" w:rsidR="00C97CC5" w:rsidRPr="00C97CC5" w:rsidRDefault="00C97CC5" w:rsidP="00C97CC5">
            <w:pPr>
              <w:pStyle w:val="NoSpacing"/>
              <w:rPr>
                <w:sz w:val="21"/>
                <w:szCs w:val="21"/>
              </w:rPr>
            </w:pPr>
            <w:r w:rsidRPr="00C97CC5">
              <w:rPr>
                <w:sz w:val="21"/>
                <w:szCs w:val="21"/>
              </w:rPr>
              <w:t>-6.448</w:t>
            </w:r>
          </w:p>
        </w:tc>
        <w:tc>
          <w:tcPr>
            <w:tcW w:w="1363" w:type="dxa"/>
            <w:vAlign w:val="center"/>
          </w:tcPr>
          <w:p w14:paraId="5C7DBD8C" w14:textId="78F81418" w:rsidR="00C97CC5" w:rsidRPr="00C97CC5" w:rsidRDefault="00C97CC5" w:rsidP="00C97CC5">
            <w:pPr>
              <w:pStyle w:val="NoSpacing"/>
              <w:rPr>
                <w:sz w:val="21"/>
                <w:szCs w:val="21"/>
              </w:rPr>
            </w:pPr>
            <w:r w:rsidRPr="00C97CC5">
              <w:rPr>
                <w:sz w:val="21"/>
                <w:szCs w:val="21"/>
              </w:rPr>
              <w:t>0.98</w:t>
            </w:r>
            <w:r>
              <w:rPr>
                <w:sz w:val="21"/>
                <w:szCs w:val="21"/>
              </w:rPr>
              <w:t>3</w:t>
            </w:r>
          </w:p>
        </w:tc>
        <w:tc>
          <w:tcPr>
            <w:tcW w:w="0" w:type="auto"/>
            <w:vAlign w:val="center"/>
          </w:tcPr>
          <w:p w14:paraId="5EDD7EE5" w14:textId="02EA0A3B" w:rsidR="00C97CC5" w:rsidRPr="00C97CC5" w:rsidRDefault="00C97CC5" w:rsidP="00C97CC5">
            <w:pPr>
              <w:pStyle w:val="NoSpacing"/>
              <w:rPr>
                <w:sz w:val="21"/>
                <w:szCs w:val="21"/>
              </w:rPr>
            </w:pPr>
            <w:r w:rsidRPr="00C97CC5">
              <w:rPr>
                <w:sz w:val="21"/>
                <w:szCs w:val="21"/>
              </w:rPr>
              <w:t>-8.355</w:t>
            </w:r>
          </w:p>
        </w:tc>
        <w:tc>
          <w:tcPr>
            <w:tcW w:w="0" w:type="auto"/>
            <w:vAlign w:val="center"/>
          </w:tcPr>
          <w:p w14:paraId="725A0BA1" w14:textId="6797220B" w:rsidR="00C97CC5" w:rsidRPr="00C97CC5" w:rsidRDefault="00C97CC5" w:rsidP="00C97CC5">
            <w:pPr>
              <w:pStyle w:val="NoSpacing"/>
              <w:rPr>
                <w:sz w:val="21"/>
                <w:szCs w:val="21"/>
              </w:rPr>
            </w:pPr>
            <w:r w:rsidRPr="00C97CC5">
              <w:rPr>
                <w:sz w:val="21"/>
                <w:szCs w:val="21"/>
              </w:rPr>
              <w:t>-8.043</w:t>
            </w:r>
          </w:p>
        </w:tc>
        <w:tc>
          <w:tcPr>
            <w:tcW w:w="0" w:type="auto"/>
            <w:vAlign w:val="center"/>
          </w:tcPr>
          <w:p w14:paraId="0882C007" w14:textId="2C01EB13" w:rsidR="00C97CC5" w:rsidRPr="00C97CC5" w:rsidRDefault="00C97CC5" w:rsidP="00C97CC5">
            <w:pPr>
              <w:pStyle w:val="NoSpacing"/>
              <w:rPr>
                <w:sz w:val="21"/>
                <w:szCs w:val="21"/>
              </w:rPr>
            </w:pPr>
            <w:r w:rsidRPr="00C97CC5">
              <w:rPr>
                <w:sz w:val="21"/>
                <w:szCs w:val="21"/>
              </w:rPr>
              <w:t>-6.483</w:t>
            </w:r>
          </w:p>
        </w:tc>
        <w:tc>
          <w:tcPr>
            <w:tcW w:w="0" w:type="auto"/>
            <w:vAlign w:val="center"/>
          </w:tcPr>
          <w:p w14:paraId="037D03AC" w14:textId="60A3F1AC" w:rsidR="00C97CC5" w:rsidRPr="00C97CC5" w:rsidRDefault="00C97CC5" w:rsidP="00C97CC5">
            <w:pPr>
              <w:pStyle w:val="NoSpacing"/>
              <w:rPr>
                <w:sz w:val="21"/>
                <w:szCs w:val="21"/>
              </w:rPr>
            </w:pPr>
            <w:r w:rsidRPr="00C97CC5">
              <w:rPr>
                <w:sz w:val="21"/>
                <w:szCs w:val="21"/>
              </w:rPr>
              <w:t>-4.744</w:t>
            </w:r>
          </w:p>
        </w:tc>
        <w:tc>
          <w:tcPr>
            <w:tcW w:w="0" w:type="auto"/>
            <w:vAlign w:val="center"/>
          </w:tcPr>
          <w:p w14:paraId="6E028B6A" w14:textId="0C7B2F0D" w:rsidR="00C97CC5" w:rsidRPr="00C97CC5" w:rsidRDefault="00C97CC5" w:rsidP="00C97CC5">
            <w:pPr>
              <w:pStyle w:val="NoSpacing"/>
              <w:rPr>
                <w:sz w:val="21"/>
                <w:szCs w:val="21"/>
              </w:rPr>
            </w:pPr>
            <w:r w:rsidRPr="00C97CC5">
              <w:rPr>
                <w:sz w:val="21"/>
                <w:szCs w:val="21"/>
              </w:rPr>
              <w:t>-4.418</w:t>
            </w:r>
          </w:p>
        </w:tc>
      </w:tr>
      <w:tr w:rsidR="00C97CC5" w:rsidRPr="007B4982" w14:paraId="4D923434" w14:textId="77777777" w:rsidTr="00C97CC5">
        <w:trPr>
          <w:gridAfter w:val="1"/>
          <w:wAfter w:w="6" w:type="dxa"/>
          <w:trHeight w:val="271"/>
          <w:jc w:val="center"/>
        </w:trPr>
        <w:tc>
          <w:tcPr>
            <w:tcW w:w="0" w:type="auto"/>
            <w:vMerge/>
            <w:vAlign w:val="center"/>
          </w:tcPr>
          <w:p w14:paraId="300D601D" w14:textId="77777777" w:rsidR="00C97CC5" w:rsidRPr="00382739" w:rsidRDefault="00C97CC5" w:rsidP="00C97CC5">
            <w:pPr>
              <w:pStyle w:val="NoSpacing"/>
              <w:rPr>
                <w:b/>
                <w:bCs/>
                <w:i/>
                <w:sz w:val="21"/>
                <w:szCs w:val="21"/>
              </w:rPr>
            </w:pPr>
          </w:p>
        </w:tc>
        <w:tc>
          <w:tcPr>
            <w:tcW w:w="0" w:type="auto"/>
            <w:vAlign w:val="center"/>
          </w:tcPr>
          <w:p w14:paraId="0C2D117B" w14:textId="77777777" w:rsidR="00C97CC5" w:rsidRPr="00382739" w:rsidRDefault="00C97CC5" w:rsidP="00C97CC5">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945" w:type="dxa"/>
            <w:vAlign w:val="center"/>
          </w:tcPr>
          <w:p w14:paraId="38044019" w14:textId="09499E14" w:rsidR="00C97CC5" w:rsidRPr="00C97CC5" w:rsidRDefault="00C97CC5" w:rsidP="00C97CC5">
            <w:pPr>
              <w:pStyle w:val="NoSpacing"/>
              <w:rPr>
                <w:sz w:val="21"/>
                <w:szCs w:val="21"/>
              </w:rPr>
            </w:pPr>
            <w:r w:rsidRPr="00C97CC5">
              <w:rPr>
                <w:sz w:val="21"/>
                <w:szCs w:val="21"/>
              </w:rPr>
              <w:t>0.70</w:t>
            </w:r>
            <w:r>
              <w:rPr>
                <w:sz w:val="21"/>
                <w:szCs w:val="21"/>
              </w:rPr>
              <w:t>9</w:t>
            </w:r>
          </w:p>
        </w:tc>
        <w:tc>
          <w:tcPr>
            <w:tcW w:w="1363" w:type="dxa"/>
            <w:vAlign w:val="center"/>
          </w:tcPr>
          <w:p w14:paraId="161BE390" w14:textId="06EE233F" w:rsidR="00C97CC5" w:rsidRPr="00C97CC5" w:rsidRDefault="00C97CC5" w:rsidP="00C97CC5">
            <w:pPr>
              <w:pStyle w:val="NoSpacing"/>
              <w:rPr>
                <w:sz w:val="21"/>
                <w:szCs w:val="21"/>
              </w:rPr>
            </w:pPr>
            <w:r w:rsidRPr="00C97CC5">
              <w:rPr>
                <w:sz w:val="21"/>
                <w:szCs w:val="21"/>
              </w:rPr>
              <w:t>0.10</w:t>
            </w:r>
            <w:r>
              <w:rPr>
                <w:sz w:val="21"/>
                <w:szCs w:val="21"/>
              </w:rPr>
              <w:t>5</w:t>
            </w:r>
          </w:p>
        </w:tc>
        <w:tc>
          <w:tcPr>
            <w:tcW w:w="0" w:type="auto"/>
            <w:vAlign w:val="center"/>
          </w:tcPr>
          <w:p w14:paraId="46F5D50B" w14:textId="69FDF0CA" w:rsidR="00C97CC5" w:rsidRPr="00C97CC5" w:rsidRDefault="00C97CC5" w:rsidP="00C97CC5">
            <w:pPr>
              <w:pStyle w:val="NoSpacing"/>
              <w:rPr>
                <w:sz w:val="21"/>
                <w:szCs w:val="21"/>
              </w:rPr>
            </w:pPr>
            <w:r w:rsidRPr="00C97CC5">
              <w:rPr>
                <w:sz w:val="21"/>
                <w:szCs w:val="21"/>
              </w:rPr>
              <w:t>0.493</w:t>
            </w:r>
          </w:p>
        </w:tc>
        <w:tc>
          <w:tcPr>
            <w:tcW w:w="0" w:type="auto"/>
            <w:vAlign w:val="center"/>
          </w:tcPr>
          <w:p w14:paraId="5FFAD6A5" w14:textId="132A9C20" w:rsidR="00C97CC5" w:rsidRPr="00C97CC5" w:rsidRDefault="00C97CC5" w:rsidP="00C97CC5">
            <w:pPr>
              <w:pStyle w:val="NoSpacing"/>
              <w:rPr>
                <w:sz w:val="21"/>
                <w:szCs w:val="21"/>
              </w:rPr>
            </w:pPr>
            <w:r w:rsidRPr="00C97CC5">
              <w:rPr>
                <w:sz w:val="21"/>
                <w:szCs w:val="21"/>
              </w:rPr>
              <w:t>0.52</w:t>
            </w:r>
            <w:r>
              <w:rPr>
                <w:sz w:val="21"/>
                <w:szCs w:val="21"/>
              </w:rPr>
              <w:t>8</w:t>
            </w:r>
          </w:p>
        </w:tc>
        <w:tc>
          <w:tcPr>
            <w:tcW w:w="0" w:type="auto"/>
            <w:vAlign w:val="center"/>
          </w:tcPr>
          <w:p w14:paraId="72F1AF16" w14:textId="79A5D75F" w:rsidR="00C97CC5" w:rsidRPr="00C97CC5" w:rsidRDefault="00C97CC5" w:rsidP="00C97CC5">
            <w:pPr>
              <w:pStyle w:val="NoSpacing"/>
              <w:rPr>
                <w:sz w:val="21"/>
                <w:szCs w:val="21"/>
              </w:rPr>
            </w:pPr>
            <w:r w:rsidRPr="00C97CC5">
              <w:rPr>
                <w:sz w:val="21"/>
                <w:szCs w:val="21"/>
              </w:rPr>
              <w:t>0.712</w:t>
            </w:r>
          </w:p>
        </w:tc>
        <w:tc>
          <w:tcPr>
            <w:tcW w:w="0" w:type="auto"/>
            <w:vAlign w:val="center"/>
          </w:tcPr>
          <w:p w14:paraId="35095501" w14:textId="68577F56" w:rsidR="00C97CC5" w:rsidRPr="00C97CC5" w:rsidRDefault="00C97CC5" w:rsidP="00C97CC5">
            <w:pPr>
              <w:pStyle w:val="NoSpacing"/>
              <w:rPr>
                <w:sz w:val="21"/>
                <w:szCs w:val="21"/>
              </w:rPr>
            </w:pPr>
            <w:r w:rsidRPr="00C97CC5">
              <w:rPr>
                <w:sz w:val="21"/>
                <w:szCs w:val="21"/>
              </w:rPr>
              <w:t>0.879</w:t>
            </w:r>
          </w:p>
        </w:tc>
        <w:tc>
          <w:tcPr>
            <w:tcW w:w="0" w:type="auto"/>
            <w:vAlign w:val="center"/>
          </w:tcPr>
          <w:p w14:paraId="420ED1C4" w14:textId="193C5BA7" w:rsidR="00C97CC5" w:rsidRPr="00C97CC5" w:rsidRDefault="00C97CC5" w:rsidP="00C97CC5">
            <w:pPr>
              <w:pStyle w:val="NoSpacing"/>
              <w:rPr>
                <w:sz w:val="21"/>
                <w:szCs w:val="21"/>
              </w:rPr>
            </w:pPr>
            <w:r w:rsidRPr="00C97CC5">
              <w:rPr>
                <w:sz w:val="21"/>
                <w:szCs w:val="21"/>
              </w:rPr>
              <w:t>0.912</w:t>
            </w:r>
          </w:p>
        </w:tc>
      </w:tr>
      <w:tr w:rsidR="00C97CC5" w:rsidRPr="007B4982" w14:paraId="6CC644E3" w14:textId="77777777" w:rsidTr="00C97CC5">
        <w:trPr>
          <w:gridAfter w:val="1"/>
          <w:wAfter w:w="6" w:type="dxa"/>
          <w:trHeight w:val="271"/>
          <w:jc w:val="center"/>
        </w:trPr>
        <w:tc>
          <w:tcPr>
            <w:tcW w:w="0" w:type="auto"/>
            <w:vMerge/>
            <w:vAlign w:val="center"/>
          </w:tcPr>
          <w:p w14:paraId="748710D5" w14:textId="77777777" w:rsidR="00C97CC5" w:rsidRPr="00382739" w:rsidRDefault="00C97CC5" w:rsidP="00C97CC5">
            <w:pPr>
              <w:pStyle w:val="NoSpacing"/>
              <w:rPr>
                <w:b/>
                <w:bCs/>
                <w:i/>
                <w:sz w:val="21"/>
                <w:szCs w:val="21"/>
              </w:rPr>
            </w:pPr>
          </w:p>
        </w:tc>
        <w:tc>
          <w:tcPr>
            <w:tcW w:w="0" w:type="auto"/>
            <w:vAlign w:val="center"/>
          </w:tcPr>
          <w:p w14:paraId="7C9DBB47" w14:textId="2C429EDA" w:rsidR="00C97CC5" w:rsidRPr="00382739" w:rsidRDefault="00C97CC5" w:rsidP="00C97CC5">
            <w:pPr>
              <w:pStyle w:val="NoSpacing"/>
              <w:rPr>
                <w:b/>
                <w:bCs/>
                <w:i/>
                <w:sz w:val="21"/>
                <w:szCs w:val="21"/>
              </w:rPr>
            </w:pPr>
            <w:r w:rsidRPr="00CE5020">
              <w:rPr>
                <w:b/>
                <w:bCs/>
                <w:i/>
                <w:iCs/>
                <w:sz w:val="21"/>
                <w:szCs w:val="21"/>
              </w:rPr>
              <w:t>φ</w:t>
            </w:r>
          </w:p>
        </w:tc>
        <w:tc>
          <w:tcPr>
            <w:tcW w:w="945" w:type="dxa"/>
            <w:vAlign w:val="center"/>
          </w:tcPr>
          <w:p w14:paraId="4A269565" w14:textId="3B94CA58" w:rsidR="00C97CC5" w:rsidRPr="00C97CC5" w:rsidRDefault="00C97CC5" w:rsidP="00C97CC5">
            <w:pPr>
              <w:pStyle w:val="NoSpacing"/>
              <w:rPr>
                <w:sz w:val="21"/>
                <w:szCs w:val="21"/>
              </w:rPr>
            </w:pPr>
            <w:r w:rsidRPr="00C97CC5">
              <w:rPr>
                <w:sz w:val="21"/>
                <w:szCs w:val="21"/>
              </w:rPr>
              <w:t>1.147</w:t>
            </w:r>
          </w:p>
        </w:tc>
        <w:tc>
          <w:tcPr>
            <w:tcW w:w="1363" w:type="dxa"/>
            <w:vAlign w:val="center"/>
          </w:tcPr>
          <w:p w14:paraId="453E0E3F" w14:textId="5623600B" w:rsidR="00C97CC5" w:rsidRPr="00C97CC5" w:rsidRDefault="00C97CC5" w:rsidP="00C97CC5">
            <w:pPr>
              <w:pStyle w:val="NoSpacing"/>
              <w:rPr>
                <w:sz w:val="21"/>
                <w:szCs w:val="21"/>
              </w:rPr>
            </w:pPr>
            <w:r w:rsidRPr="00C97CC5">
              <w:rPr>
                <w:sz w:val="21"/>
                <w:szCs w:val="21"/>
              </w:rPr>
              <w:t>0.161</w:t>
            </w:r>
          </w:p>
        </w:tc>
        <w:tc>
          <w:tcPr>
            <w:tcW w:w="0" w:type="auto"/>
            <w:vAlign w:val="center"/>
          </w:tcPr>
          <w:p w14:paraId="78B55675" w14:textId="181176B5" w:rsidR="00C97CC5" w:rsidRPr="00C97CC5" w:rsidRDefault="00C97CC5" w:rsidP="00C97CC5">
            <w:pPr>
              <w:pStyle w:val="NoSpacing"/>
              <w:rPr>
                <w:sz w:val="21"/>
                <w:szCs w:val="21"/>
              </w:rPr>
            </w:pPr>
            <w:r w:rsidRPr="00C97CC5">
              <w:rPr>
                <w:sz w:val="21"/>
                <w:szCs w:val="21"/>
              </w:rPr>
              <w:t>0.87</w:t>
            </w:r>
            <w:r>
              <w:rPr>
                <w:sz w:val="21"/>
                <w:szCs w:val="21"/>
              </w:rPr>
              <w:t>1</w:t>
            </w:r>
          </w:p>
        </w:tc>
        <w:tc>
          <w:tcPr>
            <w:tcW w:w="0" w:type="auto"/>
            <w:vAlign w:val="center"/>
          </w:tcPr>
          <w:p w14:paraId="5FC2C2F5" w14:textId="78C30C1E" w:rsidR="00C97CC5" w:rsidRPr="00C97CC5" w:rsidRDefault="00C97CC5" w:rsidP="00C97CC5">
            <w:pPr>
              <w:pStyle w:val="NoSpacing"/>
              <w:rPr>
                <w:sz w:val="21"/>
                <w:szCs w:val="21"/>
              </w:rPr>
            </w:pPr>
            <w:r w:rsidRPr="00C97CC5">
              <w:rPr>
                <w:sz w:val="21"/>
                <w:szCs w:val="21"/>
              </w:rPr>
              <w:t>0.90</w:t>
            </w:r>
            <w:r>
              <w:rPr>
                <w:sz w:val="21"/>
                <w:szCs w:val="21"/>
              </w:rPr>
              <w:t>7</w:t>
            </w:r>
          </w:p>
        </w:tc>
        <w:tc>
          <w:tcPr>
            <w:tcW w:w="0" w:type="auto"/>
            <w:vAlign w:val="center"/>
          </w:tcPr>
          <w:p w14:paraId="16DEF9B6" w14:textId="3AE7DECF" w:rsidR="00C97CC5" w:rsidRPr="00C97CC5" w:rsidRDefault="00C97CC5" w:rsidP="00C97CC5">
            <w:pPr>
              <w:pStyle w:val="NoSpacing"/>
              <w:rPr>
                <w:sz w:val="21"/>
                <w:szCs w:val="21"/>
              </w:rPr>
            </w:pPr>
            <w:r w:rsidRPr="00C97CC5">
              <w:rPr>
                <w:sz w:val="21"/>
                <w:szCs w:val="21"/>
              </w:rPr>
              <w:t>1.134</w:t>
            </w:r>
          </w:p>
        </w:tc>
        <w:tc>
          <w:tcPr>
            <w:tcW w:w="0" w:type="auto"/>
            <w:vAlign w:val="center"/>
          </w:tcPr>
          <w:p w14:paraId="4DBE25F7" w14:textId="6C5B86D6" w:rsidR="00C97CC5" w:rsidRPr="00C97CC5" w:rsidRDefault="00C97CC5" w:rsidP="00C97CC5">
            <w:pPr>
              <w:pStyle w:val="NoSpacing"/>
              <w:rPr>
                <w:sz w:val="21"/>
                <w:szCs w:val="21"/>
              </w:rPr>
            </w:pPr>
            <w:r w:rsidRPr="00C97CC5">
              <w:rPr>
                <w:sz w:val="21"/>
                <w:szCs w:val="21"/>
              </w:rPr>
              <w:t>1.432</w:t>
            </w:r>
          </w:p>
        </w:tc>
        <w:tc>
          <w:tcPr>
            <w:tcW w:w="0" w:type="auto"/>
            <w:vAlign w:val="center"/>
          </w:tcPr>
          <w:p w14:paraId="12C36354" w14:textId="0E509F34" w:rsidR="00C97CC5" w:rsidRPr="00C97CC5" w:rsidRDefault="00C97CC5" w:rsidP="00C97CC5">
            <w:pPr>
              <w:pStyle w:val="NoSpacing"/>
              <w:rPr>
                <w:sz w:val="21"/>
                <w:szCs w:val="21"/>
              </w:rPr>
            </w:pPr>
            <w:r w:rsidRPr="00C97CC5">
              <w:rPr>
                <w:sz w:val="21"/>
                <w:szCs w:val="21"/>
              </w:rPr>
              <w:t>1.499</w:t>
            </w:r>
          </w:p>
        </w:tc>
      </w:tr>
      <w:tr w:rsidR="00C97CC5" w:rsidRPr="007B4982" w14:paraId="0F220053" w14:textId="77777777" w:rsidTr="00C97CC5">
        <w:trPr>
          <w:gridAfter w:val="1"/>
          <w:wAfter w:w="6" w:type="dxa"/>
          <w:trHeight w:val="293"/>
          <w:jc w:val="center"/>
        </w:trPr>
        <w:tc>
          <w:tcPr>
            <w:tcW w:w="0" w:type="auto"/>
            <w:vMerge/>
            <w:vAlign w:val="center"/>
          </w:tcPr>
          <w:p w14:paraId="0D4D9B39" w14:textId="77777777" w:rsidR="00C97CC5" w:rsidRPr="00382739" w:rsidRDefault="00C97CC5" w:rsidP="00C97CC5">
            <w:pPr>
              <w:pStyle w:val="NoSpacing"/>
              <w:rPr>
                <w:b/>
                <w:bCs/>
                <w:sz w:val="21"/>
                <w:szCs w:val="21"/>
              </w:rPr>
            </w:pPr>
          </w:p>
        </w:tc>
        <w:tc>
          <w:tcPr>
            <w:tcW w:w="0" w:type="auto"/>
            <w:vAlign w:val="center"/>
          </w:tcPr>
          <w:p w14:paraId="75489CC4" w14:textId="77777777" w:rsidR="00C97CC5" w:rsidRPr="00382739" w:rsidRDefault="00C97CC5" w:rsidP="00C97CC5">
            <w:pPr>
              <w:pStyle w:val="NoSpacing"/>
              <w:rPr>
                <w:b/>
                <w:bCs/>
                <w:sz w:val="21"/>
                <w:szCs w:val="21"/>
              </w:rPr>
            </w:pPr>
            <w:r w:rsidRPr="00382739">
              <w:rPr>
                <w:b/>
                <w:bCs/>
                <w:sz w:val="21"/>
                <w:szCs w:val="21"/>
              </w:rPr>
              <w:t>Deviance</w:t>
            </w:r>
          </w:p>
        </w:tc>
        <w:tc>
          <w:tcPr>
            <w:tcW w:w="945" w:type="dxa"/>
            <w:vAlign w:val="center"/>
          </w:tcPr>
          <w:p w14:paraId="7DB2FAD8" w14:textId="136E2690"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144</w:t>
            </w:r>
          </w:p>
        </w:tc>
        <w:tc>
          <w:tcPr>
            <w:tcW w:w="1363" w:type="dxa"/>
            <w:vAlign w:val="center"/>
          </w:tcPr>
          <w:p w14:paraId="564E232F" w14:textId="2E0596D8" w:rsidR="00C97CC5" w:rsidRPr="00C97CC5" w:rsidRDefault="00C97CC5" w:rsidP="00C97CC5">
            <w:pPr>
              <w:pStyle w:val="NoSpacing"/>
              <w:rPr>
                <w:sz w:val="21"/>
                <w:szCs w:val="21"/>
              </w:rPr>
            </w:pPr>
            <w:r w:rsidRPr="00C97CC5">
              <w:rPr>
                <w:sz w:val="21"/>
                <w:szCs w:val="21"/>
              </w:rPr>
              <w:t>28.88</w:t>
            </w:r>
            <w:r>
              <w:rPr>
                <w:sz w:val="21"/>
                <w:szCs w:val="21"/>
              </w:rPr>
              <w:t>0</w:t>
            </w:r>
          </w:p>
        </w:tc>
        <w:tc>
          <w:tcPr>
            <w:tcW w:w="0" w:type="auto"/>
            <w:vAlign w:val="center"/>
          </w:tcPr>
          <w:p w14:paraId="0EA89F83" w14:textId="4F5FC749"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089</w:t>
            </w:r>
          </w:p>
        </w:tc>
        <w:tc>
          <w:tcPr>
            <w:tcW w:w="0" w:type="auto"/>
            <w:vAlign w:val="center"/>
          </w:tcPr>
          <w:p w14:paraId="75FC2B78" w14:textId="3FC9AC66"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097</w:t>
            </w:r>
          </w:p>
        </w:tc>
        <w:tc>
          <w:tcPr>
            <w:tcW w:w="0" w:type="auto"/>
            <w:vAlign w:val="center"/>
          </w:tcPr>
          <w:p w14:paraId="43CD14A3" w14:textId="163D7813"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144</w:t>
            </w:r>
          </w:p>
        </w:tc>
        <w:tc>
          <w:tcPr>
            <w:tcW w:w="0" w:type="auto"/>
            <w:vAlign w:val="center"/>
          </w:tcPr>
          <w:p w14:paraId="661C945A" w14:textId="3398D67B"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192</w:t>
            </w:r>
          </w:p>
        </w:tc>
        <w:tc>
          <w:tcPr>
            <w:tcW w:w="0" w:type="auto"/>
            <w:vAlign w:val="center"/>
          </w:tcPr>
          <w:p w14:paraId="717420FA" w14:textId="077B578F" w:rsidR="00C97CC5" w:rsidRPr="00C97CC5" w:rsidRDefault="00C97CC5" w:rsidP="00C97CC5">
            <w:pPr>
              <w:pStyle w:val="NoSpacing"/>
              <w:rPr>
                <w:sz w:val="21"/>
                <w:szCs w:val="21"/>
              </w:rPr>
            </w:pPr>
            <w:r w:rsidRPr="00C97CC5">
              <w:rPr>
                <w:sz w:val="21"/>
                <w:szCs w:val="21"/>
              </w:rPr>
              <w:t>1</w:t>
            </w:r>
            <w:r>
              <w:rPr>
                <w:sz w:val="21"/>
                <w:szCs w:val="21"/>
              </w:rPr>
              <w:t>,</w:t>
            </w:r>
            <w:r w:rsidRPr="00C97CC5">
              <w:rPr>
                <w:sz w:val="21"/>
                <w:szCs w:val="21"/>
              </w:rPr>
              <w:t>202</w:t>
            </w:r>
          </w:p>
        </w:tc>
      </w:tr>
      <w:tr w:rsidR="00E44499" w:rsidRPr="007B4982" w14:paraId="760A1E8E" w14:textId="77777777" w:rsidTr="00C97CC5">
        <w:trPr>
          <w:trHeight w:val="271"/>
          <w:jc w:val="center"/>
        </w:trPr>
        <w:tc>
          <w:tcPr>
            <w:tcW w:w="0" w:type="auto"/>
            <w:vMerge/>
            <w:vAlign w:val="center"/>
          </w:tcPr>
          <w:p w14:paraId="26731A0A" w14:textId="77777777" w:rsidR="00E44499" w:rsidRPr="00382739" w:rsidRDefault="00E44499" w:rsidP="00204C2A">
            <w:pPr>
              <w:pStyle w:val="NoSpacing"/>
              <w:rPr>
                <w:b/>
                <w:bCs/>
                <w:sz w:val="21"/>
                <w:szCs w:val="21"/>
              </w:rPr>
            </w:pPr>
          </w:p>
        </w:tc>
        <w:tc>
          <w:tcPr>
            <w:tcW w:w="0" w:type="auto"/>
            <w:vAlign w:val="center"/>
          </w:tcPr>
          <w:p w14:paraId="28BAB9B7" w14:textId="3473A3DB" w:rsidR="00E44499" w:rsidRPr="00AC7D88" w:rsidRDefault="00E44499" w:rsidP="00204C2A">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7167" w:type="dxa"/>
            <w:gridSpan w:val="8"/>
          </w:tcPr>
          <w:p w14:paraId="1B0A5275" w14:textId="610477AF" w:rsidR="00E44499" w:rsidRPr="00C97CC5" w:rsidRDefault="00C97CC5" w:rsidP="00204C2A">
            <w:pPr>
              <w:pStyle w:val="NoSpacing"/>
              <w:rPr>
                <w:sz w:val="21"/>
                <w:szCs w:val="21"/>
              </w:rPr>
            </w:pPr>
            <w:r w:rsidRPr="00C97CC5">
              <w:rPr>
                <w:sz w:val="21"/>
                <w:szCs w:val="21"/>
              </w:rPr>
              <w:t>171.535</w:t>
            </w:r>
          </w:p>
        </w:tc>
      </w:tr>
      <w:tr w:rsidR="00E44499" w:rsidRPr="007B4982" w14:paraId="686B5E2B" w14:textId="77777777" w:rsidTr="00C97CC5">
        <w:trPr>
          <w:trHeight w:val="271"/>
          <w:jc w:val="center"/>
        </w:trPr>
        <w:tc>
          <w:tcPr>
            <w:tcW w:w="0" w:type="auto"/>
            <w:vMerge/>
            <w:vAlign w:val="center"/>
          </w:tcPr>
          <w:p w14:paraId="7D43156F" w14:textId="77777777" w:rsidR="00E44499" w:rsidRPr="00382739" w:rsidRDefault="00E44499" w:rsidP="00204C2A">
            <w:pPr>
              <w:pStyle w:val="NoSpacing"/>
              <w:rPr>
                <w:b/>
                <w:bCs/>
                <w:sz w:val="21"/>
                <w:szCs w:val="21"/>
              </w:rPr>
            </w:pPr>
          </w:p>
        </w:tc>
        <w:tc>
          <w:tcPr>
            <w:tcW w:w="0" w:type="auto"/>
            <w:vAlign w:val="center"/>
          </w:tcPr>
          <w:p w14:paraId="119A3A3D" w14:textId="77777777" w:rsidR="00E44499" w:rsidRPr="00382739" w:rsidRDefault="00E44499" w:rsidP="00204C2A">
            <w:pPr>
              <w:pStyle w:val="NoSpacing"/>
              <w:rPr>
                <w:b/>
                <w:bCs/>
                <w:sz w:val="21"/>
                <w:szCs w:val="21"/>
              </w:rPr>
            </w:pPr>
            <w:r w:rsidRPr="00382739">
              <w:rPr>
                <w:b/>
                <w:bCs/>
                <w:sz w:val="21"/>
                <w:szCs w:val="21"/>
              </w:rPr>
              <w:t>DIC</w:t>
            </w:r>
          </w:p>
        </w:tc>
        <w:tc>
          <w:tcPr>
            <w:tcW w:w="7167" w:type="dxa"/>
            <w:gridSpan w:val="8"/>
          </w:tcPr>
          <w:p w14:paraId="0E3D8030" w14:textId="144AD73F" w:rsidR="00E44499" w:rsidRPr="00C97CC5" w:rsidRDefault="00C97CC5" w:rsidP="00204C2A">
            <w:pPr>
              <w:pStyle w:val="NoSpacing"/>
              <w:rPr>
                <w:sz w:val="21"/>
                <w:szCs w:val="21"/>
              </w:rPr>
            </w:pPr>
            <w:r w:rsidRPr="00C97CC5">
              <w:rPr>
                <w:sz w:val="21"/>
                <w:szCs w:val="21"/>
              </w:rPr>
              <w:t>1</w:t>
            </w:r>
            <w:r>
              <w:rPr>
                <w:sz w:val="21"/>
                <w:szCs w:val="21"/>
              </w:rPr>
              <w:t>,</w:t>
            </w:r>
            <w:r w:rsidRPr="00C97CC5">
              <w:rPr>
                <w:sz w:val="21"/>
                <w:szCs w:val="21"/>
              </w:rPr>
              <w:t>315.520</w:t>
            </w:r>
          </w:p>
        </w:tc>
      </w:tr>
      <w:tr w:rsidR="00C97CC5" w:rsidRPr="00C97CC5" w14:paraId="6A283C3B" w14:textId="77777777" w:rsidTr="00C97CC5">
        <w:trPr>
          <w:gridAfter w:val="1"/>
          <w:wAfter w:w="6" w:type="dxa"/>
          <w:trHeight w:val="271"/>
          <w:jc w:val="center"/>
        </w:trPr>
        <w:tc>
          <w:tcPr>
            <w:tcW w:w="0" w:type="auto"/>
            <w:vMerge w:val="restart"/>
            <w:vAlign w:val="center"/>
          </w:tcPr>
          <w:p w14:paraId="6E206573" w14:textId="77777777" w:rsidR="00C97CC5" w:rsidRPr="00382739" w:rsidRDefault="00C97CC5" w:rsidP="00C97CC5">
            <w:pPr>
              <w:pStyle w:val="NoSpacing"/>
              <w:rPr>
                <w:b/>
                <w:bCs/>
                <w:sz w:val="21"/>
                <w:szCs w:val="21"/>
              </w:rPr>
            </w:pPr>
            <w:r w:rsidRPr="00382739">
              <w:rPr>
                <w:b/>
                <w:bCs/>
                <w:sz w:val="21"/>
                <w:szCs w:val="21"/>
              </w:rPr>
              <w:t>California</w:t>
            </w:r>
          </w:p>
          <w:p w14:paraId="6BE0ED0D" w14:textId="4A14551D" w:rsidR="00C97CC5" w:rsidRPr="00382739" w:rsidRDefault="00C97CC5" w:rsidP="00C97CC5">
            <w:pPr>
              <w:pStyle w:val="NoSpacing"/>
              <w:rPr>
                <w:b/>
                <w:bCs/>
                <w:sz w:val="21"/>
                <w:szCs w:val="21"/>
              </w:rPr>
            </w:pPr>
            <w:r w:rsidRPr="00382739">
              <w:rPr>
                <w:b/>
                <w:bCs/>
                <w:sz w:val="21"/>
                <w:szCs w:val="21"/>
              </w:rPr>
              <w:t>(N=1</w:t>
            </w:r>
            <w:r w:rsidR="00A32A60">
              <w:rPr>
                <w:b/>
                <w:bCs/>
                <w:sz w:val="21"/>
                <w:szCs w:val="21"/>
              </w:rPr>
              <w:t>,</w:t>
            </w:r>
            <w:r>
              <w:rPr>
                <w:b/>
                <w:bCs/>
                <w:sz w:val="21"/>
                <w:szCs w:val="21"/>
              </w:rPr>
              <w:t>153</w:t>
            </w:r>
            <w:r w:rsidRPr="00382739">
              <w:rPr>
                <w:b/>
                <w:bCs/>
                <w:sz w:val="21"/>
                <w:szCs w:val="21"/>
              </w:rPr>
              <w:t>)</w:t>
            </w:r>
          </w:p>
        </w:tc>
        <w:tc>
          <w:tcPr>
            <w:tcW w:w="0" w:type="auto"/>
            <w:vAlign w:val="center"/>
          </w:tcPr>
          <w:p w14:paraId="2EF30ABA" w14:textId="77777777" w:rsidR="00C97CC5" w:rsidRPr="00382739" w:rsidRDefault="00C97CC5" w:rsidP="00C97CC5">
            <w:pPr>
              <w:pStyle w:val="NoSpacing"/>
              <w:rPr>
                <w:b/>
                <w:bCs/>
                <w:iCs/>
                <w:sz w:val="21"/>
                <w:szCs w:val="21"/>
              </w:rPr>
            </w:pPr>
            <w:r w:rsidRPr="00382739">
              <w:rPr>
                <w:b/>
                <w:bCs/>
                <w:iCs/>
                <w:sz w:val="21"/>
                <w:szCs w:val="21"/>
              </w:rPr>
              <w:t>Constant</w:t>
            </w:r>
          </w:p>
        </w:tc>
        <w:tc>
          <w:tcPr>
            <w:tcW w:w="945" w:type="dxa"/>
            <w:vAlign w:val="center"/>
          </w:tcPr>
          <w:p w14:paraId="3CEF56EA" w14:textId="3F9CB992" w:rsidR="00C97CC5" w:rsidRPr="00C97CC5" w:rsidRDefault="00C97CC5" w:rsidP="00C97CC5">
            <w:pPr>
              <w:pStyle w:val="NoSpacing"/>
              <w:rPr>
                <w:sz w:val="21"/>
                <w:szCs w:val="21"/>
              </w:rPr>
            </w:pPr>
            <w:r w:rsidRPr="00C97CC5">
              <w:rPr>
                <w:sz w:val="21"/>
                <w:szCs w:val="21"/>
              </w:rPr>
              <w:t>-11.14</w:t>
            </w:r>
            <w:r>
              <w:rPr>
                <w:sz w:val="21"/>
                <w:szCs w:val="21"/>
              </w:rPr>
              <w:t>0</w:t>
            </w:r>
          </w:p>
        </w:tc>
        <w:tc>
          <w:tcPr>
            <w:tcW w:w="1363" w:type="dxa"/>
            <w:vAlign w:val="center"/>
          </w:tcPr>
          <w:p w14:paraId="44E62493" w14:textId="5FD58A67" w:rsidR="00C97CC5" w:rsidRPr="00C97CC5" w:rsidRDefault="00C97CC5" w:rsidP="00C97CC5">
            <w:pPr>
              <w:pStyle w:val="NoSpacing"/>
              <w:rPr>
                <w:sz w:val="21"/>
                <w:szCs w:val="21"/>
              </w:rPr>
            </w:pPr>
            <w:r>
              <w:rPr>
                <w:sz w:val="21"/>
                <w:szCs w:val="21"/>
              </w:rPr>
              <w:t>0.488</w:t>
            </w:r>
          </w:p>
        </w:tc>
        <w:tc>
          <w:tcPr>
            <w:tcW w:w="0" w:type="auto"/>
            <w:vAlign w:val="center"/>
          </w:tcPr>
          <w:p w14:paraId="4C1605E0" w14:textId="35C85FC3" w:rsidR="00C97CC5" w:rsidRPr="00C97CC5" w:rsidRDefault="00C97CC5" w:rsidP="00C97CC5">
            <w:pPr>
              <w:pStyle w:val="NoSpacing"/>
              <w:rPr>
                <w:sz w:val="21"/>
                <w:szCs w:val="21"/>
              </w:rPr>
            </w:pPr>
            <w:r w:rsidRPr="00C97CC5">
              <w:rPr>
                <w:sz w:val="21"/>
                <w:szCs w:val="21"/>
              </w:rPr>
              <w:t>-12.11</w:t>
            </w:r>
            <w:r>
              <w:rPr>
                <w:sz w:val="21"/>
                <w:szCs w:val="21"/>
              </w:rPr>
              <w:t>0</w:t>
            </w:r>
          </w:p>
        </w:tc>
        <w:tc>
          <w:tcPr>
            <w:tcW w:w="0" w:type="auto"/>
            <w:vAlign w:val="center"/>
          </w:tcPr>
          <w:p w14:paraId="03EC407D" w14:textId="1ABB64F1" w:rsidR="00C97CC5" w:rsidRPr="00C97CC5" w:rsidRDefault="00C97CC5" w:rsidP="00C97CC5">
            <w:pPr>
              <w:pStyle w:val="NoSpacing"/>
              <w:rPr>
                <w:sz w:val="21"/>
                <w:szCs w:val="21"/>
              </w:rPr>
            </w:pPr>
            <w:r w:rsidRPr="00C97CC5">
              <w:rPr>
                <w:sz w:val="21"/>
                <w:szCs w:val="21"/>
              </w:rPr>
              <w:t>-11.97</w:t>
            </w:r>
            <w:r>
              <w:rPr>
                <w:sz w:val="21"/>
                <w:szCs w:val="21"/>
              </w:rPr>
              <w:t>0</w:t>
            </w:r>
          </w:p>
        </w:tc>
        <w:tc>
          <w:tcPr>
            <w:tcW w:w="0" w:type="auto"/>
            <w:vAlign w:val="center"/>
          </w:tcPr>
          <w:p w14:paraId="1BE08D8C" w14:textId="090F279D" w:rsidR="00C97CC5" w:rsidRPr="00C97CC5" w:rsidRDefault="00C97CC5" w:rsidP="00C97CC5">
            <w:pPr>
              <w:pStyle w:val="NoSpacing"/>
              <w:rPr>
                <w:sz w:val="21"/>
                <w:szCs w:val="21"/>
              </w:rPr>
            </w:pPr>
            <w:r w:rsidRPr="00C97CC5">
              <w:rPr>
                <w:sz w:val="21"/>
                <w:szCs w:val="21"/>
              </w:rPr>
              <w:t>-11.14</w:t>
            </w:r>
            <w:r>
              <w:rPr>
                <w:sz w:val="21"/>
                <w:szCs w:val="21"/>
              </w:rPr>
              <w:t>0</w:t>
            </w:r>
          </w:p>
        </w:tc>
        <w:tc>
          <w:tcPr>
            <w:tcW w:w="0" w:type="auto"/>
            <w:vAlign w:val="center"/>
          </w:tcPr>
          <w:p w14:paraId="1972B449" w14:textId="0AD248BF" w:rsidR="00C97CC5" w:rsidRPr="00C97CC5" w:rsidRDefault="00C97CC5" w:rsidP="00C97CC5">
            <w:pPr>
              <w:pStyle w:val="NoSpacing"/>
              <w:rPr>
                <w:sz w:val="21"/>
                <w:szCs w:val="21"/>
              </w:rPr>
            </w:pPr>
            <w:r w:rsidRPr="00C97CC5">
              <w:rPr>
                <w:sz w:val="21"/>
                <w:szCs w:val="21"/>
              </w:rPr>
              <w:t>-10.36</w:t>
            </w:r>
            <w:r>
              <w:rPr>
                <w:sz w:val="21"/>
                <w:szCs w:val="21"/>
              </w:rPr>
              <w:t>0</w:t>
            </w:r>
          </w:p>
        </w:tc>
        <w:tc>
          <w:tcPr>
            <w:tcW w:w="0" w:type="auto"/>
            <w:vAlign w:val="center"/>
          </w:tcPr>
          <w:p w14:paraId="607B02D3" w14:textId="75B2BBCA" w:rsidR="00C97CC5" w:rsidRPr="00C97CC5" w:rsidRDefault="00C97CC5" w:rsidP="00C97CC5">
            <w:pPr>
              <w:pStyle w:val="NoSpacing"/>
              <w:rPr>
                <w:sz w:val="21"/>
                <w:szCs w:val="21"/>
              </w:rPr>
            </w:pPr>
            <w:r w:rsidRPr="00C97CC5">
              <w:rPr>
                <w:sz w:val="21"/>
                <w:szCs w:val="21"/>
              </w:rPr>
              <w:t>-10.21</w:t>
            </w:r>
            <w:r>
              <w:rPr>
                <w:sz w:val="21"/>
                <w:szCs w:val="21"/>
              </w:rPr>
              <w:t>0</w:t>
            </w:r>
          </w:p>
        </w:tc>
      </w:tr>
      <w:tr w:rsidR="00C97CC5" w:rsidRPr="00C97CC5" w14:paraId="34925611" w14:textId="77777777" w:rsidTr="00C97CC5">
        <w:trPr>
          <w:gridAfter w:val="1"/>
          <w:wAfter w:w="6" w:type="dxa"/>
          <w:trHeight w:val="271"/>
          <w:jc w:val="center"/>
        </w:trPr>
        <w:tc>
          <w:tcPr>
            <w:tcW w:w="0" w:type="auto"/>
            <w:vMerge/>
            <w:vAlign w:val="center"/>
          </w:tcPr>
          <w:p w14:paraId="249B8CA3" w14:textId="77777777" w:rsidR="00C97CC5" w:rsidRPr="00382739" w:rsidRDefault="00C97CC5" w:rsidP="00C97CC5">
            <w:pPr>
              <w:pStyle w:val="NoSpacing"/>
              <w:rPr>
                <w:sz w:val="21"/>
                <w:szCs w:val="21"/>
              </w:rPr>
            </w:pPr>
          </w:p>
        </w:tc>
        <w:tc>
          <w:tcPr>
            <w:tcW w:w="0" w:type="auto"/>
            <w:vAlign w:val="center"/>
          </w:tcPr>
          <w:p w14:paraId="7E6EFD96" w14:textId="77777777" w:rsidR="00C97CC5" w:rsidRPr="00382739" w:rsidRDefault="00C97CC5" w:rsidP="00C97CC5">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945" w:type="dxa"/>
            <w:vAlign w:val="center"/>
          </w:tcPr>
          <w:p w14:paraId="0303626D" w14:textId="22EAEA80" w:rsidR="00C97CC5" w:rsidRPr="00C97CC5" w:rsidRDefault="00C97CC5" w:rsidP="00C97CC5">
            <w:pPr>
              <w:pStyle w:val="NoSpacing"/>
              <w:rPr>
                <w:sz w:val="21"/>
                <w:szCs w:val="21"/>
              </w:rPr>
            </w:pPr>
            <w:r w:rsidRPr="00C97CC5">
              <w:rPr>
                <w:sz w:val="21"/>
                <w:szCs w:val="21"/>
              </w:rPr>
              <w:t>1.247</w:t>
            </w:r>
          </w:p>
        </w:tc>
        <w:tc>
          <w:tcPr>
            <w:tcW w:w="1363" w:type="dxa"/>
            <w:vAlign w:val="center"/>
          </w:tcPr>
          <w:p w14:paraId="33E397AF" w14:textId="6AC1AA4E" w:rsidR="00C97CC5" w:rsidRPr="00C97CC5" w:rsidRDefault="00C97CC5" w:rsidP="00C97CC5">
            <w:pPr>
              <w:pStyle w:val="NoSpacing"/>
              <w:rPr>
                <w:sz w:val="21"/>
                <w:szCs w:val="21"/>
              </w:rPr>
            </w:pPr>
            <w:r w:rsidRPr="00C97CC5">
              <w:rPr>
                <w:sz w:val="21"/>
                <w:szCs w:val="21"/>
              </w:rPr>
              <w:t>0.04</w:t>
            </w:r>
            <w:r>
              <w:rPr>
                <w:sz w:val="21"/>
                <w:szCs w:val="21"/>
              </w:rPr>
              <w:t>9</w:t>
            </w:r>
          </w:p>
        </w:tc>
        <w:tc>
          <w:tcPr>
            <w:tcW w:w="0" w:type="auto"/>
            <w:vAlign w:val="center"/>
          </w:tcPr>
          <w:p w14:paraId="3D3EF53C" w14:textId="2140F568" w:rsidR="00C97CC5" w:rsidRPr="00C97CC5" w:rsidRDefault="00C97CC5" w:rsidP="00C97CC5">
            <w:pPr>
              <w:pStyle w:val="NoSpacing"/>
              <w:rPr>
                <w:sz w:val="21"/>
                <w:szCs w:val="21"/>
              </w:rPr>
            </w:pPr>
            <w:r w:rsidRPr="00C97CC5">
              <w:rPr>
                <w:sz w:val="21"/>
                <w:szCs w:val="21"/>
              </w:rPr>
              <w:t>1.154</w:t>
            </w:r>
          </w:p>
        </w:tc>
        <w:tc>
          <w:tcPr>
            <w:tcW w:w="0" w:type="auto"/>
            <w:vAlign w:val="center"/>
          </w:tcPr>
          <w:p w14:paraId="3352D56A" w14:textId="541361A2" w:rsidR="00C97CC5" w:rsidRPr="00C97CC5" w:rsidRDefault="00C97CC5" w:rsidP="00C97CC5">
            <w:pPr>
              <w:pStyle w:val="NoSpacing"/>
              <w:rPr>
                <w:sz w:val="21"/>
                <w:szCs w:val="21"/>
              </w:rPr>
            </w:pPr>
            <w:r w:rsidRPr="00C97CC5">
              <w:rPr>
                <w:sz w:val="21"/>
                <w:szCs w:val="21"/>
              </w:rPr>
              <w:t>1.169</w:t>
            </w:r>
          </w:p>
        </w:tc>
        <w:tc>
          <w:tcPr>
            <w:tcW w:w="0" w:type="auto"/>
            <w:vAlign w:val="center"/>
          </w:tcPr>
          <w:p w14:paraId="595A28D2" w14:textId="06956F4D" w:rsidR="00C97CC5" w:rsidRPr="00C97CC5" w:rsidRDefault="00C97CC5" w:rsidP="00C97CC5">
            <w:pPr>
              <w:pStyle w:val="NoSpacing"/>
              <w:rPr>
                <w:sz w:val="21"/>
                <w:szCs w:val="21"/>
              </w:rPr>
            </w:pPr>
            <w:r w:rsidRPr="00C97CC5">
              <w:rPr>
                <w:sz w:val="21"/>
                <w:szCs w:val="21"/>
              </w:rPr>
              <w:t>1.246</w:t>
            </w:r>
          </w:p>
        </w:tc>
        <w:tc>
          <w:tcPr>
            <w:tcW w:w="0" w:type="auto"/>
            <w:vAlign w:val="center"/>
          </w:tcPr>
          <w:p w14:paraId="0BD21C74" w14:textId="14804BF7" w:rsidR="00C97CC5" w:rsidRPr="00C97CC5" w:rsidRDefault="00C97CC5" w:rsidP="00C97CC5">
            <w:pPr>
              <w:pStyle w:val="NoSpacing"/>
              <w:rPr>
                <w:sz w:val="21"/>
                <w:szCs w:val="21"/>
              </w:rPr>
            </w:pPr>
            <w:r w:rsidRPr="00C97CC5">
              <w:rPr>
                <w:sz w:val="21"/>
                <w:szCs w:val="21"/>
              </w:rPr>
              <w:t>1.33</w:t>
            </w:r>
            <w:r>
              <w:rPr>
                <w:sz w:val="21"/>
                <w:szCs w:val="21"/>
              </w:rPr>
              <w:t>0</w:t>
            </w:r>
          </w:p>
        </w:tc>
        <w:tc>
          <w:tcPr>
            <w:tcW w:w="0" w:type="auto"/>
            <w:vAlign w:val="center"/>
          </w:tcPr>
          <w:p w14:paraId="169A328F" w14:textId="5DF8FE27" w:rsidR="00C97CC5" w:rsidRPr="00C97CC5" w:rsidRDefault="00C97CC5" w:rsidP="00C97CC5">
            <w:pPr>
              <w:pStyle w:val="NoSpacing"/>
              <w:rPr>
                <w:sz w:val="21"/>
                <w:szCs w:val="21"/>
              </w:rPr>
            </w:pPr>
            <w:r w:rsidRPr="00C97CC5">
              <w:rPr>
                <w:sz w:val="21"/>
                <w:szCs w:val="21"/>
              </w:rPr>
              <w:t>1.344</w:t>
            </w:r>
          </w:p>
        </w:tc>
      </w:tr>
      <w:tr w:rsidR="00C97CC5" w:rsidRPr="00C97CC5" w14:paraId="022D338D" w14:textId="77777777" w:rsidTr="00C97CC5">
        <w:trPr>
          <w:gridAfter w:val="1"/>
          <w:wAfter w:w="6" w:type="dxa"/>
          <w:trHeight w:val="271"/>
          <w:jc w:val="center"/>
        </w:trPr>
        <w:tc>
          <w:tcPr>
            <w:tcW w:w="0" w:type="auto"/>
            <w:vMerge/>
            <w:vAlign w:val="center"/>
          </w:tcPr>
          <w:p w14:paraId="52488E45" w14:textId="77777777" w:rsidR="00C97CC5" w:rsidRPr="00382739" w:rsidRDefault="00C97CC5" w:rsidP="00C97CC5">
            <w:pPr>
              <w:pStyle w:val="NoSpacing"/>
              <w:rPr>
                <w:sz w:val="21"/>
                <w:szCs w:val="21"/>
              </w:rPr>
            </w:pPr>
          </w:p>
        </w:tc>
        <w:tc>
          <w:tcPr>
            <w:tcW w:w="0" w:type="auto"/>
          </w:tcPr>
          <w:p w14:paraId="4486C7CE" w14:textId="0D270B7F" w:rsidR="00C97CC5" w:rsidRPr="00863C10" w:rsidRDefault="00C97CC5" w:rsidP="00C97CC5">
            <w:pPr>
              <w:pStyle w:val="NoSpacing"/>
              <w:rPr>
                <w:b/>
                <w:bCs/>
                <w:i/>
                <w:iCs/>
                <w:sz w:val="21"/>
                <w:szCs w:val="21"/>
              </w:rPr>
            </w:pPr>
            <w:r w:rsidRPr="009C0D95">
              <w:rPr>
                <w:b/>
                <w:bCs/>
                <w:i/>
                <w:iCs/>
                <w:sz w:val="21"/>
                <w:szCs w:val="21"/>
              </w:rPr>
              <w:t>φ</w:t>
            </w:r>
          </w:p>
        </w:tc>
        <w:tc>
          <w:tcPr>
            <w:tcW w:w="945" w:type="dxa"/>
            <w:vAlign w:val="center"/>
          </w:tcPr>
          <w:p w14:paraId="01AC0268" w14:textId="2F3D155B" w:rsidR="00C97CC5" w:rsidRPr="00C97CC5" w:rsidRDefault="00C97CC5" w:rsidP="00C97CC5">
            <w:pPr>
              <w:pStyle w:val="NoSpacing"/>
              <w:rPr>
                <w:sz w:val="21"/>
                <w:szCs w:val="21"/>
              </w:rPr>
            </w:pPr>
            <w:r w:rsidRPr="00C97CC5">
              <w:rPr>
                <w:sz w:val="21"/>
                <w:szCs w:val="21"/>
              </w:rPr>
              <w:t>1.44</w:t>
            </w:r>
            <w:r>
              <w:rPr>
                <w:sz w:val="21"/>
                <w:szCs w:val="21"/>
              </w:rPr>
              <w:t>0</w:t>
            </w:r>
          </w:p>
        </w:tc>
        <w:tc>
          <w:tcPr>
            <w:tcW w:w="1363" w:type="dxa"/>
            <w:vAlign w:val="center"/>
          </w:tcPr>
          <w:p w14:paraId="3EE4F7B8" w14:textId="553DB6EA" w:rsidR="00C97CC5" w:rsidRPr="00C97CC5" w:rsidRDefault="00C97CC5" w:rsidP="00C97CC5">
            <w:pPr>
              <w:pStyle w:val="NoSpacing"/>
              <w:rPr>
                <w:sz w:val="21"/>
                <w:szCs w:val="21"/>
              </w:rPr>
            </w:pPr>
            <w:r w:rsidRPr="00C97CC5">
              <w:rPr>
                <w:sz w:val="21"/>
                <w:szCs w:val="21"/>
              </w:rPr>
              <w:t>0.107</w:t>
            </w:r>
          </w:p>
        </w:tc>
        <w:tc>
          <w:tcPr>
            <w:tcW w:w="0" w:type="auto"/>
            <w:vAlign w:val="center"/>
          </w:tcPr>
          <w:p w14:paraId="71002090" w14:textId="3B9F18E2" w:rsidR="00C97CC5" w:rsidRPr="00C97CC5" w:rsidRDefault="00C97CC5" w:rsidP="00C97CC5">
            <w:pPr>
              <w:pStyle w:val="NoSpacing"/>
              <w:rPr>
                <w:sz w:val="21"/>
                <w:szCs w:val="21"/>
              </w:rPr>
            </w:pPr>
            <w:r w:rsidRPr="00C97CC5">
              <w:rPr>
                <w:sz w:val="21"/>
                <w:szCs w:val="21"/>
              </w:rPr>
              <w:t>1.243</w:t>
            </w:r>
          </w:p>
        </w:tc>
        <w:tc>
          <w:tcPr>
            <w:tcW w:w="0" w:type="auto"/>
            <w:vAlign w:val="center"/>
          </w:tcPr>
          <w:p w14:paraId="2CEE3989" w14:textId="618A62D4" w:rsidR="00C97CC5" w:rsidRPr="00C97CC5" w:rsidRDefault="00C97CC5" w:rsidP="00C97CC5">
            <w:pPr>
              <w:pStyle w:val="NoSpacing"/>
              <w:rPr>
                <w:sz w:val="21"/>
                <w:szCs w:val="21"/>
              </w:rPr>
            </w:pPr>
            <w:r w:rsidRPr="00C97CC5">
              <w:rPr>
                <w:sz w:val="21"/>
                <w:szCs w:val="21"/>
              </w:rPr>
              <w:t>1.272</w:t>
            </w:r>
          </w:p>
        </w:tc>
        <w:tc>
          <w:tcPr>
            <w:tcW w:w="0" w:type="auto"/>
            <w:vAlign w:val="center"/>
          </w:tcPr>
          <w:p w14:paraId="1EF666A9" w14:textId="14FE38DC" w:rsidR="00C97CC5" w:rsidRPr="00C97CC5" w:rsidRDefault="00C97CC5" w:rsidP="00C97CC5">
            <w:pPr>
              <w:pStyle w:val="NoSpacing"/>
              <w:rPr>
                <w:sz w:val="21"/>
                <w:szCs w:val="21"/>
              </w:rPr>
            </w:pPr>
            <w:r w:rsidRPr="00C97CC5">
              <w:rPr>
                <w:sz w:val="21"/>
                <w:szCs w:val="21"/>
              </w:rPr>
              <w:t>1.436</w:t>
            </w:r>
          </w:p>
        </w:tc>
        <w:tc>
          <w:tcPr>
            <w:tcW w:w="0" w:type="auto"/>
            <w:vAlign w:val="center"/>
          </w:tcPr>
          <w:p w14:paraId="4A22151C" w14:textId="77D7FB3A" w:rsidR="00C97CC5" w:rsidRPr="00C97CC5" w:rsidRDefault="00C97CC5" w:rsidP="00C97CC5">
            <w:pPr>
              <w:pStyle w:val="NoSpacing"/>
              <w:rPr>
                <w:sz w:val="21"/>
                <w:szCs w:val="21"/>
              </w:rPr>
            </w:pPr>
            <w:r w:rsidRPr="00C97CC5">
              <w:rPr>
                <w:sz w:val="21"/>
                <w:szCs w:val="21"/>
              </w:rPr>
              <w:t>1.624</w:t>
            </w:r>
          </w:p>
        </w:tc>
        <w:tc>
          <w:tcPr>
            <w:tcW w:w="0" w:type="auto"/>
            <w:vAlign w:val="center"/>
          </w:tcPr>
          <w:p w14:paraId="1890B2EF" w14:textId="33CDDFD3" w:rsidR="00C97CC5" w:rsidRPr="00C97CC5" w:rsidRDefault="00C97CC5" w:rsidP="00C97CC5">
            <w:pPr>
              <w:pStyle w:val="NoSpacing"/>
              <w:rPr>
                <w:sz w:val="21"/>
                <w:szCs w:val="21"/>
              </w:rPr>
            </w:pPr>
            <w:r w:rsidRPr="00C97CC5">
              <w:rPr>
                <w:sz w:val="21"/>
                <w:szCs w:val="21"/>
              </w:rPr>
              <w:t>1.663</w:t>
            </w:r>
          </w:p>
        </w:tc>
      </w:tr>
      <w:tr w:rsidR="00C97CC5" w:rsidRPr="00C97CC5" w14:paraId="55B700F8" w14:textId="77777777" w:rsidTr="00C97CC5">
        <w:trPr>
          <w:gridAfter w:val="1"/>
          <w:wAfter w:w="6" w:type="dxa"/>
          <w:trHeight w:val="271"/>
          <w:jc w:val="center"/>
        </w:trPr>
        <w:tc>
          <w:tcPr>
            <w:tcW w:w="0" w:type="auto"/>
            <w:vMerge/>
            <w:vAlign w:val="center"/>
          </w:tcPr>
          <w:p w14:paraId="1B1F4898" w14:textId="77777777" w:rsidR="00C97CC5" w:rsidRPr="00382739" w:rsidRDefault="00C97CC5" w:rsidP="00C97CC5">
            <w:pPr>
              <w:pStyle w:val="NoSpacing"/>
              <w:rPr>
                <w:sz w:val="21"/>
                <w:szCs w:val="21"/>
              </w:rPr>
            </w:pPr>
          </w:p>
        </w:tc>
        <w:tc>
          <w:tcPr>
            <w:tcW w:w="0" w:type="auto"/>
          </w:tcPr>
          <w:p w14:paraId="1A30B4AF" w14:textId="77777777" w:rsidR="00C97CC5" w:rsidRPr="00382739" w:rsidRDefault="00C97CC5" w:rsidP="00C97CC5">
            <w:pPr>
              <w:pStyle w:val="NoSpacing"/>
              <w:rPr>
                <w:b/>
                <w:bCs/>
                <w:sz w:val="21"/>
                <w:szCs w:val="21"/>
              </w:rPr>
            </w:pPr>
            <w:r w:rsidRPr="00382739">
              <w:rPr>
                <w:b/>
                <w:bCs/>
                <w:sz w:val="21"/>
                <w:szCs w:val="21"/>
              </w:rPr>
              <w:t>Deviance</w:t>
            </w:r>
          </w:p>
        </w:tc>
        <w:tc>
          <w:tcPr>
            <w:tcW w:w="945" w:type="dxa"/>
            <w:vAlign w:val="center"/>
          </w:tcPr>
          <w:p w14:paraId="5990504D" w14:textId="4023316D"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523</w:t>
            </w:r>
          </w:p>
        </w:tc>
        <w:tc>
          <w:tcPr>
            <w:tcW w:w="1363" w:type="dxa"/>
            <w:vAlign w:val="center"/>
          </w:tcPr>
          <w:p w14:paraId="106572B1" w14:textId="3F229E8F" w:rsidR="00C97CC5" w:rsidRPr="00C97CC5" w:rsidRDefault="00C97CC5" w:rsidP="00C97CC5">
            <w:pPr>
              <w:pStyle w:val="NoSpacing"/>
              <w:rPr>
                <w:sz w:val="21"/>
                <w:szCs w:val="21"/>
              </w:rPr>
            </w:pPr>
            <w:r w:rsidRPr="00C97CC5">
              <w:rPr>
                <w:sz w:val="21"/>
                <w:szCs w:val="21"/>
              </w:rPr>
              <w:t>45.28</w:t>
            </w:r>
            <w:r>
              <w:rPr>
                <w:sz w:val="21"/>
                <w:szCs w:val="21"/>
              </w:rPr>
              <w:t>0</w:t>
            </w:r>
          </w:p>
        </w:tc>
        <w:tc>
          <w:tcPr>
            <w:tcW w:w="0" w:type="auto"/>
            <w:vAlign w:val="center"/>
          </w:tcPr>
          <w:p w14:paraId="1EEDA62D" w14:textId="0D1C44FF"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435</w:t>
            </w:r>
          </w:p>
        </w:tc>
        <w:tc>
          <w:tcPr>
            <w:tcW w:w="0" w:type="auto"/>
            <w:vAlign w:val="center"/>
          </w:tcPr>
          <w:p w14:paraId="1E0CD6D4" w14:textId="534F773B"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449</w:t>
            </w:r>
          </w:p>
        </w:tc>
        <w:tc>
          <w:tcPr>
            <w:tcW w:w="0" w:type="auto"/>
            <w:vAlign w:val="center"/>
          </w:tcPr>
          <w:p w14:paraId="72B45D81" w14:textId="1AC47DF3"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522</w:t>
            </w:r>
          </w:p>
        </w:tc>
        <w:tc>
          <w:tcPr>
            <w:tcW w:w="0" w:type="auto"/>
            <w:vAlign w:val="center"/>
          </w:tcPr>
          <w:p w14:paraId="6D9A4B9E" w14:textId="03534EBD"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598</w:t>
            </w:r>
          </w:p>
        </w:tc>
        <w:tc>
          <w:tcPr>
            <w:tcW w:w="0" w:type="auto"/>
            <w:vAlign w:val="center"/>
          </w:tcPr>
          <w:p w14:paraId="5353ECF9" w14:textId="16024DEC" w:rsidR="00C97CC5" w:rsidRPr="00C97CC5" w:rsidRDefault="00C97CC5" w:rsidP="00C97CC5">
            <w:pPr>
              <w:pStyle w:val="NoSpacing"/>
              <w:rPr>
                <w:sz w:val="21"/>
                <w:szCs w:val="21"/>
              </w:rPr>
            </w:pPr>
            <w:r w:rsidRPr="00C97CC5">
              <w:rPr>
                <w:sz w:val="21"/>
                <w:szCs w:val="21"/>
              </w:rPr>
              <w:t>3</w:t>
            </w:r>
            <w:r>
              <w:rPr>
                <w:sz w:val="21"/>
                <w:szCs w:val="21"/>
              </w:rPr>
              <w:t>,</w:t>
            </w:r>
            <w:r w:rsidRPr="00C97CC5">
              <w:rPr>
                <w:sz w:val="21"/>
                <w:szCs w:val="21"/>
              </w:rPr>
              <w:t>613</w:t>
            </w:r>
          </w:p>
        </w:tc>
      </w:tr>
      <w:tr w:rsidR="00E44499" w:rsidRPr="007B4982" w14:paraId="0FAEE171" w14:textId="77777777" w:rsidTr="00C97CC5">
        <w:trPr>
          <w:trHeight w:val="271"/>
          <w:jc w:val="center"/>
        </w:trPr>
        <w:tc>
          <w:tcPr>
            <w:tcW w:w="0" w:type="auto"/>
            <w:vMerge/>
            <w:vAlign w:val="center"/>
          </w:tcPr>
          <w:p w14:paraId="68AD153D" w14:textId="77777777" w:rsidR="00E44499" w:rsidRPr="00382739" w:rsidRDefault="00E44499" w:rsidP="00845EDA">
            <w:pPr>
              <w:pStyle w:val="NoSpacing"/>
              <w:rPr>
                <w:sz w:val="21"/>
                <w:szCs w:val="21"/>
              </w:rPr>
            </w:pPr>
          </w:p>
        </w:tc>
        <w:tc>
          <w:tcPr>
            <w:tcW w:w="0" w:type="auto"/>
          </w:tcPr>
          <w:p w14:paraId="5314BB9F" w14:textId="63C7FEB9" w:rsidR="00E44499" w:rsidRPr="00AC7D88" w:rsidRDefault="00792EA4" w:rsidP="00845EDA">
            <w:pPr>
              <w:pStyle w:val="NoSpacing"/>
              <w:rPr>
                <w:b/>
                <w:bCs/>
                <w:sz w:val="21"/>
                <w:szCs w:val="21"/>
              </w:rPr>
            </w:pPr>
            <w:proofErr w:type="spellStart"/>
            <w:r w:rsidRPr="00AC7D88">
              <w:rPr>
                <w:b/>
                <w:bCs/>
                <w:sz w:val="21"/>
                <w:szCs w:val="21"/>
              </w:rPr>
              <w:t>p</w:t>
            </w:r>
            <w:r w:rsidR="00E44499" w:rsidRPr="00AC7D88">
              <w:rPr>
                <w:b/>
                <w:bCs/>
                <w:sz w:val="21"/>
                <w:szCs w:val="21"/>
                <w:vertAlign w:val="subscript"/>
              </w:rPr>
              <w:t>D</w:t>
            </w:r>
            <w:proofErr w:type="spellEnd"/>
          </w:p>
        </w:tc>
        <w:tc>
          <w:tcPr>
            <w:tcW w:w="7167" w:type="dxa"/>
            <w:gridSpan w:val="8"/>
          </w:tcPr>
          <w:p w14:paraId="2A8A1E08" w14:textId="2C1DC958" w:rsidR="00E44499" w:rsidRPr="00C97CC5" w:rsidRDefault="00C97CC5" w:rsidP="00845EDA">
            <w:pPr>
              <w:pStyle w:val="NoSpacing"/>
              <w:rPr>
                <w:sz w:val="21"/>
                <w:szCs w:val="21"/>
              </w:rPr>
            </w:pPr>
            <w:r w:rsidRPr="00C97CC5">
              <w:rPr>
                <w:sz w:val="21"/>
                <w:szCs w:val="21"/>
              </w:rPr>
              <w:t>521.498</w:t>
            </w:r>
          </w:p>
        </w:tc>
      </w:tr>
      <w:tr w:rsidR="00E44499" w:rsidRPr="007B4982" w14:paraId="63181252" w14:textId="77777777" w:rsidTr="00C97CC5">
        <w:trPr>
          <w:trHeight w:val="271"/>
          <w:jc w:val="center"/>
        </w:trPr>
        <w:tc>
          <w:tcPr>
            <w:tcW w:w="0" w:type="auto"/>
            <w:vMerge/>
            <w:vAlign w:val="center"/>
          </w:tcPr>
          <w:p w14:paraId="430B58EF" w14:textId="77777777" w:rsidR="00E44499" w:rsidRPr="00382739" w:rsidRDefault="00E44499" w:rsidP="00845EDA">
            <w:pPr>
              <w:pStyle w:val="NoSpacing"/>
              <w:rPr>
                <w:sz w:val="21"/>
                <w:szCs w:val="21"/>
              </w:rPr>
            </w:pPr>
          </w:p>
        </w:tc>
        <w:tc>
          <w:tcPr>
            <w:tcW w:w="0" w:type="auto"/>
          </w:tcPr>
          <w:p w14:paraId="255F9B19" w14:textId="77777777" w:rsidR="00E44499" w:rsidRPr="00382739" w:rsidRDefault="00E44499" w:rsidP="00845EDA">
            <w:pPr>
              <w:pStyle w:val="NoSpacing"/>
              <w:rPr>
                <w:b/>
                <w:bCs/>
                <w:sz w:val="21"/>
                <w:szCs w:val="21"/>
              </w:rPr>
            </w:pPr>
            <w:r w:rsidRPr="00382739">
              <w:rPr>
                <w:b/>
                <w:bCs/>
                <w:sz w:val="21"/>
                <w:szCs w:val="21"/>
              </w:rPr>
              <w:t>DIC</w:t>
            </w:r>
          </w:p>
        </w:tc>
        <w:tc>
          <w:tcPr>
            <w:tcW w:w="7167" w:type="dxa"/>
            <w:gridSpan w:val="8"/>
          </w:tcPr>
          <w:p w14:paraId="5FBCA523" w14:textId="664DA1B6" w:rsidR="00E44499" w:rsidRPr="00C97CC5" w:rsidRDefault="00C97CC5" w:rsidP="00845EDA">
            <w:pPr>
              <w:pStyle w:val="NoSpacing"/>
              <w:rPr>
                <w:sz w:val="21"/>
                <w:szCs w:val="21"/>
              </w:rPr>
            </w:pPr>
            <w:r w:rsidRPr="00C97CC5">
              <w:rPr>
                <w:sz w:val="21"/>
                <w:szCs w:val="21"/>
              </w:rPr>
              <w:t>4</w:t>
            </w:r>
            <w:r>
              <w:rPr>
                <w:sz w:val="21"/>
                <w:szCs w:val="21"/>
              </w:rPr>
              <w:t>,</w:t>
            </w:r>
            <w:r w:rsidRPr="00C97CC5">
              <w:rPr>
                <w:sz w:val="21"/>
                <w:szCs w:val="21"/>
              </w:rPr>
              <w:t>044.400</w:t>
            </w:r>
          </w:p>
        </w:tc>
      </w:tr>
    </w:tbl>
    <w:p w14:paraId="1707031A" w14:textId="77777777" w:rsidR="0044445B" w:rsidRDefault="0044445B">
      <w:pPr>
        <w:spacing w:line="259" w:lineRule="auto"/>
      </w:pPr>
    </w:p>
    <w:p w14:paraId="39DF392F" w14:textId="77777777" w:rsidR="00AB10FF" w:rsidRDefault="00AB10FF">
      <w:pPr>
        <w:spacing w:line="259" w:lineRule="auto"/>
      </w:pPr>
    </w:p>
    <w:p w14:paraId="576E1B8F" w14:textId="32FF18D2" w:rsidR="004E0F60" w:rsidRDefault="00DC1EF0" w:rsidP="00E44499">
      <w:pPr>
        <w:pStyle w:val="Caption"/>
      </w:pPr>
      <w:bookmarkStart w:id="3" w:name="_Ref456823293"/>
      <w:r>
        <w:t xml:space="preserve">Table </w:t>
      </w:r>
      <w:bookmarkStart w:id="4" w:name="_Ref456822713"/>
      <w:r>
        <w:fldChar w:fldCharType="begin"/>
      </w:r>
      <w:r>
        <w:instrText xml:space="preserve"> SEQ Table \* ARABIC </w:instrText>
      </w:r>
      <w:r>
        <w:fldChar w:fldCharType="separate"/>
      </w:r>
      <w:r w:rsidR="006804C3">
        <w:rPr>
          <w:noProof/>
        </w:rPr>
        <w:t>3</w:t>
      </w:r>
      <w:r>
        <w:fldChar w:fldCharType="end"/>
      </w:r>
      <w:bookmarkEnd w:id="3"/>
      <w:bookmarkEnd w:id="4"/>
      <w:r w:rsidR="006E06F5">
        <w:t xml:space="preserve"> </w:t>
      </w:r>
      <w:r w:rsidRPr="00910E3A">
        <w:t>States'</w:t>
      </w:r>
      <w:r>
        <w:t xml:space="preserve"> </w:t>
      </w:r>
      <w:r w:rsidRPr="00910E3A">
        <w:t>Informative Prior Model</w:t>
      </w:r>
      <w:r>
        <w:t>s</w:t>
      </w:r>
      <w:r w:rsidRPr="00910E3A">
        <w:t xml:space="preserve"> </w:t>
      </w:r>
      <w:r>
        <w:t>for KABCO Crashes</w:t>
      </w:r>
    </w:p>
    <w:tbl>
      <w:tblPr>
        <w:tblStyle w:val="TableGrid"/>
        <w:tblW w:w="0" w:type="auto"/>
        <w:jc w:val="center"/>
        <w:tblLook w:val="04A0" w:firstRow="1" w:lastRow="0" w:firstColumn="1" w:lastColumn="0" w:noHBand="0" w:noVBand="1"/>
      </w:tblPr>
      <w:tblGrid>
        <w:gridCol w:w="1754"/>
        <w:gridCol w:w="1173"/>
        <w:gridCol w:w="890"/>
        <w:gridCol w:w="1140"/>
        <w:gridCol w:w="875"/>
        <w:gridCol w:w="875"/>
        <w:gridCol w:w="905"/>
        <w:gridCol w:w="869"/>
        <w:gridCol w:w="869"/>
      </w:tblGrid>
      <w:tr w:rsidR="00E44499" w:rsidRPr="007B4982" w14:paraId="346CF181" w14:textId="77777777" w:rsidTr="00271415">
        <w:trPr>
          <w:trHeight w:val="70"/>
          <w:jc w:val="center"/>
        </w:trPr>
        <w:tc>
          <w:tcPr>
            <w:tcW w:w="0" w:type="auto"/>
            <w:vMerge w:val="restart"/>
            <w:vAlign w:val="center"/>
          </w:tcPr>
          <w:p w14:paraId="77C05C81" w14:textId="77777777" w:rsidR="00E44499" w:rsidRPr="00382739" w:rsidRDefault="00E44499" w:rsidP="00E44499">
            <w:pPr>
              <w:pStyle w:val="NoSpacing"/>
              <w:rPr>
                <w:b/>
                <w:bCs/>
                <w:sz w:val="21"/>
                <w:szCs w:val="21"/>
              </w:rPr>
            </w:pPr>
            <w:r w:rsidRPr="00382739">
              <w:rPr>
                <w:b/>
                <w:bCs/>
                <w:sz w:val="21"/>
                <w:szCs w:val="21"/>
              </w:rPr>
              <w:t>Model</w:t>
            </w:r>
          </w:p>
        </w:tc>
        <w:tc>
          <w:tcPr>
            <w:tcW w:w="0" w:type="auto"/>
            <w:vMerge w:val="restart"/>
            <w:vAlign w:val="center"/>
          </w:tcPr>
          <w:p w14:paraId="29A9B6F4" w14:textId="77777777" w:rsidR="00E44499" w:rsidRPr="00382739" w:rsidRDefault="00E44499" w:rsidP="00E44499">
            <w:pPr>
              <w:pStyle w:val="NoSpacing"/>
              <w:rPr>
                <w:b/>
                <w:bCs/>
                <w:sz w:val="21"/>
                <w:szCs w:val="21"/>
              </w:rPr>
            </w:pPr>
            <w:r w:rsidRPr="00382739">
              <w:rPr>
                <w:b/>
                <w:bCs/>
                <w:sz w:val="21"/>
                <w:szCs w:val="21"/>
              </w:rPr>
              <w:t>Parameter</w:t>
            </w:r>
          </w:p>
        </w:tc>
        <w:tc>
          <w:tcPr>
            <w:tcW w:w="890" w:type="dxa"/>
            <w:vMerge w:val="restart"/>
            <w:vAlign w:val="center"/>
          </w:tcPr>
          <w:p w14:paraId="6EDC6C4E" w14:textId="77777777" w:rsidR="00E44499" w:rsidRPr="00382739" w:rsidRDefault="00E44499" w:rsidP="00E44499">
            <w:pPr>
              <w:pStyle w:val="NoSpacing"/>
              <w:rPr>
                <w:b/>
                <w:bCs/>
                <w:sz w:val="21"/>
                <w:szCs w:val="21"/>
              </w:rPr>
            </w:pPr>
            <w:r w:rsidRPr="00382739">
              <w:rPr>
                <w:b/>
                <w:bCs/>
                <w:sz w:val="21"/>
                <w:szCs w:val="21"/>
              </w:rPr>
              <w:t>Mean</w:t>
            </w:r>
          </w:p>
        </w:tc>
        <w:tc>
          <w:tcPr>
            <w:tcW w:w="1140" w:type="dxa"/>
            <w:vMerge w:val="restart"/>
            <w:vAlign w:val="center"/>
          </w:tcPr>
          <w:p w14:paraId="1933D8FC" w14:textId="77777777" w:rsidR="00E44499" w:rsidRPr="00382739" w:rsidRDefault="00E44499" w:rsidP="00E44499">
            <w:pPr>
              <w:pStyle w:val="NoSpacing"/>
              <w:rPr>
                <w:b/>
                <w:bCs/>
                <w:sz w:val="21"/>
                <w:szCs w:val="21"/>
              </w:rPr>
            </w:pPr>
            <w:r w:rsidRPr="00382739">
              <w:rPr>
                <w:b/>
                <w:bCs/>
                <w:sz w:val="21"/>
                <w:szCs w:val="21"/>
              </w:rPr>
              <w:t>Standard Deviation</w:t>
            </w:r>
          </w:p>
        </w:tc>
        <w:tc>
          <w:tcPr>
            <w:tcW w:w="0" w:type="auto"/>
            <w:gridSpan w:val="5"/>
            <w:vAlign w:val="center"/>
          </w:tcPr>
          <w:p w14:paraId="7517FDB5" w14:textId="77777777" w:rsidR="00E44499" w:rsidRPr="00382739" w:rsidRDefault="00E44499" w:rsidP="00E44499">
            <w:pPr>
              <w:pStyle w:val="NoSpacing"/>
              <w:rPr>
                <w:b/>
                <w:bCs/>
                <w:sz w:val="21"/>
                <w:szCs w:val="21"/>
              </w:rPr>
            </w:pPr>
            <w:r>
              <w:rPr>
                <w:b/>
                <w:bCs/>
                <w:sz w:val="21"/>
                <w:szCs w:val="21"/>
              </w:rPr>
              <w:t>Bayesian Credible Interval</w:t>
            </w:r>
          </w:p>
        </w:tc>
      </w:tr>
      <w:tr w:rsidR="00E44499" w:rsidRPr="007B4982" w14:paraId="2B444C6E" w14:textId="77777777" w:rsidTr="00271415">
        <w:trPr>
          <w:trHeight w:val="70"/>
          <w:jc w:val="center"/>
        </w:trPr>
        <w:tc>
          <w:tcPr>
            <w:tcW w:w="0" w:type="auto"/>
            <w:vMerge/>
            <w:vAlign w:val="center"/>
          </w:tcPr>
          <w:p w14:paraId="5279B94E" w14:textId="77777777" w:rsidR="00E44499" w:rsidRPr="00382739" w:rsidRDefault="00E44499" w:rsidP="00E44499">
            <w:pPr>
              <w:pStyle w:val="NoSpacing"/>
              <w:rPr>
                <w:b/>
                <w:bCs/>
                <w:sz w:val="21"/>
                <w:szCs w:val="21"/>
              </w:rPr>
            </w:pPr>
          </w:p>
        </w:tc>
        <w:tc>
          <w:tcPr>
            <w:tcW w:w="0" w:type="auto"/>
            <w:vMerge/>
            <w:vAlign w:val="center"/>
          </w:tcPr>
          <w:p w14:paraId="22C6BE34" w14:textId="77777777" w:rsidR="00E44499" w:rsidRPr="00382739" w:rsidRDefault="00E44499" w:rsidP="00E44499">
            <w:pPr>
              <w:pStyle w:val="NoSpacing"/>
              <w:rPr>
                <w:b/>
                <w:bCs/>
                <w:sz w:val="21"/>
                <w:szCs w:val="21"/>
              </w:rPr>
            </w:pPr>
          </w:p>
        </w:tc>
        <w:tc>
          <w:tcPr>
            <w:tcW w:w="890" w:type="dxa"/>
            <w:vMerge/>
            <w:vAlign w:val="center"/>
          </w:tcPr>
          <w:p w14:paraId="3D7B94B4" w14:textId="77777777" w:rsidR="00E44499" w:rsidRPr="00382739" w:rsidRDefault="00E44499" w:rsidP="00E44499">
            <w:pPr>
              <w:pStyle w:val="NoSpacing"/>
              <w:rPr>
                <w:b/>
                <w:bCs/>
                <w:sz w:val="21"/>
                <w:szCs w:val="21"/>
              </w:rPr>
            </w:pPr>
          </w:p>
        </w:tc>
        <w:tc>
          <w:tcPr>
            <w:tcW w:w="1140" w:type="dxa"/>
            <w:vMerge/>
            <w:vAlign w:val="center"/>
          </w:tcPr>
          <w:p w14:paraId="49047FA1" w14:textId="77777777" w:rsidR="00E44499" w:rsidRPr="00382739" w:rsidRDefault="00E44499" w:rsidP="00E44499">
            <w:pPr>
              <w:pStyle w:val="NoSpacing"/>
              <w:rPr>
                <w:b/>
                <w:bCs/>
                <w:sz w:val="21"/>
                <w:szCs w:val="21"/>
              </w:rPr>
            </w:pPr>
          </w:p>
        </w:tc>
        <w:tc>
          <w:tcPr>
            <w:tcW w:w="0" w:type="auto"/>
            <w:vAlign w:val="center"/>
          </w:tcPr>
          <w:p w14:paraId="4CA10CD8" w14:textId="77777777" w:rsidR="00E44499" w:rsidRPr="00382739" w:rsidRDefault="00E44499" w:rsidP="00E44499">
            <w:pPr>
              <w:pStyle w:val="NoSpacing"/>
              <w:rPr>
                <w:b/>
                <w:bCs/>
                <w:sz w:val="21"/>
                <w:szCs w:val="21"/>
              </w:rPr>
            </w:pPr>
            <w:r w:rsidRPr="00382739">
              <w:rPr>
                <w:b/>
                <w:bCs/>
                <w:sz w:val="21"/>
                <w:szCs w:val="21"/>
              </w:rPr>
              <w:t>Lower 95%</w:t>
            </w:r>
          </w:p>
        </w:tc>
        <w:tc>
          <w:tcPr>
            <w:tcW w:w="0" w:type="auto"/>
            <w:vAlign w:val="center"/>
          </w:tcPr>
          <w:p w14:paraId="59768DA3" w14:textId="77777777" w:rsidR="00E44499" w:rsidRPr="00382739" w:rsidRDefault="00E44499" w:rsidP="00E44499">
            <w:pPr>
              <w:pStyle w:val="NoSpacing"/>
              <w:rPr>
                <w:b/>
                <w:bCs/>
                <w:sz w:val="21"/>
                <w:szCs w:val="21"/>
              </w:rPr>
            </w:pPr>
            <w:r w:rsidRPr="00382739">
              <w:rPr>
                <w:b/>
                <w:bCs/>
                <w:sz w:val="21"/>
                <w:szCs w:val="21"/>
              </w:rPr>
              <w:t>Lower 90%</w:t>
            </w:r>
          </w:p>
        </w:tc>
        <w:tc>
          <w:tcPr>
            <w:tcW w:w="0" w:type="auto"/>
            <w:vAlign w:val="center"/>
          </w:tcPr>
          <w:p w14:paraId="342497E2" w14:textId="77777777" w:rsidR="00E44499" w:rsidRPr="00382739" w:rsidRDefault="00E44499" w:rsidP="00E44499">
            <w:pPr>
              <w:pStyle w:val="NoSpacing"/>
              <w:rPr>
                <w:b/>
                <w:bCs/>
                <w:sz w:val="21"/>
                <w:szCs w:val="21"/>
              </w:rPr>
            </w:pPr>
            <w:r>
              <w:rPr>
                <w:b/>
                <w:bCs/>
                <w:sz w:val="21"/>
                <w:szCs w:val="21"/>
              </w:rPr>
              <w:t>Median</w:t>
            </w:r>
          </w:p>
        </w:tc>
        <w:tc>
          <w:tcPr>
            <w:tcW w:w="0" w:type="auto"/>
            <w:vAlign w:val="center"/>
          </w:tcPr>
          <w:p w14:paraId="7AE381A1" w14:textId="77777777" w:rsidR="00E44499" w:rsidRPr="00382739" w:rsidRDefault="00E44499" w:rsidP="00E44499">
            <w:pPr>
              <w:pStyle w:val="NoSpacing"/>
              <w:rPr>
                <w:b/>
                <w:bCs/>
                <w:sz w:val="21"/>
                <w:szCs w:val="21"/>
              </w:rPr>
            </w:pPr>
            <w:r w:rsidRPr="00382739">
              <w:rPr>
                <w:b/>
                <w:bCs/>
                <w:sz w:val="21"/>
                <w:szCs w:val="21"/>
              </w:rPr>
              <w:t>Upper 90%</w:t>
            </w:r>
          </w:p>
        </w:tc>
        <w:tc>
          <w:tcPr>
            <w:tcW w:w="0" w:type="auto"/>
            <w:vAlign w:val="center"/>
          </w:tcPr>
          <w:p w14:paraId="04F0F71A" w14:textId="77777777" w:rsidR="00E44499" w:rsidRPr="00382739" w:rsidRDefault="00E44499" w:rsidP="00E44499">
            <w:pPr>
              <w:pStyle w:val="NoSpacing"/>
              <w:rPr>
                <w:b/>
                <w:bCs/>
                <w:sz w:val="21"/>
                <w:szCs w:val="21"/>
              </w:rPr>
            </w:pPr>
            <w:r w:rsidRPr="00382739">
              <w:rPr>
                <w:b/>
                <w:bCs/>
                <w:sz w:val="21"/>
                <w:szCs w:val="21"/>
              </w:rPr>
              <w:t>Upper 95%</w:t>
            </w:r>
          </w:p>
        </w:tc>
      </w:tr>
      <w:tr w:rsidR="00271415" w:rsidRPr="007B4982" w14:paraId="5252133E" w14:textId="77777777" w:rsidTr="00271415">
        <w:trPr>
          <w:trHeight w:val="271"/>
          <w:jc w:val="center"/>
        </w:trPr>
        <w:tc>
          <w:tcPr>
            <w:tcW w:w="0" w:type="auto"/>
            <w:vMerge w:val="restart"/>
            <w:vAlign w:val="center"/>
          </w:tcPr>
          <w:p w14:paraId="7634E356" w14:textId="7C5E255B" w:rsidR="00271415" w:rsidRPr="00382739" w:rsidRDefault="00271415" w:rsidP="00271415">
            <w:pPr>
              <w:pStyle w:val="NoSpacing"/>
              <w:rPr>
                <w:b/>
                <w:bCs/>
                <w:iCs/>
                <w:sz w:val="21"/>
                <w:szCs w:val="21"/>
              </w:rPr>
            </w:pPr>
            <w:r w:rsidRPr="00382739">
              <w:rPr>
                <w:b/>
                <w:bCs/>
                <w:iCs/>
                <w:sz w:val="21"/>
                <w:szCs w:val="21"/>
              </w:rPr>
              <w:t>Florida</w:t>
            </w:r>
            <w:r>
              <w:rPr>
                <w:b/>
                <w:bCs/>
                <w:iCs/>
                <w:sz w:val="21"/>
                <w:szCs w:val="21"/>
              </w:rPr>
              <w:t xml:space="preserve"> with California’s Informative Priors</w:t>
            </w:r>
          </w:p>
          <w:p w14:paraId="6602501A" w14:textId="77777777" w:rsidR="00271415" w:rsidRPr="00382739" w:rsidRDefault="00271415" w:rsidP="00271415">
            <w:pPr>
              <w:pStyle w:val="NoSpacing"/>
              <w:rPr>
                <w:b/>
                <w:bCs/>
                <w:iCs/>
                <w:sz w:val="21"/>
                <w:szCs w:val="21"/>
              </w:rPr>
            </w:pPr>
            <w:r w:rsidRPr="00382739">
              <w:rPr>
                <w:b/>
                <w:bCs/>
                <w:iCs/>
                <w:sz w:val="21"/>
                <w:szCs w:val="21"/>
              </w:rPr>
              <w:t>(N=436)</w:t>
            </w:r>
          </w:p>
        </w:tc>
        <w:tc>
          <w:tcPr>
            <w:tcW w:w="0" w:type="auto"/>
            <w:vAlign w:val="center"/>
          </w:tcPr>
          <w:p w14:paraId="01C7EB03" w14:textId="77777777" w:rsidR="00271415" w:rsidRPr="00382739" w:rsidRDefault="00271415" w:rsidP="00271415">
            <w:pPr>
              <w:pStyle w:val="NoSpacing"/>
              <w:rPr>
                <w:b/>
                <w:bCs/>
                <w:iCs/>
                <w:sz w:val="21"/>
                <w:szCs w:val="21"/>
              </w:rPr>
            </w:pPr>
            <w:r w:rsidRPr="00382739">
              <w:rPr>
                <w:b/>
                <w:bCs/>
                <w:iCs/>
                <w:sz w:val="21"/>
                <w:szCs w:val="21"/>
              </w:rPr>
              <w:t>Constant</w:t>
            </w:r>
          </w:p>
        </w:tc>
        <w:tc>
          <w:tcPr>
            <w:tcW w:w="890" w:type="dxa"/>
            <w:vAlign w:val="center"/>
          </w:tcPr>
          <w:p w14:paraId="6D8F8557" w14:textId="41B5BF09" w:rsidR="00271415" w:rsidRPr="00271415" w:rsidRDefault="00271415" w:rsidP="00271415">
            <w:pPr>
              <w:pStyle w:val="NoSpacing"/>
              <w:rPr>
                <w:sz w:val="21"/>
                <w:szCs w:val="21"/>
              </w:rPr>
            </w:pPr>
            <w:r w:rsidRPr="00271415">
              <w:rPr>
                <w:sz w:val="21"/>
                <w:szCs w:val="21"/>
              </w:rPr>
              <w:t>-10.84</w:t>
            </w:r>
            <w:r>
              <w:rPr>
                <w:sz w:val="21"/>
                <w:szCs w:val="21"/>
              </w:rPr>
              <w:t>0</w:t>
            </w:r>
          </w:p>
        </w:tc>
        <w:tc>
          <w:tcPr>
            <w:tcW w:w="1140" w:type="dxa"/>
            <w:vAlign w:val="center"/>
          </w:tcPr>
          <w:p w14:paraId="35FB3DBD" w14:textId="291348ED" w:rsidR="00271415" w:rsidRPr="00271415" w:rsidRDefault="00271415" w:rsidP="00785383">
            <w:pPr>
              <w:pStyle w:val="NoSpacing"/>
              <w:rPr>
                <w:sz w:val="21"/>
                <w:szCs w:val="21"/>
              </w:rPr>
            </w:pPr>
            <w:r w:rsidRPr="00271415">
              <w:rPr>
                <w:sz w:val="21"/>
                <w:szCs w:val="21"/>
              </w:rPr>
              <w:t>0.32</w:t>
            </w:r>
            <w:r w:rsidR="00785383">
              <w:rPr>
                <w:sz w:val="21"/>
                <w:szCs w:val="21"/>
              </w:rPr>
              <w:t>5</w:t>
            </w:r>
          </w:p>
        </w:tc>
        <w:tc>
          <w:tcPr>
            <w:tcW w:w="0" w:type="auto"/>
            <w:vAlign w:val="center"/>
          </w:tcPr>
          <w:p w14:paraId="027C520E" w14:textId="74E902A1" w:rsidR="00271415" w:rsidRPr="00271415" w:rsidRDefault="00271415" w:rsidP="00271415">
            <w:pPr>
              <w:pStyle w:val="NoSpacing"/>
              <w:rPr>
                <w:sz w:val="21"/>
                <w:szCs w:val="21"/>
              </w:rPr>
            </w:pPr>
            <w:r w:rsidRPr="00271415">
              <w:rPr>
                <w:sz w:val="21"/>
                <w:szCs w:val="21"/>
              </w:rPr>
              <w:t>-11.49</w:t>
            </w:r>
            <w:r w:rsidR="00785383">
              <w:rPr>
                <w:sz w:val="21"/>
                <w:szCs w:val="21"/>
              </w:rPr>
              <w:t>0</w:t>
            </w:r>
          </w:p>
        </w:tc>
        <w:tc>
          <w:tcPr>
            <w:tcW w:w="0" w:type="auto"/>
            <w:vAlign w:val="center"/>
          </w:tcPr>
          <w:p w14:paraId="7664A71E" w14:textId="246DF4D2" w:rsidR="00271415" w:rsidRPr="00271415" w:rsidRDefault="00271415" w:rsidP="00271415">
            <w:pPr>
              <w:pStyle w:val="NoSpacing"/>
              <w:rPr>
                <w:sz w:val="21"/>
                <w:szCs w:val="21"/>
              </w:rPr>
            </w:pPr>
            <w:r w:rsidRPr="00271415">
              <w:rPr>
                <w:sz w:val="21"/>
                <w:szCs w:val="21"/>
              </w:rPr>
              <w:t>-11.37</w:t>
            </w:r>
            <w:r w:rsidR="00785383">
              <w:rPr>
                <w:sz w:val="21"/>
                <w:szCs w:val="21"/>
              </w:rPr>
              <w:t>0</w:t>
            </w:r>
          </w:p>
        </w:tc>
        <w:tc>
          <w:tcPr>
            <w:tcW w:w="0" w:type="auto"/>
            <w:vAlign w:val="center"/>
          </w:tcPr>
          <w:p w14:paraId="0E6C2769" w14:textId="4C1FB106" w:rsidR="00271415" w:rsidRPr="00271415" w:rsidRDefault="00271415" w:rsidP="00271415">
            <w:pPr>
              <w:pStyle w:val="NoSpacing"/>
              <w:rPr>
                <w:sz w:val="21"/>
                <w:szCs w:val="21"/>
              </w:rPr>
            </w:pPr>
            <w:r w:rsidRPr="00271415">
              <w:rPr>
                <w:sz w:val="21"/>
                <w:szCs w:val="21"/>
              </w:rPr>
              <w:t>-10.84</w:t>
            </w:r>
            <w:r w:rsidR="00785383">
              <w:rPr>
                <w:sz w:val="21"/>
                <w:szCs w:val="21"/>
              </w:rPr>
              <w:t>0</w:t>
            </w:r>
          </w:p>
        </w:tc>
        <w:tc>
          <w:tcPr>
            <w:tcW w:w="0" w:type="auto"/>
            <w:vAlign w:val="center"/>
          </w:tcPr>
          <w:p w14:paraId="663094C6" w14:textId="18CC2132" w:rsidR="00271415" w:rsidRPr="00271415" w:rsidRDefault="00271415" w:rsidP="00271415">
            <w:pPr>
              <w:pStyle w:val="NoSpacing"/>
              <w:rPr>
                <w:sz w:val="21"/>
                <w:szCs w:val="21"/>
              </w:rPr>
            </w:pPr>
            <w:r w:rsidRPr="00271415">
              <w:rPr>
                <w:sz w:val="21"/>
                <w:szCs w:val="21"/>
              </w:rPr>
              <w:t>-10.31</w:t>
            </w:r>
            <w:r w:rsidR="00785383">
              <w:rPr>
                <w:sz w:val="21"/>
                <w:szCs w:val="21"/>
              </w:rPr>
              <w:t>0</w:t>
            </w:r>
          </w:p>
        </w:tc>
        <w:tc>
          <w:tcPr>
            <w:tcW w:w="0" w:type="auto"/>
            <w:vAlign w:val="center"/>
          </w:tcPr>
          <w:p w14:paraId="70C86185" w14:textId="44B41DD8" w:rsidR="00271415" w:rsidRPr="00271415" w:rsidRDefault="00271415" w:rsidP="00271415">
            <w:pPr>
              <w:pStyle w:val="NoSpacing"/>
              <w:rPr>
                <w:sz w:val="21"/>
                <w:szCs w:val="21"/>
              </w:rPr>
            </w:pPr>
            <w:r w:rsidRPr="00271415">
              <w:rPr>
                <w:sz w:val="21"/>
                <w:szCs w:val="21"/>
              </w:rPr>
              <w:t>-10.21</w:t>
            </w:r>
            <w:r w:rsidR="00785383">
              <w:rPr>
                <w:sz w:val="21"/>
                <w:szCs w:val="21"/>
              </w:rPr>
              <w:t>0</w:t>
            </w:r>
          </w:p>
        </w:tc>
      </w:tr>
      <w:tr w:rsidR="00271415" w:rsidRPr="007B4982" w14:paraId="46D6BE08" w14:textId="77777777" w:rsidTr="00271415">
        <w:trPr>
          <w:trHeight w:val="271"/>
          <w:jc w:val="center"/>
        </w:trPr>
        <w:tc>
          <w:tcPr>
            <w:tcW w:w="0" w:type="auto"/>
            <w:vMerge/>
            <w:vAlign w:val="center"/>
          </w:tcPr>
          <w:p w14:paraId="31B908F7" w14:textId="77777777" w:rsidR="00271415" w:rsidRPr="00382739" w:rsidRDefault="00271415" w:rsidP="00271415">
            <w:pPr>
              <w:pStyle w:val="NoSpacing"/>
              <w:rPr>
                <w:b/>
                <w:bCs/>
                <w:i/>
                <w:sz w:val="21"/>
                <w:szCs w:val="21"/>
              </w:rPr>
            </w:pPr>
          </w:p>
        </w:tc>
        <w:tc>
          <w:tcPr>
            <w:tcW w:w="0" w:type="auto"/>
            <w:vAlign w:val="center"/>
          </w:tcPr>
          <w:p w14:paraId="2299C499" w14:textId="77777777" w:rsidR="00271415" w:rsidRPr="00382739" w:rsidRDefault="00271415" w:rsidP="00271415">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890" w:type="dxa"/>
            <w:vAlign w:val="center"/>
          </w:tcPr>
          <w:p w14:paraId="0017E565" w14:textId="2D8EF2C6" w:rsidR="00271415" w:rsidRPr="00271415" w:rsidRDefault="00271415" w:rsidP="00271415">
            <w:pPr>
              <w:pStyle w:val="NoSpacing"/>
              <w:rPr>
                <w:sz w:val="21"/>
                <w:szCs w:val="21"/>
              </w:rPr>
            </w:pPr>
            <w:r w:rsidRPr="00271415">
              <w:rPr>
                <w:sz w:val="21"/>
                <w:szCs w:val="21"/>
              </w:rPr>
              <w:t>1.179</w:t>
            </w:r>
          </w:p>
        </w:tc>
        <w:tc>
          <w:tcPr>
            <w:tcW w:w="1140" w:type="dxa"/>
            <w:vAlign w:val="center"/>
          </w:tcPr>
          <w:p w14:paraId="2FC815EE" w14:textId="00850882" w:rsidR="00271415" w:rsidRPr="00271415" w:rsidRDefault="00271415" w:rsidP="00785383">
            <w:pPr>
              <w:pStyle w:val="NoSpacing"/>
              <w:rPr>
                <w:sz w:val="21"/>
                <w:szCs w:val="21"/>
              </w:rPr>
            </w:pPr>
            <w:r w:rsidRPr="00271415">
              <w:rPr>
                <w:sz w:val="21"/>
                <w:szCs w:val="21"/>
              </w:rPr>
              <w:t>0.03</w:t>
            </w:r>
            <w:r w:rsidR="00785383">
              <w:rPr>
                <w:sz w:val="21"/>
                <w:szCs w:val="21"/>
              </w:rPr>
              <w:t>5</w:t>
            </w:r>
          </w:p>
        </w:tc>
        <w:tc>
          <w:tcPr>
            <w:tcW w:w="0" w:type="auto"/>
            <w:vAlign w:val="center"/>
          </w:tcPr>
          <w:p w14:paraId="29FE14D2" w14:textId="20C89DB6" w:rsidR="00271415" w:rsidRPr="00271415" w:rsidRDefault="00271415" w:rsidP="00271415">
            <w:pPr>
              <w:pStyle w:val="NoSpacing"/>
              <w:rPr>
                <w:sz w:val="21"/>
                <w:szCs w:val="21"/>
              </w:rPr>
            </w:pPr>
            <w:r w:rsidRPr="00271415">
              <w:rPr>
                <w:sz w:val="21"/>
                <w:szCs w:val="21"/>
              </w:rPr>
              <w:t>1.111</w:t>
            </w:r>
          </w:p>
        </w:tc>
        <w:tc>
          <w:tcPr>
            <w:tcW w:w="0" w:type="auto"/>
            <w:vAlign w:val="center"/>
          </w:tcPr>
          <w:p w14:paraId="137176BC" w14:textId="4B571F11" w:rsidR="00271415" w:rsidRPr="00271415" w:rsidRDefault="00271415" w:rsidP="00271415">
            <w:pPr>
              <w:pStyle w:val="NoSpacing"/>
              <w:rPr>
                <w:sz w:val="21"/>
                <w:szCs w:val="21"/>
              </w:rPr>
            </w:pPr>
            <w:r w:rsidRPr="00271415">
              <w:rPr>
                <w:sz w:val="21"/>
                <w:szCs w:val="21"/>
              </w:rPr>
              <w:t>1.122</w:t>
            </w:r>
          </w:p>
        </w:tc>
        <w:tc>
          <w:tcPr>
            <w:tcW w:w="0" w:type="auto"/>
            <w:vAlign w:val="center"/>
          </w:tcPr>
          <w:p w14:paraId="02E4D7DA" w14:textId="684FA1BF" w:rsidR="00271415" w:rsidRPr="00271415" w:rsidRDefault="00271415" w:rsidP="00271415">
            <w:pPr>
              <w:pStyle w:val="NoSpacing"/>
              <w:rPr>
                <w:sz w:val="21"/>
                <w:szCs w:val="21"/>
              </w:rPr>
            </w:pPr>
            <w:r w:rsidRPr="00271415">
              <w:rPr>
                <w:sz w:val="21"/>
                <w:szCs w:val="21"/>
              </w:rPr>
              <w:t>1.179</w:t>
            </w:r>
          </w:p>
        </w:tc>
        <w:tc>
          <w:tcPr>
            <w:tcW w:w="0" w:type="auto"/>
            <w:vAlign w:val="center"/>
          </w:tcPr>
          <w:p w14:paraId="20397999" w14:textId="51FCFCAB" w:rsidR="00271415" w:rsidRPr="00271415" w:rsidRDefault="00271415" w:rsidP="00271415">
            <w:pPr>
              <w:pStyle w:val="NoSpacing"/>
              <w:rPr>
                <w:sz w:val="21"/>
                <w:szCs w:val="21"/>
              </w:rPr>
            </w:pPr>
            <w:r w:rsidRPr="00271415">
              <w:rPr>
                <w:sz w:val="21"/>
                <w:szCs w:val="21"/>
              </w:rPr>
              <w:t>1.236</w:t>
            </w:r>
          </w:p>
        </w:tc>
        <w:tc>
          <w:tcPr>
            <w:tcW w:w="0" w:type="auto"/>
            <w:vAlign w:val="center"/>
          </w:tcPr>
          <w:p w14:paraId="57FAAD49" w14:textId="7176159E" w:rsidR="00271415" w:rsidRPr="00271415" w:rsidRDefault="00271415" w:rsidP="00271415">
            <w:pPr>
              <w:pStyle w:val="NoSpacing"/>
              <w:rPr>
                <w:sz w:val="21"/>
                <w:szCs w:val="21"/>
              </w:rPr>
            </w:pPr>
            <w:r w:rsidRPr="00271415">
              <w:rPr>
                <w:sz w:val="21"/>
                <w:szCs w:val="21"/>
              </w:rPr>
              <w:t>1.248</w:t>
            </w:r>
          </w:p>
        </w:tc>
      </w:tr>
      <w:tr w:rsidR="00271415" w:rsidRPr="007B4982" w14:paraId="362AA8AA" w14:textId="77777777" w:rsidTr="00271415">
        <w:trPr>
          <w:trHeight w:val="271"/>
          <w:jc w:val="center"/>
        </w:trPr>
        <w:tc>
          <w:tcPr>
            <w:tcW w:w="0" w:type="auto"/>
            <w:vMerge/>
            <w:vAlign w:val="center"/>
          </w:tcPr>
          <w:p w14:paraId="3745240E" w14:textId="77777777" w:rsidR="00271415" w:rsidRPr="00382739" w:rsidRDefault="00271415" w:rsidP="00271415">
            <w:pPr>
              <w:pStyle w:val="NoSpacing"/>
              <w:rPr>
                <w:b/>
                <w:bCs/>
                <w:i/>
                <w:sz w:val="21"/>
                <w:szCs w:val="21"/>
              </w:rPr>
            </w:pPr>
          </w:p>
        </w:tc>
        <w:tc>
          <w:tcPr>
            <w:tcW w:w="0" w:type="auto"/>
            <w:vAlign w:val="center"/>
          </w:tcPr>
          <w:p w14:paraId="7284FD2E" w14:textId="77777777" w:rsidR="00271415" w:rsidRPr="00382739" w:rsidRDefault="00271415" w:rsidP="00271415">
            <w:pPr>
              <w:pStyle w:val="NoSpacing"/>
              <w:rPr>
                <w:b/>
                <w:bCs/>
                <w:i/>
                <w:sz w:val="21"/>
                <w:szCs w:val="21"/>
              </w:rPr>
            </w:pPr>
            <w:r w:rsidRPr="00CE5020">
              <w:rPr>
                <w:b/>
                <w:bCs/>
                <w:i/>
                <w:iCs/>
                <w:sz w:val="21"/>
                <w:szCs w:val="21"/>
              </w:rPr>
              <w:t>φ</w:t>
            </w:r>
          </w:p>
        </w:tc>
        <w:tc>
          <w:tcPr>
            <w:tcW w:w="890" w:type="dxa"/>
            <w:vAlign w:val="center"/>
          </w:tcPr>
          <w:p w14:paraId="72F1D494" w14:textId="5A284502" w:rsidR="00271415" w:rsidRPr="00271415" w:rsidRDefault="00271415" w:rsidP="00271415">
            <w:pPr>
              <w:pStyle w:val="NoSpacing"/>
              <w:rPr>
                <w:sz w:val="21"/>
                <w:szCs w:val="21"/>
              </w:rPr>
            </w:pPr>
            <w:r w:rsidRPr="00271415">
              <w:rPr>
                <w:sz w:val="21"/>
                <w:szCs w:val="21"/>
              </w:rPr>
              <w:t>1.041</w:t>
            </w:r>
          </w:p>
        </w:tc>
        <w:tc>
          <w:tcPr>
            <w:tcW w:w="1140" w:type="dxa"/>
            <w:vAlign w:val="center"/>
          </w:tcPr>
          <w:p w14:paraId="4275302B" w14:textId="71BF84A3" w:rsidR="00271415" w:rsidRPr="00271415" w:rsidRDefault="00271415" w:rsidP="00785383">
            <w:pPr>
              <w:pStyle w:val="NoSpacing"/>
              <w:rPr>
                <w:sz w:val="21"/>
                <w:szCs w:val="21"/>
              </w:rPr>
            </w:pPr>
            <w:r w:rsidRPr="00271415">
              <w:rPr>
                <w:sz w:val="21"/>
                <w:szCs w:val="21"/>
              </w:rPr>
              <w:t>0.14</w:t>
            </w:r>
            <w:r w:rsidR="00785383">
              <w:rPr>
                <w:sz w:val="21"/>
                <w:szCs w:val="21"/>
              </w:rPr>
              <w:t>2</w:t>
            </w:r>
          </w:p>
        </w:tc>
        <w:tc>
          <w:tcPr>
            <w:tcW w:w="0" w:type="auto"/>
            <w:vAlign w:val="center"/>
          </w:tcPr>
          <w:p w14:paraId="24C5CBF2" w14:textId="7547DEEE" w:rsidR="00271415" w:rsidRPr="00271415" w:rsidRDefault="00271415" w:rsidP="00785383">
            <w:pPr>
              <w:pStyle w:val="NoSpacing"/>
              <w:rPr>
                <w:sz w:val="21"/>
                <w:szCs w:val="21"/>
              </w:rPr>
            </w:pPr>
            <w:r w:rsidRPr="00271415">
              <w:rPr>
                <w:sz w:val="21"/>
                <w:szCs w:val="21"/>
              </w:rPr>
              <w:t>0.79</w:t>
            </w:r>
            <w:r w:rsidR="00785383">
              <w:rPr>
                <w:sz w:val="21"/>
                <w:szCs w:val="21"/>
              </w:rPr>
              <w:t>5</w:t>
            </w:r>
          </w:p>
        </w:tc>
        <w:tc>
          <w:tcPr>
            <w:tcW w:w="0" w:type="auto"/>
            <w:vAlign w:val="center"/>
          </w:tcPr>
          <w:p w14:paraId="532DD316" w14:textId="2B9244D1" w:rsidR="00271415" w:rsidRPr="00271415" w:rsidRDefault="00271415" w:rsidP="00785383">
            <w:pPr>
              <w:pStyle w:val="NoSpacing"/>
              <w:rPr>
                <w:sz w:val="21"/>
                <w:szCs w:val="21"/>
              </w:rPr>
            </w:pPr>
            <w:r w:rsidRPr="00271415">
              <w:rPr>
                <w:sz w:val="21"/>
                <w:szCs w:val="21"/>
              </w:rPr>
              <w:t>0.828</w:t>
            </w:r>
          </w:p>
        </w:tc>
        <w:tc>
          <w:tcPr>
            <w:tcW w:w="0" w:type="auto"/>
            <w:vAlign w:val="center"/>
          </w:tcPr>
          <w:p w14:paraId="2007DA78" w14:textId="5AE32764" w:rsidR="00271415" w:rsidRPr="00271415" w:rsidRDefault="00271415" w:rsidP="00271415">
            <w:pPr>
              <w:pStyle w:val="NoSpacing"/>
              <w:rPr>
                <w:sz w:val="21"/>
                <w:szCs w:val="21"/>
              </w:rPr>
            </w:pPr>
            <w:r w:rsidRPr="00271415">
              <w:rPr>
                <w:sz w:val="21"/>
                <w:szCs w:val="21"/>
              </w:rPr>
              <w:t>1.03</w:t>
            </w:r>
            <w:r w:rsidR="00785383">
              <w:rPr>
                <w:sz w:val="21"/>
                <w:szCs w:val="21"/>
              </w:rPr>
              <w:t>0</w:t>
            </w:r>
          </w:p>
        </w:tc>
        <w:tc>
          <w:tcPr>
            <w:tcW w:w="0" w:type="auto"/>
            <w:vAlign w:val="center"/>
          </w:tcPr>
          <w:p w14:paraId="68550183" w14:textId="489134EB" w:rsidR="00271415" w:rsidRPr="00271415" w:rsidRDefault="00271415" w:rsidP="00271415">
            <w:pPr>
              <w:pStyle w:val="NoSpacing"/>
              <w:rPr>
                <w:sz w:val="21"/>
                <w:szCs w:val="21"/>
              </w:rPr>
            </w:pPr>
            <w:r w:rsidRPr="00271415">
              <w:rPr>
                <w:sz w:val="21"/>
                <w:szCs w:val="21"/>
              </w:rPr>
              <w:t>1.291</w:t>
            </w:r>
          </w:p>
        </w:tc>
        <w:tc>
          <w:tcPr>
            <w:tcW w:w="0" w:type="auto"/>
            <w:vAlign w:val="center"/>
          </w:tcPr>
          <w:p w14:paraId="2027E937" w14:textId="05A8046D" w:rsidR="00271415" w:rsidRPr="00271415" w:rsidRDefault="00271415" w:rsidP="00271415">
            <w:pPr>
              <w:pStyle w:val="NoSpacing"/>
              <w:rPr>
                <w:sz w:val="21"/>
                <w:szCs w:val="21"/>
              </w:rPr>
            </w:pPr>
            <w:r w:rsidRPr="00271415">
              <w:rPr>
                <w:sz w:val="21"/>
                <w:szCs w:val="21"/>
              </w:rPr>
              <w:t>1.349</w:t>
            </w:r>
          </w:p>
        </w:tc>
      </w:tr>
      <w:tr w:rsidR="00271415" w:rsidRPr="007B4982" w14:paraId="2F218C52" w14:textId="77777777" w:rsidTr="00271415">
        <w:trPr>
          <w:trHeight w:val="293"/>
          <w:jc w:val="center"/>
        </w:trPr>
        <w:tc>
          <w:tcPr>
            <w:tcW w:w="0" w:type="auto"/>
            <w:vMerge/>
            <w:vAlign w:val="center"/>
          </w:tcPr>
          <w:p w14:paraId="1D9558C1" w14:textId="77777777" w:rsidR="00271415" w:rsidRPr="00382739" w:rsidRDefault="00271415" w:rsidP="00271415">
            <w:pPr>
              <w:pStyle w:val="NoSpacing"/>
              <w:rPr>
                <w:b/>
                <w:bCs/>
                <w:sz w:val="21"/>
                <w:szCs w:val="21"/>
              </w:rPr>
            </w:pPr>
          </w:p>
        </w:tc>
        <w:tc>
          <w:tcPr>
            <w:tcW w:w="0" w:type="auto"/>
            <w:vAlign w:val="center"/>
          </w:tcPr>
          <w:p w14:paraId="057A932C" w14:textId="77777777" w:rsidR="00271415" w:rsidRPr="00382739" w:rsidRDefault="00271415" w:rsidP="00271415">
            <w:pPr>
              <w:pStyle w:val="NoSpacing"/>
              <w:rPr>
                <w:b/>
                <w:bCs/>
                <w:sz w:val="21"/>
                <w:szCs w:val="21"/>
              </w:rPr>
            </w:pPr>
            <w:r w:rsidRPr="00382739">
              <w:rPr>
                <w:b/>
                <w:bCs/>
                <w:sz w:val="21"/>
                <w:szCs w:val="21"/>
              </w:rPr>
              <w:t>Deviance</w:t>
            </w:r>
          </w:p>
        </w:tc>
        <w:tc>
          <w:tcPr>
            <w:tcW w:w="890" w:type="dxa"/>
            <w:vAlign w:val="center"/>
          </w:tcPr>
          <w:p w14:paraId="4A6CB528" w14:textId="699C10A0" w:rsidR="00271415" w:rsidRPr="00271415" w:rsidRDefault="00271415" w:rsidP="00271415">
            <w:pPr>
              <w:pStyle w:val="NoSpacing"/>
              <w:rPr>
                <w:sz w:val="21"/>
                <w:szCs w:val="21"/>
              </w:rPr>
            </w:pPr>
            <w:r w:rsidRPr="00271415">
              <w:rPr>
                <w:sz w:val="21"/>
                <w:szCs w:val="21"/>
              </w:rPr>
              <w:t>1</w:t>
            </w:r>
            <w:r>
              <w:rPr>
                <w:sz w:val="21"/>
                <w:szCs w:val="21"/>
              </w:rPr>
              <w:t>,</w:t>
            </w:r>
            <w:r w:rsidRPr="00271415">
              <w:rPr>
                <w:sz w:val="21"/>
                <w:szCs w:val="21"/>
              </w:rPr>
              <w:t>142</w:t>
            </w:r>
          </w:p>
        </w:tc>
        <w:tc>
          <w:tcPr>
            <w:tcW w:w="1140" w:type="dxa"/>
            <w:vAlign w:val="center"/>
          </w:tcPr>
          <w:p w14:paraId="476EA5E2" w14:textId="11B5C3BD" w:rsidR="00271415" w:rsidRPr="00271415" w:rsidRDefault="00271415" w:rsidP="00271415">
            <w:pPr>
              <w:pStyle w:val="NoSpacing"/>
              <w:rPr>
                <w:sz w:val="21"/>
                <w:szCs w:val="21"/>
              </w:rPr>
            </w:pPr>
            <w:r w:rsidRPr="00271415">
              <w:rPr>
                <w:sz w:val="21"/>
                <w:szCs w:val="21"/>
              </w:rPr>
              <w:t>29</w:t>
            </w:r>
            <w:r>
              <w:rPr>
                <w:sz w:val="21"/>
                <w:szCs w:val="21"/>
              </w:rPr>
              <w:t>.000</w:t>
            </w:r>
          </w:p>
        </w:tc>
        <w:tc>
          <w:tcPr>
            <w:tcW w:w="0" w:type="auto"/>
            <w:vAlign w:val="center"/>
          </w:tcPr>
          <w:p w14:paraId="7ADEAD95" w14:textId="2B75A593" w:rsidR="00271415" w:rsidRPr="00271415" w:rsidRDefault="00271415" w:rsidP="00271415">
            <w:pPr>
              <w:pStyle w:val="NoSpacing"/>
              <w:rPr>
                <w:sz w:val="21"/>
                <w:szCs w:val="21"/>
              </w:rPr>
            </w:pPr>
            <w:r w:rsidRPr="00271415">
              <w:rPr>
                <w:sz w:val="21"/>
                <w:szCs w:val="21"/>
              </w:rPr>
              <w:t>1</w:t>
            </w:r>
            <w:r>
              <w:rPr>
                <w:sz w:val="21"/>
                <w:szCs w:val="21"/>
              </w:rPr>
              <w:t>,</w:t>
            </w:r>
            <w:r w:rsidRPr="00271415">
              <w:rPr>
                <w:sz w:val="21"/>
                <w:szCs w:val="21"/>
              </w:rPr>
              <w:t>087</w:t>
            </w:r>
          </w:p>
        </w:tc>
        <w:tc>
          <w:tcPr>
            <w:tcW w:w="0" w:type="auto"/>
            <w:vAlign w:val="center"/>
          </w:tcPr>
          <w:p w14:paraId="4BB62F34" w14:textId="5667B7C5" w:rsidR="00271415" w:rsidRPr="00271415" w:rsidRDefault="00271415" w:rsidP="00271415">
            <w:pPr>
              <w:pStyle w:val="NoSpacing"/>
              <w:rPr>
                <w:sz w:val="21"/>
                <w:szCs w:val="21"/>
              </w:rPr>
            </w:pPr>
            <w:r w:rsidRPr="00271415">
              <w:rPr>
                <w:sz w:val="21"/>
                <w:szCs w:val="21"/>
              </w:rPr>
              <w:t>1</w:t>
            </w:r>
            <w:r>
              <w:rPr>
                <w:sz w:val="21"/>
                <w:szCs w:val="21"/>
              </w:rPr>
              <w:t>,</w:t>
            </w:r>
            <w:r w:rsidRPr="00271415">
              <w:rPr>
                <w:sz w:val="21"/>
                <w:szCs w:val="21"/>
              </w:rPr>
              <w:t>096</w:t>
            </w:r>
          </w:p>
        </w:tc>
        <w:tc>
          <w:tcPr>
            <w:tcW w:w="0" w:type="auto"/>
            <w:vAlign w:val="center"/>
          </w:tcPr>
          <w:p w14:paraId="273DC452" w14:textId="5C8D1A7A" w:rsidR="00271415" w:rsidRPr="00271415" w:rsidRDefault="00271415" w:rsidP="00271415">
            <w:pPr>
              <w:pStyle w:val="NoSpacing"/>
              <w:rPr>
                <w:sz w:val="21"/>
                <w:szCs w:val="21"/>
              </w:rPr>
            </w:pPr>
            <w:r w:rsidRPr="00271415">
              <w:rPr>
                <w:sz w:val="21"/>
                <w:szCs w:val="21"/>
              </w:rPr>
              <w:t>1</w:t>
            </w:r>
            <w:r>
              <w:rPr>
                <w:sz w:val="21"/>
                <w:szCs w:val="21"/>
              </w:rPr>
              <w:t>,</w:t>
            </w:r>
            <w:r w:rsidRPr="00271415">
              <w:rPr>
                <w:sz w:val="21"/>
                <w:szCs w:val="21"/>
              </w:rPr>
              <w:t>142</w:t>
            </w:r>
          </w:p>
        </w:tc>
        <w:tc>
          <w:tcPr>
            <w:tcW w:w="0" w:type="auto"/>
            <w:vAlign w:val="center"/>
          </w:tcPr>
          <w:p w14:paraId="07A13CE2" w14:textId="7569462A" w:rsidR="00271415" w:rsidRPr="00271415" w:rsidRDefault="00271415" w:rsidP="00271415">
            <w:pPr>
              <w:pStyle w:val="NoSpacing"/>
              <w:rPr>
                <w:sz w:val="21"/>
                <w:szCs w:val="21"/>
              </w:rPr>
            </w:pPr>
            <w:r w:rsidRPr="00271415">
              <w:rPr>
                <w:sz w:val="21"/>
                <w:szCs w:val="21"/>
              </w:rPr>
              <w:t>1</w:t>
            </w:r>
            <w:r>
              <w:rPr>
                <w:sz w:val="21"/>
                <w:szCs w:val="21"/>
              </w:rPr>
              <w:t>,</w:t>
            </w:r>
            <w:r w:rsidRPr="00271415">
              <w:rPr>
                <w:sz w:val="21"/>
                <w:szCs w:val="21"/>
              </w:rPr>
              <w:t>191</w:t>
            </w:r>
          </w:p>
        </w:tc>
        <w:tc>
          <w:tcPr>
            <w:tcW w:w="0" w:type="auto"/>
            <w:vAlign w:val="center"/>
          </w:tcPr>
          <w:p w14:paraId="4FA95B54" w14:textId="3C93DB99" w:rsidR="00271415" w:rsidRPr="00271415" w:rsidRDefault="00271415" w:rsidP="00271415">
            <w:pPr>
              <w:pStyle w:val="NoSpacing"/>
              <w:rPr>
                <w:sz w:val="21"/>
                <w:szCs w:val="21"/>
              </w:rPr>
            </w:pPr>
            <w:r w:rsidRPr="00271415">
              <w:rPr>
                <w:sz w:val="21"/>
                <w:szCs w:val="21"/>
              </w:rPr>
              <w:t>1</w:t>
            </w:r>
            <w:r w:rsidR="00785383">
              <w:rPr>
                <w:sz w:val="21"/>
                <w:szCs w:val="21"/>
              </w:rPr>
              <w:t>,</w:t>
            </w:r>
            <w:r w:rsidRPr="00271415">
              <w:rPr>
                <w:sz w:val="21"/>
                <w:szCs w:val="21"/>
              </w:rPr>
              <w:t>201</w:t>
            </w:r>
          </w:p>
        </w:tc>
      </w:tr>
      <w:tr w:rsidR="00E44499" w:rsidRPr="007B4982" w14:paraId="307C6FD4" w14:textId="77777777" w:rsidTr="00785383">
        <w:trPr>
          <w:trHeight w:val="271"/>
          <w:jc w:val="center"/>
        </w:trPr>
        <w:tc>
          <w:tcPr>
            <w:tcW w:w="0" w:type="auto"/>
            <w:vMerge/>
            <w:vAlign w:val="center"/>
          </w:tcPr>
          <w:p w14:paraId="3510E15C" w14:textId="77777777" w:rsidR="00E44499" w:rsidRPr="00382739" w:rsidRDefault="00E44499" w:rsidP="00E44499">
            <w:pPr>
              <w:pStyle w:val="NoSpacing"/>
              <w:rPr>
                <w:b/>
                <w:bCs/>
                <w:sz w:val="21"/>
                <w:szCs w:val="21"/>
              </w:rPr>
            </w:pPr>
          </w:p>
        </w:tc>
        <w:tc>
          <w:tcPr>
            <w:tcW w:w="0" w:type="auto"/>
            <w:vAlign w:val="center"/>
          </w:tcPr>
          <w:p w14:paraId="63A24968" w14:textId="77777777" w:rsidR="00E44499" w:rsidRPr="00AC7D88" w:rsidRDefault="00E44499" w:rsidP="00E44499">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vAlign w:val="center"/>
          </w:tcPr>
          <w:p w14:paraId="63E70374" w14:textId="36D3E710" w:rsidR="00E44499" w:rsidRPr="00785383" w:rsidRDefault="00785383" w:rsidP="00785383">
            <w:pPr>
              <w:pStyle w:val="NoSpacing"/>
              <w:rPr>
                <w:sz w:val="21"/>
                <w:szCs w:val="21"/>
              </w:rPr>
            </w:pPr>
            <w:r w:rsidRPr="00785383">
              <w:rPr>
                <w:sz w:val="21"/>
                <w:szCs w:val="21"/>
              </w:rPr>
              <w:t>176.175</w:t>
            </w:r>
          </w:p>
        </w:tc>
      </w:tr>
      <w:tr w:rsidR="00E44499" w:rsidRPr="007B4982" w14:paraId="17FAEFAF" w14:textId="77777777" w:rsidTr="00785383">
        <w:trPr>
          <w:trHeight w:val="271"/>
          <w:jc w:val="center"/>
        </w:trPr>
        <w:tc>
          <w:tcPr>
            <w:tcW w:w="0" w:type="auto"/>
            <w:vMerge/>
            <w:vAlign w:val="center"/>
          </w:tcPr>
          <w:p w14:paraId="30DAE711" w14:textId="77777777" w:rsidR="00E44499" w:rsidRPr="00382739" w:rsidRDefault="00E44499" w:rsidP="00E44499">
            <w:pPr>
              <w:pStyle w:val="NoSpacing"/>
              <w:rPr>
                <w:b/>
                <w:bCs/>
                <w:sz w:val="21"/>
                <w:szCs w:val="21"/>
              </w:rPr>
            </w:pPr>
          </w:p>
        </w:tc>
        <w:tc>
          <w:tcPr>
            <w:tcW w:w="0" w:type="auto"/>
            <w:vAlign w:val="center"/>
          </w:tcPr>
          <w:p w14:paraId="58DF42DA" w14:textId="77777777" w:rsidR="00E44499" w:rsidRPr="00382739" w:rsidRDefault="00E44499" w:rsidP="00E44499">
            <w:pPr>
              <w:pStyle w:val="NoSpacing"/>
              <w:rPr>
                <w:b/>
                <w:bCs/>
                <w:sz w:val="21"/>
                <w:szCs w:val="21"/>
              </w:rPr>
            </w:pPr>
            <w:r w:rsidRPr="00382739">
              <w:rPr>
                <w:b/>
                <w:bCs/>
                <w:sz w:val="21"/>
                <w:szCs w:val="21"/>
              </w:rPr>
              <w:t>DIC</w:t>
            </w:r>
          </w:p>
        </w:tc>
        <w:tc>
          <w:tcPr>
            <w:tcW w:w="0" w:type="auto"/>
            <w:gridSpan w:val="7"/>
            <w:vAlign w:val="center"/>
          </w:tcPr>
          <w:p w14:paraId="08149092" w14:textId="48DA471C" w:rsidR="00E44499" w:rsidRPr="00785383" w:rsidRDefault="00785383" w:rsidP="00785383">
            <w:pPr>
              <w:pStyle w:val="NoSpacing"/>
              <w:rPr>
                <w:sz w:val="21"/>
                <w:szCs w:val="21"/>
              </w:rPr>
            </w:pPr>
            <w:r w:rsidRPr="00785383">
              <w:rPr>
                <w:sz w:val="21"/>
                <w:szCs w:val="21"/>
              </w:rPr>
              <w:t>1</w:t>
            </w:r>
            <w:r w:rsidR="00600431">
              <w:rPr>
                <w:sz w:val="21"/>
                <w:szCs w:val="21"/>
              </w:rPr>
              <w:t>,</w:t>
            </w:r>
            <w:r w:rsidRPr="00785383">
              <w:rPr>
                <w:sz w:val="21"/>
                <w:szCs w:val="21"/>
              </w:rPr>
              <w:t>318.400</w:t>
            </w:r>
          </w:p>
        </w:tc>
      </w:tr>
      <w:tr w:rsidR="00600431" w:rsidRPr="007B4982" w14:paraId="7028FAB3" w14:textId="77777777" w:rsidTr="00600431">
        <w:trPr>
          <w:trHeight w:val="271"/>
          <w:jc w:val="center"/>
        </w:trPr>
        <w:tc>
          <w:tcPr>
            <w:tcW w:w="0" w:type="auto"/>
            <w:vMerge w:val="restart"/>
            <w:vAlign w:val="center"/>
          </w:tcPr>
          <w:p w14:paraId="10C9BA5C" w14:textId="38BEA22F" w:rsidR="00600431" w:rsidRPr="00382739" w:rsidRDefault="00600431" w:rsidP="00600431">
            <w:pPr>
              <w:pStyle w:val="NoSpacing"/>
              <w:rPr>
                <w:b/>
                <w:bCs/>
                <w:sz w:val="21"/>
                <w:szCs w:val="21"/>
              </w:rPr>
            </w:pPr>
            <w:r w:rsidRPr="00382739">
              <w:rPr>
                <w:b/>
                <w:bCs/>
                <w:sz w:val="21"/>
                <w:szCs w:val="21"/>
              </w:rPr>
              <w:t>California</w:t>
            </w:r>
            <w:r>
              <w:rPr>
                <w:b/>
                <w:bCs/>
                <w:iCs/>
                <w:sz w:val="21"/>
                <w:szCs w:val="21"/>
              </w:rPr>
              <w:t xml:space="preserve"> with Florida’s Informative Priors</w:t>
            </w:r>
          </w:p>
          <w:p w14:paraId="25FF0E3A" w14:textId="33951A19" w:rsidR="00600431" w:rsidRPr="00382739" w:rsidRDefault="00600431" w:rsidP="00600431">
            <w:pPr>
              <w:pStyle w:val="NoSpacing"/>
              <w:rPr>
                <w:b/>
                <w:bCs/>
                <w:sz w:val="21"/>
                <w:szCs w:val="21"/>
              </w:rPr>
            </w:pPr>
            <w:r w:rsidRPr="00382739">
              <w:rPr>
                <w:b/>
                <w:bCs/>
                <w:sz w:val="21"/>
                <w:szCs w:val="21"/>
              </w:rPr>
              <w:t>(N=1</w:t>
            </w:r>
            <w:r>
              <w:rPr>
                <w:b/>
                <w:bCs/>
                <w:sz w:val="21"/>
                <w:szCs w:val="21"/>
              </w:rPr>
              <w:t>,153</w:t>
            </w:r>
            <w:r w:rsidRPr="00382739">
              <w:rPr>
                <w:b/>
                <w:bCs/>
                <w:sz w:val="21"/>
                <w:szCs w:val="21"/>
              </w:rPr>
              <w:t>)</w:t>
            </w:r>
          </w:p>
        </w:tc>
        <w:tc>
          <w:tcPr>
            <w:tcW w:w="0" w:type="auto"/>
            <w:vAlign w:val="center"/>
          </w:tcPr>
          <w:p w14:paraId="44D18064" w14:textId="77777777" w:rsidR="00600431" w:rsidRPr="00382739" w:rsidRDefault="00600431" w:rsidP="00600431">
            <w:pPr>
              <w:pStyle w:val="NoSpacing"/>
              <w:rPr>
                <w:b/>
                <w:bCs/>
                <w:iCs/>
                <w:sz w:val="21"/>
                <w:szCs w:val="21"/>
              </w:rPr>
            </w:pPr>
            <w:r w:rsidRPr="00382739">
              <w:rPr>
                <w:b/>
                <w:bCs/>
                <w:iCs/>
                <w:sz w:val="21"/>
                <w:szCs w:val="21"/>
              </w:rPr>
              <w:t>Constant</w:t>
            </w:r>
          </w:p>
        </w:tc>
        <w:tc>
          <w:tcPr>
            <w:tcW w:w="890" w:type="dxa"/>
            <w:vAlign w:val="center"/>
          </w:tcPr>
          <w:p w14:paraId="34375472" w14:textId="433C0418" w:rsidR="00600431" w:rsidRPr="00382739" w:rsidRDefault="00600431" w:rsidP="00600431">
            <w:pPr>
              <w:pStyle w:val="NoSpacing"/>
              <w:rPr>
                <w:sz w:val="21"/>
                <w:szCs w:val="21"/>
              </w:rPr>
            </w:pPr>
            <w:r>
              <w:rPr>
                <w:color w:val="000000"/>
                <w:sz w:val="21"/>
                <w:szCs w:val="21"/>
              </w:rPr>
              <w:t>-9.502</w:t>
            </w:r>
          </w:p>
        </w:tc>
        <w:tc>
          <w:tcPr>
            <w:tcW w:w="1140" w:type="dxa"/>
            <w:vAlign w:val="center"/>
          </w:tcPr>
          <w:p w14:paraId="49AF6444" w14:textId="7075D2C6" w:rsidR="00600431" w:rsidRPr="00382739" w:rsidRDefault="00600431" w:rsidP="00600431">
            <w:pPr>
              <w:pStyle w:val="NoSpacing"/>
              <w:rPr>
                <w:sz w:val="21"/>
                <w:szCs w:val="21"/>
              </w:rPr>
            </w:pPr>
            <w:r>
              <w:rPr>
                <w:color w:val="000000"/>
                <w:sz w:val="21"/>
                <w:szCs w:val="21"/>
              </w:rPr>
              <w:t>0.408</w:t>
            </w:r>
          </w:p>
        </w:tc>
        <w:tc>
          <w:tcPr>
            <w:tcW w:w="0" w:type="auto"/>
            <w:vAlign w:val="center"/>
          </w:tcPr>
          <w:p w14:paraId="68A67026" w14:textId="7323EFC3" w:rsidR="00600431" w:rsidRPr="00382739" w:rsidRDefault="00600431" w:rsidP="00600431">
            <w:pPr>
              <w:pStyle w:val="NoSpacing"/>
              <w:rPr>
                <w:sz w:val="21"/>
                <w:szCs w:val="21"/>
              </w:rPr>
            </w:pPr>
            <w:r>
              <w:rPr>
                <w:color w:val="000000"/>
                <w:sz w:val="21"/>
                <w:szCs w:val="21"/>
              </w:rPr>
              <w:t>-10.300</w:t>
            </w:r>
          </w:p>
        </w:tc>
        <w:tc>
          <w:tcPr>
            <w:tcW w:w="0" w:type="auto"/>
            <w:vAlign w:val="center"/>
          </w:tcPr>
          <w:p w14:paraId="54294DC7" w14:textId="44B1F32A" w:rsidR="00600431" w:rsidRPr="00382739" w:rsidRDefault="00600431" w:rsidP="00600431">
            <w:pPr>
              <w:pStyle w:val="NoSpacing"/>
              <w:rPr>
                <w:sz w:val="21"/>
                <w:szCs w:val="21"/>
              </w:rPr>
            </w:pPr>
            <w:r>
              <w:rPr>
                <w:color w:val="000000"/>
                <w:sz w:val="21"/>
                <w:szCs w:val="21"/>
              </w:rPr>
              <w:t>-10.170</w:t>
            </w:r>
          </w:p>
        </w:tc>
        <w:tc>
          <w:tcPr>
            <w:tcW w:w="0" w:type="auto"/>
            <w:vAlign w:val="center"/>
          </w:tcPr>
          <w:p w14:paraId="4F999B51" w14:textId="79CA7EAD" w:rsidR="00600431" w:rsidRPr="00382739" w:rsidRDefault="00600431" w:rsidP="00600431">
            <w:pPr>
              <w:pStyle w:val="NoSpacing"/>
              <w:rPr>
                <w:sz w:val="21"/>
                <w:szCs w:val="21"/>
              </w:rPr>
            </w:pPr>
            <w:r>
              <w:rPr>
                <w:color w:val="000000"/>
                <w:sz w:val="21"/>
                <w:szCs w:val="21"/>
              </w:rPr>
              <w:t>-9.503</w:t>
            </w:r>
          </w:p>
        </w:tc>
        <w:tc>
          <w:tcPr>
            <w:tcW w:w="0" w:type="auto"/>
            <w:vAlign w:val="center"/>
          </w:tcPr>
          <w:p w14:paraId="52E84BF7" w14:textId="686AACAE" w:rsidR="00600431" w:rsidRPr="00382739" w:rsidRDefault="00600431" w:rsidP="00600431">
            <w:pPr>
              <w:pStyle w:val="NoSpacing"/>
              <w:rPr>
                <w:sz w:val="21"/>
                <w:szCs w:val="21"/>
              </w:rPr>
            </w:pPr>
            <w:r>
              <w:rPr>
                <w:color w:val="000000"/>
                <w:sz w:val="21"/>
                <w:szCs w:val="21"/>
              </w:rPr>
              <w:t>-8.833</w:t>
            </w:r>
          </w:p>
        </w:tc>
        <w:tc>
          <w:tcPr>
            <w:tcW w:w="0" w:type="auto"/>
            <w:vAlign w:val="center"/>
          </w:tcPr>
          <w:p w14:paraId="34B71EE5" w14:textId="5F6F7689" w:rsidR="00600431" w:rsidRPr="00382739" w:rsidRDefault="00600431" w:rsidP="00600431">
            <w:pPr>
              <w:pStyle w:val="NoSpacing"/>
              <w:rPr>
                <w:sz w:val="21"/>
                <w:szCs w:val="21"/>
              </w:rPr>
            </w:pPr>
            <w:r>
              <w:rPr>
                <w:color w:val="000000"/>
                <w:sz w:val="21"/>
                <w:szCs w:val="21"/>
              </w:rPr>
              <w:t>-8.723</w:t>
            </w:r>
          </w:p>
        </w:tc>
      </w:tr>
      <w:tr w:rsidR="00600431" w:rsidRPr="007B4982" w14:paraId="44F65A40" w14:textId="77777777" w:rsidTr="00600431">
        <w:trPr>
          <w:trHeight w:val="271"/>
          <w:jc w:val="center"/>
        </w:trPr>
        <w:tc>
          <w:tcPr>
            <w:tcW w:w="0" w:type="auto"/>
            <w:vMerge/>
            <w:vAlign w:val="center"/>
          </w:tcPr>
          <w:p w14:paraId="6F26981D" w14:textId="77777777" w:rsidR="00600431" w:rsidRPr="00382739" w:rsidRDefault="00600431" w:rsidP="00600431">
            <w:pPr>
              <w:pStyle w:val="NoSpacing"/>
              <w:rPr>
                <w:sz w:val="21"/>
                <w:szCs w:val="21"/>
              </w:rPr>
            </w:pPr>
          </w:p>
        </w:tc>
        <w:tc>
          <w:tcPr>
            <w:tcW w:w="0" w:type="auto"/>
            <w:vAlign w:val="center"/>
          </w:tcPr>
          <w:p w14:paraId="36A690BD" w14:textId="77777777" w:rsidR="00600431" w:rsidRPr="00382739" w:rsidRDefault="00600431" w:rsidP="00600431">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890" w:type="dxa"/>
            <w:vAlign w:val="center"/>
          </w:tcPr>
          <w:p w14:paraId="2F0B7469" w14:textId="5223521D" w:rsidR="00600431" w:rsidRPr="00382739" w:rsidRDefault="00600431" w:rsidP="00600431">
            <w:pPr>
              <w:pStyle w:val="NoSpacing"/>
              <w:rPr>
                <w:sz w:val="21"/>
                <w:szCs w:val="21"/>
              </w:rPr>
            </w:pPr>
            <w:r>
              <w:rPr>
                <w:color w:val="000000"/>
                <w:sz w:val="21"/>
                <w:szCs w:val="21"/>
              </w:rPr>
              <w:t>1.083</w:t>
            </w:r>
          </w:p>
        </w:tc>
        <w:tc>
          <w:tcPr>
            <w:tcW w:w="1140" w:type="dxa"/>
            <w:vAlign w:val="center"/>
          </w:tcPr>
          <w:p w14:paraId="657D9A23" w14:textId="30121567" w:rsidR="00600431" w:rsidRPr="00382739" w:rsidRDefault="00600431" w:rsidP="00600431">
            <w:pPr>
              <w:pStyle w:val="NoSpacing"/>
              <w:rPr>
                <w:sz w:val="21"/>
                <w:szCs w:val="21"/>
              </w:rPr>
            </w:pPr>
            <w:r>
              <w:rPr>
                <w:color w:val="000000"/>
                <w:sz w:val="21"/>
                <w:szCs w:val="21"/>
              </w:rPr>
              <w:t>0.041</w:t>
            </w:r>
          </w:p>
        </w:tc>
        <w:tc>
          <w:tcPr>
            <w:tcW w:w="0" w:type="auto"/>
            <w:vAlign w:val="center"/>
          </w:tcPr>
          <w:p w14:paraId="1E8F212F" w14:textId="40CBD55A" w:rsidR="00600431" w:rsidRPr="00382739" w:rsidRDefault="00600431" w:rsidP="00600431">
            <w:pPr>
              <w:pStyle w:val="NoSpacing"/>
              <w:rPr>
                <w:sz w:val="21"/>
                <w:szCs w:val="21"/>
              </w:rPr>
            </w:pPr>
            <w:r>
              <w:rPr>
                <w:color w:val="000000"/>
                <w:sz w:val="21"/>
                <w:szCs w:val="21"/>
              </w:rPr>
              <w:t>1.005</w:t>
            </w:r>
          </w:p>
        </w:tc>
        <w:tc>
          <w:tcPr>
            <w:tcW w:w="0" w:type="auto"/>
            <w:vAlign w:val="center"/>
          </w:tcPr>
          <w:p w14:paraId="73F8D433" w14:textId="66C4BBBA" w:rsidR="00600431" w:rsidRPr="00382739" w:rsidRDefault="00600431" w:rsidP="00600431">
            <w:pPr>
              <w:pStyle w:val="NoSpacing"/>
              <w:rPr>
                <w:sz w:val="21"/>
                <w:szCs w:val="21"/>
              </w:rPr>
            </w:pPr>
            <w:r>
              <w:rPr>
                <w:color w:val="000000"/>
                <w:sz w:val="21"/>
                <w:szCs w:val="21"/>
              </w:rPr>
              <w:t>1.016</w:t>
            </w:r>
          </w:p>
        </w:tc>
        <w:tc>
          <w:tcPr>
            <w:tcW w:w="0" w:type="auto"/>
            <w:vAlign w:val="center"/>
          </w:tcPr>
          <w:p w14:paraId="2BF19759" w14:textId="2462CD33" w:rsidR="00600431" w:rsidRPr="00382739" w:rsidRDefault="00600431" w:rsidP="00600431">
            <w:pPr>
              <w:pStyle w:val="NoSpacing"/>
              <w:rPr>
                <w:sz w:val="21"/>
                <w:szCs w:val="21"/>
              </w:rPr>
            </w:pPr>
            <w:r>
              <w:rPr>
                <w:color w:val="000000"/>
                <w:sz w:val="21"/>
                <w:szCs w:val="21"/>
              </w:rPr>
              <w:t>1.083</w:t>
            </w:r>
          </w:p>
        </w:tc>
        <w:tc>
          <w:tcPr>
            <w:tcW w:w="0" w:type="auto"/>
            <w:vAlign w:val="center"/>
          </w:tcPr>
          <w:p w14:paraId="6E47FDAE" w14:textId="7D66F650" w:rsidR="00600431" w:rsidRPr="00382739" w:rsidRDefault="00600431" w:rsidP="00600431">
            <w:pPr>
              <w:pStyle w:val="NoSpacing"/>
              <w:rPr>
                <w:sz w:val="21"/>
                <w:szCs w:val="21"/>
              </w:rPr>
            </w:pPr>
            <w:r>
              <w:rPr>
                <w:color w:val="000000"/>
                <w:sz w:val="21"/>
                <w:szCs w:val="21"/>
              </w:rPr>
              <w:t>1.149</w:t>
            </w:r>
          </w:p>
        </w:tc>
        <w:tc>
          <w:tcPr>
            <w:tcW w:w="0" w:type="auto"/>
            <w:vAlign w:val="center"/>
          </w:tcPr>
          <w:p w14:paraId="5ADBFFEF" w14:textId="720464A1" w:rsidR="00600431" w:rsidRPr="00382739" w:rsidRDefault="00600431" w:rsidP="00600431">
            <w:pPr>
              <w:pStyle w:val="NoSpacing"/>
              <w:rPr>
                <w:sz w:val="21"/>
                <w:szCs w:val="21"/>
              </w:rPr>
            </w:pPr>
            <w:r>
              <w:rPr>
                <w:color w:val="000000"/>
                <w:sz w:val="21"/>
                <w:szCs w:val="21"/>
              </w:rPr>
              <w:t>1.162</w:t>
            </w:r>
          </w:p>
        </w:tc>
      </w:tr>
      <w:tr w:rsidR="00600431" w:rsidRPr="007B4982" w14:paraId="4E03EC98" w14:textId="77777777" w:rsidTr="00600431">
        <w:trPr>
          <w:trHeight w:val="271"/>
          <w:jc w:val="center"/>
        </w:trPr>
        <w:tc>
          <w:tcPr>
            <w:tcW w:w="0" w:type="auto"/>
            <w:vMerge/>
            <w:vAlign w:val="center"/>
          </w:tcPr>
          <w:p w14:paraId="39F12EB4" w14:textId="77777777" w:rsidR="00600431" w:rsidRPr="00382739" w:rsidRDefault="00600431" w:rsidP="00600431">
            <w:pPr>
              <w:pStyle w:val="NoSpacing"/>
              <w:rPr>
                <w:sz w:val="21"/>
                <w:szCs w:val="21"/>
              </w:rPr>
            </w:pPr>
          </w:p>
        </w:tc>
        <w:tc>
          <w:tcPr>
            <w:tcW w:w="0" w:type="auto"/>
          </w:tcPr>
          <w:p w14:paraId="749986FB" w14:textId="77777777" w:rsidR="00600431" w:rsidRPr="00863C10" w:rsidRDefault="00600431" w:rsidP="00600431">
            <w:pPr>
              <w:pStyle w:val="NoSpacing"/>
              <w:rPr>
                <w:b/>
                <w:bCs/>
                <w:i/>
                <w:iCs/>
                <w:sz w:val="21"/>
                <w:szCs w:val="21"/>
              </w:rPr>
            </w:pPr>
            <w:r w:rsidRPr="009C0D95">
              <w:rPr>
                <w:b/>
                <w:bCs/>
                <w:i/>
                <w:iCs/>
                <w:sz w:val="21"/>
                <w:szCs w:val="21"/>
              </w:rPr>
              <w:t>φ</w:t>
            </w:r>
          </w:p>
        </w:tc>
        <w:tc>
          <w:tcPr>
            <w:tcW w:w="890" w:type="dxa"/>
            <w:vAlign w:val="center"/>
          </w:tcPr>
          <w:p w14:paraId="40DC31FC" w14:textId="2D956136" w:rsidR="00600431" w:rsidRPr="00382739" w:rsidRDefault="00600431" w:rsidP="00600431">
            <w:pPr>
              <w:pStyle w:val="NoSpacing"/>
              <w:rPr>
                <w:sz w:val="21"/>
                <w:szCs w:val="21"/>
              </w:rPr>
            </w:pPr>
            <w:r>
              <w:rPr>
                <w:color w:val="000000"/>
                <w:sz w:val="21"/>
                <w:szCs w:val="21"/>
              </w:rPr>
              <w:t>1.394</w:t>
            </w:r>
          </w:p>
        </w:tc>
        <w:tc>
          <w:tcPr>
            <w:tcW w:w="1140" w:type="dxa"/>
            <w:vAlign w:val="center"/>
          </w:tcPr>
          <w:p w14:paraId="5A76727A" w14:textId="56BF1DAC" w:rsidR="00600431" w:rsidRPr="00382739" w:rsidRDefault="00600431" w:rsidP="00600431">
            <w:pPr>
              <w:pStyle w:val="NoSpacing"/>
              <w:rPr>
                <w:sz w:val="21"/>
                <w:szCs w:val="21"/>
              </w:rPr>
            </w:pPr>
            <w:r>
              <w:rPr>
                <w:color w:val="000000"/>
                <w:sz w:val="21"/>
                <w:szCs w:val="21"/>
              </w:rPr>
              <w:t>0.103</w:t>
            </w:r>
          </w:p>
        </w:tc>
        <w:tc>
          <w:tcPr>
            <w:tcW w:w="0" w:type="auto"/>
            <w:vAlign w:val="center"/>
          </w:tcPr>
          <w:p w14:paraId="0D129BAC" w14:textId="7CE22D24" w:rsidR="00600431" w:rsidRPr="00382739" w:rsidRDefault="00600431" w:rsidP="00600431">
            <w:pPr>
              <w:pStyle w:val="NoSpacing"/>
              <w:rPr>
                <w:sz w:val="21"/>
                <w:szCs w:val="21"/>
              </w:rPr>
            </w:pPr>
            <w:r>
              <w:rPr>
                <w:color w:val="000000"/>
                <w:sz w:val="21"/>
                <w:szCs w:val="21"/>
              </w:rPr>
              <w:t>1.205</w:t>
            </w:r>
          </w:p>
        </w:tc>
        <w:tc>
          <w:tcPr>
            <w:tcW w:w="0" w:type="auto"/>
            <w:vAlign w:val="center"/>
          </w:tcPr>
          <w:p w14:paraId="1DEAD7CC" w14:textId="0BEAC03B" w:rsidR="00600431" w:rsidRPr="00382739" w:rsidRDefault="00600431" w:rsidP="00600431">
            <w:pPr>
              <w:pStyle w:val="NoSpacing"/>
              <w:rPr>
                <w:sz w:val="21"/>
                <w:szCs w:val="21"/>
              </w:rPr>
            </w:pPr>
            <w:r>
              <w:rPr>
                <w:color w:val="000000"/>
                <w:sz w:val="21"/>
                <w:szCs w:val="21"/>
              </w:rPr>
              <w:t>1.232</w:t>
            </w:r>
          </w:p>
        </w:tc>
        <w:tc>
          <w:tcPr>
            <w:tcW w:w="0" w:type="auto"/>
            <w:vAlign w:val="center"/>
          </w:tcPr>
          <w:p w14:paraId="55657D6E" w14:textId="47DD5E8A" w:rsidR="00600431" w:rsidRPr="00382739" w:rsidRDefault="00600431" w:rsidP="00600431">
            <w:pPr>
              <w:pStyle w:val="NoSpacing"/>
              <w:rPr>
                <w:sz w:val="21"/>
                <w:szCs w:val="21"/>
              </w:rPr>
            </w:pPr>
            <w:r>
              <w:rPr>
                <w:color w:val="000000"/>
                <w:sz w:val="21"/>
                <w:szCs w:val="21"/>
              </w:rPr>
              <w:t>1.390</w:t>
            </w:r>
          </w:p>
        </w:tc>
        <w:tc>
          <w:tcPr>
            <w:tcW w:w="0" w:type="auto"/>
            <w:vAlign w:val="center"/>
          </w:tcPr>
          <w:p w14:paraId="3189DA60" w14:textId="1280BC70" w:rsidR="00600431" w:rsidRPr="00382739" w:rsidRDefault="00600431" w:rsidP="00600431">
            <w:pPr>
              <w:pStyle w:val="NoSpacing"/>
              <w:rPr>
                <w:sz w:val="21"/>
                <w:szCs w:val="21"/>
              </w:rPr>
            </w:pPr>
            <w:r>
              <w:rPr>
                <w:color w:val="000000"/>
                <w:sz w:val="21"/>
                <w:szCs w:val="21"/>
              </w:rPr>
              <w:t>1.570</w:t>
            </w:r>
          </w:p>
        </w:tc>
        <w:tc>
          <w:tcPr>
            <w:tcW w:w="0" w:type="auto"/>
            <w:vAlign w:val="center"/>
          </w:tcPr>
          <w:p w14:paraId="108B608E" w14:textId="6FC9C22B" w:rsidR="00600431" w:rsidRPr="00382739" w:rsidRDefault="00600431" w:rsidP="00600431">
            <w:pPr>
              <w:pStyle w:val="NoSpacing"/>
              <w:rPr>
                <w:sz w:val="21"/>
                <w:szCs w:val="21"/>
              </w:rPr>
            </w:pPr>
            <w:r>
              <w:rPr>
                <w:color w:val="000000"/>
                <w:sz w:val="21"/>
                <w:szCs w:val="21"/>
              </w:rPr>
              <w:t>1.607</w:t>
            </w:r>
          </w:p>
        </w:tc>
      </w:tr>
      <w:tr w:rsidR="00600431" w:rsidRPr="007B4982" w14:paraId="51C13025" w14:textId="77777777" w:rsidTr="00600431">
        <w:trPr>
          <w:trHeight w:val="271"/>
          <w:jc w:val="center"/>
        </w:trPr>
        <w:tc>
          <w:tcPr>
            <w:tcW w:w="0" w:type="auto"/>
            <w:vMerge/>
            <w:vAlign w:val="center"/>
          </w:tcPr>
          <w:p w14:paraId="0798683A" w14:textId="77777777" w:rsidR="00600431" w:rsidRPr="00382739" w:rsidRDefault="00600431" w:rsidP="00600431">
            <w:pPr>
              <w:pStyle w:val="NoSpacing"/>
              <w:rPr>
                <w:sz w:val="21"/>
                <w:szCs w:val="21"/>
              </w:rPr>
            </w:pPr>
          </w:p>
        </w:tc>
        <w:tc>
          <w:tcPr>
            <w:tcW w:w="0" w:type="auto"/>
          </w:tcPr>
          <w:p w14:paraId="7CE326D9" w14:textId="77777777" w:rsidR="00600431" w:rsidRPr="00382739" w:rsidRDefault="00600431" w:rsidP="00600431">
            <w:pPr>
              <w:pStyle w:val="NoSpacing"/>
              <w:rPr>
                <w:b/>
                <w:bCs/>
                <w:sz w:val="21"/>
                <w:szCs w:val="21"/>
              </w:rPr>
            </w:pPr>
            <w:r w:rsidRPr="00382739">
              <w:rPr>
                <w:b/>
                <w:bCs/>
                <w:sz w:val="21"/>
                <w:szCs w:val="21"/>
              </w:rPr>
              <w:t>Deviance</w:t>
            </w:r>
          </w:p>
        </w:tc>
        <w:tc>
          <w:tcPr>
            <w:tcW w:w="890" w:type="dxa"/>
            <w:vAlign w:val="center"/>
          </w:tcPr>
          <w:p w14:paraId="3156525C" w14:textId="2A2ACF47" w:rsidR="00600431" w:rsidRPr="00382739" w:rsidRDefault="00600431" w:rsidP="00600431">
            <w:pPr>
              <w:pStyle w:val="NoSpacing"/>
              <w:rPr>
                <w:sz w:val="21"/>
                <w:szCs w:val="21"/>
              </w:rPr>
            </w:pPr>
            <w:r>
              <w:rPr>
                <w:color w:val="000000"/>
                <w:sz w:val="21"/>
                <w:szCs w:val="21"/>
              </w:rPr>
              <w:t>3,513</w:t>
            </w:r>
          </w:p>
        </w:tc>
        <w:tc>
          <w:tcPr>
            <w:tcW w:w="1140" w:type="dxa"/>
            <w:vAlign w:val="center"/>
          </w:tcPr>
          <w:p w14:paraId="57A27341" w14:textId="475EA0BF" w:rsidR="00600431" w:rsidRPr="00382739" w:rsidRDefault="00600431" w:rsidP="00600431">
            <w:pPr>
              <w:pStyle w:val="NoSpacing"/>
              <w:rPr>
                <w:sz w:val="21"/>
                <w:szCs w:val="21"/>
              </w:rPr>
            </w:pPr>
            <w:r>
              <w:rPr>
                <w:color w:val="000000"/>
                <w:sz w:val="21"/>
                <w:szCs w:val="21"/>
              </w:rPr>
              <w:t>44.940</w:t>
            </w:r>
          </w:p>
        </w:tc>
        <w:tc>
          <w:tcPr>
            <w:tcW w:w="0" w:type="auto"/>
            <w:vAlign w:val="center"/>
          </w:tcPr>
          <w:p w14:paraId="0E2C6AAB" w14:textId="1449A3F2" w:rsidR="00600431" w:rsidRPr="00382739" w:rsidRDefault="00600431" w:rsidP="00600431">
            <w:pPr>
              <w:pStyle w:val="NoSpacing"/>
              <w:rPr>
                <w:sz w:val="21"/>
                <w:szCs w:val="21"/>
              </w:rPr>
            </w:pPr>
            <w:r>
              <w:rPr>
                <w:color w:val="000000"/>
                <w:sz w:val="21"/>
                <w:szCs w:val="21"/>
              </w:rPr>
              <w:t>3,426</w:t>
            </w:r>
          </w:p>
        </w:tc>
        <w:tc>
          <w:tcPr>
            <w:tcW w:w="0" w:type="auto"/>
            <w:vAlign w:val="center"/>
          </w:tcPr>
          <w:p w14:paraId="5904E4BB" w14:textId="6823253F" w:rsidR="00600431" w:rsidRPr="00382739" w:rsidRDefault="00600431" w:rsidP="00600431">
            <w:pPr>
              <w:pStyle w:val="NoSpacing"/>
              <w:rPr>
                <w:sz w:val="21"/>
                <w:szCs w:val="21"/>
              </w:rPr>
            </w:pPr>
            <w:r>
              <w:rPr>
                <w:color w:val="000000"/>
                <w:sz w:val="21"/>
                <w:szCs w:val="21"/>
              </w:rPr>
              <w:t>3,440</w:t>
            </w:r>
          </w:p>
        </w:tc>
        <w:tc>
          <w:tcPr>
            <w:tcW w:w="0" w:type="auto"/>
            <w:vAlign w:val="center"/>
          </w:tcPr>
          <w:p w14:paraId="2BC7C622" w14:textId="2758D3C8" w:rsidR="00600431" w:rsidRPr="00382739" w:rsidRDefault="00600431" w:rsidP="00600431">
            <w:pPr>
              <w:pStyle w:val="NoSpacing"/>
              <w:rPr>
                <w:sz w:val="21"/>
                <w:szCs w:val="21"/>
              </w:rPr>
            </w:pPr>
            <w:r>
              <w:rPr>
                <w:color w:val="000000"/>
                <w:sz w:val="21"/>
                <w:szCs w:val="21"/>
              </w:rPr>
              <w:t>3,512</w:t>
            </w:r>
          </w:p>
        </w:tc>
        <w:tc>
          <w:tcPr>
            <w:tcW w:w="0" w:type="auto"/>
            <w:vAlign w:val="center"/>
          </w:tcPr>
          <w:p w14:paraId="2A08C4EB" w14:textId="15C156BB" w:rsidR="00600431" w:rsidRPr="00382739" w:rsidRDefault="00600431" w:rsidP="00600431">
            <w:pPr>
              <w:pStyle w:val="NoSpacing"/>
              <w:rPr>
                <w:sz w:val="21"/>
                <w:szCs w:val="21"/>
              </w:rPr>
            </w:pPr>
            <w:r>
              <w:rPr>
                <w:color w:val="000000"/>
                <w:sz w:val="21"/>
                <w:szCs w:val="21"/>
              </w:rPr>
              <w:t>3,588</w:t>
            </w:r>
          </w:p>
        </w:tc>
        <w:tc>
          <w:tcPr>
            <w:tcW w:w="0" w:type="auto"/>
            <w:vAlign w:val="center"/>
          </w:tcPr>
          <w:p w14:paraId="2D77388C" w14:textId="35290AD1" w:rsidR="00600431" w:rsidRPr="00382739" w:rsidRDefault="00600431" w:rsidP="00600431">
            <w:pPr>
              <w:pStyle w:val="NoSpacing"/>
              <w:rPr>
                <w:sz w:val="21"/>
                <w:szCs w:val="21"/>
              </w:rPr>
            </w:pPr>
            <w:r>
              <w:rPr>
                <w:color w:val="000000"/>
                <w:sz w:val="21"/>
                <w:szCs w:val="21"/>
              </w:rPr>
              <w:t>3,602</w:t>
            </w:r>
          </w:p>
        </w:tc>
      </w:tr>
      <w:tr w:rsidR="00600431" w:rsidRPr="007B4982" w14:paraId="00CF64AF" w14:textId="77777777" w:rsidTr="00600431">
        <w:trPr>
          <w:trHeight w:val="271"/>
          <w:jc w:val="center"/>
        </w:trPr>
        <w:tc>
          <w:tcPr>
            <w:tcW w:w="0" w:type="auto"/>
            <w:vMerge/>
            <w:vAlign w:val="center"/>
          </w:tcPr>
          <w:p w14:paraId="7B60DABF" w14:textId="77777777" w:rsidR="00600431" w:rsidRPr="00382739" w:rsidRDefault="00600431" w:rsidP="00600431">
            <w:pPr>
              <w:pStyle w:val="NoSpacing"/>
              <w:rPr>
                <w:sz w:val="21"/>
                <w:szCs w:val="21"/>
              </w:rPr>
            </w:pPr>
          </w:p>
        </w:tc>
        <w:tc>
          <w:tcPr>
            <w:tcW w:w="0" w:type="auto"/>
          </w:tcPr>
          <w:p w14:paraId="4DB4D363" w14:textId="77777777" w:rsidR="00600431" w:rsidRPr="00AC7D88" w:rsidRDefault="00600431" w:rsidP="00600431">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vAlign w:val="center"/>
          </w:tcPr>
          <w:p w14:paraId="2D1E5C80" w14:textId="6D975E27" w:rsidR="00600431" w:rsidRPr="00382739" w:rsidRDefault="00600431" w:rsidP="00600431">
            <w:pPr>
              <w:pStyle w:val="NoSpacing"/>
              <w:rPr>
                <w:sz w:val="21"/>
                <w:szCs w:val="21"/>
              </w:rPr>
            </w:pPr>
            <w:r>
              <w:rPr>
                <w:color w:val="000000"/>
                <w:sz w:val="21"/>
                <w:szCs w:val="21"/>
              </w:rPr>
              <w:t>526.824</w:t>
            </w:r>
          </w:p>
        </w:tc>
      </w:tr>
      <w:tr w:rsidR="00600431" w:rsidRPr="007B4982" w14:paraId="384AB2C1" w14:textId="77777777" w:rsidTr="00600431">
        <w:trPr>
          <w:trHeight w:val="271"/>
          <w:jc w:val="center"/>
        </w:trPr>
        <w:tc>
          <w:tcPr>
            <w:tcW w:w="0" w:type="auto"/>
            <w:vMerge/>
            <w:vAlign w:val="center"/>
          </w:tcPr>
          <w:p w14:paraId="2F563A4F" w14:textId="77777777" w:rsidR="00600431" w:rsidRPr="00382739" w:rsidRDefault="00600431" w:rsidP="00600431">
            <w:pPr>
              <w:pStyle w:val="NoSpacing"/>
              <w:rPr>
                <w:sz w:val="21"/>
                <w:szCs w:val="21"/>
              </w:rPr>
            </w:pPr>
          </w:p>
        </w:tc>
        <w:tc>
          <w:tcPr>
            <w:tcW w:w="0" w:type="auto"/>
          </w:tcPr>
          <w:p w14:paraId="1A07AD0A" w14:textId="77777777" w:rsidR="00600431" w:rsidRPr="00382739" w:rsidRDefault="00600431" w:rsidP="00600431">
            <w:pPr>
              <w:pStyle w:val="NoSpacing"/>
              <w:rPr>
                <w:b/>
                <w:bCs/>
                <w:sz w:val="21"/>
                <w:szCs w:val="21"/>
              </w:rPr>
            </w:pPr>
            <w:r w:rsidRPr="00382739">
              <w:rPr>
                <w:b/>
                <w:bCs/>
                <w:sz w:val="21"/>
                <w:szCs w:val="21"/>
              </w:rPr>
              <w:t>DIC</w:t>
            </w:r>
          </w:p>
        </w:tc>
        <w:tc>
          <w:tcPr>
            <w:tcW w:w="0" w:type="auto"/>
            <w:gridSpan w:val="7"/>
            <w:vAlign w:val="center"/>
          </w:tcPr>
          <w:p w14:paraId="33860A6C" w14:textId="6303E69E" w:rsidR="00600431" w:rsidRPr="00382739" w:rsidRDefault="00600431" w:rsidP="00600431">
            <w:pPr>
              <w:pStyle w:val="NoSpacing"/>
              <w:rPr>
                <w:sz w:val="21"/>
                <w:szCs w:val="21"/>
              </w:rPr>
            </w:pPr>
            <w:r>
              <w:rPr>
                <w:color w:val="000000"/>
                <w:sz w:val="21"/>
                <w:szCs w:val="21"/>
              </w:rPr>
              <w:t>4,039.570</w:t>
            </w:r>
          </w:p>
        </w:tc>
      </w:tr>
    </w:tbl>
    <w:p w14:paraId="6A08473E" w14:textId="13A6B049" w:rsidR="00DC1EF0" w:rsidRDefault="00F04550" w:rsidP="00382739">
      <w:pPr>
        <w:pStyle w:val="Caption"/>
      </w:pPr>
      <w:bookmarkStart w:id="5" w:name="_Ref456822879"/>
      <w:r>
        <w:lastRenderedPageBreak/>
        <w:t xml:space="preserve">Table </w:t>
      </w:r>
      <w:r w:rsidR="00C14F70">
        <w:fldChar w:fldCharType="begin"/>
      </w:r>
      <w:r w:rsidR="00C14F70">
        <w:instrText xml:space="preserve"> SEQ Table \* ARABIC </w:instrText>
      </w:r>
      <w:r w:rsidR="00C14F70">
        <w:fldChar w:fldCharType="separate"/>
      </w:r>
      <w:r w:rsidR="006804C3">
        <w:rPr>
          <w:noProof/>
        </w:rPr>
        <w:t>4</w:t>
      </w:r>
      <w:r w:rsidR="00C14F70">
        <w:rPr>
          <w:noProof/>
        </w:rPr>
        <w:fldChar w:fldCharType="end"/>
      </w:r>
      <w:bookmarkEnd w:id="5"/>
      <w:r>
        <w:t xml:space="preserve"> </w:t>
      </w:r>
      <w:r w:rsidRPr="00910E3A">
        <w:t>States'</w:t>
      </w:r>
      <w:r>
        <w:t xml:space="preserve"> </w:t>
      </w:r>
      <w:r w:rsidRPr="00910E3A">
        <w:t>Non-Informative Prior Model Results</w:t>
      </w:r>
      <w:r>
        <w:t xml:space="preserve"> for KAB Crashes</w:t>
      </w:r>
    </w:p>
    <w:tbl>
      <w:tblPr>
        <w:tblStyle w:val="TableGrid"/>
        <w:tblW w:w="0" w:type="auto"/>
        <w:jc w:val="center"/>
        <w:tblLook w:val="04A0" w:firstRow="1" w:lastRow="0" w:firstColumn="1" w:lastColumn="0" w:noHBand="0" w:noVBand="1"/>
      </w:tblPr>
      <w:tblGrid>
        <w:gridCol w:w="1138"/>
        <w:gridCol w:w="1173"/>
        <w:gridCol w:w="945"/>
        <w:gridCol w:w="1219"/>
        <w:gridCol w:w="981"/>
        <w:gridCol w:w="981"/>
        <w:gridCol w:w="905"/>
        <w:gridCol w:w="1038"/>
        <w:gridCol w:w="970"/>
      </w:tblGrid>
      <w:tr w:rsidR="00E44499" w:rsidRPr="007B4982" w14:paraId="3AB4752B" w14:textId="77777777" w:rsidTr="00CF7FA9">
        <w:trPr>
          <w:trHeight w:val="70"/>
          <w:jc w:val="center"/>
        </w:trPr>
        <w:tc>
          <w:tcPr>
            <w:tcW w:w="0" w:type="auto"/>
            <w:vMerge w:val="restart"/>
            <w:vAlign w:val="center"/>
          </w:tcPr>
          <w:p w14:paraId="585A2039" w14:textId="77777777" w:rsidR="00E44499" w:rsidRPr="00382739" w:rsidRDefault="00E44499" w:rsidP="00E44499">
            <w:pPr>
              <w:pStyle w:val="NoSpacing"/>
              <w:rPr>
                <w:b/>
                <w:bCs/>
                <w:sz w:val="21"/>
                <w:szCs w:val="21"/>
              </w:rPr>
            </w:pPr>
            <w:r w:rsidRPr="00382739">
              <w:rPr>
                <w:b/>
                <w:bCs/>
                <w:sz w:val="21"/>
                <w:szCs w:val="21"/>
              </w:rPr>
              <w:t>Model</w:t>
            </w:r>
          </w:p>
        </w:tc>
        <w:tc>
          <w:tcPr>
            <w:tcW w:w="0" w:type="auto"/>
            <w:vMerge w:val="restart"/>
            <w:vAlign w:val="center"/>
          </w:tcPr>
          <w:p w14:paraId="1492FF4E" w14:textId="77777777" w:rsidR="00E44499" w:rsidRPr="00382739" w:rsidRDefault="00E44499" w:rsidP="00E44499">
            <w:pPr>
              <w:pStyle w:val="NoSpacing"/>
              <w:rPr>
                <w:b/>
                <w:bCs/>
                <w:sz w:val="21"/>
                <w:szCs w:val="21"/>
              </w:rPr>
            </w:pPr>
            <w:r w:rsidRPr="00382739">
              <w:rPr>
                <w:b/>
                <w:bCs/>
                <w:sz w:val="21"/>
                <w:szCs w:val="21"/>
              </w:rPr>
              <w:t>Parameter</w:t>
            </w:r>
          </w:p>
        </w:tc>
        <w:tc>
          <w:tcPr>
            <w:tcW w:w="945" w:type="dxa"/>
            <w:vMerge w:val="restart"/>
            <w:vAlign w:val="center"/>
          </w:tcPr>
          <w:p w14:paraId="66590995" w14:textId="77777777" w:rsidR="00E44499" w:rsidRPr="00382739" w:rsidRDefault="00E44499" w:rsidP="00E44499">
            <w:pPr>
              <w:pStyle w:val="NoSpacing"/>
              <w:rPr>
                <w:b/>
                <w:bCs/>
                <w:sz w:val="21"/>
                <w:szCs w:val="21"/>
              </w:rPr>
            </w:pPr>
            <w:r w:rsidRPr="00382739">
              <w:rPr>
                <w:b/>
                <w:bCs/>
                <w:sz w:val="21"/>
                <w:szCs w:val="21"/>
              </w:rPr>
              <w:t>Mean</w:t>
            </w:r>
          </w:p>
        </w:tc>
        <w:tc>
          <w:tcPr>
            <w:tcW w:w="1219" w:type="dxa"/>
            <w:vMerge w:val="restart"/>
            <w:vAlign w:val="center"/>
          </w:tcPr>
          <w:p w14:paraId="00D18674" w14:textId="77777777" w:rsidR="00E44499" w:rsidRPr="00382739" w:rsidRDefault="00E44499" w:rsidP="00E44499">
            <w:pPr>
              <w:pStyle w:val="NoSpacing"/>
              <w:rPr>
                <w:b/>
                <w:bCs/>
                <w:sz w:val="21"/>
                <w:szCs w:val="21"/>
              </w:rPr>
            </w:pPr>
            <w:r w:rsidRPr="00382739">
              <w:rPr>
                <w:b/>
                <w:bCs/>
                <w:sz w:val="21"/>
                <w:szCs w:val="21"/>
              </w:rPr>
              <w:t>Standard Deviation</w:t>
            </w:r>
          </w:p>
        </w:tc>
        <w:tc>
          <w:tcPr>
            <w:tcW w:w="0" w:type="auto"/>
            <w:gridSpan w:val="5"/>
            <w:vAlign w:val="center"/>
          </w:tcPr>
          <w:p w14:paraId="011FC425" w14:textId="77777777" w:rsidR="00E44499" w:rsidRPr="00382739" w:rsidRDefault="00E44499" w:rsidP="00E44499">
            <w:pPr>
              <w:pStyle w:val="NoSpacing"/>
              <w:rPr>
                <w:b/>
                <w:bCs/>
                <w:sz w:val="21"/>
                <w:szCs w:val="21"/>
              </w:rPr>
            </w:pPr>
            <w:r>
              <w:rPr>
                <w:b/>
                <w:bCs/>
                <w:sz w:val="21"/>
                <w:szCs w:val="21"/>
              </w:rPr>
              <w:t>Bayesian Credible Interval</w:t>
            </w:r>
          </w:p>
        </w:tc>
      </w:tr>
      <w:tr w:rsidR="00E44499" w:rsidRPr="007B4982" w14:paraId="25FABDB8" w14:textId="77777777" w:rsidTr="00CF7FA9">
        <w:trPr>
          <w:trHeight w:val="70"/>
          <w:jc w:val="center"/>
        </w:trPr>
        <w:tc>
          <w:tcPr>
            <w:tcW w:w="0" w:type="auto"/>
            <w:vMerge/>
            <w:vAlign w:val="center"/>
          </w:tcPr>
          <w:p w14:paraId="37FFBAAA" w14:textId="77777777" w:rsidR="00E44499" w:rsidRPr="00382739" w:rsidRDefault="00E44499" w:rsidP="00E44499">
            <w:pPr>
              <w:pStyle w:val="NoSpacing"/>
              <w:rPr>
                <w:b/>
                <w:bCs/>
                <w:sz w:val="21"/>
                <w:szCs w:val="21"/>
              </w:rPr>
            </w:pPr>
          </w:p>
        </w:tc>
        <w:tc>
          <w:tcPr>
            <w:tcW w:w="0" w:type="auto"/>
            <w:vMerge/>
            <w:vAlign w:val="center"/>
          </w:tcPr>
          <w:p w14:paraId="68A8D449" w14:textId="77777777" w:rsidR="00E44499" w:rsidRPr="00382739" w:rsidRDefault="00E44499" w:rsidP="00E44499">
            <w:pPr>
              <w:pStyle w:val="NoSpacing"/>
              <w:rPr>
                <w:b/>
                <w:bCs/>
                <w:sz w:val="21"/>
                <w:szCs w:val="21"/>
              </w:rPr>
            </w:pPr>
          </w:p>
        </w:tc>
        <w:tc>
          <w:tcPr>
            <w:tcW w:w="945" w:type="dxa"/>
            <w:vMerge/>
            <w:vAlign w:val="center"/>
          </w:tcPr>
          <w:p w14:paraId="2FE4EE21" w14:textId="77777777" w:rsidR="00E44499" w:rsidRPr="00382739" w:rsidRDefault="00E44499" w:rsidP="00E44499">
            <w:pPr>
              <w:pStyle w:val="NoSpacing"/>
              <w:rPr>
                <w:b/>
                <w:bCs/>
                <w:sz w:val="21"/>
                <w:szCs w:val="21"/>
              </w:rPr>
            </w:pPr>
          </w:p>
        </w:tc>
        <w:tc>
          <w:tcPr>
            <w:tcW w:w="1219" w:type="dxa"/>
            <w:vMerge/>
            <w:vAlign w:val="center"/>
          </w:tcPr>
          <w:p w14:paraId="7C903A42" w14:textId="77777777" w:rsidR="00E44499" w:rsidRPr="00382739" w:rsidRDefault="00E44499" w:rsidP="00E44499">
            <w:pPr>
              <w:pStyle w:val="NoSpacing"/>
              <w:rPr>
                <w:b/>
                <w:bCs/>
                <w:sz w:val="21"/>
                <w:szCs w:val="21"/>
              </w:rPr>
            </w:pPr>
          </w:p>
        </w:tc>
        <w:tc>
          <w:tcPr>
            <w:tcW w:w="0" w:type="auto"/>
            <w:vAlign w:val="center"/>
          </w:tcPr>
          <w:p w14:paraId="4417E0C0" w14:textId="77777777" w:rsidR="00E44499" w:rsidRPr="00382739" w:rsidRDefault="00E44499" w:rsidP="00E44499">
            <w:pPr>
              <w:pStyle w:val="NoSpacing"/>
              <w:rPr>
                <w:b/>
                <w:bCs/>
                <w:sz w:val="21"/>
                <w:szCs w:val="21"/>
              </w:rPr>
            </w:pPr>
            <w:r w:rsidRPr="00382739">
              <w:rPr>
                <w:b/>
                <w:bCs/>
                <w:sz w:val="21"/>
                <w:szCs w:val="21"/>
              </w:rPr>
              <w:t>Lower 95%</w:t>
            </w:r>
          </w:p>
        </w:tc>
        <w:tc>
          <w:tcPr>
            <w:tcW w:w="0" w:type="auto"/>
            <w:vAlign w:val="center"/>
          </w:tcPr>
          <w:p w14:paraId="6315F971" w14:textId="77777777" w:rsidR="00E44499" w:rsidRPr="00382739" w:rsidRDefault="00E44499" w:rsidP="00E44499">
            <w:pPr>
              <w:pStyle w:val="NoSpacing"/>
              <w:rPr>
                <w:b/>
                <w:bCs/>
                <w:sz w:val="21"/>
                <w:szCs w:val="21"/>
              </w:rPr>
            </w:pPr>
            <w:r w:rsidRPr="00382739">
              <w:rPr>
                <w:b/>
                <w:bCs/>
                <w:sz w:val="21"/>
                <w:szCs w:val="21"/>
              </w:rPr>
              <w:t>Lower 90%</w:t>
            </w:r>
          </w:p>
        </w:tc>
        <w:tc>
          <w:tcPr>
            <w:tcW w:w="0" w:type="auto"/>
            <w:vAlign w:val="center"/>
          </w:tcPr>
          <w:p w14:paraId="5D0F6021" w14:textId="77777777" w:rsidR="00E44499" w:rsidRPr="00382739" w:rsidRDefault="00E44499" w:rsidP="00E44499">
            <w:pPr>
              <w:pStyle w:val="NoSpacing"/>
              <w:rPr>
                <w:b/>
                <w:bCs/>
                <w:sz w:val="21"/>
                <w:szCs w:val="21"/>
              </w:rPr>
            </w:pPr>
            <w:r>
              <w:rPr>
                <w:b/>
                <w:bCs/>
                <w:sz w:val="21"/>
                <w:szCs w:val="21"/>
              </w:rPr>
              <w:t>Median</w:t>
            </w:r>
          </w:p>
        </w:tc>
        <w:tc>
          <w:tcPr>
            <w:tcW w:w="0" w:type="auto"/>
            <w:vAlign w:val="center"/>
          </w:tcPr>
          <w:p w14:paraId="31E7CA66" w14:textId="77777777" w:rsidR="00E44499" w:rsidRPr="00382739" w:rsidRDefault="00E44499" w:rsidP="00E44499">
            <w:pPr>
              <w:pStyle w:val="NoSpacing"/>
              <w:rPr>
                <w:b/>
                <w:bCs/>
                <w:sz w:val="21"/>
                <w:szCs w:val="21"/>
              </w:rPr>
            </w:pPr>
            <w:r w:rsidRPr="00382739">
              <w:rPr>
                <w:b/>
                <w:bCs/>
                <w:sz w:val="21"/>
                <w:szCs w:val="21"/>
              </w:rPr>
              <w:t>Upper 90%</w:t>
            </w:r>
          </w:p>
        </w:tc>
        <w:tc>
          <w:tcPr>
            <w:tcW w:w="0" w:type="auto"/>
            <w:vAlign w:val="center"/>
          </w:tcPr>
          <w:p w14:paraId="244C80ED" w14:textId="77777777" w:rsidR="00E44499" w:rsidRPr="00382739" w:rsidRDefault="00E44499" w:rsidP="00E44499">
            <w:pPr>
              <w:pStyle w:val="NoSpacing"/>
              <w:rPr>
                <w:b/>
                <w:bCs/>
                <w:sz w:val="21"/>
                <w:szCs w:val="21"/>
              </w:rPr>
            </w:pPr>
            <w:r w:rsidRPr="00382739">
              <w:rPr>
                <w:b/>
                <w:bCs/>
                <w:sz w:val="21"/>
                <w:szCs w:val="21"/>
              </w:rPr>
              <w:t>Upper 95%</w:t>
            </w:r>
          </w:p>
        </w:tc>
      </w:tr>
      <w:tr w:rsidR="00CF7FA9" w:rsidRPr="007B4982" w14:paraId="68AD77FB" w14:textId="77777777" w:rsidTr="00CF7FA9">
        <w:trPr>
          <w:trHeight w:val="271"/>
          <w:jc w:val="center"/>
        </w:trPr>
        <w:tc>
          <w:tcPr>
            <w:tcW w:w="0" w:type="auto"/>
            <w:vMerge w:val="restart"/>
            <w:vAlign w:val="center"/>
          </w:tcPr>
          <w:p w14:paraId="1F4D0979" w14:textId="77777777" w:rsidR="00CF7FA9" w:rsidRPr="00382739" w:rsidRDefault="00CF7FA9" w:rsidP="00CF7FA9">
            <w:pPr>
              <w:pStyle w:val="NoSpacing"/>
              <w:rPr>
                <w:b/>
                <w:bCs/>
                <w:iCs/>
                <w:sz w:val="21"/>
                <w:szCs w:val="21"/>
              </w:rPr>
            </w:pPr>
            <w:r w:rsidRPr="00382739">
              <w:rPr>
                <w:b/>
                <w:bCs/>
                <w:iCs/>
                <w:sz w:val="21"/>
                <w:szCs w:val="21"/>
              </w:rPr>
              <w:t>Florida</w:t>
            </w:r>
          </w:p>
          <w:p w14:paraId="69712153" w14:textId="77777777" w:rsidR="00CF7FA9" w:rsidRPr="00382739" w:rsidRDefault="00CF7FA9" w:rsidP="00CF7FA9">
            <w:pPr>
              <w:pStyle w:val="NoSpacing"/>
              <w:rPr>
                <w:b/>
                <w:bCs/>
                <w:iCs/>
                <w:sz w:val="21"/>
                <w:szCs w:val="21"/>
              </w:rPr>
            </w:pPr>
            <w:r w:rsidRPr="00382739">
              <w:rPr>
                <w:b/>
                <w:bCs/>
                <w:iCs/>
                <w:sz w:val="21"/>
                <w:szCs w:val="21"/>
              </w:rPr>
              <w:t>(N=436)</w:t>
            </w:r>
          </w:p>
        </w:tc>
        <w:tc>
          <w:tcPr>
            <w:tcW w:w="0" w:type="auto"/>
            <w:vAlign w:val="center"/>
          </w:tcPr>
          <w:p w14:paraId="34185A19" w14:textId="77777777" w:rsidR="00CF7FA9" w:rsidRPr="00382739" w:rsidRDefault="00CF7FA9" w:rsidP="00CF7FA9">
            <w:pPr>
              <w:pStyle w:val="NoSpacing"/>
              <w:rPr>
                <w:b/>
                <w:bCs/>
                <w:iCs/>
                <w:sz w:val="21"/>
                <w:szCs w:val="21"/>
              </w:rPr>
            </w:pPr>
            <w:r w:rsidRPr="00382739">
              <w:rPr>
                <w:b/>
                <w:bCs/>
                <w:iCs/>
                <w:sz w:val="21"/>
                <w:szCs w:val="21"/>
              </w:rPr>
              <w:t>Constant</w:t>
            </w:r>
          </w:p>
        </w:tc>
        <w:tc>
          <w:tcPr>
            <w:tcW w:w="945" w:type="dxa"/>
            <w:vAlign w:val="center"/>
          </w:tcPr>
          <w:p w14:paraId="25454EF8" w14:textId="243BF6E9" w:rsidR="00CF7FA9" w:rsidRPr="00382739" w:rsidRDefault="00CF7FA9" w:rsidP="00CF7FA9">
            <w:pPr>
              <w:pStyle w:val="NoSpacing"/>
              <w:rPr>
                <w:sz w:val="21"/>
                <w:szCs w:val="21"/>
              </w:rPr>
            </w:pPr>
            <w:r>
              <w:rPr>
                <w:color w:val="000000"/>
                <w:sz w:val="21"/>
                <w:szCs w:val="21"/>
              </w:rPr>
              <w:t>-3.700</w:t>
            </w:r>
          </w:p>
        </w:tc>
        <w:tc>
          <w:tcPr>
            <w:tcW w:w="1219" w:type="dxa"/>
            <w:vAlign w:val="center"/>
          </w:tcPr>
          <w:p w14:paraId="6EF34A6C" w14:textId="2B7C1F7D" w:rsidR="00CF7FA9" w:rsidRPr="00382739" w:rsidRDefault="00CF7FA9" w:rsidP="00CF7FA9">
            <w:pPr>
              <w:pStyle w:val="NoSpacing"/>
              <w:rPr>
                <w:sz w:val="21"/>
                <w:szCs w:val="21"/>
              </w:rPr>
            </w:pPr>
            <w:r>
              <w:rPr>
                <w:color w:val="000000"/>
                <w:sz w:val="21"/>
                <w:szCs w:val="21"/>
              </w:rPr>
              <w:t>1.098</w:t>
            </w:r>
          </w:p>
        </w:tc>
        <w:tc>
          <w:tcPr>
            <w:tcW w:w="0" w:type="auto"/>
            <w:vAlign w:val="center"/>
          </w:tcPr>
          <w:p w14:paraId="067AF245" w14:textId="53D0C5E4" w:rsidR="00CF7FA9" w:rsidRPr="00382739" w:rsidRDefault="00CF7FA9" w:rsidP="00CF7FA9">
            <w:pPr>
              <w:pStyle w:val="NoSpacing"/>
              <w:rPr>
                <w:sz w:val="21"/>
                <w:szCs w:val="21"/>
              </w:rPr>
            </w:pPr>
            <w:r>
              <w:rPr>
                <w:color w:val="000000"/>
                <w:sz w:val="21"/>
                <w:szCs w:val="21"/>
              </w:rPr>
              <w:t>-5.768</w:t>
            </w:r>
          </w:p>
        </w:tc>
        <w:tc>
          <w:tcPr>
            <w:tcW w:w="0" w:type="auto"/>
            <w:vAlign w:val="center"/>
          </w:tcPr>
          <w:p w14:paraId="35ACFD3C" w14:textId="0B44A09C" w:rsidR="00CF7FA9" w:rsidRPr="00382739" w:rsidRDefault="00CF7FA9" w:rsidP="00CF7FA9">
            <w:pPr>
              <w:pStyle w:val="NoSpacing"/>
              <w:rPr>
                <w:sz w:val="21"/>
                <w:szCs w:val="21"/>
              </w:rPr>
            </w:pPr>
            <w:r>
              <w:rPr>
                <w:color w:val="000000"/>
                <w:sz w:val="21"/>
                <w:szCs w:val="21"/>
              </w:rPr>
              <w:t>-5.446</w:t>
            </w:r>
          </w:p>
        </w:tc>
        <w:tc>
          <w:tcPr>
            <w:tcW w:w="0" w:type="auto"/>
            <w:vAlign w:val="center"/>
          </w:tcPr>
          <w:p w14:paraId="487BBB2A" w14:textId="62D23FE9" w:rsidR="00CF7FA9" w:rsidRPr="00382739" w:rsidRDefault="00CF7FA9" w:rsidP="00CF7FA9">
            <w:pPr>
              <w:pStyle w:val="NoSpacing"/>
              <w:rPr>
                <w:sz w:val="21"/>
                <w:szCs w:val="21"/>
              </w:rPr>
            </w:pPr>
            <w:r>
              <w:rPr>
                <w:color w:val="000000"/>
                <w:sz w:val="21"/>
                <w:szCs w:val="21"/>
              </w:rPr>
              <w:t>-3.744</w:t>
            </w:r>
          </w:p>
        </w:tc>
        <w:tc>
          <w:tcPr>
            <w:tcW w:w="0" w:type="auto"/>
            <w:vAlign w:val="center"/>
          </w:tcPr>
          <w:p w14:paraId="4DC82854" w14:textId="36EAB32C" w:rsidR="00CF7FA9" w:rsidRPr="00382739" w:rsidRDefault="00CF7FA9" w:rsidP="00CF7FA9">
            <w:pPr>
              <w:pStyle w:val="NoSpacing"/>
              <w:rPr>
                <w:sz w:val="21"/>
                <w:szCs w:val="21"/>
              </w:rPr>
            </w:pPr>
            <w:r>
              <w:rPr>
                <w:color w:val="000000"/>
                <w:sz w:val="21"/>
                <w:szCs w:val="21"/>
              </w:rPr>
              <w:t>-1.845</w:t>
            </w:r>
          </w:p>
        </w:tc>
        <w:tc>
          <w:tcPr>
            <w:tcW w:w="0" w:type="auto"/>
            <w:vAlign w:val="center"/>
          </w:tcPr>
          <w:p w14:paraId="12BFF1D7" w14:textId="64E87D8B" w:rsidR="00CF7FA9" w:rsidRPr="00382739" w:rsidRDefault="00CF7FA9" w:rsidP="00CF7FA9">
            <w:pPr>
              <w:pStyle w:val="NoSpacing"/>
              <w:rPr>
                <w:sz w:val="21"/>
                <w:szCs w:val="21"/>
              </w:rPr>
            </w:pPr>
            <w:r>
              <w:rPr>
                <w:color w:val="000000"/>
                <w:sz w:val="21"/>
                <w:szCs w:val="21"/>
              </w:rPr>
              <w:t>-1.440</w:t>
            </w:r>
          </w:p>
        </w:tc>
      </w:tr>
      <w:tr w:rsidR="00CF7FA9" w:rsidRPr="007B4982" w14:paraId="5A3B4914" w14:textId="77777777" w:rsidTr="00CF7FA9">
        <w:trPr>
          <w:trHeight w:val="271"/>
          <w:jc w:val="center"/>
        </w:trPr>
        <w:tc>
          <w:tcPr>
            <w:tcW w:w="0" w:type="auto"/>
            <w:vMerge/>
            <w:vAlign w:val="center"/>
          </w:tcPr>
          <w:p w14:paraId="61E0BED5" w14:textId="77777777" w:rsidR="00CF7FA9" w:rsidRPr="00382739" w:rsidRDefault="00CF7FA9" w:rsidP="00CF7FA9">
            <w:pPr>
              <w:pStyle w:val="NoSpacing"/>
              <w:rPr>
                <w:b/>
                <w:bCs/>
                <w:i/>
                <w:sz w:val="21"/>
                <w:szCs w:val="21"/>
              </w:rPr>
            </w:pPr>
          </w:p>
        </w:tc>
        <w:tc>
          <w:tcPr>
            <w:tcW w:w="0" w:type="auto"/>
            <w:vAlign w:val="center"/>
          </w:tcPr>
          <w:p w14:paraId="0605EBBE" w14:textId="77777777" w:rsidR="00CF7FA9" w:rsidRPr="00382739" w:rsidRDefault="00CF7FA9" w:rsidP="00CF7FA9">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945" w:type="dxa"/>
            <w:vAlign w:val="center"/>
          </w:tcPr>
          <w:p w14:paraId="2C317CE4" w14:textId="4625202D" w:rsidR="00CF7FA9" w:rsidRPr="00382739" w:rsidRDefault="00CF7FA9" w:rsidP="00CF7FA9">
            <w:pPr>
              <w:pStyle w:val="NoSpacing"/>
              <w:rPr>
                <w:sz w:val="21"/>
                <w:szCs w:val="21"/>
              </w:rPr>
            </w:pPr>
            <w:r>
              <w:rPr>
                <w:color w:val="000000"/>
                <w:sz w:val="21"/>
                <w:szCs w:val="21"/>
              </w:rPr>
              <w:t>0.294</w:t>
            </w:r>
          </w:p>
        </w:tc>
        <w:tc>
          <w:tcPr>
            <w:tcW w:w="1219" w:type="dxa"/>
            <w:vAlign w:val="center"/>
          </w:tcPr>
          <w:p w14:paraId="0190F865" w14:textId="195040A8" w:rsidR="00CF7FA9" w:rsidRPr="00382739" w:rsidRDefault="00CF7FA9" w:rsidP="00CF7FA9">
            <w:pPr>
              <w:pStyle w:val="NoSpacing"/>
              <w:rPr>
                <w:sz w:val="21"/>
                <w:szCs w:val="21"/>
              </w:rPr>
            </w:pPr>
            <w:r>
              <w:rPr>
                <w:color w:val="000000"/>
                <w:sz w:val="21"/>
                <w:szCs w:val="21"/>
              </w:rPr>
              <w:t>0.117</w:t>
            </w:r>
          </w:p>
        </w:tc>
        <w:tc>
          <w:tcPr>
            <w:tcW w:w="0" w:type="auto"/>
            <w:vAlign w:val="center"/>
          </w:tcPr>
          <w:p w14:paraId="3195EBB2" w14:textId="36CD2C7F" w:rsidR="00CF7FA9" w:rsidRPr="00382739" w:rsidRDefault="00CF7FA9" w:rsidP="00CF7FA9">
            <w:pPr>
              <w:pStyle w:val="NoSpacing"/>
              <w:rPr>
                <w:sz w:val="21"/>
                <w:szCs w:val="21"/>
              </w:rPr>
            </w:pPr>
            <w:r>
              <w:rPr>
                <w:color w:val="000000"/>
                <w:sz w:val="21"/>
                <w:szCs w:val="21"/>
              </w:rPr>
              <w:t>0.054</w:t>
            </w:r>
          </w:p>
        </w:tc>
        <w:tc>
          <w:tcPr>
            <w:tcW w:w="0" w:type="auto"/>
            <w:vAlign w:val="center"/>
          </w:tcPr>
          <w:p w14:paraId="5F7FDD8F" w14:textId="7830D834" w:rsidR="00CF7FA9" w:rsidRPr="00382739" w:rsidRDefault="00CF7FA9" w:rsidP="00CF7FA9">
            <w:pPr>
              <w:pStyle w:val="NoSpacing"/>
              <w:rPr>
                <w:sz w:val="21"/>
                <w:szCs w:val="21"/>
              </w:rPr>
            </w:pPr>
            <w:r>
              <w:rPr>
                <w:color w:val="000000"/>
                <w:sz w:val="21"/>
                <w:szCs w:val="21"/>
              </w:rPr>
              <w:t>0.097</w:t>
            </w:r>
          </w:p>
        </w:tc>
        <w:tc>
          <w:tcPr>
            <w:tcW w:w="0" w:type="auto"/>
            <w:vAlign w:val="center"/>
          </w:tcPr>
          <w:p w14:paraId="4763B0BF" w14:textId="04E33B74" w:rsidR="00CF7FA9" w:rsidRPr="00382739" w:rsidRDefault="00CF7FA9" w:rsidP="00CF7FA9">
            <w:pPr>
              <w:pStyle w:val="NoSpacing"/>
              <w:rPr>
                <w:sz w:val="21"/>
                <w:szCs w:val="21"/>
              </w:rPr>
            </w:pPr>
            <w:r>
              <w:rPr>
                <w:color w:val="000000"/>
                <w:sz w:val="21"/>
                <w:szCs w:val="21"/>
              </w:rPr>
              <w:t>0.299</w:t>
            </w:r>
          </w:p>
        </w:tc>
        <w:tc>
          <w:tcPr>
            <w:tcW w:w="0" w:type="auto"/>
            <w:vAlign w:val="center"/>
          </w:tcPr>
          <w:p w14:paraId="56805FDC" w14:textId="1C6C8EA9" w:rsidR="00CF7FA9" w:rsidRPr="00382739" w:rsidRDefault="00CF7FA9" w:rsidP="00CF7FA9">
            <w:pPr>
              <w:pStyle w:val="NoSpacing"/>
              <w:rPr>
                <w:sz w:val="21"/>
                <w:szCs w:val="21"/>
              </w:rPr>
            </w:pPr>
            <w:r>
              <w:rPr>
                <w:color w:val="000000"/>
                <w:sz w:val="21"/>
                <w:szCs w:val="21"/>
              </w:rPr>
              <w:t>0.481</w:t>
            </w:r>
          </w:p>
        </w:tc>
        <w:tc>
          <w:tcPr>
            <w:tcW w:w="0" w:type="auto"/>
            <w:vAlign w:val="center"/>
          </w:tcPr>
          <w:p w14:paraId="15EA57E9" w14:textId="0BA9A1BE" w:rsidR="00CF7FA9" w:rsidRPr="00382739" w:rsidRDefault="00CF7FA9" w:rsidP="00CF7FA9">
            <w:pPr>
              <w:pStyle w:val="NoSpacing"/>
              <w:rPr>
                <w:sz w:val="21"/>
                <w:szCs w:val="21"/>
              </w:rPr>
            </w:pPr>
            <w:r>
              <w:rPr>
                <w:color w:val="000000"/>
                <w:sz w:val="21"/>
                <w:szCs w:val="21"/>
              </w:rPr>
              <w:t>0.515</w:t>
            </w:r>
          </w:p>
        </w:tc>
      </w:tr>
      <w:tr w:rsidR="00CF7FA9" w:rsidRPr="007B4982" w14:paraId="47474ADA" w14:textId="77777777" w:rsidTr="00CF7FA9">
        <w:trPr>
          <w:trHeight w:val="271"/>
          <w:jc w:val="center"/>
        </w:trPr>
        <w:tc>
          <w:tcPr>
            <w:tcW w:w="0" w:type="auto"/>
            <w:vMerge/>
            <w:vAlign w:val="center"/>
          </w:tcPr>
          <w:p w14:paraId="2F6F7063" w14:textId="77777777" w:rsidR="00CF7FA9" w:rsidRPr="00382739" w:rsidRDefault="00CF7FA9" w:rsidP="00CF7FA9">
            <w:pPr>
              <w:pStyle w:val="NoSpacing"/>
              <w:rPr>
                <w:b/>
                <w:bCs/>
                <w:i/>
                <w:sz w:val="21"/>
                <w:szCs w:val="21"/>
              </w:rPr>
            </w:pPr>
          </w:p>
        </w:tc>
        <w:tc>
          <w:tcPr>
            <w:tcW w:w="0" w:type="auto"/>
            <w:vAlign w:val="center"/>
          </w:tcPr>
          <w:p w14:paraId="613763EC" w14:textId="77777777" w:rsidR="00CF7FA9" w:rsidRPr="00382739" w:rsidRDefault="00CF7FA9" w:rsidP="00CF7FA9">
            <w:pPr>
              <w:pStyle w:val="NoSpacing"/>
              <w:rPr>
                <w:b/>
                <w:bCs/>
                <w:i/>
                <w:sz w:val="21"/>
                <w:szCs w:val="21"/>
              </w:rPr>
            </w:pPr>
            <w:r w:rsidRPr="00CE5020">
              <w:rPr>
                <w:b/>
                <w:bCs/>
                <w:i/>
                <w:iCs/>
                <w:sz w:val="21"/>
                <w:szCs w:val="21"/>
              </w:rPr>
              <w:t>φ</w:t>
            </w:r>
          </w:p>
        </w:tc>
        <w:tc>
          <w:tcPr>
            <w:tcW w:w="945" w:type="dxa"/>
            <w:vAlign w:val="center"/>
          </w:tcPr>
          <w:p w14:paraId="25014C66" w14:textId="05AEC048" w:rsidR="00CF7FA9" w:rsidRPr="00382739" w:rsidRDefault="00CF7FA9" w:rsidP="00CF7FA9">
            <w:pPr>
              <w:pStyle w:val="NoSpacing"/>
              <w:rPr>
                <w:sz w:val="21"/>
                <w:szCs w:val="21"/>
              </w:rPr>
            </w:pPr>
            <w:r>
              <w:rPr>
                <w:color w:val="000000"/>
                <w:sz w:val="21"/>
                <w:szCs w:val="21"/>
              </w:rPr>
              <w:t>1.985</w:t>
            </w:r>
          </w:p>
        </w:tc>
        <w:tc>
          <w:tcPr>
            <w:tcW w:w="1219" w:type="dxa"/>
            <w:vAlign w:val="center"/>
          </w:tcPr>
          <w:p w14:paraId="3DDC9B9A" w14:textId="1C133DDC" w:rsidR="00CF7FA9" w:rsidRPr="00382739" w:rsidRDefault="00CF7FA9" w:rsidP="00CF7FA9">
            <w:pPr>
              <w:pStyle w:val="NoSpacing"/>
              <w:rPr>
                <w:sz w:val="21"/>
                <w:szCs w:val="21"/>
              </w:rPr>
            </w:pPr>
            <w:r>
              <w:rPr>
                <w:color w:val="000000"/>
                <w:sz w:val="21"/>
                <w:szCs w:val="21"/>
              </w:rPr>
              <w:t>0.645</w:t>
            </w:r>
          </w:p>
        </w:tc>
        <w:tc>
          <w:tcPr>
            <w:tcW w:w="0" w:type="auto"/>
            <w:vAlign w:val="center"/>
          </w:tcPr>
          <w:p w14:paraId="534A45C6" w14:textId="2938E123" w:rsidR="00CF7FA9" w:rsidRPr="00382739" w:rsidRDefault="00CF7FA9" w:rsidP="00CF7FA9">
            <w:pPr>
              <w:pStyle w:val="NoSpacing"/>
              <w:rPr>
                <w:sz w:val="21"/>
                <w:szCs w:val="21"/>
              </w:rPr>
            </w:pPr>
            <w:r>
              <w:rPr>
                <w:color w:val="000000"/>
                <w:sz w:val="21"/>
                <w:szCs w:val="21"/>
              </w:rPr>
              <w:t>1.101</w:t>
            </w:r>
          </w:p>
        </w:tc>
        <w:tc>
          <w:tcPr>
            <w:tcW w:w="0" w:type="auto"/>
            <w:vAlign w:val="center"/>
          </w:tcPr>
          <w:p w14:paraId="6363AD2C" w14:textId="0621C8BF" w:rsidR="00CF7FA9" w:rsidRPr="00382739" w:rsidRDefault="00CF7FA9" w:rsidP="00CF7FA9">
            <w:pPr>
              <w:pStyle w:val="NoSpacing"/>
              <w:rPr>
                <w:sz w:val="21"/>
                <w:szCs w:val="21"/>
              </w:rPr>
            </w:pPr>
            <w:r>
              <w:rPr>
                <w:color w:val="000000"/>
                <w:sz w:val="21"/>
                <w:szCs w:val="21"/>
              </w:rPr>
              <w:t>1.191</w:t>
            </w:r>
          </w:p>
        </w:tc>
        <w:tc>
          <w:tcPr>
            <w:tcW w:w="0" w:type="auto"/>
            <w:vAlign w:val="center"/>
          </w:tcPr>
          <w:p w14:paraId="01F74E93" w14:textId="591EF05F" w:rsidR="00CF7FA9" w:rsidRPr="00382739" w:rsidRDefault="00CF7FA9" w:rsidP="00CF7FA9">
            <w:pPr>
              <w:pStyle w:val="NoSpacing"/>
              <w:rPr>
                <w:sz w:val="21"/>
                <w:szCs w:val="21"/>
              </w:rPr>
            </w:pPr>
            <w:r>
              <w:rPr>
                <w:color w:val="000000"/>
                <w:sz w:val="21"/>
                <w:szCs w:val="21"/>
              </w:rPr>
              <w:t>1.867</w:t>
            </w:r>
          </w:p>
        </w:tc>
        <w:tc>
          <w:tcPr>
            <w:tcW w:w="0" w:type="auto"/>
            <w:vAlign w:val="center"/>
          </w:tcPr>
          <w:p w14:paraId="078E0BDD" w14:textId="12F85411" w:rsidR="00CF7FA9" w:rsidRPr="00382739" w:rsidRDefault="00CF7FA9" w:rsidP="00CF7FA9">
            <w:pPr>
              <w:pStyle w:val="NoSpacing"/>
              <w:rPr>
                <w:sz w:val="21"/>
                <w:szCs w:val="21"/>
              </w:rPr>
            </w:pPr>
            <w:r>
              <w:rPr>
                <w:color w:val="000000"/>
                <w:sz w:val="21"/>
                <w:szCs w:val="21"/>
              </w:rPr>
              <w:t>3.169</w:t>
            </w:r>
          </w:p>
        </w:tc>
        <w:tc>
          <w:tcPr>
            <w:tcW w:w="0" w:type="auto"/>
            <w:vAlign w:val="center"/>
          </w:tcPr>
          <w:p w14:paraId="6F69C213" w14:textId="5BBDC4B3" w:rsidR="00CF7FA9" w:rsidRPr="00382739" w:rsidRDefault="00CF7FA9" w:rsidP="00CF7FA9">
            <w:pPr>
              <w:pStyle w:val="NoSpacing"/>
              <w:rPr>
                <w:sz w:val="21"/>
                <w:szCs w:val="21"/>
              </w:rPr>
            </w:pPr>
            <w:r>
              <w:rPr>
                <w:color w:val="000000"/>
                <w:sz w:val="21"/>
                <w:szCs w:val="21"/>
              </w:rPr>
              <w:t>3.572</w:t>
            </w:r>
          </w:p>
        </w:tc>
      </w:tr>
      <w:tr w:rsidR="00CF7FA9" w:rsidRPr="007B4982" w14:paraId="3B41B7E8" w14:textId="77777777" w:rsidTr="00CF7FA9">
        <w:trPr>
          <w:trHeight w:val="293"/>
          <w:jc w:val="center"/>
        </w:trPr>
        <w:tc>
          <w:tcPr>
            <w:tcW w:w="0" w:type="auto"/>
            <w:vMerge/>
            <w:vAlign w:val="center"/>
          </w:tcPr>
          <w:p w14:paraId="150F76C6" w14:textId="77777777" w:rsidR="00CF7FA9" w:rsidRPr="00382739" w:rsidRDefault="00CF7FA9" w:rsidP="00CF7FA9">
            <w:pPr>
              <w:pStyle w:val="NoSpacing"/>
              <w:rPr>
                <w:b/>
                <w:bCs/>
                <w:sz w:val="21"/>
                <w:szCs w:val="21"/>
              </w:rPr>
            </w:pPr>
          </w:p>
        </w:tc>
        <w:tc>
          <w:tcPr>
            <w:tcW w:w="0" w:type="auto"/>
            <w:vAlign w:val="center"/>
          </w:tcPr>
          <w:p w14:paraId="0D4C3AC9" w14:textId="77777777" w:rsidR="00CF7FA9" w:rsidRPr="00382739" w:rsidRDefault="00CF7FA9" w:rsidP="00CF7FA9">
            <w:pPr>
              <w:pStyle w:val="NoSpacing"/>
              <w:rPr>
                <w:b/>
                <w:bCs/>
                <w:sz w:val="21"/>
                <w:szCs w:val="21"/>
              </w:rPr>
            </w:pPr>
            <w:r w:rsidRPr="00382739">
              <w:rPr>
                <w:b/>
                <w:bCs/>
                <w:sz w:val="21"/>
                <w:szCs w:val="21"/>
              </w:rPr>
              <w:t>Deviance</w:t>
            </w:r>
          </w:p>
        </w:tc>
        <w:tc>
          <w:tcPr>
            <w:tcW w:w="945" w:type="dxa"/>
            <w:vAlign w:val="center"/>
          </w:tcPr>
          <w:p w14:paraId="4077F4FB" w14:textId="1A2FED88" w:rsidR="00CF7FA9" w:rsidRPr="00382739" w:rsidRDefault="00CF7FA9" w:rsidP="00CF7FA9">
            <w:pPr>
              <w:pStyle w:val="NoSpacing"/>
              <w:rPr>
                <w:sz w:val="21"/>
                <w:szCs w:val="21"/>
              </w:rPr>
            </w:pPr>
            <w:r>
              <w:rPr>
                <w:color w:val="000000"/>
                <w:sz w:val="21"/>
                <w:szCs w:val="21"/>
              </w:rPr>
              <w:t>771.5</w:t>
            </w:r>
          </w:p>
        </w:tc>
        <w:tc>
          <w:tcPr>
            <w:tcW w:w="1219" w:type="dxa"/>
            <w:vAlign w:val="center"/>
          </w:tcPr>
          <w:p w14:paraId="54FE115B" w14:textId="3BB84077" w:rsidR="00CF7FA9" w:rsidRPr="00382739" w:rsidRDefault="00CF7FA9" w:rsidP="00CF7FA9">
            <w:pPr>
              <w:pStyle w:val="NoSpacing"/>
              <w:rPr>
                <w:sz w:val="21"/>
                <w:szCs w:val="21"/>
              </w:rPr>
            </w:pPr>
            <w:r>
              <w:rPr>
                <w:color w:val="000000"/>
                <w:sz w:val="21"/>
                <w:szCs w:val="21"/>
              </w:rPr>
              <w:t>26.980</w:t>
            </w:r>
          </w:p>
        </w:tc>
        <w:tc>
          <w:tcPr>
            <w:tcW w:w="0" w:type="auto"/>
            <w:vAlign w:val="center"/>
          </w:tcPr>
          <w:p w14:paraId="31ECB789" w14:textId="268DE8B4" w:rsidR="00CF7FA9" w:rsidRPr="00382739" w:rsidRDefault="00CF7FA9" w:rsidP="00CF7FA9">
            <w:pPr>
              <w:pStyle w:val="NoSpacing"/>
              <w:rPr>
                <w:sz w:val="21"/>
                <w:szCs w:val="21"/>
              </w:rPr>
            </w:pPr>
            <w:r>
              <w:rPr>
                <w:color w:val="000000"/>
                <w:sz w:val="21"/>
                <w:szCs w:val="21"/>
              </w:rPr>
              <w:t>719.5</w:t>
            </w:r>
          </w:p>
        </w:tc>
        <w:tc>
          <w:tcPr>
            <w:tcW w:w="0" w:type="auto"/>
            <w:vAlign w:val="center"/>
          </w:tcPr>
          <w:p w14:paraId="6149D6B0" w14:textId="2D250234" w:rsidR="00CF7FA9" w:rsidRPr="00382739" w:rsidRDefault="00CF7FA9" w:rsidP="00CF7FA9">
            <w:pPr>
              <w:pStyle w:val="NoSpacing"/>
              <w:rPr>
                <w:sz w:val="21"/>
                <w:szCs w:val="21"/>
              </w:rPr>
            </w:pPr>
            <w:r>
              <w:rPr>
                <w:color w:val="000000"/>
                <w:sz w:val="21"/>
                <w:szCs w:val="21"/>
              </w:rPr>
              <w:t>727.6</w:t>
            </w:r>
          </w:p>
        </w:tc>
        <w:tc>
          <w:tcPr>
            <w:tcW w:w="0" w:type="auto"/>
            <w:vAlign w:val="center"/>
          </w:tcPr>
          <w:p w14:paraId="68BE088F" w14:textId="7FD2634C" w:rsidR="00CF7FA9" w:rsidRPr="00382739" w:rsidRDefault="00CF7FA9" w:rsidP="00CF7FA9">
            <w:pPr>
              <w:pStyle w:val="NoSpacing"/>
              <w:rPr>
                <w:sz w:val="21"/>
                <w:szCs w:val="21"/>
              </w:rPr>
            </w:pPr>
            <w:r>
              <w:rPr>
                <w:color w:val="000000"/>
                <w:sz w:val="21"/>
                <w:szCs w:val="21"/>
              </w:rPr>
              <w:t>771.3</w:t>
            </w:r>
          </w:p>
        </w:tc>
        <w:tc>
          <w:tcPr>
            <w:tcW w:w="0" w:type="auto"/>
            <w:vAlign w:val="center"/>
          </w:tcPr>
          <w:p w14:paraId="5D5B41FF" w14:textId="453855B7" w:rsidR="00CF7FA9" w:rsidRPr="00382739" w:rsidRDefault="00CF7FA9" w:rsidP="00CF7FA9">
            <w:pPr>
              <w:pStyle w:val="NoSpacing"/>
              <w:rPr>
                <w:sz w:val="21"/>
                <w:szCs w:val="21"/>
              </w:rPr>
            </w:pPr>
            <w:r>
              <w:rPr>
                <w:color w:val="000000"/>
                <w:sz w:val="21"/>
                <w:szCs w:val="21"/>
              </w:rPr>
              <w:t>816.300</w:t>
            </w:r>
          </w:p>
        </w:tc>
        <w:tc>
          <w:tcPr>
            <w:tcW w:w="0" w:type="auto"/>
            <w:vAlign w:val="center"/>
          </w:tcPr>
          <w:p w14:paraId="10FFAAA2" w14:textId="1D3D381B" w:rsidR="00CF7FA9" w:rsidRPr="00382739" w:rsidRDefault="00CF7FA9" w:rsidP="00CF7FA9">
            <w:pPr>
              <w:pStyle w:val="NoSpacing"/>
              <w:rPr>
                <w:sz w:val="21"/>
                <w:szCs w:val="21"/>
              </w:rPr>
            </w:pPr>
            <w:r>
              <w:rPr>
                <w:color w:val="000000"/>
                <w:sz w:val="21"/>
                <w:szCs w:val="21"/>
              </w:rPr>
              <w:t>825</w:t>
            </w:r>
          </w:p>
        </w:tc>
      </w:tr>
      <w:tr w:rsidR="00E44499" w:rsidRPr="007B4982" w14:paraId="01333882" w14:textId="77777777" w:rsidTr="00E44499">
        <w:trPr>
          <w:trHeight w:val="271"/>
          <w:jc w:val="center"/>
        </w:trPr>
        <w:tc>
          <w:tcPr>
            <w:tcW w:w="0" w:type="auto"/>
            <w:vMerge/>
            <w:vAlign w:val="center"/>
          </w:tcPr>
          <w:p w14:paraId="63391BD1" w14:textId="77777777" w:rsidR="00E44499" w:rsidRPr="00382739" w:rsidRDefault="00E44499" w:rsidP="00E44499">
            <w:pPr>
              <w:pStyle w:val="NoSpacing"/>
              <w:rPr>
                <w:b/>
                <w:bCs/>
                <w:sz w:val="21"/>
                <w:szCs w:val="21"/>
              </w:rPr>
            </w:pPr>
          </w:p>
        </w:tc>
        <w:tc>
          <w:tcPr>
            <w:tcW w:w="0" w:type="auto"/>
            <w:vAlign w:val="center"/>
          </w:tcPr>
          <w:p w14:paraId="20ED0748" w14:textId="77777777" w:rsidR="00E44499" w:rsidRPr="00AC7D88" w:rsidRDefault="00E44499" w:rsidP="00E44499">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tcPr>
          <w:p w14:paraId="403D0D47" w14:textId="34AEB242" w:rsidR="00E44499" w:rsidRPr="00CF7FA9" w:rsidRDefault="00CF7FA9" w:rsidP="00E44499">
            <w:pPr>
              <w:pStyle w:val="NoSpacing"/>
              <w:rPr>
                <w:sz w:val="21"/>
                <w:szCs w:val="21"/>
              </w:rPr>
            </w:pPr>
            <w:r w:rsidRPr="00CF7FA9">
              <w:rPr>
                <w:sz w:val="21"/>
                <w:szCs w:val="21"/>
              </w:rPr>
              <w:t>80.836</w:t>
            </w:r>
          </w:p>
        </w:tc>
      </w:tr>
      <w:tr w:rsidR="00E44499" w:rsidRPr="007B4982" w14:paraId="32CD5B5E" w14:textId="77777777" w:rsidTr="00E44499">
        <w:trPr>
          <w:trHeight w:val="271"/>
          <w:jc w:val="center"/>
        </w:trPr>
        <w:tc>
          <w:tcPr>
            <w:tcW w:w="0" w:type="auto"/>
            <w:vMerge/>
            <w:vAlign w:val="center"/>
          </w:tcPr>
          <w:p w14:paraId="250B934B" w14:textId="77777777" w:rsidR="00E44499" w:rsidRPr="00382739" w:rsidRDefault="00E44499" w:rsidP="00E44499">
            <w:pPr>
              <w:pStyle w:val="NoSpacing"/>
              <w:rPr>
                <w:b/>
                <w:bCs/>
                <w:sz w:val="21"/>
                <w:szCs w:val="21"/>
              </w:rPr>
            </w:pPr>
          </w:p>
        </w:tc>
        <w:tc>
          <w:tcPr>
            <w:tcW w:w="0" w:type="auto"/>
            <w:vAlign w:val="center"/>
          </w:tcPr>
          <w:p w14:paraId="481E6356" w14:textId="77777777" w:rsidR="00E44499" w:rsidRPr="00382739" w:rsidRDefault="00E44499" w:rsidP="00E44499">
            <w:pPr>
              <w:pStyle w:val="NoSpacing"/>
              <w:rPr>
                <w:b/>
                <w:bCs/>
                <w:sz w:val="21"/>
                <w:szCs w:val="21"/>
              </w:rPr>
            </w:pPr>
            <w:r w:rsidRPr="00382739">
              <w:rPr>
                <w:b/>
                <w:bCs/>
                <w:sz w:val="21"/>
                <w:szCs w:val="21"/>
              </w:rPr>
              <w:t>DIC</w:t>
            </w:r>
          </w:p>
        </w:tc>
        <w:tc>
          <w:tcPr>
            <w:tcW w:w="0" w:type="auto"/>
            <w:gridSpan w:val="7"/>
          </w:tcPr>
          <w:p w14:paraId="50D5BD56" w14:textId="392B119F" w:rsidR="00E44499" w:rsidRPr="00CF7FA9" w:rsidRDefault="00CF7FA9" w:rsidP="00E44499">
            <w:pPr>
              <w:pStyle w:val="NoSpacing"/>
              <w:rPr>
                <w:sz w:val="21"/>
                <w:szCs w:val="21"/>
              </w:rPr>
            </w:pPr>
            <w:r w:rsidRPr="00CF7FA9">
              <w:rPr>
                <w:sz w:val="21"/>
                <w:szCs w:val="21"/>
              </w:rPr>
              <w:t>852.351</w:t>
            </w:r>
          </w:p>
        </w:tc>
      </w:tr>
      <w:tr w:rsidR="00A32A60" w:rsidRPr="007B4982" w14:paraId="32F2E388" w14:textId="77777777" w:rsidTr="007A27EC">
        <w:trPr>
          <w:trHeight w:val="271"/>
          <w:jc w:val="center"/>
        </w:trPr>
        <w:tc>
          <w:tcPr>
            <w:tcW w:w="0" w:type="auto"/>
            <w:vMerge w:val="restart"/>
            <w:vAlign w:val="center"/>
          </w:tcPr>
          <w:p w14:paraId="0B36F7CC" w14:textId="77777777" w:rsidR="00A32A60" w:rsidRPr="00382739" w:rsidRDefault="00A32A60" w:rsidP="00A32A60">
            <w:pPr>
              <w:pStyle w:val="NoSpacing"/>
              <w:rPr>
                <w:b/>
                <w:bCs/>
                <w:sz w:val="21"/>
                <w:szCs w:val="21"/>
              </w:rPr>
            </w:pPr>
            <w:r w:rsidRPr="00382739">
              <w:rPr>
                <w:b/>
                <w:bCs/>
                <w:sz w:val="21"/>
                <w:szCs w:val="21"/>
              </w:rPr>
              <w:t>California</w:t>
            </w:r>
          </w:p>
          <w:p w14:paraId="56CD0DFF" w14:textId="056EFAED" w:rsidR="00A32A60" w:rsidRPr="00382739" w:rsidRDefault="00A32A60" w:rsidP="00A32A60">
            <w:pPr>
              <w:pStyle w:val="NoSpacing"/>
              <w:rPr>
                <w:b/>
                <w:bCs/>
                <w:sz w:val="21"/>
                <w:szCs w:val="21"/>
              </w:rPr>
            </w:pPr>
            <w:r w:rsidRPr="00382739">
              <w:rPr>
                <w:b/>
                <w:bCs/>
                <w:sz w:val="21"/>
                <w:szCs w:val="21"/>
              </w:rPr>
              <w:t>(N=1</w:t>
            </w:r>
            <w:r>
              <w:rPr>
                <w:b/>
                <w:bCs/>
                <w:sz w:val="21"/>
                <w:szCs w:val="21"/>
              </w:rPr>
              <w:t>,153</w:t>
            </w:r>
            <w:r w:rsidRPr="00382739">
              <w:rPr>
                <w:b/>
                <w:bCs/>
                <w:sz w:val="21"/>
                <w:szCs w:val="21"/>
              </w:rPr>
              <w:t>)</w:t>
            </w:r>
          </w:p>
        </w:tc>
        <w:tc>
          <w:tcPr>
            <w:tcW w:w="0" w:type="auto"/>
            <w:vAlign w:val="center"/>
          </w:tcPr>
          <w:p w14:paraId="139ED505" w14:textId="77777777" w:rsidR="00A32A60" w:rsidRPr="00382739" w:rsidRDefault="00A32A60" w:rsidP="00A32A60">
            <w:pPr>
              <w:pStyle w:val="NoSpacing"/>
              <w:rPr>
                <w:b/>
                <w:bCs/>
                <w:iCs/>
                <w:sz w:val="21"/>
                <w:szCs w:val="21"/>
              </w:rPr>
            </w:pPr>
            <w:r w:rsidRPr="00382739">
              <w:rPr>
                <w:b/>
                <w:bCs/>
                <w:iCs/>
                <w:sz w:val="21"/>
                <w:szCs w:val="21"/>
              </w:rPr>
              <w:t>Constant</w:t>
            </w:r>
          </w:p>
        </w:tc>
        <w:tc>
          <w:tcPr>
            <w:tcW w:w="945" w:type="dxa"/>
            <w:vAlign w:val="center"/>
          </w:tcPr>
          <w:p w14:paraId="4F5ECB13" w14:textId="454067EB" w:rsidR="00A32A60" w:rsidRPr="00382739" w:rsidRDefault="00A32A60" w:rsidP="00A32A60">
            <w:pPr>
              <w:pStyle w:val="NoSpacing"/>
              <w:rPr>
                <w:sz w:val="21"/>
                <w:szCs w:val="21"/>
              </w:rPr>
            </w:pPr>
            <w:r>
              <w:rPr>
                <w:color w:val="000000"/>
                <w:sz w:val="21"/>
                <w:szCs w:val="21"/>
              </w:rPr>
              <w:t>-11.090</w:t>
            </w:r>
          </w:p>
        </w:tc>
        <w:tc>
          <w:tcPr>
            <w:tcW w:w="1219" w:type="dxa"/>
            <w:vAlign w:val="center"/>
          </w:tcPr>
          <w:p w14:paraId="02A182D4" w14:textId="52DF8427" w:rsidR="00A32A60" w:rsidRPr="00382739" w:rsidRDefault="00A32A60" w:rsidP="00A32A60">
            <w:pPr>
              <w:pStyle w:val="NoSpacing"/>
              <w:rPr>
                <w:sz w:val="21"/>
                <w:szCs w:val="21"/>
              </w:rPr>
            </w:pPr>
            <w:r>
              <w:rPr>
                <w:color w:val="000000"/>
                <w:sz w:val="21"/>
                <w:szCs w:val="21"/>
              </w:rPr>
              <w:t>0.737</w:t>
            </w:r>
          </w:p>
        </w:tc>
        <w:tc>
          <w:tcPr>
            <w:tcW w:w="0" w:type="auto"/>
            <w:vAlign w:val="center"/>
          </w:tcPr>
          <w:p w14:paraId="0924BA36" w14:textId="63DDA794" w:rsidR="00A32A60" w:rsidRPr="00382739" w:rsidRDefault="00A32A60" w:rsidP="00A32A60">
            <w:pPr>
              <w:pStyle w:val="NoSpacing"/>
              <w:rPr>
                <w:sz w:val="21"/>
                <w:szCs w:val="21"/>
              </w:rPr>
            </w:pPr>
            <w:r>
              <w:rPr>
                <w:color w:val="000000"/>
                <w:sz w:val="21"/>
                <w:szCs w:val="21"/>
              </w:rPr>
              <w:t>-12.510</w:t>
            </w:r>
          </w:p>
        </w:tc>
        <w:tc>
          <w:tcPr>
            <w:tcW w:w="0" w:type="auto"/>
            <w:vAlign w:val="center"/>
          </w:tcPr>
          <w:p w14:paraId="61087020" w14:textId="4972C9AF" w:rsidR="00A32A60" w:rsidRPr="00382739" w:rsidRDefault="00A32A60" w:rsidP="00A32A60">
            <w:pPr>
              <w:pStyle w:val="NoSpacing"/>
              <w:rPr>
                <w:sz w:val="21"/>
                <w:szCs w:val="21"/>
              </w:rPr>
            </w:pPr>
            <w:r>
              <w:rPr>
                <w:color w:val="000000"/>
                <w:sz w:val="21"/>
                <w:szCs w:val="21"/>
              </w:rPr>
              <w:t>-12.310</w:t>
            </w:r>
          </w:p>
        </w:tc>
        <w:tc>
          <w:tcPr>
            <w:tcW w:w="0" w:type="auto"/>
            <w:vAlign w:val="center"/>
          </w:tcPr>
          <w:p w14:paraId="1BC2698A" w14:textId="53B00E26" w:rsidR="00A32A60" w:rsidRPr="00382739" w:rsidRDefault="00A32A60" w:rsidP="00A32A60">
            <w:pPr>
              <w:pStyle w:val="NoSpacing"/>
              <w:rPr>
                <w:sz w:val="21"/>
                <w:szCs w:val="21"/>
              </w:rPr>
            </w:pPr>
            <w:r>
              <w:rPr>
                <w:color w:val="000000"/>
                <w:sz w:val="21"/>
                <w:szCs w:val="21"/>
              </w:rPr>
              <w:t>-11.090</w:t>
            </w:r>
          </w:p>
        </w:tc>
        <w:tc>
          <w:tcPr>
            <w:tcW w:w="0" w:type="auto"/>
            <w:vAlign w:val="center"/>
          </w:tcPr>
          <w:p w14:paraId="0C57893C" w14:textId="241B9DE6" w:rsidR="00A32A60" w:rsidRPr="00382739" w:rsidRDefault="00A32A60" w:rsidP="00A32A60">
            <w:pPr>
              <w:pStyle w:val="NoSpacing"/>
              <w:rPr>
                <w:sz w:val="21"/>
                <w:szCs w:val="21"/>
              </w:rPr>
            </w:pPr>
            <w:r>
              <w:rPr>
                <w:color w:val="000000"/>
                <w:sz w:val="21"/>
                <w:szCs w:val="21"/>
              </w:rPr>
              <w:t>-9.894</w:t>
            </w:r>
          </w:p>
        </w:tc>
        <w:tc>
          <w:tcPr>
            <w:tcW w:w="0" w:type="auto"/>
            <w:vAlign w:val="center"/>
          </w:tcPr>
          <w:p w14:paraId="15387BD2" w14:textId="52854F14" w:rsidR="00A32A60" w:rsidRPr="00382739" w:rsidRDefault="00A32A60" w:rsidP="00A32A60">
            <w:pPr>
              <w:pStyle w:val="NoSpacing"/>
              <w:rPr>
                <w:sz w:val="21"/>
                <w:szCs w:val="21"/>
              </w:rPr>
            </w:pPr>
            <w:r>
              <w:rPr>
                <w:color w:val="000000"/>
                <w:sz w:val="21"/>
                <w:szCs w:val="21"/>
              </w:rPr>
              <w:t>-9.640</w:t>
            </w:r>
          </w:p>
        </w:tc>
      </w:tr>
      <w:tr w:rsidR="00A32A60" w:rsidRPr="007B4982" w14:paraId="39575F5A" w14:textId="77777777" w:rsidTr="007A27EC">
        <w:trPr>
          <w:trHeight w:val="271"/>
          <w:jc w:val="center"/>
        </w:trPr>
        <w:tc>
          <w:tcPr>
            <w:tcW w:w="0" w:type="auto"/>
            <w:vMerge/>
            <w:vAlign w:val="center"/>
          </w:tcPr>
          <w:p w14:paraId="2B0FB3BF" w14:textId="77777777" w:rsidR="00A32A60" w:rsidRPr="00382739" w:rsidRDefault="00A32A60" w:rsidP="00A32A60">
            <w:pPr>
              <w:pStyle w:val="NoSpacing"/>
              <w:rPr>
                <w:sz w:val="21"/>
                <w:szCs w:val="21"/>
              </w:rPr>
            </w:pPr>
          </w:p>
        </w:tc>
        <w:tc>
          <w:tcPr>
            <w:tcW w:w="0" w:type="auto"/>
            <w:vAlign w:val="center"/>
          </w:tcPr>
          <w:p w14:paraId="146F69FA" w14:textId="77777777" w:rsidR="00A32A60" w:rsidRPr="00382739" w:rsidRDefault="00A32A60" w:rsidP="00A32A60">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945" w:type="dxa"/>
            <w:vAlign w:val="center"/>
          </w:tcPr>
          <w:p w14:paraId="11414928" w14:textId="5F3799E4" w:rsidR="00A32A60" w:rsidRPr="00382739" w:rsidRDefault="00A32A60" w:rsidP="00A32A60">
            <w:pPr>
              <w:pStyle w:val="NoSpacing"/>
              <w:rPr>
                <w:sz w:val="21"/>
                <w:szCs w:val="21"/>
              </w:rPr>
            </w:pPr>
            <w:r>
              <w:rPr>
                <w:color w:val="000000"/>
                <w:sz w:val="21"/>
                <w:szCs w:val="21"/>
              </w:rPr>
              <w:t>1.067</w:t>
            </w:r>
          </w:p>
        </w:tc>
        <w:tc>
          <w:tcPr>
            <w:tcW w:w="1219" w:type="dxa"/>
            <w:vAlign w:val="center"/>
          </w:tcPr>
          <w:p w14:paraId="10A032E4" w14:textId="7317A1AF" w:rsidR="00A32A60" w:rsidRPr="00382739" w:rsidRDefault="00A32A60" w:rsidP="00A32A60">
            <w:pPr>
              <w:pStyle w:val="NoSpacing"/>
              <w:rPr>
                <w:sz w:val="21"/>
                <w:szCs w:val="21"/>
              </w:rPr>
            </w:pPr>
            <w:r>
              <w:rPr>
                <w:color w:val="000000"/>
                <w:sz w:val="21"/>
                <w:szCs w:val="21"/>
              </w:rPr>
              <w:t>0.073</w:t>
            </w:r>
          </w:p>
        </w:tc>
        <w:tc>
          <w:tcPr>
            <w:tcW w:w="0" w:type="auto"/>
            <w:vAlign w:val="center"/>
          </w:tcPr>
          <w:p w14:paraId="6CCD0082" w14:textId="6CA298F4" w:rsidR="00A32A60" w:rsidRPr="00382739" w:rsidRDefault="00A32A60" w:rsidP="00A32A60">
            <w:pPr>
              <w:pStyle w:val="NoSpacing"/>
              <w:rPr>
                <w:sz w:val="21"/>
                <w:szCs w:val="21"/>
              </w:rPr>
            </w:pPr>
            <w:r>
              <w:rPr>
                <w:color w:val="000000"/>
                <w:sz w:val="21"/>
                <w:szCs w:val="21"/>
              </w:rPr>
              <w:t>0.923</w:t>
            </w:r>
          </w:p>
        </w:tc>
        <w:tc>
          <w:tcPr>
            <w:tcW w:w="0" w:type="auto"/>
            <w:vAlign w:val="center"/>
          </w:tcPr>
          <w:p w14:paraId="0F997776" w14:textId="34D2B583" w:rsidR="00A32A60" w:rsidRPr="00382739" w:rsidRDefault="00A32A60" w:rsidP="00A32A60">
            <w:pPr>
              <w:pStyle w:val="NoSpacing"/>
              <w:rPr>
                <w:sz w:val="21"/>
                <w:szCs w:val="21"/>
              </w:rPr>
            </w:pPr>
            <w:r>
              <w:rPr>
                <w:color w:val="000000"/>
                <w:sz w:val="21"/>
                <w:szCs w:val="21"/>
              </w:rPr>
              <w:t>0.948</w:t>
            </w:r>
          </w:p>
        </w:tc>
        <w:tc>
          <w:tcPr>
            <w:tcW w:w="0" w:type="auto"/>
            <w:vAlign w:val="center"/>
          </w:tcPr>
          <w:p w14:paraId="0D88A3A4" w14:textId="128A3996" w:rsidR="00A32A60" w:rsidRPr="00382739" w:rsidRDefault="00A32A60" w:rsidP="00A32A60">
            <w:pPr>
              <w:pStyle w:val="NoSpacing"/>
              <w:rPr>
                <w:sz w:val="21"/>
                <w:szCs w:val="21"/>
              </w:rPr>
            </w:pPr>
            <w:r>
              <w:rPr>
                <w:color w:val="000000"/>
                <w:sz w:val="21"/>
                <w:szCs w:val="21"/>
              </w:rPr>
              <w:t>1.067</w:t>
            </w:r>
          </w:p>
        </w:tc>
        <w:tc>
          <w:tcPr>
            <w:tcW w:w="0" w:type="auto"/>
            <w:vAlign w:val="center"/>
          </w:tcPr>
          <w:p w14:paraId="4DFA7FC7" w14:textId="5BCFDE8C" w:rsidR="00A32A60" w:rsidRPr="00382739" w:rsidRDefault="00A32A60" w:rsidP="00A32A60">
            <w:pPr>
              <w:pStyle w:val="NoSpacing"/>
              <w:rPr>
                <w:sz w:val="21"/>
                <w:szCs w:val="21"/>
              </w:rPr>
            </w:pPr>
            <w:r>
              <w:rPr>
                <w:color w:val="000000"/>
                <w:sz w:val="21"/>
                <w:szCs w:val="21"/>
              </w:rPr>
              <w:t>1.188</w:t>
            </w:r>
          </w:p>
        </w:tc>
        <w:tc>
          <w:tcPr>
            <w:tcW w:w="0" w:type="auto"/>
            <w:vAlign w:val="center"/>
          </w:tcPr>
          <w:p w14:paraId="1E04CDC9" w14:textId="50997D65" w:rsidR="00A32A60" w:rsidRPr="00382739" w:rsidRDefault="00A32A60" w:rsidP="00A32A60">
            <w:pPr>
              <w:pStyle w:val="NoSpacing"/>
              <w:rPr>
                <w:sz w:val="21"/>
                <w:szCs w:val="21"/>
              </w:rPr>
            </w:pPr>
            <w:r>
              <w:rPr>
                <w:color w:val="000000"/>
                <w:sz w:val="21"/>
                <w:szCs w:val="21"/>
              </w:rPr>
              <w:t>1.208</w:t>
            </w:r>
          </w:p>
        </w:tc>
      </w:tr>
      <w:tr w:rsidR="00A32A60" w:rsidRPr="007B4982" w14:paraId="6EA9F1A0" w14:textId="77777777" w:rsidTr="007A27EC">
        <w:trPr>
          <w:trHeight w:val="271"/>
          <w:jc w:val="center"/>
        </w:trPr>
        <w:tc>
          <w:tcPr>
            <w:tcW w:w="0" w:type="auto"/>
            <w:vMerge/>
            <w:vAlign w:val="center"/>
          </w:tcPr>
          <w:p w14:paraId="67F1D689" w14:textId="77777777" w:rsidR="00A32A60" w:rsidRPr="00382739" w:rsidRDefault="00A32A60" w:rsidP="00A32A60">
            <w:pPr>
              <w:pStyle w:val="NoSpacing"/>
              <w:rPr>
                <w:sz w:val="21"/>
                <w:szCs w:val="21"/>
              </w:rPr>
            </w:pPr>
          </w:p>
        </w:tc>
        <w:tc>
          <w:tcPr>
            <w:tcW w:w="0" w:type="auto"/>
          </w:tcPr>
          <w:p w14:paraId="43C0339D" w14:textId="77777777" w:rsidR="00A32A60" w:rsidRPr="00863C10" w:rsidRDefault="00A32A60" w:rsidP="00A32A60">
            <w:pPr>
              <w:pStyle w:val="NoSpacing"/>
              <w:rPr>
                <w:b/>
                <w:bCs/>
                <w:i/>
                <w:iCs/>
                <w:sz w:val="21"/>
                <w:szCs w:val="21"/>
              </w:rPr>
            </w:pPr>
            <w:r w:rsidRPr="009C0D95">
              <w:rPr>
                <w:b/>
                <w:bCs/>
                <w:i/>
                <w:iCs/>
                <w:sz w:val="21"/>
                <w:szCs w:val="21"/>
              </w:rPr>
              <w:t>φ</w:t>
            </w:r>
          </w:p>
        </w:tc>
        <w:tc>
          <w:tcPr>
            <w:tcW w:w="945" w:type="dxa"/>
            <w:vAlign w:val="center"/>
          </w:tcPr>
          <w:p w14:paraId="3F88F2D0" w14:textId="2B6C720C" w:rsidR="00A32A60" w:rsidRPr="00382739" w:rsidRDefault="00A32A60" w:rsidP="00A32A60">
            <w:pPr>
              <w:pStyle w:val="NoSpacing"/>
              <w:rPr>
                <w:sz w:val="21"/>
                <w:szCs w:val="21"/>
              </w:rPr>
            </w:pPr>
            <w:r>
              <w:rPr>
                <w:color w:val="000000"/>
                <w:sz w:val="21"/>
                <w:szCs w:val="21"/>
              </w:rPr>
              <w:t>2.214</w:t>
            </w:r>
          </w:p>
        </w:tc>
        <w:tc>
          <w:tcPr>
            <w:tcW w:w="1219" w:type="dxa"/>
            <w:vAlign w:val="center"/>
          </w:tcPr>
          <w:p w14:paraId="03D7FB2B" w14:textId="7A5FEE7A" w:rsidR="00A32A60" w:rsidRPr="00382739" w:rsidRDefault="00A32A60" w:rsidP="00A32A60">
            <w:pPr>
              <w:pStyle w:val="NoSpacing"/>
              <w:rPr>
                <w:sz w:val="21"/>
                <w:szCs w:val="21"/>
              </w:rPr>
            </w:pPr>
            <w:r>
              <w:rPr>
                <w:color w:val="000000"/>
                <w:sz w:val="21"/>
                <w:szCs w:val="21"/>
              </w:rPr>
              <w:t>0.528</w:t>
            </w:r>
          </w:p>
        </w:tc>
        <w:tc>
          <w:tcPr>
            <w:tcW w:w="0" w:type="auto"/>
            <w:vAlign w:val="center"/>
          </w:tcPr>
          <w:p w14:paraId="0FCB5FCA" w14:textId="4D4CC065" w:rsidR="00A32A60" w:rsidRPr="00382739" w:rsidRDefault="00A32A60" w:rsidP="00A32A60">
            <w:pPr>
              <w:pStyle w:val="NoSpacing"/>
              <w:rPr>
                <w:sz w:val="21"/>
                <w:szCs w:val="21"/>
              </w:rPr>
            </w:pPr>
            <w:r>
              <w:rPr>
                <w:color w:val="000000"/>
                <w:sz w:val="21"/>
                <w:szCs w:val="21"/>
              </w:rPr>
              <w:t>1.447</w:t>
            </w:r>
          </w:p>
        </w:tc>
        <w:tc>
          <w:tcPr>
            <w:tcW w:w="0" w:type="auto"/>
            <w:vAlign w:val="center"/>
          </w:tcPr>
          <w:p w14:paraId="08268095" w14:textId="147DC91F" w:rsidR="00A32A60" w:rsidRPr="00382739" w:rsidRDefault="00A32A60" w:rsidP="00A32A60">
            <w:pPr>
              <w:pStyle w:val="NoSpacing"/>
              <w:rPr>
                <w:sz w:val="21"/>
                <w:szCs w:val="21"/>
              </w:rPr>
            </w:pPr>
            <w:r>
              <w:rPr>
                <w:color w:val="000000"/>
                <w:sz w:val="21"/>
                <w:szCs w:val="21"/>
              </w:rPr>
              <w:t>1.531</w:t>
            </w:r>
          </w:p>
        </w:tc>
        <w:tc>
          <w:tcPr>
            <w:tcW w:w="0" w:type="auto"/>
            <w:vAlign w:val="center"/>
          </w:tcPr>
          <w:p w14:paraId="481F9072" w14:textId="3899695A" w:rsidR="00A32A60" w:rsidRPr="00382739" w:rsidRDefault="00A32A60" w:rsidP="00A32A60">
            <w:pPr>
              <w:pStyle w:val="NoSpacing"/>
              <w:rPr>
                <w:sz w:val="21"/>
                <w:szCs w:val="21"/>
              </w:rPr>
            </w:pPr>
            <w:r>
              <w:rPr>
                <w:color w:val="000000"/>
                <w:sz w:val="21"/>
                <w:szCs w:val="21"/>
              </w:rPr>
              <w:t>2.127</w:t>
            </w:r>
          </w:p>
        </w:tc>
        <w:tc>
          <w:tcPr>
            <w:tcW w:w="0" w:type="auto"/>
            <w:vAlign w:val="center"/>
          </w:tcPr>
          <w:p w14:paraId="7DF547B7" w14:textId="706B7949" w:rsidR="00A32A60" w:rsidRPr="00382739" w:rsidRDefault="00A32A60" w:rsidP="00A32A60">
            <w:pPr>
              <w:pStyle w:val="NoSpacing"/>
              <w:rPr>
                <w:sz w:val="21"/>
                <w:szCs w:val="21"/>
              </w:rPr>
            </w:pPr>
            <w:r>
              <w:rPr>
                <w:color w:val="000000"/>
                <w:sz w:val="21"/>
                <w:szCs w:val="21"/>
              </w:rPr>
              <w:t>3.194</w:t>
            </w:r>
          </w:p>
        </w:tc>
        <w:tc>
          <w:tcPr>
            <w:tcW w:w="0" w:type="auto"/>
            <w:vAlign w:val="center"/>
          </w:tcPr>
          <w:p w14:paraId="45CD43AC" w14:textId="6618CC52" w:rsidR="00A32A60" w:rsidRPr="00382739" w:rsidRDefault="00A32A60" w:rsidP="00A32A60">
            <w:pPr>
              <w:pStyle w:val="NoSpacing"/>
              <w:rPr>
                <w:sz w:val="21"/>
                <w:szCs w:val="21"/>
              </w:rPr>
            </w:pPr>
            <w:r>
              <w:rPr>
                <w:color w:val="000000"/>
                <w:sz w:val="21"/>
                <w:szCs w:val="21"/>
              </w:rPr>
              <w:t>3.478</w:t>
            </w:r>
          </w:p>
        </w:tc>
      </w:tr>
      <w:tr w:rsidR="00A32A60" w:rsidRPr="007B4982" w14:paraId="51E0E402" w14:textId="77777777" w:rsidTr="007A27EC">
        <w:trPr>
          <w:trHeight w:val="271"/>
          <w:jc w:val="center"/>
        </w:trPr>
        <w:tc>
          <w:tcPr>
            <w:tcW w:w="0" w:type="auto"/>
            <w:vMerge/>
            <w:vAlign w:val="center"/>
          </w:tcPr>
          <w:p w14:paraId="08A786A8" w14:textId="77777777" w:rsidR="00A32A60" w:rsidRPr="00382739" w:rsidRDefault="00A32A60" w:rsidP="00A32A60">
            <w:pPr>
              <w:pStyle w:val="NoSpacing"/>
              <w:rPr>
                <w:sz w:val="21"/>
                <w:szCs w:val="21"/>
              </w:rPr>
            </w:pPr>
          </w:p>
        </w:tc>
        <w:tc>
          <w:tcPr>
            <w:tcW w:w="0" w:type="auto"/>
          </w:tcPr>
          <w:p w14:paraId="1DE59481" w14:textId="77777777" w:rsidR="00A32A60" w:rsidRPr="00382739" w:rsidRDefault="00A32A60" w:rsidP="00A32A60">
            <w:pPr>
              <w:pStyle w:val="NoSpacing"/>
              <w:rPr>
                <w:b/>
                <w:bCs/>
                <w:sz w:val="21"/>
                <w:szCs w:val="21"/>
              </w:rPr>
            </w:pPr>
            <w:r w:rsidRPr="00382739">
              <w:rPr>
                <w:b/>
                <w:bCs/>
                <w:sz w:val="21"/>
                <w:szCs w:val="21"/>
              </w:rPr>
              <w:t>Deviance</w:t>
            </w:r>
          </w:p>
        </w:tc>
        <w:tc>
          <w:tcPr>
            <w:tcW w:w="945" w:type="dxa"/>
            <w:vAlign w:val="center"/>
          </w:tcPr>
          <w:p w14:paraId="0B7ED88E" w14:textId="606347B8" w:rsidR="00A32A60" w:rsidRPr="00382739" w:rsidRDefault="00A32A60" w:rsidP="00A32A60">
            <w:pPr>
              <w:pStyle w:val="NoSpacing"/>
              <w:rPr>
                <w:sz w:val="21"/>
                <w:szCs w:val="21"/>
              </w:rPr>
            </w:pPr>
            <w:r>
              <w:rPr>
                <w:color w:val="000000"/>
                <w:sz w:val="21"/>
                <w:szCs w:val="21"/>
              </w:rPr>
              <w:t>1,804</w:t>
            </w:r>
          </w:p>
        </w:tc>
        <w:tc>
          <w:tcPr>
            <w:tcW w:w="1219" w:type="dxa"/>
            <w:vAlign w:val="center"/>
          </w:tcPr>
          <w:p w14:paraId="1C468233" w14:textId="5BC34731" w:rsidR="00A32A60" w:rsidRPr="00382739" w:rsidRDefault="00A32A60" w:rsidP="00A32A60">
            <w:pPr>
              <w:pStyle w:val="NoSpacing"/>
              <w:rPr>
                <w:sz w:val="21"/>
                <w:szCs w:val="21"/>
              </w:rPr>
            </w:pPr>
            <w:r>
              <w:rPr>
                <w:color w:val="000000"/>
                <w:sz w:val="21"/>
                <w:szCs w:val="21"/>
              </w:rPr>
              <w:t>42.020</w:t>
            </w:r>
          </w:p>
        </w:tc>
        <w:tc>
          <w:tcPr>
            <w:tcW w:w="0" w:type="auto"/>
            <w:vAlign w:val="center"/>
          </w:tcPr>
          <w:p w14:paraId="57FDA45C" w14:textId="6D8F0B79" w:rsidR="00A32A60" w:rsidRPr="00382739" w:rsidRDefault="00A32A60" w:rsidP="00A32A60">
            <w:pPr>
              <w:pStyle w:val="NoSpacing"/>
              <w:rPr>
                <w:sz w:val="21"/>
                <w:szCs w:val="21"/>
              </w:rPr>
            </w:pPr>
            <w:r>
              <w:rPr>
                <w:color w:val="000000"/>
                <w:sz w:val="21"/>
                <w:szCs w:val="21"/>
              </w:rPr>
              <w:t>1,723</w:t>
            </w:r>
          </w:p>
        </w:tc>
        <w:tc>
          <w:tcPr>
            <w:tcW w:w="0" w:type="auto"/>
            <w:vAlign w:val="center"/>
          </w:tcPr>
          <w:p w14:paraId="3897425A" w14:textId="23B817A5" w:rsidR="00A32A60" w:rsidRPr="00382739" w:rsidRDefault="00A32A60" w:rsidP="00A32A60">
            <w:pPr>
              <w:pStyle w:val="NoSpacing"/>
              <w:rPr>
                <w:sz w:val="21"/>
                <w:szCs w:val="21"/>
              </w:rPr>
            </w:pPr>
            <w:r>
              <w:rPr>
                <w:color w:val="000000"/>
                <w:sz w:val="21"/>
                <w:szCs w:val="21"/>
              </w:rPr>
              <w:t>1,736</w:t>
            </w:r>
          </w:p>
        </w:tc>
        <w:tc>
          <w:tcPr>
            <w:tcW w:w="0" w:type="auto"/>
            <w:vAlign w:val="center"/>
          </w:tcPr>
          <w:p w14:paraId="1DD943E0" w14:textId="686FE3FD" w:rsidR="00A32A60" w:rsidRPr="00382739" w:rsidRDefault="00A32A60" w:rsidP="00A32A60">
            <w:pPr>
              <w:pStyle w:val="NoSpacing"/>
              <w:rPr>
                <w:sz w:val="21"/>
                <w:szCs w:val="21"/>
              </w:rPr>
            </w:pPr>
            <w:r>
              <w:rPr>
                <w:color w:val="000000"/>
                <w:sz w:val="21"/>
                <w:szCs w:val="21"/>
              </w:rPr>
              <w:t>1,803</w:t>
            </w:r>
          </w:p>
        </w:tc>
        <w:tc>
          <w:tcPr>
            <w:tcW w:w="0" w:type="auto"/>
            <w:vAlign w:val="center"/>
          </w:tcPr>
          <w:p w14:paraId="330D9F4C" w14:textId="278A52F4" w:rsidR="00A32A60" w:rsidRPr="00382739" w:rsidRDefault="00A32A60" w:rsidP="00A32A60">
            <w:pPr>
              <w:pStyle w:val="NoSpacing"/>
              <w:rPr>
                <w:sz w:val="21"/>
                <w:szCs w:val="21"/>
              </w:rPr>
            </w:pPr>
            <w:r>
              <w:rPr>
                <w:color w:val="000000"/>
                <w:sz w:val="21"/>
                <w:szCs w:val="21"/>
              </w:rPr>
              <w:t>1,874</w:t>
            </w:r>
          </w:p>
        </w:tc>
        <w:tc>
          <w:tcPr>
            <w:tcW w:w="0" w:type="auto"/>
            <w:vAlign w:val="center"/>
          </w:tcPr>
          <w:p w14:paraId="2CA505EB" w14:textId="009D1FA7" w:rsidR="00A32A60" w:rsidRPr="00382739" w:rsidRDefault="00A32A60" w:rsidP="00A32A60">
            <w:pPr>
              <w:pStyle w:val="NoSpacing"/>
              <w:rPr>
                <w:sz w:val="21"/>
                <w:szCs w:val="21"/>
              </w:rPr>
            </w:pPr>
            <w:r>
              <w:rPr>
                <w:color w:val="000000"/>
                <w:sz w:val="21"/>
                <w:szCs w:val="21"/>
              </w:rPr>
              <w:t>1,887</w:t>
            </w:r>
          </w:p>
        </w:tc>
      </w:tr>
      <w:tr w:rsidR="00A32A60" w:rsidRPr="007B4982" w14:paraId="04C4E7A5" w14:textId="77777777" w:rsidTr="007A27EC">
        <w:trPr>
          <w:trHeight w:val="271"/>
          <w:jc w:val="center"/>
        </w:trPr>
        <w:tc>
          <w:tcPr>
            <w:tcW w:w="0" w:type="auto"/>
            <w:vMerge/>
            <w:vAlign w:val="center"/>
          </w:tcPr>
          <w:p w14:paraId="3B980030" w14:textId="77777777" w:rsidR="00A32A60" w:rsidRPr="00382739" w:rsidRDefault="00A32A60" w:rsidP="00A32A60">
            <w:pPr>
              <w:pStyle w:val="NoSpacing"/>
              <w:rPr>
                <w:sz w:val="21"/>
                <w:szCs w:val="21"/>
              </w:rPr>
            </w:pPr>
          </w:p>
        </w:tc>
        <w:tc>
          <w:tcPr>
            <w:tcW w:w="0" w:type="auto"/>
          </w:tcPr>
          <w:p w14:paraId="514BF4A6" w14:textId="77777777" w:rsidR="00A32A60" w:rsidRPr="00AC7D88" w:rsidRDefault="00A32A60" w:rsidP="00A32A60">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vAlign w:val="center"/>
          </w:tcPr>
          <w:p w14:paraId="69F55B85" w14:textId="314A2D6C" w:rsidR="00A32A60" w:rsidRPr="00382739" w:rsidRDefault="00A32A60" w:rsidP="00A32A60">
            <w:pPr>
              <w:pStyle w:val="NoSpacing"/>
              <w:rPr>
                <w:sz w:val="21"/>
                <w:szCs w:val="21"/>
              </w:rPr>
            </w:pPr>
            <w:r>
              <w:rPr>
                <w:color w:val="000000"/>
                <w:sz w:val="21"/>
                <w:szCs w:val="21"/>
              </w:rPr>
              <w:t>166.889</w:t>
            </w:r>
          </w:p>
        </w:tc>
      </w:tr>
      <w:tr w:rsidR="00A32A60" w:rsidRPr="007B4982" w14:paraId="22D22389" w14:textId="77777777" w:rsidTr="007A27EC">
        <w:trPr>
          <w:trHeight w:val="271"/>
          <w:jc w:val="center"/>
        </w:trPr>
        <w:tc>
          <w:tcPr>
            <w:tcW w:w="0" w:type="auto"/>
            <w:vMerge/>
            <w:vAlign w:val="center"/>
          </w:tcPr>
          <w:p w14:paraId="10F74EC1" w14:textId="77777777" w:rsidR="00A32A60" w:rsidRPr="00382739" w:rsidRDefault="00A32A60" w:rsidP="00A32A60">
            <w:pPr>
              <w:pStyle w:val="NoSpacing"/>
              <w:rPr>
                <w:sz w:val="21"/>
                <w:szCs w:val="21"/>
              </w:rPr>
            </w:pPr>
          </w:p>
        </w:tc>
        <w:tc>
          <w:tcPr>
            <w:tcW w:w="0" w:type="auto"/>
          </w:tcPr>
          <w:p w14:paraId="7A950339" w14:textId="77777777" w:rsidR="00A32A60" w:rsidRPr="00382739" w:rsidRDefault="00A32A60" w:rsidP="00A32A60">
            <w:pPr>
              <w:pStyle w:val="NoSpacing"/>
              <w:rPr>
                <w:b/>
                <w:bCs/>
                <w:sz w:val="21"/>
                <w:szCs w:val="21"/>
              </w:rPr>
            </w:pPr>
            <w:r w:rsidRPr="00382739">
              <w:rPr>
                <w:b/>
                <w:bCs/>
                <w:sz w:val="21"/>
                <w:szCs w:val="21"/>
              </w:rPr>
              <w:t>DIC</w:t>
            </w:r>
          </w:p>
        </w:tc>
        <w:tc>
          <w:tcPr>
            <w:tcW w:w="0" w:type="auto"/>
            <w:gridSpan w:val="7"/>
            <w:vAlign w:val="center"/>
          </w:tcPr>
          <w:p w14:paraId="41A99BFD" w14:textId="05BD526B" w:rsidR="00A32A60" w:rsidRPr="00382739" w:rsidRDefault="00A32A60" w:rsidP="00A32A60">
            <w:pPr>
              <w:pStyle w:val="NoSpacing"/>
              <w:rPr>
                <w:sz w:val="21"/>
                <w:szCs w:val="21"/>
              </w:rPr>
            </w:pPr>
            <w:r>
              <w:rPr>
                <w:color w:val="000000"/>
                <w:sz w:val="21"/>
                <w:szCs w:val="21"/>
              </w:rPr>
              <w:t>1,970.470</w:t>
            </w:r>
          </w:p>
        </w:tc>
      </w:tr>
    </w:tbl>
    <w:p w14:paraId="3060040D" w14:textId="5616B30D" w:rsidR="00DC1EF0" w:rsidRDefault="00DC1EF0" w:rsidP="00E44499">
      <w:pPr>
        <w:spacing w:line="259" w:lineRule="auto"/>
        <w:jc w:val="center"/>
      </w:pPr>
    </w:p>
    <w:p w14:paraId="3FDFEC97" w14:textId="0C8421CB" w:rsidR="00DC1EF0" w:rsidRDefault="00DC1EF0" w:rsidP="00DC1EF0"/>
    <w:p w14:paraId="33FCD86C" w14:textId="1866A55F" w:rsidR="00F04550" w:rsidRDefault="00F04550" w:rsidP="00382739">
      <w:pPr>
        <w:pStyle w:val="Caption"/>
      </w:pPr>
      <w:bookmarkStart w:id="6" w:name="_Ref456822905"/>
      <w:r>
        <w:t xml:space="preserve">Table </w:t>
      </w:r>
      <w:r w:rsidR="00C14F70">
        <w:fldChar w:fldCharType="begin"/>
      </w:r>
      <w:r w:rsidR="00C14F70">
        <w:instrText xml:space="preserve"> SEQ Table \* ARABIC </w:instrText>
      </w:r>
      <w:r w:rsidR="00C14F70">
        <w:fldChar w:fldCharType="separate"/>
      </w:r>
      <w:r w:rsidR="006804C3">
        <w:rPr>
          <w:noProof/>
        </w:rPr>
        <w:t>5</w:t>
      </w:r>
      <w:r w:rsidR="00C14F70">
        <w:rPr>
          <w:noProof/>
        </w:rPr>
        <w:fldChar w:fldCharType="end"/>
      </w:r>
      <w:bookmarkEnd w:id="6"/>
      <w:r w:rsidR="006E06F5">
        <w:t xml:space="preserve"> </w:t>
      </w:r>
      <w:r>
        <w:t xml:space="preserve">Results of </w:t>
      </w:r>
      <w:r w:rsidRPr="00910E3A">
        <w:t>States'</w:t>
      </w:r>
      <w:r>
        <w:t xml:space="preserve"> </w:t>
      </w:r>
      <w:r w:rsidRPr="00910E3A">
        <w:t>Informative Prior Model</w:t>
      </w:r>
      <w:r>
        <w:t>s</w:t>
      </w:r>
      <w:r w:rsidRPr="00910E3A">
        <w:t xml:space="preserve"> </w:t>
      </w:r>
      <w:r>
        <w:t>for KAB Crashes</w:t>
      </w:r>
    </w:p>
    <w:tbl>
      <w:tblPr>
        <w:tblStyle w:val="TableGrid"/>
        <w:tblW w:w="0" w:type="auto"/>
        <w:jc w:val="center"/>
        <w:tblLook w:val="04A0" w:firstRow="1" w:lastRow="0" w:firstColumn="1" w:lastColumn="0" w:noHBand="0" w:noVBand="1"/>
      </w:tblPr>
      <w:tblGrid>
        <w:gridCol w:w="1514"/>
        <w:gridCol w:w="1173"/>
        <w:gridCol w:w="899"/>
        <w:gridCol w:w="1149"/>
        <w:gridCol w:w="928"/>
        <w:gridCol w:w="928"/>
        <w:gridCol w:w="905"/>
        <w:gridCol w:w="927"/>
        <w:gridCol w:w="927"/>
      </w:tblGrid>
      <w:tr w:rsidR="00E44499" w:rsidRPr="007B4982" w14:paraId="174501AA" w14:textId="77777777" w:rsidTr="00E44499">
        <w:trPr>
          <w:trHeight w:val="70"/>
          <w:jc w:val="center"/>
        </w:trPr>
        <w:tc>
          <w:tcPr>
            <w:tcW w:w="0" w:type="auto"/>
            <w:vMerge w:val="restart"/>
            <w:vAlign w:val="center"/>
          </w:tcPr>
          <w:p w14:paraId="6AD96256" w14:textId="77777777" w:rsidR="00E44499" w:rsidRPr="00382739" w:rsidRDefault="00E44499" w:rsidP="00E44499">
            <w:pPr>
              <w:pStyle w:val="NoSpacing"/>
              <w:rPr>
                <w:b/>
                <w:bCs/>
                <w:sz w:val="21"/>
                <w:szCs w:val="21"/>
              </w:rPr>
            </w:pPr>
            <w:r w:rsidRPr="00382739">
              <w:rPr>
                <w:b/>
                <w:bCs/>
                <w:sz w:val="21"/>
                <w:szCs w:val="21"/>
              </w:rPr>
              <w:t>Model</w:t>
            </w:r>
          </w:p>
        </w:tc>
        <w:tc>
          <w:tcPr>
            <w:tcW w:w="0" w:type="auto"/>
            <w:vMerge w:val="restart"/>
            <w:vAlign w:val="center"/>
          </w:tcPr>
          <w:p w14:paraId="309E5BE1" w14:textId="77777777" w:rsidR="00E44499" w:rsidRPr="00382739" w:rsidRDefault="00E44499" w:rsidP="00E44499">
            <w:pPr>
              <w:pStyle w:val="NoSpacing"/>
              <w:rPr>
                <w:b/>
                <w:bCs/>
                <w:sz w:val="21"/>
                <w:szCs w:val="21"/>
              </w:rPr>
            </w:pPr>
            <w:r w:rsidRPr="00382739">
              <w:rPr>
                <w:b/>
                <w:bCs/>
                <w:sz w:val="21"/>
                <w:szCs w:val="21"/>
              </w:rPr>
              <w:t>Parameter</w:t>
            </w:r>
          </w:p>
        </w:tc>
        <w:tc>
          <w:tcPr>
            <w:tcW w:w="0" w:type="auto"/>
            <w:vMerge w:val="restart"/>
            <w:vAlign w:val="center"/>
          </w:tcPr>
          <w:p w14:paraId="46378A19" w14:textId="77777777" w:rsidR="00E44499" w:rsidRPr="00382739" w:rsidRDefault="00E44499" w:rsidP="00E44499">
            <w:pPr>
              <w:pStyle w:val="NoSpacing"/>
              <w:rPr>
                <w:b/>
                <w:bCs/>
                <w:sz w:val="21"/>
                <w:szCs w:val="21"/>
              </w:rPr>
            </w:pPr>
            <w:r w:rsidRPr="00382739">
              <w:rPr>
                <w:b/>
                <w:bCs/>
                <w:sz w:val="21"/>
                <w:szCs w:val="21"/>
              </w:rPr>
              <w:t>Mean</w:t>
            </w:r>
          </w:p>
        </w:tc>
        <w:tc>
          <w:tcPr>
            <w:tcW w:w="0" w:type="auto"/>
            <w:vMerge w:val="restart"/>
            <w:vAlign w:val="center"/>
          </w:tcPr>
          <w:p w14:paraId="5BB9C63C" w14:textId="77777777" w:rsidR="00E44499" w:rsidRPr="00382739" w:rsidRDefault="00E44499" w:rsidP="00E44499">
            <w:pPr>
              <w:pStyle w:val="NoSpacing"/>
              <w:rPr>
                <w:b/>
                <w:bCs/>
                <w:sz w:val="21"/>
                <w:szCs w:val="21"/>
              </w:rPr>
            </w:pPr>
            <w:r w:rsidRPr="00382739">
              <w:rPr>
                <w:b/>
                <w:bCs/>
                <w:sz w:val="21"/>
                <w:szCs w:val="21"/>
              </w:rPr>
              <w:t>Standard Deviation</w:t>
            </w:r>
          </w:p>
        </w:tc>
        <w:tc>
          <w:tcPr>
            <w:tcW w:w="0" w:type="auto"/>
            <w:gridSpan w:val="5"/>
            <w:vAlign w:val="center"/>
          </w:tcPr>
          <w:p w14:paraId="00F6CDE2" w14:textId="77777777" w:rsidR="00E44499" w:rsidRPr="00382739" w:rsidRDefault="00E44499" w:rsidP="00E44499">
            <w:pPr>
              <w:pStyle w:val="NoSpacing"/>
              <w:rPr>
                <w:b/>
                <w:bCs/>
                <w:sz w:val="21"/>
                <w:szCs w:val="21"/>
              </w:rPr>
            </w:pPr>
            <w:r>
              <w:rPr>
                <w:b/>
                <w:bCs/>
                <w:sz w:val="21"/>
                <w:szCs w:val="21"/>
              </w:rPr>
              <w:t>Bayesian Credible Interval</w:t>
            </w:r>
          </w:p>
        </w:tc>
      </w:tr>
      <w:tr w:rsidR="00E44499" w:rsidRPr="007B4982" w14:paraId="6BFB33D5" w14:textId="77777777" w:rsidTr="00E44499">
        <w:trPr>
          <w:trHeight w:val="70"/>
          <w:jc w:val="center"/>
        </w:trPr>
        <w:tc>
          <w:tcPr>
            <w:tcW w:w="0" w:type="auto"/>
            <w:vMerge/>
            <w:vAlign w:val="center"/>
          </w:tcPr>
          <w:p w14:paraId="4D5D90D4" w14:textId="77777777" w:rsidR="00E44499" w:rsidRPr="00382739" w:rsidRDefault="00E44499" w:rsidP="00E44499">
            <w:pPr>
              <w:pStyle w:val="NoSpacing"/>
              <w:rPr>
                <w:b/>
                <w:bCs/>
                <w:sz w:val="21"/>
                <w:szCs w:val="21"/>
              </w:rPr>
            </w:pPr>
          </w:p>
        </w:tc>
        <w:tc>
          <w:tcPr>
            <w:tcW w:w="0" w:type="auto"/>
            <w:vMerge/>
            <w:vAlign w:val="center"/>
          </w:tcPr>
          <w:p w14:paraId="1989F198" w14:textId="77777777" w:rsidR="00E44499" w:rsidRPr="00382739" w:rsidRDefault="00E44499" w:rsidP="00E44499">
            <w:pPr>
              <w:pStyle w:val="NoSpacing"/>
              <w:rPr>
                <w:b/>
                <w:bCs/>
                <w:sz w:val="21"/>
                <w:szCs w:val="21"/>
              </w:rPr>
            </w:pPr>
          </w:p>
        </w:tc>
        <w:tc>
          <w:tcPr>
            <w:tcW w:w="0" w:type="auto"/>
            <w:vMerge/>
            <w:vAlign w:val="center"/>
          </w:tcPr>
          <w:p w14:paraId="5C060479" w14:textId="77777777" w:rsidR="00E44499" w:rsidRPr="00382739" w:rsidRDefault="00E44499" w:rsidP="00E44499">
            <w:pPr>
              <w:pStyle w:val="NoSpacing"/>
              <w:rPr>
                <w:b/>
                <w:bCs/>
                <w:sz w:val="21"/>
                <w:szCs w:val="21"/>
              </w:rPr>
            </w:pPr>
          </w:p>
        </w:tc>
        <w:tc>
          <w:tcPr>
            <w:tcW w:w="0" w:type="auto"/>
            <w:vMerge/>
            <w:vAlign w:val="center"/>
          </w:tcPr>
          <w:p w14:paraId="6DE66EE5" w14:textId="77777777" w:rsidR="00E44499" w:rsidRPr="00382739" w:rsidRDefault="00E44499" w:rsidP="00E44499">
            <w:pPr>
              <w:pStyle w:val="NoSpacing"/>
              <w:rPr>
                <w:b/>
                <w:bCs/>
                <w:sz w:val="21"/>
                <w:szCs w:val="21"/>
              </w:rPr>
            </w:pPr>
          </w:p>
        </w:tc>
        <w:tc>
          <w:tcPr>
            <w:tcW w:w="0" w:type="auto"/>
            <w:vAlign w:val="center"/>
          </w:tcPr>
          <w:p w14:paraId="3C393855" w14:textId="77777777" w:rsidR="00E44499" w:rsidRPr="00382739" w:rsidRDefault="00E44499" w:rsidP="00E44499">
            <w:pPr>
              <w:pStyle w:val="NoSpacing"/>
              <w:rPr>
                <w:b/>
                <w:bCs/>
                <w:sz w:val="21"/>
                <w:szCs w:val="21"/>
              </w:rPr>
            </w:pPr>
            <w:r w:rsidRPr="00382739">
              <w:rPr>
                <w:b/>
                <w:bCs/>
                <w:sz w:val="21"/>
                <w:szCs w:val="21"/>
              </w:rPr>
              <w:t>Lower 95%</w:t>
            </w:r>
          </w:p>
        </w:tc>
        <w:tc>
          <w:tcPr>
            <w:tcW w:w="0" w:type="auto"/>
            <w:vAlign w:val="center"/>
          </w:tcPr>
          <w:p w14:paraId="7A32F981" w14:textId="77777777" w:rsidR="00E44499" w:rsidRPr="00382739" w:rsidRDefault="00E44499" w:rsidP="00E44499">
            <w:pPr>
              <w:pStyle w:val="NoSpacing"/>
              <w:rPr>
                <w:b/>
                <w:bCs/>
                <w:sz w:val="21"/>
                <w:szCs w:val="21"/>
              </w:rPr>
            </w:pPr>
            <w:r w:rsidRPr="00382739">
              <w:rPr>
                <w:b/>
                <w:bCs/>
                <w:sz w:val="21"/>
                <w:szCs w:val="21"/>
              </w:rPr>
              <w:t>Lower 90%</w:t>
            </w:r>
          </w:p>
        </w:tc>
        <w:tc>
          <w:tcPr>
            <w:tcW w:w="0" w:type="auto"/>
            <w:vAlign w:val="center"/>
          </w:tcPr>
          <w:p w14:paraId="109AC7E5" w14:textId="77777777" w:rsidR="00E44499" w:rsidRPr="00382739" w:rsidRDefault="00E44499" w:rsidP="00E44499">
            <w:pPr>
              <w:pStyle w:val="NoSpacing"/>
              <w:rPr>
                <w:b/>
                <w:bCs/>
                <w:sz w:val="21"/>
                <w:szCs w:val="21"/>
              </w:rPr>
            </w:pPr>
            <w:r>
              <w:rPr>
                <w:b/>
                <w:bCs/>
                <w:sz w:val="21"/>
                <w:szCs w:val="21"/>
              </w:rPr>
              <w:t>Median</w:t>
            </w:r>
          </w:p>
        </w:tc>
        <w:tc>
          <w:tcPr>
            <w:tcW w:w="0" w:type="auto"/>
            <w:vAlign w:val="center"/>
          </w:tcPr>
          <w:p w14:paraId="1CF363C0" w14:textId="77777777" w:rsidR="00E44499" w:rsidRPr="00382739" w:rsidRDefault="00E44499" w:rsidP="00E44499">
            <w:pPr>
              <w:pStyle w:val="NoSpacing"/>
              <w:rPr>
                <w:b/>
                <w:bCs/>
                <w:sz w:val="21"/>
                <w:szCs w:val="21"/>
              </w:rPr>
            </w:pPr>
            <w:r w:rsidRPr="00382739">
              <w:rPr>
                <w:b/>
                <w:bCs/>
                <w:sz w:val="21"/>
                <w:szCs w:val="21"/>
              </w:rPr>
              <w:t>Upper 90%</w:t>
            </w:r>
          </w:p>
        </w:tc>
        <w:tc>
          <w:tcPr>
            <w:tcW w:w="0" w:type="auto"/>
            <w:vAlign w:val="center"/>
          </w:tcPr>
          <w:p w14:paraId="40468222" w14:textId="77777777" w:rsidR="00E44499" w:rsidRPr="00382739" w:rsidRDefault="00E44499" w:rsidP="00E44499">
            <w:pPr>
              <w:pStyle w:val="NoSpacing"/>
              <w:rPr>
                <w:b/>
                <w:bCs/>
                <w:sz w:val="21"/>
                <w:szCs w:val="21"/>
              </w:rPr>
            </w:pPr>
            <w:r w:rsidRPr="00382739">
              <w:rPr>
                <w:b/>
                <w:bCs/>
                <w:sz w:val="21"/>
                <w:szCs w:val="21"/>
              </w:rPr>
              <w:t>Upper 95%</w:t>
            </w:r>
          </w:p>
        </w:tc>
      </w:tr>
      <w:tr w:rsidR="00EE67ED" w:rsidRPr="007B4982" w14:paraId="62C609A3" w14:textId="77777777" w:rsidTr="00A32A60">
        <w:trPr>
          <w:trHeight w:val="271"/>
          <w:jc w:val="center"/>
        </w:trPr>
        <w:tc>
          <w:tcPr>
            <w:tcW w:w="0" w:type="auto"/>
            <w:vMerge w:val="restart"/>
            <w:vAlign w:val="center"/>
          </w:tcPr>
          <w:p w14:paraId="1F005849" w14:textId="77777777" w:rsidR="00EE67ED" w:rsidRPr="00382739" w:rsidRDefault="00EE67ED" w:rsidP="00EE67ED">
            <w:pPr>
              <w:pStyle w:val="NoSpacing"/>
              <w:rPr>
                <w:b/>
                <w:bCs/>
                <w:iCs/>
                <w:sz w:val="21"/>
                <w:szCs w:val="21"/>
              </w:rPr>
            </w:pPr>
            <w:r w:rsidRPr="00382739">
              <w:rPr>
                <w:b/>
                <w:bCs/>
                <w:iCs/>
                <w:sz w:val="21"/>
                <w:szCs w:val="21"/>
              </w:rPr>
              <w:t>Florida</w:t>
            </w:r>
            <w:r>
              <w:rPr>
                <w:b/>
                <w:bCs/>
                <w:iCs/>
                <w:sz w:val="21"/>
                <w:szCs w:val="21"/>
              </w:rPr>
              <w:t xml:space="preserve"> with California’s Informative Priors</w:t>
            </w:r>
          </w:p>
          <w:p w14:paraId="6B479D31" w14:textId="77777777" w:rsidR="00EE67ED" w:rsidRPr="00382739" w:rsidRDefault="00EE67ED" w:rsidP="00EE67ED">
            <w:pPr>
              <w:pStyle w:val="NoSpacing"/>
              <w:rPr>
                <w:b/>
                <w:bCs/>
                <w:iCs/>
                <w:sz w:val="21"/>
                <w:szCs w:val="21"/>
              </w:rPr>
            </w:pPr>
            <w:r w:rsidRPr="00382739">
              <w:rPr>
                <w:b/>
                <w:bCs/>
                <w:iCs/>
                <w:sz w:val="21"/>
                <w:szCs w:val="21"/>
              </w:rPr>
              <w:t>(N=436)</w:t>
            </w:r>
          </w:p>
        </w:tc>
        <w:tc>
          <w:tcPr>
            <w:tcW w:w="0" w:type="auto"/>
            <w:vAlign w:val="center"/>
          </w:tcPr>
          <w:p w14:paraId="3566553E" w14:textId="77777777" w:rsidR="00EE67ED" w:rsidRPr="00382739" w:rsidRDefault="00EE67ED" w:rsidP="00EE67ED">
            <w:pPr>
              <w:pStyle w:val="NoSpacing"/>
              <w:rPr>
                <w:b/>
                <w:bCs/>
                <w:iCs/>
                <w:sz w:val="21"/>
                <w:szCs w:val="21"/>
              </w:rPr>
            </w:pPr>
            <w:r w:rsidRPr="00382739">
              <w:rPr>
                <w:b/>
                <w:bCs/>
                <w:iCs/>
                <w:sz w:val="21"/>
                <w:szCs w:val="21"/>
              </w:rPr>
              <w:t>Constant</w:t>
            </w:r>
          </w:p>
        </w:tc>
        <w:tc>
          <w:tcPr>
            <w:tcW w:w="0" w:type="auto"/>
            <w:vAlign w:val="center"/>
          </w:tcPr>
          <w:p w14:paraId="31E0E97E" w14:textId="78EF5E75" w:rsidR="00EE67ED" w:rsidRPr="00382739" w:rsidRDefault="00EE67ED" w:rsidP="00EE67ED">
            <w:pPr>
              <w:pStyle w:val="NoSpacing"/>
              <w:rPr>
                <w:sz w:val="21"/>
                <w:szCs w:val="21"/>
              </w:rPr>
            </w:pPr>
            <w:r>
              <w:rPr>
                <w:color w:val="000000"/>
                <w:sz w:val="21"/>
                <w:szCs w:val="21"/>
              </w:rPr>
              <w:t>-9.879</w:t>
            </w:r>
          </w:p>
        </w:tc>
        <w:tc>
          <w:tcPr>
            <w:tcW w:w="0" w:type="auto"/>
            <w:vAlign w:val="center"/>
          </w:tcPr>
          <w:p w14:paraId="1C6A4292" w14:textId="1207AFAF" w:rsidR="00EE67ED" w:rsidRPr="00382739" w:rsidRDefault="00EE67ED" w:rsidP="00EE67ED">
            <w:pPr>
              <w:pStyle w:val="NoSpacing"/>
              <w:rPr>
                <w:sz w:val="21"/>
                <w:szCs w:val="21"/>
              </w:rPr>
            </w:pPr>
            <w:r>
              <w:rPr>
                <w:color w:val="000000"/>
                <w:sz w:val="21"/>
                <w:szCs w:val="21"/>
              </w:rPr>
              <w:t>0.476</w:t>
            </w:r>
          </w:p>
        </w:tc>
        <w:tc>
          <w:tcPr>
            <w:tcW w:w="0" w:type="auto"/>
            <w:vAlign w:val="center"/>
          </w:tcPr>
          <w:p w14:paraId="33888C91" w14:textId="4BEB85BE" w:rsidR="00EE67ED" w:rsidRPr="00382739" w:rsidRDefault="00EE67ED" w:rsidP="00EE67ED">
            <w:pPr>
              <w:pStyle w:val="NoSpacing"/>
              <w:rPr>
                <w:sz w:val="21"/>
                <w:szCs w:val="21"/>
              </w:rPr>
            </w:pPr>
            <w:r>
              <w:rPr>
                <w:color w:val="000000"/>
                <w:sz w:val="21"/>
                <w:szCs w:val="21"/>
              </w:rPr>
              <w:t>-10.810</w:t>
            </w:r>
          </w:p>
        </w:tc>
        <w:tc>
          <w:tcPr>
            <w:tcW w:w="0" w:type="auto"/>
            <w:vAlign w:val="center"/>
          </w:tcPr>
          <w:p w14:paraId="188572FD" w14:textId="2576BA91" w:rsidR="00EE67ED" w:rsidRPr="00382739" w:rsidRDefault="00EE67ED" w:rsidP="00EE67ED">
            <w:pPr>
              <w:pStyle w:val="NoSpacing"/>
              <w:rPr>
                <w:sz w:val="21"/>
                <w:szCs w:val="21"/>
              </w:rPr>
            </w:pPr>
            <w:r>
              <w:rPr>
                <w:color w:val="000000"/>
                <w:sz w:val="21"/>
                <w:szCs w:val="21"/>
              </w:rPr>
              <w:t>-10.670</w:t>
            </w:r>
          </w:p>
        </w:tc>
        <w:tc>
          <w:tcPr>
            <w:tcW w:w="0" w:type="auto"/>
            <w:vAlign w:val="center"/>
          </w:tcPr>
          <w:p w14:paraId="5299255B" w14:textId="56E01FC5" w:rsidR="00EE67ED" w:rsidRPr="00382739" w:rsidRDefault="00EE67ED" w:rsidP="00EE67ED">
            <w:pPr>
              <w:pStyle w:val="NoSpacing"/>
              <w:rPr>
                <w:sz w:val="21"/>
                <w:szCs w:val="21"/>
              </w:rPr>
            </w:pPr>
            <w:r>
              <w:rPr>
                <w:color w:val="000000"/>
                <w:sz w:val="21"/>
                <w:szCs w:val="21"/>
              </w:rPr>
              <w:t>-9.876</w:t>
            </w:r>
          </w:p>
        </w:tc>
        <w:tc>
          <w:tcPr>
            <w:tcW w:w="0" w:type="auto"/>
            <w:vAlign w:val="center"/>
          </w:tcPr>
          <w:p w14:paraId="583AFEE8" w14:textId="6F2FB343" w:rsidR="00EE67ED" w:rsidRPr="00382739" w:rsidRDefault="00EE67ED" w:rsidP="00EE67ED">
            <w:pPr>
              <w:pStyle w:val="NoSpacing"/>
              <w:rPr>
                <w:sz w:val="21"/>
                <w:szCs w:val="21"/>
              </w:rPr>
            </w:pPr>
            <w:r>
              <w:rPr>
                <w:color w:val="000000"/>
                <w:sz w:val="21"/>
                <w:szCs w:val="21"/>
              </w:rPr>
              <w:t>-9.100</w:t>
            </w:r>
          </w:p>
        </w:tc>
        <w:tc>
          <w:tcPr>
            <w:tcW w:w="0" w:type="auto"/>
            <w:vAlign w:val="center"/>
          </w:tcPr>
          <w:p w14:paraId="6A51E4DE" w14:textId="13FD045C" w:rsidR="00EE67ED" w:rsidRPr="00382739" w:rsidRDefault="00EE67ED" w:rsidP="00EE67ED">
            <w:pPr>
              <w:pStyle w:val="NoSpacing"/>
              <w:rPr>
                <w:sz w:val="21"/>
                <w:szCs w:val="21"/>
              </w:rPr>
            </w:pPr>
            <w:r>
              <w:rPr>
                <w:color w:val="000000"/>
                <w:sz w:val="21"/>
                <w:szCs w:val="21"/>
              </w:rPr>
              <w:t>-8.949</w:t>
            </w:r>
          </w:p>
        </w:tc>
      </w:tr>
      <w:tr w:rsidR="00EE67ED" w:rsidRPr="007B4982" w14:paraId="66479628" w14:textId="77777777" w:rsidTr="00A32A60">
        <w:trPr>
          <w:trHeight w:val="271"/>
          <w:jc w:val="center"/>
        </w:trPr>
        <w:tc>
          <w:tcPr>
            <w:tcW w:w="0" w:type="auto"/>
            <w:vMerge/>
            <w:vAlign w:val="center"/>
          </w:tcPr>
          <w:p w14:paraId="626CAF1E" w14:textId="77777777" w:rsidR="00EE67ED" w:rsidRPr="00382739" w:rsidRDefault="00EE67ED" w:rsidP="00EE67ED">
            <w:pPr>
              <w:pStyle w:val="NoSpacing"/>
              <w:rPr>
                <w:b/>
                <w:bCs/>
                <w:i/>
                <w:sz w:val="21"/>
                <w:szCs w:val="21"/>
              </w:rPr>
            </w:pPr>
          </w:p>
        </w:tc>
        <w:tc>
          <w:tcPr>
            <w:tcW w:w="0" w:type="auto"/>
            <w:vAlign w:val="center"/>
          </w:tcPr>
          <w:p w14:paraId="7E870A3B" w14:textId="77777777" w:rsidR="00EE67ED" w:rsidRPr="00382739" w:rsidRDefault="00EE67ED" w:rsidP="00EE67ED">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0" w:type="auto"/>
            <w:vAlign w:val="center"/>
          </w:tcPr>
          <w:p w14:paraId="1DA06EB3" w14:textId="6C9CEA00" w:rsidR="00EE67ED" w:rsidRPr="00382739" w:rsidRDefault="00EE67ED" w:rsidP="00EE67ED">
            <w:pPr>
              <w:pStyle w:val="NoSpacing"/>
              <w:rPr>
                <w:sz w:val="21"/>
                <w:szCs w:val="21"/>
              </w:rPr>
            </w:pPr>
            <w:r>
              <w:rPr>
                <w:color w:val="000000"/>
                <w:sz w:val="21"/>
                <w:szCs w:val="21"/>
              </w:rPr>
              <w:t>0.954</w:t>
            </w:r>
          </w:p>
        </w:tc>
        <w:tc>
          <w:tcPr>
            <w:tcW w:w="0" w:type="auto"/>
            <w:vAlign w:val="center"/>
          </w:tcPr>
          <w:p w14:paraId="2EC386D8" w14:textId="5ACA0520" w:rsidR="00EE67ED" w:rsidRPr="00382739" w:rsidRDefault="00EE67ED" w:rsidP="00EE67ED">
            <w:pPr>
              <w:pStyle w:val="NoSpacing"/>
              <w:rPr>
                <w:sz w:val="21"/>
                <w:szCs w:val="21"/>
              </w:rPr>
            </w:pPr>
            <w:r>
              <w:rPr>
                <w:color w:val="000000"/>
                <w:sz w:val="21"/>
                <w:szCs w:val="21"/>
              </w:rPr>
              <w:t>0.051</w:t>
            </w:r>
          </w:p>
        </w:tc>
        <w:tc>
          <w:tcPr>
            <w:tcW w:w="0" w:type="auto"/>
            <w:vAlign w:val="center"/>
          </w:tcPr>
          <w:p w14:paraId="1E18E0B1" w14:textId="133371AC" w:rsidR="00EE67ED" w:rsidRPr="00382739" w:rsidRDefault="00EE67ED" w:rsidP="00EE67ED">
            <w:pPr>
              <w:pStyle w:val="NoSpacing"/>
              <w:rPr>
                <w:sz w:val="21"/>
                <w:szCs w:val="21"/>
              </w:rPr>
            </w:pPr>
            <w:r>
              <w:rPr>
                <w:color w:val="000000"/>
                <w:sz w:val="21"/>
                <w:szCs w:val="21"/>
              </w:rPr>
              <w:t>0.854</w:t>
            </w:r>
          </w:p>
        </w:tc>
        <w:tc>
          <w:tcPr>
            <w:tcW w:w="0" w:type="auto"/>
            <w:vAlign w:val="center"/>
          </w:tcPr>
          <w:p w14:paraId="3B70A012" w14:textId="379C8D2E" w:rsidR="00EE67ED" w:rsidRPr="00382739" w:rsidRDefault="00EE67ED" w:rsidP="00EE67ED">
            <w:pPr>
              <w:pStyle w:val="NoSpacing"/>
              <w:rPr>
                <w:sz w:val="21"/>
                <w:szCs w:val="21"/>
              </w:rPr>
            </w:pPr>
            <w:r>
              <w:rPr>
                <w:color w:val="000000"/>
                <w:sz w:val="21"/>
                <w:szCs w:val="21"/>
              </w:rPr>
              <w:t>0.870</w:t>
            </w:r>
          </w:p>
        </w:tc>
        <w:tc>
          <w:tcPr>
            <w:tcW w:w="0" w:type="auto"/>
            <w:vAlign w:val="center"/>
          </w:tcPr>
          <w:p w14:paraId="6AB9AE19" w14:textId="0BE0F24F" w:rsidR="00EE67ED" w:rsidRPr="00382739" w:rsidRDefault="00EE67ED" w:rsidP="00EE67ED">
            <w:pPr>
              <w:pStyle w:val="NoSpacing"/>
              <w:rPr>
                <w:sz w:val="21"/>
                <w:szCs w:val="21"/>
              </w:rPr>
            </w:pPr>
            <w:r>
              <w:rPr>
                <w:color w:val="000000"/>
                <w:sz w:val="21"/>
                <w:szCs w:val="21"/>
              </w:rPr>
              <w:t>0.953</w:t>
            </w:r>
          </w:p>
        </w:tc>
        <w:tc>
          <w:tcPr>
            <w:tcW w:w="0" w:type="auto"/>
            <w:vAlign w:val="center"/>
          </w:tcPr>
          <w:p w14:paraId="7058F3EF" w14:textId="4FBC76F2" w:rsidR="00EE67ED" w:rsidRPr="00382739" w:rsidRDefault="00EE67ED" w:rsidP="00EE67ED">
            <w:pPr>
              <w:pStyle w:val="NoSpacing"/>
              <w:rPr>
                <w:sz w:val="21"/>
                <w:szCs w:val="21"/>
              </w:rPr>
            </w:pPr>
            <w:r>
              <w:rPr>
                <w:color w:val="000000"/>
                <w:sz w:val="21"/>
                <w:szCs w:val="21"/>
              </w:rPr>
              <w:t>1.038</w:t>
            </w:r>
          </w:p>
        </w:tc>
        <w:tc>
          <w:tcPr>
            <w:tcW w:w="0" w:type="auto"/>
            <w:vAlign w:val="center"/>
          </w:tcPr>
          <w:p w14:paraId="1F930586" w14:textId="0C2C0F3D" w:rsidR="00EE67ED" w:rsidRPr="00382739" w:rsidRDefault="00EE67ED" w:rsidP="00EE67ED">
            <w:pPr>
              <w:pStyle w:val="NoSpacing"/>
              <w:rPr>
                <w:sz w:val="21"/>
                <w:szCs w:val="21"/>
              </w:rPr>
            </w:pPr>
            <w:r>
              <w:rPr>
                <w:color w:val="000000"/>
                <w:sz w:val="21"/>
                <w:szCs w:val="21"/>
              </w:rPr>
              <w:t>1.054</w:t>
            </w:r>
          </w:p>
        </w:tc>
      </w:tr>
      <w:tr w:rsidR="00EE67ED" w:rsidRPr="007B4982" w14:paraId="2E1C2C26" w14:textId="77777777" w:rsidTr="00A32A60">
        <w:trPr>
          <w:trHeight w:val="271"/>
          <w:jc w:val="center"/>
        </w:trPr>
        <w:tc>
          <w:tcPr>
            <w:tcW w:w="0" w:type="auto"/>
            <w:vMerge/>
            <w:vAlign w:val="center"/>
          </w:tcPr>
          <w:p w14:paraId="63586A60" w14:textId="77777777" w:rsidR="00EE67ED" w:rsidRPr="00382739" w:rsidRDefault="00EE67ED" w:rsidP="00EE67ED">
            <w:pPr>
              <w:pStyle w:val="NoSpacing"/>
              <w:rPr>
                <w:b/>
                <w:bCs/>
                <w:i/>
                <w:sz w:val="21"/>
                <w:szCs w:val="21"/>
              </w:rPr>
            </w:pPr>
          </w:p>
        </w:tc>
        <w:tc>
          <w:tcPr>
            <w:tcW w:w="0" w:type="auto"/>
            <w:vAlign w:val="center"/>
          </w:tcPr>
          <w:p w14:paraId="51F5C9A7" w14:textId="77777777" w:rsidR="00EE67ED" w:rsidRPr="00382739" w:rsidRDefault="00EE67ED" w:rsidP="00EE67ED">
            <w:pPr>
              <w:pStyle w:val="NoSpacing"/>
              <w:rPr>
                <w:b/>
                <w:bCs/>
                <w:i/>
                <w:sz w:val="21"/>
                <w:szCs w:val="21"/>
              </w:rPr>
            </w:pPr>
            <w:r w:rsidRPr="00CE5020">
              <w:rPr>
                <w:b/>
                <w:bCs/>
                <w:i/>
                <w:iCs/>
                <w:sz w:val="21"/>
                <w:szCs w:val="21"/>
              </w:rPr>
              <w:t>φ</w:t>
            </w:r>
          </w:p>
        </w:tc>
        <w:tc>
          <w:tcPr>
            <w:tcW w:w="0" w:type="auto"/>
            <w:vAlign w:val="center"/>
          </w:tcPr>
          <w:p w14:paraId="5D45F145" w14:textId="11514B2A" w:rsidR="00EE67ED" w:rsidRPr="00382739" w:rsidRDefault="00EE67ED" w:rsidP="00EE67ED">
            <w:pPr>
              <w:pStyle w:val="NoSpacing"/>
              <w:rPr>
                <w:sz w:val="21"/>
                <w:szCs w:val="21"/>
              </w:rPr>
            </w:pPr>
            <w:r>
              <w:rPr>
                <w:color w:val="000000"/>
                <w:sz w:val="21"/>
                <w:szCs w:val="21"/>
              </w:rPr>
              <w:t>1.399</w:t>
            </w:r>
          </w:p>
        </w:tc>
        <w:tc>
          <w:tcPr>
            <w:tcW w:w="0" w:type="auto"/>
            <w:vAlign w:val="center"/>
          </w:tcPr>
          <w:p w14:paraId="5F45C998" w14:textId="76BD3FFA" w:rsidR="00EE67ED" w:rsidRPr="00382739" w:rsidRDefault="00EE67ED" w:rsidP="00EE67ED">
            <w:pPr>
              <w:pStyle w:val="NoSpacing"/>
              <w:rPr>
                <w:sz w:val="21"/>
                <w:szCs w:val="21"/>
              </w:rPr>
            </w:pPr>
            <w:r>
              <w:rPr>
                <w:color w:val="000000"/>
                <w:sz w:val="21"/>
                <w:szCs w:val="21"/>
              </w:rPr>
              <w:t>0.373</w:t>
            </w:r>
          </w:p>
        </w:tc>
        <w:tc>
          <w:tcPr>
            <w:tcW w:w="0" w:type="auto"/>
            <w:vAlign w:val="center"/>
          </w:tcPr>
          <w:p w14:paraId="1353AAC8" w14:textId="554C6317" w:rsidR="00EE67ED" w:rsidRPr="00382739" w:rsidRDefault="00EE67ED" w:rsidP="00EE67ED">
            <w:pPr>
              <w:pStyle w:val="NoSpacing"/>
              <w:rPr>
                <w:sz w:val="21"/>
                <w:szCs w:val="21"/>
              </w:rPr>
            </w:pPr>
            <w:r>
              <w:rPr>
                <w:color w:val="000000"/>
                <w:sz w:val="21"/>
                <w:szCs w:val="21"/>
              </w:rPr>
              <w:t>0.844</w:t>
            </w:r>
          </w:p>
        </w:tc>
        <w:tc>
          <w:tcPr>
            <w:tcW w:w="0" w:type="auto"/>
            <w:vAlign w:val="center"/>
          </w:tcPr>
          <w:p w14:paraId="0BCB76FA" w14:textId="6E823A33" w:rsidR="00EE67ED" w:rsidRPr="00382739" w:rsidRDefault="00EE67ED" w:rsidP="00EE67ED">
            <w:pPr>
              <w:pStyle w:val="NoSpacing"/>
              <w:rPr>
                <w:sz w:val="21"/>
                <w:szCs w:val="21"/>
              </w:rPr>
            </w:pPr>
            <w:r>
              <w:rPr>
                <w:color w:val="000000"/>
                <w:sz w:val="21"/>
                <w:szCs w:val="21"/>
              </w:rPr>
              <w:t>0.905</w:t>
            </w:r>
          </w:p>
        </w:tc>
        <w:tc>
          <w:tcPr>
            <w:tcW w:w="0" w:type="auto"/>
            <w:vAlign w:val="center"/>
          </w:tcPr>
          <w:p w14:paraId="17A010C4" w14:textId="14FFB65C" w:rsidR="00EE67ED" w:rsidRPr="00382739" w:rsidRDefault="00EE67ED" w:rsidP="00EE67ED">
            <w:pPr>
              <w:pStyle w:val="NoSpacing"/>
              <w:rPr>
                <w:sz w:val="21"/>
                <w:szCs w:val="21"/>
              </w:rPr>
            </w:pPr>
            <w:r>
              <w:rPr>
                <w:color w:val="000000"/>
                <w:sz w:val="21"/>
                <w:szCs w:val="21"/>
              </w:rPr>
              <w:t>1.342</w:t>
            </w:r>
          </w:p>
        </w:tc>
        <w:tc>
          <w:tcPr>
            <w:tcW w:w="0" w:type="auto"/>
            <w:vAlign w:val="center"/>
          </w:tcPr>
          <w:p w14:paraId="72AFEEAA" w14:textId="31039667" w:rsidR="00EE67ED" w:rsidRPr="00382739" w:rsidRDefault="00EE67ED" w:rsidP="00EE67ED">
            <w:pPr>
              <w:pStyle w:val="NoSpacing"/>
              <w:rPr>
                <w:sz w:val="21"/>
                <w:szCs w:val="21"/>
              </w:rPr>
            </w:pPr>
            <w:r>
              <w:rPr>
                <w:color w:val="000000"/>
                <w:sz w:val="21"/>
                <w:szCs w:val="21"/>
              </w:rPr>
              <w:t>2.084</w:t>
            </w:r>
          </w:p>
        </w:tc>
        <w:tc>
          <w:tcPr>
            <w:tcW w:w="0" w:type="auto"/>
            <w:vAlign w:val="center"/>
          </w:tcPr>
          <w:p w14:paraId="6263EA30" w14:textId="71ADC2FC" w:rsidR="00EE67ED" w:rsidRPr="00382739" w:rsidRDefault="00EE67ED" w:rsidP="00EE67ED">
            <w:pPr>
              <w:pStyle w:val="NoSpacing"/>
              <w:rPr>
                <w:sz w:val="21"/>
                <w:szCs w:val="21"/>
              </w:rPr>
            </w:pPr>
            <w:r>
              <w:rPr>
                <w:color w:val="000000"/>
                <w:sz w:val="21"/>
                <w:szCs w:val="21"/>
              </w:rPr>
              <w:t>2.282</w:t>
            </w:r>
          </w:p>
        </w:tc>
      </w:tr>
      <w:tr w:rsidR="00EE67ED" w:rsidRPr="007B4982" w14:paraId="208A607E" w14:textId="77777777" w:rsidTr="00A32A60">
        <w:trPr>
          <w:trHeight w:val="293"/>
          <w:jc w:val="center"/>
        </w:trPr>
        <w:tc>
          <w:tcPr>
            <w:tcW w:w="0" w:type="auto"/>
            <w:vMerge/>
            <w:vAlign w:val="center"/>
          </w:tcPr>
          <w:p w14:paraId="09D67930" w14:textId="77777777" w:rsidR="00EE67ED" w:rsidRPr="00382739" w:rsidRDefault="00EE67ED" w:rsidP="00EE67ED">
            <w:pPr>
              <w:pStyle w:val="NoSpacing"/>
              <w:rPr>
                <w:b/>
                <w:bCs/>
                <w:sz w:val="21"/>
                <w:szCs w:val="21"/>
              </w:rPr>
            </w:pPr>
          </w:p>
        </w:tc>
        <w:tc>
          <w:tcPr>
            <w:tcW w:w="0" w:type="auto"/>
            <w:vAlign w:val="center"/>
          </w:tcPr>
          <w:p w14:paraId="03F3CF94" w14:textId="77777777" w:rsidR="00EE67ED" w:rsidRPr="00382739" w:rsidRDefault="00EE67ED" w:rsidP="00EE67ED">
            <w:pPr>
              <w:pStyle w:val="NoSpacing"/>
              <w:rPr>
                <w:b/>
                <w:bCs/>
                <w:sz w:val="21"/>
                <w:szCs w:val="21"/>
              </w:rPr>
            </w:pPr>
            <w:r w:rsidRPr="00382739">
              <w:rPr>
                <w:b/>
                <w:bCs/>
                <w:sz w:val="21"/>
                <w:szCs w:val="21"/>
              </w:rPr>
              <w:t>Deviance</w:t>
            </w:r>
          </w:p>
        </w:tc>
        <w:tc>
          <w:tcPr>
            <w:tcW w:w="0" w:type="auto"/>
            <w:vAlign w:val="center"/>
          </w:tcPr>
          <w:p w14:paraId="3B6F0987" w14:textId="321E2805" w:rsidR="00EE67ED" w:rsidRPr="00382739" w:rsidRDefault="00EE67ED" w:rsidP="00EE67ED">
            <w:pPr>
              <w:pStyle w:val="NoSpacing"/>
              <w:rPr>
                <w:sz w:val="21"/>
                <w:szCs w:val="21"/>
              </w:rPr>
            </w:pPr>
            <w:r>
              <w:rPr>
                <w:color w:val="000000"/>
                <w:sz w:val="21"/>
                <w:szCs w:val="21"/>
              </w:rPr>
              <w:t>766.800</w:t>
            </w:r>
          </w:p>
        </w:tc>
        <w:tc>
          <w:tcPr>
            <w:tcW w:w="0" w:type="auto"/>
            <w:vAlign w:val="center"/>
          </w:tcPr>
          <w:p w14:paraId="2DCD52B1" w14:textId="49F22600" w:rsidR="00EE67ED" w:rsidRPr="00382739" w:rsidRDefault="00EE67ED" w:rsidP="00EE67ED">
            <w:pPr>
              <w:pStyle w:val="NoSpacing"/>
              <w:rPr>
                <w:sz w:val="21"/>
                <w:szCs w:val="21"/>
              </w:rPr>
            </w:pPr>
            <w:r>
              <w:rPr>
                <w:color w:val="000000"/>
                <w:sz w:val="21"/>
                <w:szCs w:val="21"/>
              </w:rPr>
              <w:t>27.270</w:t>
            </w:r>
          </w:p>
        </w:tc>
        <w:tc>
          <w:tcPr>
            <w:tcW w:w="0" w:type="auto"/>
            <w:vAlign w:val="center"/>
          </w:tcPr>
          <w:p w14:paraId="38EA1130" w14:textId="69A8B433" w:rsidR="00EE67ED" w:rsidRPr="00382739" w:rsidRDefault="00EE67ED" w:rsidP="00EE67ED">
            <w:pPr>
              <w:pStyle w:val="NoSpacing"/>
              <w:rPr>
                <w:sz w:val="21"/>
                <w:szCs w:val="21"/>
              </w:rPr>
            </w:pPr>
            <w:r>
              <w:rPr>
                <w:color w:val="000000"/>
                <w:sz w:val="21"/>
                <w:szCs w:val="21"/>
              </w:rPr>
              <w:t>714.100</w:t>
            </w:r>
          </w:p>
        </w:tc>
        <w:tc>
          <w:tcPr>
            <w:tcW w:w="0" w:type="auto"/>
            <w:vAlign w:val="center"/>
          </w:tcPr>
          <w:p w14:paraId="06A243D2" w14:textId="0815FF71" w:rsidR="00EE67ED" w:rsidRPr="00382739" w:rsidRDefault="00EE67ED" w:rsidP="00EE67ED">
            <w:pPr>
              <w:pStyle w:val="NoSpacing"/>
              <w:rPr>
                <w:sz w:val="21"/>
                <w:szCs w:val="21"/>
              </w:rPr>
            </w:pPr>
            <w:r>
              <w:rPr>
                <w:color w:val="000000"/>
                <w:sz w:val="21"/>
                <w:szCs w:val="21"/>
              </w:rPr>
              <w:t>722.400</w:t>
            </w:r>
          </w:p>
        </w:tc>
        <w:tc>
          <w:tcPr>
            <w:tcW w:w="0" w:type="auto"/>
            <w:vAlign w:val="center"/>
          </w:tcPr>
          <w:p w14:paraId="1A10798D" w14:textId="4EF54FA4" w:rsidR="00EE67ED" w:rsidRPr="00382739" w:rsidRDefault="00EE67ED" w:rsidP="00EE67ED">
            <w:pPr>
              <w:pStyle w:val="NoSpacing"/>
              <w:rPr>
                <w:sz w:val="21"/>
                <w:szCs w:val="21"/>
              </w:rPr>
            </w:pPr>
            <w:r>
              <w:rPr>
                <w:color w:val="000000"/>
                <w:sz w:val="21"/>
                <w:szCs w:val="21"/>
              </w:rPr>
              <w:t>766.600</w:t>
            </w:r>
          </w:p>
        </w:tc>
        <w:tc>
          <w:tcPr>
            <w:tcW w:w="0" w:type="auto"/>
            <w:vAlign w:val="center"/>
          </w:tcPr>
          <w:p w14:paraId="0513DAC9" w14:textId="33FD2C42" w:rsidR="00EE67ED" w:rsidRPr="00382739" w:rsidRDefault="00EE67ED" w:rsidP="00EE67ED">
            <w:pPr>
              <w:pStyle w:val="NoSpacing"/>
              <w:rPr>
                <w:sz w:val="21"/>
                <w:szCs w:val="21"/>
              </w:rPr>
            </w:pPr>
            <w:r>
              <w:rPr>
                <w:color w:val="000000"/>
                <w:sz w:val="21"/>
                <w:szCs w:val="21"/>
              </w:rPr>
              <w:t>812.200</w:t>
            </w:r>
          </w:p>
        </w:tc>
        <w:tc>
          <w:tcPr>
            <w:tcW w:w="0" w:type="auto"/>
            <w:vAlign w:val="center"/>
          </w:tcPr>
          <w:p w14:paraId="65BD0C36" w14:textId="1297A61D" w:rsidR="00EE67ED" w:rsidRPr="00382739" w:rsidRDefault="00EE67ED" w:rsidP="00EE67ED">
            <w:pPr>
              <w:pStyle w:val="NoSpacing"/>
              <w:rPr>
                <w:sz w:val="21"/>
                <w:szCs w:val="21"/>
              </w:rPr>
            </w:pPr>
            <w:r>
              <w:rPr>
                <w:color w:val="000000"/>
                <w:sz w:val="21"/>
                <w:szCs w:val="21"/>
              </w:rPr>
              <w:t>820.900</w:t>
            </w:r>
          </w:p>
        </w:tc>
      </w:tr>
      <w:tr w:rsidR="00EE67ED" w:rsidRPr="007B4982" w14:paraId="4B202DE3" w14:textId="77777777" w:rsidTr="00A32A60">
        <w:trPr>
          <w:trHeight w:val="271"/>
          <w:jc w:val="center"/>
        </w:trPr>
        <w:tc>
          <w:tcPr>
            <w:tcW w:w="0" w:type="auto"/>
            <w:vMerge/>
            <w:vAlign w:val="center"/>
          </w:tcPr>
          <w:p w14:paraId="77A47253" w14:textId="77777777" w:rsidR="00EE67ED" w:rsidRPr="00382739" w:rsidRDefault="00EE67ED" w:rsidP="00EE67ED">
            <w:pPr>
              <w:pStyle w:val="NoSpacing"/>
              <w:rPr>
                <w:b/>
                <w:bCs/>
                <w:sz w:val="21"/>
                <w:szCs w:val="21"/>
              </w:rPr>
            </w:pPr>
          </w:p>
        </w:tc>
        <w:tc>
          <w:tcPr>
            <w:tcW w:w="0" w:type="auto"/>
            <w:vAlign w:val="center"/>
          </w:tcPr>
          <w:p w14:paraId="7AC2CEF6" w14:textId="77777777" w:rsidR="00EE67ED" w:rsidRPr="00AC7D88" w:rsidRDefault="00EE67ED" w:rsidP="00EE67ED">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vAlign w:val="center"/>
          </w:tcPr>
          <w:p w14:paraId="1E8ABA77" w14:textId="30ED068F" w:rsidR="00EE67ED" w:rsidRPr="00382739" w:rsidRDefault="00792EA4" w:rsidP="00792EA4">
            <w:pPr>
              <w:pStyle w:val="NoSpacing"/>
              <w:rPr>
                <w:sz w:val="21"/>
                <w:szCs w:val="21"/>
              </w:rPr>
            </w:pPr>
            <w:r>
              <w:rPr>
                <w:color w:val="000000"/>
                <w:sz w:val="21"/>
                <w:szCs w:val="21"/>
              </w:rPr>
              <w:t>92.188</w:t>
            </w:r>
          </w:p>
        </w:tc>
      </w:tr>
      <w:tr w:rsidR="00EE67ED" w:rsidRPr="007B4982" w14:paraId="2A404DEF" w14:textId="77777777" w:rsidTr="00A32A60">
        <w:trPr>
          <w:trHeight w:val="271"/>
          <w:jc w:val="center"/>
        </w:trPr>
        <w:tc>
          <w:tcPr>
            <w:tcW w:w="0" w:type="auto"/>
            <w:vMerge/>
            <w:vAlign w:val="center"/>
          </w:tcPr>
          <w:p w14:paraId="2C8D4252" w14:textId="77777777" w:rsidR="00EE67ED" w:rsidRPr="00382739" w:rsidRDefault="00EE67ED" w:rsidP="00EE67ED">
            <w:pPr>
              <w:pStyle w:val="NoSpacing"/>
              <w:rPr>
                <w:b/>
                <w:bCs/>
                <w:sz w:val="21"/>
                <w:szCs w:val="21"/>
              </w:rPr>
            </w:pPr>
          </w:p>
        </w:tc>
        <w:tc>
          <w:tcPr>
            <w:tcW w:w="0" w:type="auto"/>
            <w:vAlign w:val="center"/>
          </w:tcPr>
          <w:p w14:paraId="423609FF" w14:textId="77777777" w:rsidR="00EE67ED" w:rsidRPr="00382739" w:rsidRDefault="00EE67ED" w:rsidP="00EE67ED">
            <w:pPr>
              <w:pStyle w:val="NoSpacing"/>
              <w:rPr>
                <w:b/>
                <w:bCs/>
                <w:sz w:val="21"/>
                <w:szCs w:val="21"/>
              </w:rPr>
            </w:pPr>
            <w:r w:rsidRPr="00382739">
              <w:rPr>
                <w:b/>
                <w:bCs/>
                <w:sz w:val="21"/>
                <w:szCs w:val="21"/>
              </w:rPr>
              <w:t>DIC</w:t>
            </w:r>
          </w:p>
        </w:tc>
        <w:tc>
          <w:tcPr>
            <w:tcW w:w="0" w:type="auto"/>
            <w:gridSpan w:val="7"/>
            <w:vAlign w:val="center"/>
          </w:tcPr>
          <w:p w14:paraId="2E2A5D0B" w14:textId="51769369" w:rsidR="00EE67ED" w:rsidRPr="00382739" w:rsidRDefault="00792EA4" w:rsidP="00EE67ED">
            <w:pPr>
              <w:pStyle w:val="NoSpacing"/>
              <w:rPr>
                <w:sz w:val="21"/>
                <w:szCs w:val="21"/>
              </w:rPr>
            </w:pPr>
            <w:r>
              <w:rPr>
                <w:color w:val="000000"/>
                <w:sz w:val="21"/>
                <w:szCs w:val="21"/>
              </w:rPr>
              <w:t>859.019</w:t>
            </w:r>
          </w:p>
        </w:tc>
      </w:tr>
      <w:tr w:rsidR="000C6191" w:rsidRPr="007B4982" w14:paraId="07A35BA8" w14:textId="77777777" w:rsidTr="00A32A60">
        <w:trPr>
          <w:trHeight w:val="271"/>
          <w:jc w:val="center"/>
        </w:trPr>
        <w:tc>
          <w:tcPr>
            <w:tcW w:w="0" w:type="auto"/>
            <w:vMerge w:val="restart"/>
            <w:vAlign w:val="center"/>
          </w:tcPr>
          <w:p w14:paraId="7FFA829E" w14:textId="77777777" w:rsidR="000C6191" w:rsidRPr="00382739" w:rsidRDefault="000C6191" w:rsidP="000C6191">
            <w:pPr>
              <w:pStyle w:val="NoSpacing"/>
              <w:rPr>
                <w:b/>
                <w:bCs/>
                <w:sz w:val="21"/>
                <w:szCs w:val="21"/>
              </w:rPr>
            </w:pPr>
            <w:r w:rsidRPr="00382739">
              <w:rPr>
                <w:b/>
                <w:bCs/>
                <w:sz w:val="21"/>
                <w:szCs w:val="21"/>
              </w:rPr>
              <w:t>California</w:t>
            </w:r>
            <w:r>
              <w:rPr>
                <w:b/>
                <w:bCs/>
                <w:iCs/>
                <w:sz w:val="21"/>
                <w:szCs w:val="21"/>
              </w:rPr>
              <w:t xml:space="preserve"> with Florida’s Informative Priors</w:t>
            </w:r>
          </w:p>
          <w:p w14:paraId="4871DB76" w14:textId="5BCE4613" w:rsidR="000C6191" w:rsidRPr="00382739" w:rsidRDefault="000C6191" w:rsidP="000C6191">
            <w:pPr>
              <w:pStyle w:val="NoSpacing"/>
              <w:rPr>
                <w:b/>
                <w:bCs/>
                <w:sz w:val="21"/>
                <w:szCs w:val="21"/>
              </w:rPr>
            </w:pPr>
            <w:r w:rsidRPr="00382739">
              <w:rPr>
                <w:b/>
                <w:bCs/>
                <w:sz w:val="21"/>
                <w:szCs w:val="21"/>
              </w:rPr>
              <w:t>(N=1</w:t>
            </w:r>
            <w:r>
              <w:rPr>
                <w:b/>
                <w:bCs/>
                <w:sz w:val="21"/>
                <w:szCs w:val="21"/>
              </w:rPr>
              <w:t>,153</w:t>
            </w:r>
            <w:r w:rsidRPr="00382739">
              <w:rPr>
                <w:b/>
                <w:bCs/>
                <w:sz w:val="21"/>
                <w:szCs w:val="21"/>
              </w:rPr>
              <w:t>)</w:t>
            </w:r>
          </w:p>
        </w:tc>
        <w:tc>
          <w:tcPr>
            <w:tcW w:w="0" w:type="auto"/>
            <w:vAlign w:val="center"/>
          </w:tcPr>
          <w:p w14:paraId="52FD25A4" w14:textId="77777777" w:rsidR="000C6191" w:rsidRPr="00382739" w:rsidRDefault="000C6191" w:rsidP="000C6191">
            <w:pPr>
              <w:pStyle w:val="NoSpacing"/>
              <w:rPr>
                <w:b/>
                <w:bCs/>
                <w:iCs/>
                <w:sz w:val="21"/>
                <w:szCs w:val="21"/>
              </w:rPr>
            </w:pPr>
            <w:r w:rsidRPr="00382739">
              <w:rPr>
                <w:b/>
                <w:bCs/>
                <w:iCs/>
                <w:sz w:val="21"/>
                <w:szCs w:val="21"/>
              </w:rPr>
              <w:t>Constant</w:t>
            </w:r>
          </w:p>
        </w:tc>
        <w:tc>
          <w:tcPr>
            <w:tcW w:w="0" w:type="auto"/>
            <w:vAlign w:val="center"/>
          </w:tcPr>
          <w:p w14:paraId="5499F45F" w14:textId="06EB1B30" w:rsidR="000C6191" w:rsidRPr="00382739" w:rsidRDefault="000C6191" w:rsidP="000C6191">
            <w:pPr>
              <w:pStyle w:val="NoSpacing"/>
              <w:rPr>
                <w:sz w:val="21"/>
                <w:szCs w:val="21"/>
              </w:rPr>
            </w:pPr>
            <w:r>
              <w:rPr>
                <w:color w:val="000000"/>
                <w:sz w:val="21"/>
                <w:szCs w:val="21"/>
              </w:rPr>
              <w:t>-7.683</w:t>
            </w:r>
          </w:p>
        </w:tc>
        <w:tc>
          <w:tcPr>
            <w:tcW w:w="0" w:type="auto"/>
            <w:vAlign w:val="center"/>
          </w:tcPr>
          <w:p w14:paraId="3140BAA7" w14:textId="047EC2E8" w:rsidR="000C6191" w:rsidRPr="00382739" w:rsidRDefault="000C6191" w:rsidP="000C6191">
            <w:pPr>
              <w:pStyle w:val="NoSpacing"/>
              <w:rPr>
                <w:sz w:val="21"/>
                <w:szCs w:val="21"/>
              </w:rPr>
            </w:pPr>
            <w:r>
              <w:rPr>
                <w:color w:val="000000"/>
                <w:sz w:val="21"/>
                <w:szCs w:val="21"/>
              </w:rPr>
              <w:t>0.545</w:t>
            </w:r>
          </w:p>
        </w:tc>
        <w:tc>
          <w:tcPr>
            <w:tcW w:w="0" w:type="auto"/>
            <w:vAlign w:val="center"/>
          </w:tcPr>
          <w:p w14:paraId="1B455FDA" w14:textId="0E07E6D0" w:rsidR="000C6191" w:rsidRPr="00382739" w:rsidRDefault="000C6191" w:rsidP="000C6191">
            <w:pPr>
              <w:pStyle w:val="NoSpacing"/>
              <w:rPr>
                <w:sz w:val="21"/>
                <w:szCs w:val="21"/>
              </w:rPr>
            </w:pPr>
            <w:r>
              <w:rPr>
                <w:color w:val="000000"/>
                <w:sz w:val="21"/>
                <w:szCs w:val="21"/>
              </w:rPr>
              <w:t>-8.769</w:t>
            </w:r>
          </w:p>
        </w:tc>
        <w:tc>
          <w:tcPr>
            <w:tcW w:w="0" w:type="auto"/>
            <w:vAlign w:val="center"/>
          </w:tcPr>
          <w:p w14:paraId="4F7AF71A" w14:textId="602E680B" w:rsidR="000C6191" w:rsidRPr="00382739" w:rsidRDefault="000C6191" w:rsidP="000C6191">
            <w:pPr>
              <w:pStyle w:val="NoSpacing"/>
              <w:rPr>
                <w:sz w:val="21"/>
                <w:szCs w:val="21"/>
              </w:rPr>
            </w:pPr>
            <w:r>
              <w:rPr>
                <w:color w:val="000000"/>
                <w:sz w:val="21"/>
                <w:szCs w:val="21"/>
              </w:rPr>
              <w:t>-8.573</w:t>
            </w:r>
          </w:p>
        </w:tc>
        <w:tc>
          <w:tcPr>
            <w:tcW w:w="0" w:type="auto"/>
            <w:vAlign w:val="center"/>
          </w:tcPr>
          <w:p w14:paraId="3B66702B" w14:textId="6F5A66EE" w:rsidR="000C6191" w:rsidRPr="00382739" w:rsidRDefault="000C6191" w:rsidP="000C6191">
            <w:pPr>
              <w:pStyle w:val="NoSpacing"/>
              <w:rPr>
                <w:sz w:val="21"/>
                <w:szCs w:val="21"/>
              </w:rPr>
            </w:pPr>
            <w:r>
              <w:rPr>
                <w:color w:val="000000"/>
                <w:sz w:val="21"/>
                <w:szCs w:val="21"/>
              </w:rPr>
              <w:t>-7.686</w:t>
            </w:r>
          </w:p>
        </w:tc>
        <w:tc>
          <w:tcPr>
            <w:tcW w:w="0" w:type="auto"/>
            <w:vAlign w:val="center"/>
          </w:tcPr>
          <w:p w14:paraId="63EA05A6" w14:textId="7A2B98BE" w:rsidR="000C6191" w:rsidRPr="00382739" w:rsidRDefault="000C6191" w:rsidP="000C6191">
            <w:pPr>
              <w:pStyle w:val="NoSpacing"/>
              <w:rPr>
                <w:sz w:val="21"/>
                <w:szCs w:val="21"/>
              </w:rPr>
            </w:pPr>
            <w:r>
              <w:rPr>
                <w:color w:val="000000"/>
                <w:sz w:val="21"/>
                <w:szCs w:val="21"/>
              </w:rPr>
              <w:t>-6.779</w:t>
            </w:r>
          </w:p>
        </w:tc>
        <w:tc>
          <w:tcPr>
            <w:tcW w:w="0" w:type="auto"/>
            <w:vAlign w:val="center"/>
          </w:tcPr>
          <w:p w14:paraId="23E79DF4" w14:textId="758F9A98" w:rsidR="000C6191" w:rsidRPr="00382739" w:rsidRDefault="000C6191" w:rsidP="000C6191">
            <w:pPr>
              <w:pStyle w:val="NoSpacing"/>
              <w:rPr>
                <w:sz w:val="21"/>
                <w:szCs w:val="21"/>
              </w:rPr>
            </w:pPr>
            <w:r>
              <w:rPr>
                <w:color w:val="000000"/>
                <w:sz w:val="21"/>
                <w:szCs w:val="21"/>
              </w:rPr>
              <w:t>-6.594</w:t>
            </w:r>
          </w:p>
        </w:tc>
      </w:tr>
      <w:tr w:rsidR="000C6191" w:rsidRPr="007B4982" w14:paraId="718AD954" w14:textId="77777777" w:rsidTr="00A32A60">
        <w:trPr>
          <w:trHeight w:val="271"/>
          <w:jc w:val="center"/>
        </w:trPr>
        <w:tc>
          <w:tcPr>
            <w:tcW w:w="0" w:type="auto"/>
            <w:vMerge/>
            <w:vAlign w:val="center"/>
          </w:tcPr>
          <w:p w14:paraId="20FFF07C" w14:textId="77777777" w:rsidR="000C6191" w:rsidRPr="00382739" w:rsidRDefault="000C6191" w:rsidP="000C6191">
            <w:pPr>
              <w:pStyle w:val="NoSpacing"/>
              <w:rPr>
                <w:sz w:val="21"/>
                <w:szCs w:val="21"/>
              </w:rPr>
            </w:pPr>
          </w:p>
        </w:tc>
        <w:tc>
          <w:tcPr>
            <w:tcW w:w="0" w:type="auto"/>
            <w:vAlign w:val="center"/>
          </w:tcPr>
          <w:p w14:paraId="15B97E38" w14:textId="77777777" w:rsidR="000C6191" w:rsidRPr="00382739" w:rsidRDefault="000C6191" w:rsidP="000C6191">
            <w:pPr>
              <w:pStyle w:val="NoSpacing"/>
              <w:rPr>
                <w:b/>
                <w:bCs/>
                <w:iCs/>
                <w:sz w:val="21"/>
                <w:szCs w:val="21"/>
              </w:rPr>
            </w:pPr>
            <w:r w:rsidRPr="00382739">
              <w:rPr>
                <w:b/>
                <w:bCs/>
                <w:iCs/>
                <w:sz w:val="21"/>
                <w:szCs w:val="21"/>
              </w:rPr>
              <w:t>Ln(</w:t>
            </w:r>
            <w:r w:rsidRPr="00382739">
              <w:rPr>
                <w:b/>
                <w:bCs/>
                <w:i/>
                <w:sz w:val="21"/>
                <w:szCs w:val="21"/>
              </w:rPr>
              <w:t>AADT</w:t>
            </w:r>
            <w:r w:rsidRPr="00382739">
              <w:rPr>
                <w:b/>
                <w:bCs/>
                <w:iCs/>
                <w:sz w:val="21"/>
                <w:szCs w:val="21"/>
              </w:rPr>
              <w:t>)</w:t>
            </w:r>
          </w:p>
        </w:tc>
        <w:tc>
          <w:tcPr>
            <w:tcW w:w="0" w:type="auto"/>
            <w:vAlign w:val="center"/>
          </w:tcPr>
          <w:p w14:paraId="082BF487" w14:textId="212AB6E0" w:rsidR="000C6191" w:rsidRPr="00382739" w:rsidRDefault="000C6191" w:rsidP="000C6191">
            <w:pPr>
              <w:pStyle w:val="NoSpacing"/>
              <w:rPr>
                <w:sz w:val="21"/>
                <w:szCs w:val="21"/>
              </w:rPr>
            </w:pPr>
            <w:r>
              <w:rPr>
                <w:color w:val="000000"/>
                <w:sz w:val="21"/>
                <w:szCs w:val="21"/>
              </w:rPr>
              <w:t>0.727</w:t>
            </w:r>
          </w:p>
        </w:tc>
        <w:tc>
          <w:tcPr>
            <w:tcW w:w="0" w:type="auto"/>
            <w:vAlign w:val="center"/>
          </w:tcPr>
          <w:p w14:paraId="19508BC7" w14:textId="7EB67A60" w:rsidR="000C6191" w:rsidRPr="00382739" w:rsidRDefault="000C6191" w:rsidP="000C6191">
            <w:pPr>
              <w:pStyle w:val="NoSpacing"/>
              <w:rPr>
                <w:sz w:val="21"/>
                <w:szCs w:val="21"/>
              </w:rPr>
            </w:pPr>
            <w:r>
              <w:rPr>
                <w:color w:val="000000"/>
                <w:sz w:val="21"/>
                <w:szCs w:val="21"/>
              </w:rPr>
              <w:t>0.054</w:t>
            </w:r>
          </w:p>
        </w:tc>
        <w:tc>
          <w:tcPr>
            <w:tcW w:w="0" w:type="auto"/>
            <w:vAlign w:val="center"/>
          </w:tcPr>
          <w:p w14:paraId="420F15A1" w14:textId="3981AE42" w:rsidR="000C6191" w:rsidRPr="00382739" w:rsidRDefault="000C6191" w:rsidP="000C6191">
            <w:pPr>
              <w:pStyle w:val="NoSpacing"/>
              <w:rPr>
                <w:sz w:val="21"/>
                <w:szCs w:val="21"/>
              </w:rPr>
            </w:pPr>
            <w:r>
              <w:rPr>
                <w:color w:val="000000"/>
                <w:sz w:val="21"/>
                <w:szCs w:val="21"/>
              </w:rPr>
              <w:t>0.619</w:t>
            </w:r>
          </w:p>
        </w:tc>
        <w:tc>
          <w:tcPr>
            <w:tcW w:w="0" w:type="auto"/>
            <w:vAlign w:val="center"/>
          </w:tcPr>
          <w:p w14:paraId="57BD8E24" w14:textId="3F06FDB5" w:rsidR="000C6191" w:rsidRPr="00382739" w:rsidRDefault="000C6191" w:rsidP="000C6191">
            <w:pPr>
              <w:pStyle w:val="NoSpacing"/>
              <w:rPr>
                <w:sz w:val="21"/>
                <w:szCs w:val="21"/>
              </w:rPr>
            </w:pPr>
            <w:r>
              <w:rPr>
                <w:color w:val="000000"/>
                <w:sz w:val="21"/>
                <w:szCs w:val="21"/>
              </w:rPr>
              <w:t>0.637</w:t>
            </w:r>
          </w:p>
        </w:tc>
        <w:tc>
          <w:tcPr>
            <w:tcW w:w="0" w:type="auto"/>
            <w:vAlign w:val="center"/>
          </w:tcPr>
          <w:p w14:paraId="1E02CDF4" w14:textId="0A3FD988" w:rsidR="000C6191" w:rsidRPr="00382739" w:rsidRDefault="000C6191" w:rsidP="000C6191">
            <w:pPr>
              <w:pStyle w:val="NoSpacing"/>
              <w:rPr>
                <w:sz w:val="21"/>
                <w:szCs w:val="21"/>
              </w:rPr>
            </w:pPr>
            <w:r>
              <w:rPr>
                <w:color w:val="000000"/>
                <w:sz w:val="21"/>
                <w:szCs w:val="21"/>
              </w:rPr>
              <w:t>0.728</w:t>
            </w:r>
          </w:p>
        </w:tc>
        <w:tc>
          <w:tcPr>
            <w:tcW w:w="0" w:type="auto"/>
            <w:vAlign w:val="center"/>
          </w:tcPr>
          <w:p w14:paraId="6CA3B911" w14:textId="4E88E28A" w:rsidR="000C6191" w:rsidRPr="00382739" w:rsidRDefault="000C6191" w:rsidP="000C6191">
            <w:pPr>
              <w:pStyle w:val="NoSpacing"/>
              <w:rPr>
                <w:sz w:val="21"/>
                <w:szCs w:val="21"/>
              </w:rPr>
            </w:pPr>
            <w:r>
              <w:rPr>
                <w:color w:val="000000"/>
                <w:sz w:val="21"/>
                <w:szCs w:val="21"/>
              </w:rPr>
              <w:t>0.816</w:t>
            </w:r>
          </w:p>
        </w:tc>
        <w:tc>
          <w:tcPr>
            <w:tcW w:w="0" w:type="auto"/>
            <w:vAlign w:val="center"/>
          </w:tcPr>
          <w:p w14:paraId="5FFFC08D" w14:textId="7467A172" w:rsidR="000C6191" w:rsidRPr="00382739" w:rsidRDefault="000C6191" w:rsidP="000C6191">
            <w:pPr>
              <w:pStyle w:val="NoSpacing"/>
              <w:rPr>
                <w:sz w:val="21"/>
                <w:szCs w:val="21"/>
              </w:rPr>
            </w:pPr>
            <w:r>
              <w:rPr>
                <w:color w:val="000000"/>
                <w:sz w:val="21"/>
                <w:szCs w:val="21"/>
              </w:rPr>
              <w:t>0.836</w:t>
            </w:r>
          </w:p>
        </w:tc>
      </w:tr>
      <w:tr w:rsidR="000C6191" w:rsidRPr="007B4982" w14:paraId="786C2365" w14:textId="77777777" w:rsidTr="00A32A60">
        <w:trPr>
          <w:trHeight w:val="271"/>
          <w:jc w:val="center"/>
        </w:trPr>
        <w:tc>
          <w:tcPr>
            <w:tcW w:w="0" w:type="auto"/>
            <w:vMerge/>
            <w:vAlign w:val="center"/>
          </w:tcPr>
          <w:p w14:paraId="76C0723C" w14:textId="77777777" w:rsidR="000C6191" w:rsidRPr="00382739" w:rsidRDefault="000C6191" w:rsidP="000C6191">
            <w:pPr>
              <w:pStyle w:val="NoSpacing"/>
              <w:rPr>
                <w:sz w:val="21"/>
                <w:szCs w:val="21"/>
              </w:rPr>
            </w:pPr>
          </w:p>
        </w:tc>
        <w:tc>
          <w:tcPr>
            <w:tcW w:w="0" w:type="auto"/>
          </w:tcPr>
          <w:p w14:paraId="4FEB586A" w14:textId="77777777" w:rsidR="000C6191" w:rsidRPr="00863C10" w:rsidRDefault="000C6191" w:rsidP="000C6191">
            <w:pPr>
              <w:pStyle w:val="NoSpacing"/>
              <w:rPr>
                <w:b/>
                <w:bCs/>
                <w:i/>
                <w:iCs/>
                <w:sz w:val="21"/>
                <w:szCs w:val="21"/>
              </w:rPr>
            </w:pPr>
            <w:r w:rsidRPr="009C0D95">
              <w:rPr>
                <w:b/>
                <w:bCs/>
                <w:i/>
                <w:iCs/>
                <w:sz w:val="21"/>
                <w:szCs w:val="21"/>
              </w:rPr>
              <w:t>φ</w:t>
            </w:r>
          </w:p>
        </w:tc>
        <w:tc>
          <w:tcPr>
            <w:tcW w:w="0" w:type="auto"/>
            <w:vAlign w:val="center"/>
          </w:tcPr>
          <w:p w14:paraId="12ABB4A6" w14:textId="46A98009" w:rsidR="000C6191" w:rsidRPr="00382739" w:rsidRDefault="000C6191" w:rsidP="000C6191">
            <w:pPr>
              <w:pStyle w:val="NoSpacing"/>
              <w:rPr>
                <w:sz w:val="21"/>
                <w:szCs w:val="21"/>
              </w:rPr>
            </w:pPr>
            <w:r>
              <w:rPr>
                <w:color w:val="000000"/>
                <w:sz w:val="21"/>
                <w:szCs w:val="21"/>
              </w:rPr>
              <w:t>1.943</w:t>
            </w:r>
          </w:p>
        </w:tc>
        <w:tc>
          <w:tcPr>
            <w:tcW w:w="0" w:type="auto"/>
            <w:vAlign w:val="center"/>
          </w:tcPr>
          <w:p w14:paraId="603E0B7C" w14:textId="6FA1A937" w:rsidR="000C6191" w:rsidRPr="00382739" w:rsidRDefault="000C6191" w:rsidP="000C6191">
            <w:pPr>
              <w:pStyle w:val="NoSpacing"/>
              <w:rPr>
                <w:sz w:val="21"/>
                <w:szCs w:val="21"/>
              </w:rPr>
            </w:pPr>
            <w:r>
              <w:rPr>
                <w:color w:val="000000"/>
                <w:sz w:val="21"/>
                <w:szCs w:val="21"/>
              </w:rPr>
              <w:t>0.438</w:t>
            </w:r>
          </w:p>
        </w:tc>
        <w:tc>
          <w:tcPr>
            <w:tcW w:w="0" w:type="auto"/>
            <w:vAlign w:val="center"/>
          </w:tcPr>
          <w:p w14:paraId="474B8351" w14:textId="27E59BEB" w:rsidR="000C6191" w:rsidRPr="00382739" w:rsidRDefault="000C6191" w:rsidP="000C6191">
            <w:pPr>
              <w:pStyle w:val="NoSpacing"/>
              <w:rPr>
                <w:sz w:val="21"/>
                <w:szCs w:val="21"/>
              </w:rPr>
            </w:pPr>
            <w:r>
              <w:rPr>
                <w:color w:val="000000"/>
                <w:sz w:val="21"/>
                <w:szCs w:val="21"/>
              </w:rPr>
              <w:t>1.288</w:t>
            </w:r>
          </w:p>
        </w:tc>
        <w:tc>
          <w:tcPr>
            <w:tcW w:w="0" w:type="auto"/>
            <w:vAlign w:val="center"/>
          </w:tcPr>
          <w:p w14:paraId="36F98A26" w14:textId="2E9B4071" w:rsidR="000C6191" w:rsidRPr="00382739" w:rsidRDefault="000C6191" w:rsidP="000C6191">
            <w:pPr>
              <w:pStyle w:val="NoSpacing"/>
              <w:rPr>
                <w:sz w:val="21"/>
                <w:szCs w:val="21"/>
              </w:rPr>
            </w:pPr>
            <w:r>
              <w:rPr>
                <w:color w:val="000000"/>
                <w:sz w:val="21"/>
                <w:szCs w:val="21"/>
              </w:rPr>
              <w:t>1.363</w:t>
            </w:r>
          </w:p>
        </w:tc>
        <w:tc>
          <w:tcPr>
            <w:tcW w:w="0" w:type="auto"/>
            <w:vAlign w:val="center"/>
          </w:tcPr>
          <w:p w14:paraId="1E35B7D6" w14:textId="15040020" w:rsidR="000C6191" w:rsidRPr="00382739" w:rsidRDefault="000C6191" w:rsidP="000C6191">
            <w:pPr>
              <w:pStyle w:val="NoSpacing"/>
              <w:rPr>
                <w:sz w:val="21"/>
                <w:szCs w:val="21"/>
              </w:rPr>
            </w:pPr>
            <w:r>
              <w:rPr>
                <w:color w:val="000000"/>
                <w:sz w:val="21"/>
                <w:szCs w:val="21"/>
              </w:rPr>
              <w:t>1.880</w:t>
            </w:r>
          </w:p>
        </w:tc>
        <w:tc>
          <w:tcPr>
            <w:tcW w:w="0" w:type="auto"/>
            <w:vAlign w:val="center"/>
          </w:tcPr>
          <w:p w14:paraId="0DDA5307" w14:textId="558593A1" w:rsidR="000C6191" w:rsidRPr="00382739" w:rsidRDefault="000C6191" w:rsidP="000C6191">
            <w:pPr>
              <w:pStyle w:val="NoSpacing"/>
              <w:rPr>
                <w:sz w:val="21"/>
                <w:szCs w:val="21"/>
              </w:rPr>
            </w:pPr>
            <w:r>
              <w:rPr>
                <w:color w:val="000000"/>
                <w:sz w:val="21"/>
                <w:szCs w:val="21"/>
              </w:rPr>
              <w:t>2.733</w:t>
            </w:r>
          </w:p>
        </w:tc>
        <w:tc>
          <w:tcPr>
            <w:tcW w:w="0" w:type="auto"/>
            <w:vAlign w:val="center"/>
          </w:tcPr>
          <w:p w14:paraId="0BAFF58F" w14:textId="007D76B0" w:rsidR="000C6191" w:rsidRPr="00382739" w:rsidRDefault="000C6191" w:rsidP="000C6191">
            <w:pPr>
              <w:pStyle w:val="NoSpacing"/>
              <w:rPr>
                <w:sz w:val="21"/>
                <w:szCs w:val="21"/>
              </w:rPr>
            </w:pPr>
            <w:r>
              <w:rPr>
                <w:color w:val="000000"/>
                <w:sz w:val="21"/>
                <w:szCs w:val="21"/>
              </w:rPr>
              <w:t>2.966</w:t>
            </w:r>
          </w:p>
        </w:tc>
      </w:tr>
      <w:tr w:rsidR="000C6191" w:rsidRPr="007B4982" w14:paraId="575B4B6C" w14:textId="77777777" w:rsidTr="00A32A60">
        <w:trPr>
          <w:trHeight w:val="271"/>
          <w:jc w:val="center"/>
        </w:trPr>
        <w:tc>
          <w:tcPr>
            <w:tcW w:w="0" w:type="auto"/>
            <w:vMerge/>
            <w:vAlign w:val="center"/>
          </w:tcPr>
          <w:p w14:paraId="6796DF96" w14:textId="77777777" w:rsidR="000C6191" w:rsidRPr="00382739" w:rsidRDefault="000C6191" w:rsidP="000C6191">
            <w:pPr>
              <w:pStyle w:val="NoSpacing"/>
              <w:rPr>
                <w:sz w:val="21"/>
                <w:szCs w:val="21"/>
              </w:rPr>
            </w:pPr>
          </w:p>
        </w:tc>
        <w:tc>
          <w:tcPr>
            <w:tcW w:w="0" w:type="auto"/>
          </w:tcPr>
          <w:p w14:paraId="220C6E1D" w14:textId="77777777" w:rsidR="000C6191" w:rsidRPr="00382739" w:rsidRDefault="000C6191" w:rsidP="000C6191">
            <w:pPr>
              <w:pStyle w:val="NoSpacing"/>
              <w:rPr>
                <w:b/>
                <w:bCs/>
                <w:sz w:val="21"/>
                <w:szCs w:val="21"/>
              </w:rPr>
            </w:pPr>
            <w:r w:rsidRPr="00382739">
              <w:rPr>
                <w:b/>
                <w:bCs/>
                <w:sz w:val="21"/>
                <w:szCs w:val="21"/>
              </w:rPr>
              <w:t>Deviance</w:t>
            </w:r>
          </w:p>
        </w:tc>
        <w:tc>
          <w:tcPr>
            <w:tcW w:w="0" w:type="auto"/>
            <w:vAlign w:val="center"/>
          </w:tcPr>
          <w:p w14:paraId="51E9023C" w14:textId="683EE054" w:rsidR="000C6191" w:rsidRPr="00382739" w:rsidRDefault="000C6191" w:rsidP="000C6191">
            <w:pPr>
              <w:pStyle w:val="NoSpacing"/>
              <w:rPr>
                <w:sz w:val="21"/>
                <w:szCs w:val="21"/>
              </w:rPr>
            </w:pPr>
            <w:r>
              <w:rPr>
                <w:color w:val="000000"/>
                <w:sz w:val="21"/>
                <w:szCs w:val="21"/>
              </w:rPr>
              <w:t>1,800</w:t>
            </w:r>
          </w:p>
        </w:tc>
        <w:tc>
          <w:tcPr>
            <w:tcW w:w="0" w:type="auto"/>
            <w:vAlign w:val="center"/>
          </w:tcPr>
          <w:p w14:paraId="73079E5F" w14:textId="4F30DEAB" w:rsidR="000C6191" w:rsidRPr="00382739" w:rsidRDefault="000C6191" w:rsidP="000C6191">
            <w:pPr>
              <w:pStyle w:val="NoSpacing"/>
              <w:rPr>
                <w:sz w:val="21"/>
                <w:szCs w:val="21"/>
              </w:rPr>
            </w:pPr>
            <w:r>
              <w:rPr>
                <w:color w:val="000000"/>
                <w:sz w:val="21"/>
                <w:szCs w:val="21"/>
              </w:rPr>
              <w:t>42.870</w:t>
            </w:r>
          </w:p>
        </w:tc>
        <w:tc>
          <w:tcPr>
            <w:tcW w:w="0" w:type="auto"/>
            <w:vAlign w:val="center"/>
          </w:tcPr>
          <w:p w14:paraId="065395E8" w14:textId="20DB177F" w:rsidR="000C6191" w:rsidRPr="00382739" w:rsidRDefault="000C6191" w:rsidP="000C6191">
            <w:pPr>
              <w:pStyle w:val="NoSpacing"/>
              <w:rPr>
                <w:sz w:val="21"/>
                <w:szCs w:val="21"/>
              </w:rPr>
            </w:pPr>
            <w:r>
              <w:rPr>
                <w:color w:val="000000"/>
                <w:sz w:val="21"/>
                <w:szCs w:val="21"/>
              </w:rPr>
              <w:t>1,717</w:t>
            </w:r>
          </w:p>
        </w:tc>
        <w:tc>
          <w:tcPr>
            <w:tcW w:w="0" w:type="auto"/>
            <w:vAlign w:val="center"/>
          </w:tcPr>
          <w:p w14:paraId="4FAA8E44" w14:textId="102120A8" w:rsidR="000C6191" w:rsidRPr="00382739" w:rsidRDefault="000C6191" w:rsidP="000C6191">
            <w:pPr>
              <w:pStyle w:val="NoSpacing"/>
              <w:rPr>
                <w:sz w:val="21"/>
                <w:szCs w:val="21"/>
              </w:rPr>
            </w:pPr>
            <w:r>
              <w:rPr>
                <w:color w:val="000000"/>
                <w:sz w:val="21"/>
                <w:szCs w:val="21"/>
              </w:rPr>
              <w:t>1,730</w:t>
            </w:r>
          </w:p>
        </w:tc>
        <w:tc>
          <w:tcPr>
            <w:tcW w:w="0" w:type="auto"/>
            <w:vAlign w:val="center"/>
          </w:tcPr>
          <w:p w14:paraId="5D20AE41" w14:textId="61EE8560" w:rsidR="000C6191" w:rsidRPr="00382739" w:rsidRDefault="000C6191" w:rsidP="000C6191">
            <w:pPr>
              <w:pStyle w:val="NoSpacing"/>
              <w:rPr>
                <w:sz w:val="21"/>
                <w:szCs w:val="21"/>
              </w:rPr>
            </w:pPr>
            <w:r>
              <w:rPr>
                <w:color w:val="000000"/>
                <w:sz w:val="21"/>
                <w:szCs w:val="21"/>
              </w:rPr>
              <w:t>1,799</w:t>
            </w:r>
          </w:p>
        </w:tc>
        <w:tc>
          <w:tcPr>
            <w:tcW w:w="0" w:type="auto"/>
            <w:vAlign w:val="center"/>
          </w:tcPr>
          <w:p w14:paraId="49C9CE80" w14:textId="167FA47F" w:rsidR="000C6191" w:rsidRPr="00382739" w:rsidRDefault="000C6191" w:rsidP="000C6191">
            <w:pPr>
              <w:pStyle w:val="NoSpacing"/>
              <w:rPr>
                <w:sz w:val="21"/>
                <w:szCs w:val="21"/>
              </w:rPr>
            </w:pPr>
            <w:r>
              <w:rPr>
                <w:color w:val="000000"/>
                <w:sz w:val="21"/>
                <w:szCs w:val="21"/>
              </w:rPr>
              <w:t>1,871</w:t>
            </w:r>
          </w:p>
        </w:tc>
        <w:tc>
          <w:tcPr>
            <w:tcW w:w="0" w:type="auto"/>
            <w:vAlign w:val="center"/>
          </w:tcPr>
          <w:p w14:paraId="5E03EB00" w14:textId="39D64FD7" w:rsidR="000C6191" w:rsidRPr="00382739" w:rsidRDefault="000C6191" w:rsidP="000C6191">
            <w:pPr>
              <w:pStyle w:val="NoSpacing"/>
              <w:rPr>
                <w:sz w:val="21"/>
                <w:szCs w:val="21"/>
              </w:rPr>
            </w:pPr>
            <w:r>
              <w:rPr>
                <w:color w:val="000000"/>
                <w:sz w:val="21"/>
                <w:szCs w:val="21"/>
              </w:rPr>
              <w:t>1,885</w:t>
            </w:r>
          </w:p>
        </w:tc>
      </w:tr>
      <w:tr w:rsidR="000C6191" w:rsidRPr="007B4982" w14:paraId="3FDCDABD" w14:textId="77777777" w:rsidTr="00A32A60">
        <w:trPr>
          <w:trHeight w:val="271"/>
          <w:jc w:val="center"/>
        </w:trPr>
        <w:tc>
          <w:tcPr>
            <w:tcW w:w="0" w:type="auto"/>
            <w:vMerge/>
            <w:vAlign w:val="center"/>
          </w:tcPr>
          <w:p w14:paraId="646941B4" w14:textId="77777777" w:rsidR="000C6191" w:rsidRPr="00382739" w:rsidRDefault="000C6191" w:rsidP="000C6191">
            <w:pPr>
              <w:pStyle w:val="NoSpacing"/>
              <w:rPr>
                <w:sz w:val="21"/>
                <w:szCs w:val="21"/>
              </w:rPr>
            </w:pPr>
          </w:p>
        </w:tc>
        <w:tc>
          <w:tcPr>
            <w:tcW w:w="0" w:type="auto"/>
          </w:tcPr>
          <w:p w14:paraId="350A7D91" w14:textId="77777777" w:rsidR="000C6191" w:rsidRPr="00AC7D88" w:rsidRDefault="000C6191" w:rsidP="000C6191">
            <w:pPr>
              <w:pStyle w:val="NoSpacing"/>
              <w:rPr>
                <w:b/>
                <w:bCs/>
                <w:sz w:val="21"/>
                <w:szCs w:val="21"/>
              </w:rPr>
            </w:pPr>
            <w:proofErr w:type="spellStart"/>
            <w:r w:rsidRPr="00AC7D88">
              <w:rPr>
                <w:b/>
                <w:bCs/>
                <w:sz w:val="21"/>
                <w:szCs w:val="21"/>
              </w:rPr>
              <w:t>p</w:t>
            </w:r>
            <w:r w:rsidRPr="00AC7D88">
              <w:rPr>
                <w:b/>
                <w:bCs/>
                <w:sz w:val="21"/>
                <w:szCs w:val="21"/>
                <w:vertAlign w:val="subscript"/>
              </w:rPr>
              <w:t>D</w:t>
            </w:r>
            <w:proofErr w:type="spellEnd"/>
          </w:p>
        </w:tc>
        <w:tc>
          <w:tcPr>
            <w:tcW w:w="0" w:type="auto"/>
            <w:gridSpan w:val="7"/>
            <w:vAlign w:val="center"/>
          </w:tcPr>
          <w:p w14:paraId="6E800215" w14:textId="5B3ED785" w:rsidR="000C6191" w:rsidRPr="00382739" w:rsidRDefault="000C6191" w:rsidP="000C6191">
            <w:pPr>
              <w:pStyle w:val="NoSpacing"/>
              <w:rPr>
                <w:sz w:val="21"/>
                <w:szCs w:val="21"/>
              </w:rPr>
            </w:pPr>
            <w:r>
              <w:rPr>
                <w:color w:val="000000"/>
                <w:sz w:val="21"/>
                <w:szCs w:val="21"/>
              </w:rPr>
              <w:t>178.209</w:t>
            </w:r>
          </w:p>
        </w:tc>
      </w:tr>
      <w:tr w:rsidR="000C6191" w:rsidRPr="007B4982" w14:paraId="3F68D9B4" w14:textId="77777777" w:rsidTr="00A32A60">
        <w:trPr>
          <w:trHeight w:val="271"/>
          <w:jc w:val="center"/>
        </w:trPr>
        <w:tc>
          <w:tcPr>
            <w:tcW w:w="0" w:type="auto"/>
            <w:vMerge/>
            <w:vAlign w:val="center"/>
          </w:tcPr>
          <w:p w14:paraId="16C048EC" w14:textId="77777777" w:rsidR="000C6191" w:rsidRPr="00382739" w:rsidRDefault="000C6191" w:rsidP="000C6191">
            <w:pPr>
              <w:pStyle w:val="NoSpacing"/>
              <w:rPr>
                <w:sz w:val="21"/>
                <w:szCs w:val="21"/>
              </w:rPr>
            </w:pPr>
          </w:p>
        </w:tc>
        <w:tc>
          <w:tcPr>
            <w:tcW w:w="0" w:type="auto"/>
          </w:tcPr>
          <w:p w14:paraId="69BA4B6A" w14:textId="77777777" w:rsidR="000C6191" w:rsidRPr="00382739" w:rsidRDefault="000C6191" w:rsidP="000C6191">
            <w:pPr>
              <w:pStyle w:val="NoSpacing"/>
              <w:rPr>
                <w:b/>
                <w:bCs/>
                <w:sz w:val="21"/>
                <w:szCs w:val="21"/>
              </w:rPr>
            </w:pPr>
            <w:r w:rsidRPr="00382739">
              <w:rPr>
                <w:b/>
                <w:bCs/>
                <w:sz w:val="21"/>
                <w:szCs w:val="21"/>
              </w:rPr>
              <w:t>DIC</w:t>
            </w:r>
          </w:p>
        </w:tc>
        <w:tc>
          <w:tcPr>
            <w:tcW w:w="0" w:type="auto"/>
            <w:gridSpan w:val="7"/>
            <w:vAlign w:val="center"/>
          </w:tcPr>
          <w:p w14:paraId="2AEC1EDD" w14:textId="14DEF597" w:rsidR="000C6191" w:rsidRPr="00382739" w:rsidRDefault="000C6191" w:rsidP="000C6191">
            <w:pPr>
              <w:pStyle w:val="NoSpacing"/>
              <w:rPr>
                <w:sz w:val="21"/>
                <w:szCs w:val="21"/>
              </w:rPr>
            </w:pPr>
            <w:r>
              <w:rPr>
                <w:color w:val="000000"/>
                <w:sz w:val="21"/>
                <w:szCs w:val="21"/>
              </w:rPr>
              <w:t>1,977.890</w:t>
            </w:r>
          </w:p>
        </w:tc>
      </w:tr>
    </w:tbl>
    <w:p w14:paraId="19EC75D2" w14:textId="16082370" w:rsidR="00F04550" w:rsidRDefault="00F04550" w:rsidP="00E44499">
      <w:pPr>
        <w:tabs>
          <w:tab w:val="left" w:pos="765"/>
        </w:tabs>
        <w:jc w:val="center"/>
      </w:pPr>
    </w:p>
    <w:p w14:paraId="51443A0E" w14:textId="35A55FEF" w:rsidR="00F04550" w:rsidRDefault="00F04550" w:rsidP="00382739">
      <w:pPr>
        <w:tabs>
          <w:tab w:val="left" w:pos="765"/>
        </w:tabs>
      </w:pPr>
      <w:r>
        <w:tab/>
      </w:r>
    </w:p>
    <w:p w14:paraId="1DCAC8CB" w14:textId="0785DE14" w:rsidR="00F04550" w:rsidRPr="00382739" w:rsidRDefault="00F04550" w:rsidP="00382739">
      <w:pPr>
        <w:tabs>
          <w:tab w:val="left" w:pos="900"/>
        </w:tabs>
        <w:sectPr w:rsidR="00F04550" w:rsidRPr="00382739" w:rsidSect="001C5A09">
          <w:pgSz w:w="12240" w:h="15840"/>
          <w:pgMar w:top="1440" w:right="1440" w:bottom="1440" w:left="1440" w:header="720" w:footer="720" w:gutter="0"/>
          <w:lnNumType w:countBy="1"/>
          <w:pgNumType w:start="7"/>
          <w:cols w:space="720"/>
          <w:docGrid w:linePitch="360"/>
        </w:sectPr>
      </w:pPr>
      <w:r>
        <w:tab/>
      </w:r>
    </w:p>
    <w:p w14:paraId="216AD464" w14:textId="4FE37256" w:rsidR="007B4982" w:rsidRDefault="007B4982" w:rsidP="007B4982">
      <w:pPr>
        <w:pStyle w:val="Caption"/>
      </w:pPr>
      <w:bookmarkStart w:id="7" w:name="_Ref456822925"/>
      <w:r w:rsidRPr="00910E3A">
        <w:lastRenderedPageBreak/>
        <w:t xml:space="preserve">Table </w:t>
      </w:r>
      <w:r w:rsidR="00C14F70">
        <w:fldChar w:fldCharType="begin"/>
      </w:r>
      <w:r w:rsidR="00C14F70">
        <w:instrText xml:space="preserve"> SEQ Table \* ARABIC </w:instrText>
      </w:r>
      <w:r w:rsidR="00C14F70">
        <w:fldChar w:fldCharType="separate"/>
      </w:r>
      <w:r w:rsidR="006804C3">
        <w:rPr>
          <w:noProof/>
        </w:rPr>
        <w:t>6</w:t>
      </w:r>
      <w:r w:rsidR="00C14F70">
        <w:rPr>
          <w:noProof/>
        </w:rPr>
        <w:fldChar w:fldCharType="end"/>
      </w:r>
      <w:bookmarkEnd w:id="7"/>
      <w:r w:rsidRPr="00910E3A">
        <w:t xml:space="preserve"> Model Validation Results</w:t>
      </w:r>
    </w:p>
    <w:tbl>
      <w:tblPr>
        <w:tblStyle w:val="TableGrid"/>
        <w:tblW w:w="0" w:type="auto"/>
        <w:jc w:val="center"/>
        <w:tblLook w:val="04A0" w:firstRow="1" w:lastRow="0" w:firstColumn="1" w:lastColumn="0" w:noHBand="0" w:noVBand="1"/>
      </w:tblPr>
      <w:tblGrid>
        <w:gridCol w:w="4763"/>
        <w:gridCol w:w="881"/>
        <w:gridCol w:w="985"/>
        <w:gridCol w:w="1105"/>
        <w:gridCol w:w="1235"/>
      </w:tblGrid>
      <w:tr w:rsidR="004F177F" w:rsidRPr="00A6029B" w14:paraId="14FFE614" w14:textId="77777777" w:rsidTr="00E758F2">
        <w:trPr>
          <w:jc w:val="center"/>
        </w:trPr>
        <w:tc>
          <w:tcPr>
            <w:tcW w:w="0" w:type="auto"/>
            <w:vMerge w:val="restart"/>
            <w:vAlign w:val="center"/>
          </w:tcPr>
          <w:p w14:paraId="37824D86" w14:textId="77777777" w:rsidR="004F177F" w:rsidRPr="00A6029B" w:rsidRDefault="004F177F" w:rsidP="00E758F2">
            <w:pPr>
              <w:jc w:val="center"/>
              <w:rPr>
                <w:szCs w:val="24"/>
              </w:rPr>
            </w:pPr>
            <w:r w:rsidRPr="00A6029B">
              <w:rPr>
                <w:rFonts w:eastAsia="Times New Roman" w:cs="Times New Roman"/>
                <w:b/>
                <w:szCs w:val="24"/>
              </w:rPr>
              <w:t>SPF of KABCO Crashes</w:t>
            </w:r>
          </w:p>
        </w:tc>
        <w:tc>
          <w:tcPr>
            <w:tcW w:w="0" w:type="auto"/>
            <w:gridSpan w:val="4"/>
            <w:vAlign w:val="center"/>
          </w:tcPr>
          <w:p w14:paraId="1CE4EA5E" w14:textId="77777777" w:rsidR="004F177F" w:rsidRPr="00A6029B" w:rsidRDefault="004F177F" w:rsidP="00E758F2">
            <w:pPr>
              <w:jc w:val="center"/>
              <w:rPr>
                <w:szCs w:val="24"/>
              </w:rPr>
            </w:pPr>
            <w:r w:rsidRPr="00A6029B">
              <w:rPr>
                <w:rFonts w:eastAsia="Times New Roman" w:cs="Times New Roman"/>
                <w:b/>
                <w:szCs w:val="24"/>
              </w:rPr>
              <w:t>Application Data</w:t>
            </w:r>
          </w:p>
        </w:tc>
      </w:tr>
      <w:tr w:rsidR="004F177F" w:rsidRPr="00A6029B" w14:paraId="17DFE595" w14:textId="77777777" w:rsidTr="00E758F2">
        <w:trPr>
          <w:jc w:val="center"/>
        </w:trPr>
        <w:tc>
          <w:tcPr>
            <w:tcW w:w="0" w:type="auto"/>
            <w:vMerge/>
            <w:vAlign w:val="center"/>
          </w:tcPr>
          <w:p w14:paraId="382A3D25" w14:textId="77777777" w:rsidR="004F177F" w:rsidRPr="00A6029B" w:rsidRDefault="004F177F" w:rsidP="00E758F2">
            <w:pPr>
              <w:jc w:val="center"/>
              <w:rPr>
                <w:szCs w:val="24"/>
              </w:rPr>
            </w:pPr>
          </w:p>
        </w:tc>
        <w:tc>
          <w:tcPr>
            <w:tcW w:w="0" w:type="auto"/>
            <w:gridSpan w:val="2"/>
            <w:vAlign w:val="center"/>
          </w:tcPr>
          <w:p w14:paraId="477890E7"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Florida (N=436)</w:t>
            </w:r>
          </w:p>
        </w:tc>
        <w:tc>
          <w:tcPr>
            <w:tcW w:w="0" w:type="auto"/>
            <w:gridSpan w:val="2"/>
            <w:vAlign w:val="center"/>
          </w:tcPr>
          <w:p w14:paraId="775BCD4C"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California (N=1,153)</w:t>
            </w:r>
          </w:p>
        </w:tc>
      </w:tr>
      <w:tr w:rsidR="004F177F" w:rsidRPr="00A6029B" w14:paraId="1CA46AA2" w14:textId="77777777" w:rsidTr="00E758F2">
        <w:trPr>
          <w:jc w:val="center"/>
        </w:trPr>
        <w:tc>
          <w:tcPr>
            <w:tcW w:w="0" w:type="auto"/>
            <w:vMerge/>
            <w:vAlign w:val="center"/>
          </w:tcPr>
          <w:p w14:paraId="03773A1B" w14:textId="77777777" w:rsidR="004F177F" w:rsidRPr="00A6029B" w:rsidRDefault="004F177F" w:rsidP="00E758F2">
            <w:pPr>
              <w:jc w:val="center"/>
              <w:rPr>
                <w:szCs w:val="24"/>
              </w:rPr>
            </w:pPr>
          </w:p>
        </w:tc>
        <w:tc>
          <w:tcPr>
            <w:tcW w:w="0" w:type="auto"/>
            <w:vAlign w:val="center"/>
          </w:tcPr>
          <w:p w14:paraId="0FFCE166"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MAD</w:t>
            </w:r>
          </w:p>
        </w:tc>
        <w:tc>
          <w:tcPr>
            <w:tcW w:w="0" w:type="auto"/>
            <w:vAlign w:val="center"/>
          </w:tcPr>
          <w:p w14:paraId="735FB362"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MSPE</w:t>
            </w:r>
          </w:p>
        </w:tc>
        <w:tc>
          <w:tcPr>
            <w:tcW w:w="0" w:type="auto"/>
            <w:vAlign w:val="center"/>
          </w:tcPr>
          <w:p w14:paraId="3971B2AF"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MAD</w:t>
            </w:r>
          </w:p>
        </w:tc>
        <w:tc>
          <w:tcPr>
            <w:tcW w:w="0" w:type="auto"/>
            <w:vAlign w:val="center"/>
          </w:tcPr>
          <w:p w14:paraId="59E0B59F"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MSPE</w:t>
            </w:r>
          </w:p>
        </w:tc>
      </w:tr>
      <w:tr w:rsidR="004F177F" w:rsidRPr="00A6029B" w14:paraId="6C527767" w14:textId="77777777" w:rsidTr="00E758F2">
        <w:trPr>
          <w:jc w:val="center"/>
        </w:trPr>
        <w:tc>
          <w:tcPr>
            <w:tcW w:w="0" w:type="auto"/>
            <w:vAlign w:val="center"/>
          </w:tcPr>
          <w:p w14:paraId="6A9B8278"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Florida with Non-Informative Priors</w:t>
            </w:r>
          </w:p>
        </w:tc>
        <w:tc>
          <w:tcPr>
            <w:tcW w:w="0" w:type="auto"/>
            <w:gridSpan w:val="2"/>
            <w:vMerge w:val="restart"/>
            <w:vAlign w:val="center"/>
          </w:tcPr>
          <w:p w14:paraId="6AE92995" w14:textId="77777777" w:rsidR="004F177F" w:rsidRPr="00A6029B" w:rsidRDefault="004F177F" w:rsidP="00E758F2">
            <w:pPr>
              <w:jc w:val="center"/>
              <w:rPr>
                <w:szCs w:val="24"/>
              </w:rPr>
            </w:pPr>
            <w:r w:rsidRPr="00A6029B">
              <w:rPr>
                <w:szCs w:val="24"/>
              </w:rPr>
              <w:t>NA</w:t>
            </w:r>
          </w:p>
        </w:tc>
        <w:tc>
          <w:tcPr>
            <w:tcW w:w="0" w:type="auto"/>
            <w:vAlign w:val="center"/>
          </w:tcPr>
          <w:p w14:paraId="0DED19DD" w14:textId="77777777" w:rsidR="004F177F" w:rsidRPr="00A6029B" w:rsidRDefault="004F177F" w:rsidP="00E758F2">
            <w:pPr>
              <w:jc w:val="center"/>
              <w:rPr>
                <w:color w:val="000000"/>
                <w:szCs w:val="24"/>
              </w:rPr>
            </w:pPr>
            <w:r w:rsidRPr="00A6029B">
              <w:rPr>
                <w:color w:val="000000"/>
                <w:szCs w:val="24"/>
              </w:rPr>
              <w:t>2.384</w:t>
            </w:r>
          </w:p>
        </w:tc>
        <w:tc>
          <w:tcPr>
            <w:tcW w:w="0" w:type="auto"/>
            <w:vAlign w:val="center"/>
          </w:tcPr>
          <w:p w14:paraId="5C05F9F1" w14:textId="77777777" w:rsidR="004F177F" w:rsidRPr="00A6029B" w:rsidRDefault="004F177F" w:rsidP="00E758F2">
            <w:pPr>
              <w:jc w:val="center"/>
              <w:rPr>
                <w:color w:val="000000"/>
                <w:szCs w:val="24"/>
              </w:rPr>
            </w:pPr>
            <w:r w:rsidRPr="00A6029B">
              <w:rPr>
                <w:color w:val="000000"/>
                <w:szCs w:val="24"/>
              </w:rPr>
              <w:t>27.986</w:t>
            </w:r>
          </w:p>
        </w:tc>
      </w:tr>
      <w:tr w:rsidR="004F177F" w:rsidRPr="00A6029B" w14:paraId="53407908" w14:textId="77777777" w:rsidTr="00E758F2">
        <w:trPr>
          <w:jc w:val="center"/>
        </w:trPr>
        <w:tc>
          <w:tcPr>
            <w:tcW w:w="0" w:type="auto"/>
            <w:vAlign w:val="center"/>
          </w:tcPr>
          <w:p w14:paraId="32BB96FD"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Florida with California’s Informative Priors</w:t>
            </w:r>
          </w:p>
        </w:tc>
        <w:tc>
          <w:tcPr>
            <w:tcW w:w="0" w:type="auto"/>
            <w:gridSpan w:val="2"/>
            <w:vMerge/>
            <w:vAlign w:val="center"/>
          </w:tcPr>
          <w:p w14:paraId="619C4964" w14:textId="77777777" w:rsidR="004F177F" w:rsidRPr="00A6029B" w:rsidRDefault="004F177F" w:rsidP="00E758F2">
            <w:pPr>
              <w:jc w:val="center"/>
              <w:rPr>
                <w:szCs w:val="24"/>
              </w:rPr>
            </w:pPr>
          </w:p>
        </w:tc>
        <w:tc>
          <w:tcPr>
            <w:tcW w:w="0" w:type="auto"/>
            <w:vAlign w:val="center"/>
          </w:tcPr>
          <w:p w14:paraId="43B8673B" w14:textId="77777777" w:rsidR="004F177F" w:rsidRPr="00A6029B" w:rsidRDefault="004F177F" w:rsidP="00E758F2">
            <w:pPr>
              <w:jc w:val="center"/>
              <w:rPr>
                <w:color w:val="000000"/>
                <w:szCs w:val="24"/>
              </w:rPr>
            </w:pPr>
            <w:r w:rsidRPr="00A6029B">
              <w:rPr>
                <w:color w:val="000000"/>
                <w:szCs w:val="24"/>
              </w:rPr>
              <w:t>2.134</w:t>
            </w:r>
          </w:p>
        </w:tc>
        <w:tc>
          <w:tcPr>
            <w:tcW w:w="0" w:type="auto"/>
            <w:vAlign w:val="center"/>
          </w:tcPr>
          <w:p w14:paraId="145D1D79" w14:textId="77777777" w:rsidR="004F177F" w:rsidRPr="00A6029B" w:rsidRDefault="004F177F" w:rsidP="00E758F2">
            <w:pPr>
              <w:jc w:val="center"/>
              <w:rPr>
                <w:color w:val="000000"/>
                <w:szCs w:val="24"/>
              </w:rPr>
            </w:pPr>
            <w:r w:rsidRPr="00A6029B">
              <w:rPr>
                <w:color w:val="000000"/>
                <w:szCs w:val="24"/>
              </w:rPr>
              <w:t>20.886</w:t>
            </w:r>
          </w:p>
        </w:tc>
      </w:tr>
      <w:tr w:rsidR="004F177F" w:rsidRPr="00A6029B" w14:paraId="798DAD8D" w14:textId="77777777" w:rsidTr="00E758F2">
        <w:trPr>
          <w:jc w:val="center"/>
        </w:trPr>
        <w:tc>
          <w:tcPr>
            <w:tcW w:w="0" w:type="auto"/>
            <w:vAlign w:val="center"/>
          </w:tcPr>
          <w:p w14:paraId="6B700C15" w14:textId="77777777" w:rsidR="004F177F" w:rsidRPr="00A6029B" w:rsidRDefault="004F177F" w:rsidP="00E758F2">
            <w:pPr>
              <w:jc w:val="center"/>
              <w:rPr>
                <w:rFonts w:eastAsia="Times New Roman" w:cs="Times New Roman"/>
                <w:b/>
                <w:szCs w:val="24"/>
              </w:rPr>
            </w:pPr>
            <w:r w:rsidRPr="00A6029B">
              <w:rPr>
                <w:rFonts w:eastAsia="Times New Roman" w:cs="Times New Roman"/>
                <w:b/>
                <w:szCs w:val="24"/>
              </w:rPr>
              <w:t>California with Non-Informative Priors</w:t>
            </w:r>
          </w:p>
        </w:tc>
        <w:tc>
          <w:tcPr>
            <w:tcW w:w="0" w:type="auto"/>
            <w:vAlign w:val="center"/>
          </w:tcPr>
          <w:p w14:paraId="448C7C36" w14:textId="77777777" w:rsidR="004F177F" w:rsidRPr="00A6029B" w:rsidRDefault="004F177F" w:rsidP="00E758F2">
            <w:pPr>
              <w:jc w:val="center"/>
              <w:rPr>
                <w:color w:val="000000"/>
                <w:szCs w:val="24"/>
              </w:rPr>
            </w:pPr>
            <w:r w:rsidRPr="00A6029B">
              <w:rPr>
                <w:color w:val="000000"/>
                <w:szCs w:val="24"/>
              </w:rPr>
              <w:t>3.294</w:t>
            </w:r>
          </w:p>
        </w:tc>
        <w:tc>
          <w:tcPr>
            <w:tcW w:w="0" w:type="auto"/>
            <w:vAlign w:val="center"/>
          </w:tcPr>
          <w:p w14:paraId="5C8603C0" w14:textId="77777777" w:rsidR="004F177F" w:rsidRPr="00A6029B" w:rsidRDefault="004F177F" w:rsidP="00E758F2">
            <w:pPr>
              <w:jc w:val="center"/>
              <w:rPr>
                <w:color w:val="000000"/>
                <w:szCs w:val="24"/>
              </w:rPr>
            </w:pPr>
            <w:r w:rsidRPr="00A6029B">
              <w:rPr>
                <w:color w:val="000000"/>
                <w:szCs w:val="24"/>
              </w:rPr>
              <w:t>80.938</w:t>
            </w:r>
          </w:p>
        </w:tc>
        <w:tc>
          <w:tcPr>
            <w:tcW w:w="0" w:type="auto"/>
            <w:gridSpan w:val="2"/>
            <w:vMerge w:val="restart"/>
            <w:vAlign w:val="center"/>
          </w:tcPr>
          <w:p w14:paraId="1C4AB851" w14:textId="77777777" w:rsidR="004F177F" w:rsidRPr="00A6029B" w:rsidRDefault="004F177F" w:rsidP="00E758F2">
            <w:pPr>
              <w:jc w:val="center"/>
              <w:rPr>
                <w:szCs w:val="24"/>
              </w:rPr>
            </w:pPr>
            <w:r w:rsidRPr="00A6029B">
              <w:rPr>
                <w:szCs w:val="24"/>
              </w:rPr>
              <w:t>NA</w:t>
            </w:r>
          </w:p>
        </w:tc>
      </w:tr>
      <w:tr w:rsidR="004F177F" w:rsidRPr="00A6029B" w14:paraId="62C9D08B" w14:textId="77777777" w:rsidTr="00E758F2">
        <w:trPr>
          <w:jc w:val="center"/>
        </w:trPr>
        <w:tc>
          <w:tcPr>
            <w:tcW w:w="0" w:type="auto"/>
            <w:tcBorders>
              <w:bottom w:val="double" w:sz="4" w:space="0" w:color="auto"/>
            </w:tcBorders>
            <w:vAlign w:val="center"/>
          </w:tcPr>
          <w:p w14:paraId="4B47E7EB"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color w:val="000000"/>
                <w:szCs w:val="24"/>
              </w:rPr>
              <w:t>California with Florida’s Informative Priors</w:t>
            </w:r>
          </w:p>
        </w:tc>
        <w:tc>
          <w:tcPr>
            <w:tcW w:w="0" w:type="auto"/>
            <w:tcBorders>
              <w:bottom w:val="double" w:sz="4" w:space="0" w:color="auto"/>
            </w:tcBorders>
            <w:vAlign w:val="center"/>
          </w:tcPr>
          <w:p w14:paraId="2098F937" w14:textId="77777777" w:rsidR="004F177F" w:rsidRPr="00A6029B" w:rsidRDefault="004F177F" w:rsidP="00E758F2">
            <w:pPr>
              <w:jc w:val="center"/>
              <w:rPr>
                <w:color w:val="000000"/>
                <w:szCs w:val="24"/>
              </w:rPr>
            </w:pPr>
            <w:r w:rsidRPr="00A6029B">
              <w:rPr>
                <w:color w:val="000000"/>
                <w:szCs w:val="24"/>
              </w:rPr>
              <w:t>3.367</w:t>
            </w:r>
          </w:p>
        </w:tc>
        <w:tc>
          <w:tcPr>
            <w:tcW w:w="0" w:type="auto"/>
            <w:tcBorders>
              <w:bottom w:val="double" w:sz="4" w:space="0" w:color="auto"/>
            </w:tcBorders>
            <w:vAlign w:val="center"/>
          </w:tcPr>
          <w:p w14:paraId="279D7A77" w14:textId="77777777" w:rsidR="004F177F" w:rsidRPr="00A6029B" w:rsidRDefault="004F177F" w:rsidP="00E758F2">
            <w:pPr>
              <w:jc w:val="center"/>
              <w:rPr>
                <w:color w:val="000000"/>
                <w:szCs w:val="24"/>
              </w:rPr>
            </w:pPr>
            <w:r w:rsidRPr="00A6029B">
              <w:rPr>
                <w:color w:val="000000"/>
                <w:szCs w:val="24"/>
              </w:rPr>
              <w:t>70.291</w:t>
            </w:r>
          </w:p>
        </w:tc>
        <w:tc>
          <w:tcPr>
            <w:tcW w:w="0" w:type="auto"/>
            <w:gridSpan w:val="2"/>
            <w:vMerge/>
            <w:tcBorders>
              <w:bottom w:val="double" w:sz="4" w:space="0" w:color="auto"/>
            </w:tcBorders>
            <w:vAlign w:val="center"/>
          </w:tcPr>
          <w:p w14:paraId="5F6FE5A5" w14:textId="77777777" w:rsidR="004F177F" w:rsidRPr="00A6029B" w:rsidRDefault="004F177F" w:rsidP="00E758F2">
            <w:pPr>
              <w:jc w:val="center"/>
              <w:rPr>
                <w:szCs w:val="24"/>
              </w:rPr>
            </w:pPr>
          </w:p>
        </w:tc>
      </w:tr>
      <w:tr w:rsidR="004F177F" w:rsidRPr="00A6029B" w14:paraId="7C7F837D" w14:textId="77777777" w:rsidTr="00E758F2">
        <w:trPr>
          <w:jc w:val="center"/>
        </w:trPr>
        <w:tc>
          <w:tcPr>
            <w:tcW w:w="0" w:type="auto"/>
            <w:tcBorders>
              <w:top w:val="double" w:sz="4" w:space="0" w:color="auto"/>
            </w:tcBorders>
            <w:vAlign w:val="center"/>
          </w:tcPr>
          <w:p w14:paraId="73524A05"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szCs w:val="24"/>
              </w:rPr>
              <w:t>SPF of KAB Crashes</w:t>
            </w:r>
          </w:p>
        </w:tc>
        <w:tc>
          <w:tcPr>
            <w:tcW w:w="0" w:type="auto"/>
            <w:gridSpan w:val="4"/>
            <w:tcBorders>
              <w:top w:val="double" w:sz="4" w:space="0" w:color="auto"/>
            </w:tcBorders>
            <w:vAlign w:val="center"/>
          </w:tcPr>
          <w:p w14:paraId="36EEA6BD" w14:textId="77777777" w:rsidR="004F177F" w:rsidRPr="00A6029B" w:rsidRDefault="004F177F" w:rsidP="00E758F2">
            <w:pPr>
              <w:jc w:val="center"/>
              <w:rPr>
                <w:szCs w:val="24"/>
              </w:rPr>
            </w:pPr>
          </w:p>
        </w:tc>
      </w:tr>
      <w:tr w:rsidR="004F177F" w:rsidRPr="00A6029B" w14:paraId="76DE5AAE" w14:textId="77777777" w:rsidTr="00E758F2">
        <w:trPr>
          <w:jc w:val="center"/>
        </w:trPr>
        <w:tc>
          <w:tcPr>
            <w:tcW w:w="0" w:type="auto"/>
            <w:vAlign w:val="center"/>
          </w:tcPr>
          <w:p w14:paraId="42E442A7"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szCs w:val="24"/>
              </w:rPr>
              <w:t>Florida with Non-Informative Priors</w:t>
            </w:r>
          </w:p>
        </w:tc>
        <w:tc>
          <w:tcPr>
            <w:tcW w:w="0" w:type="auto"/>
            <w:gridSpan w:val="2"/>
            <w:vMerge w:val="restart"/>
            <w:vAlign w:val="center"/>
          </w:tcPr>
          <w:p w14:paraId="49DDDE67" w14:textId="77777777" w:rsidR="004F177F" w:rsidRPr="00A6029B" w:rsidRDefault="004F177F" w:rsidP="00E758F2">
            <w:pPr>
              <w:jc w:val="center"/>
              <w:rPr>
                <w:szCs w:val="24"/>
              </w:rPr>
            </w:pPr>
            <w:r w:rsidRPr="00A6029B">
              <w:rPr>
                <w:szCs w:val="24"/>
              </w:rPr>
              <w:t>NA</w:t>
            </w:r>
          </w:p>
        </w:tc>
        <w:tc>
          <w:tcPr>
            <w:tcW w:w="0" w:type="auto"/>
            <w:vAlign w:val="center"/>
          </w:tcPr>
          <w:p w14:paraId="5FA9F82C" w14:textId="77777777" w:rsidR="004F177F" w:rsidRPr="00A6029B" w:rsidRDefault="004F177F" w:rsidP="00E758F2">
            <w:pPr>
              <w:jc w:val="center"/>
              <w:rPr>
                <w:color w:val="000000"/>
                <w:szCs w:val="24"/>
              </w:rPr>
            </w:pPr>
            <w:r w:rsidRPr="00A6029B">
              <w:rPr>
                <w:color w:val="000000"/>
                <w:szCs w:val="24"/>
              </w:rPr>
              <w:t>0.619</w:t>
            </w:r>
          </w:p>
        </w:tc>
        <w:tc>
          <w:tcPr>
            <w:tcW w:w="0" w:type="auto"/>
            <w:vAlign w:val="center"/>
          </w:tcPr>
          <w:p w14:paraId="16A29943" w14:textId="77777777" w:rsidR="004F177F" w:rsidRPr="00A6029B" w:rsidRDefault="004F177F" w:rsidP="00E758F2">
            <w:pPr>
              <w:jc w:val="center"/>
              <w:rPr>
                <w:color w:val="000000"/>
                <w:szCs w:val="24"/>
              </w:rPr>
            </w:pPr>
            <w:r w:rsidRPr="00A6029B">
              <w:rPr>
                <w:color w:val="000000"/>
                <w:szCs w:val="24"/>
              </w:rPr>
              <w:t>1.073</w:t>
            </w:r>
          </w:p>
        </w:tc>
      </w:tr>
      <w:tr w:rsidR="004F177F" w:rsidRPr="00A6029B" w14:paraId="3E4BDDDF" w14:textId="77777777" w:rsidTr="00E758F2">
        <w:trPr>
          <w:jc w:val="center"/>
        </w:trPr>
        <w:tc>
          <w:tcPr>
            <w:tcW w:w="0" w:type="auto"/>
            <w:vAlign w:val="center"/>
          </w:tcPr>
          <w:p w14:paraId="4B49C005"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szCs w:val="24"/>
              </w:rPr>
              <w:t>Florida with California’s Informative Priors</w:t>
            </w:r>
          </w:p>
        </w:tc>
        <w:tc>
          <w:tcPr>
            <w:tcW w:w="0" w:type="auto"/>
            <w:gridSpan w:val="2"/>
            <w:vMerge/>
            <w:vAlign w:val="center"/>
          </w:tcPr>
          <w:p w14:paraId="67584E90" w14:textId="77777777" w:rsidR="004F177F" w:rsidRPr="00A6029B" w:rsidRDefault="004F177F" w:rsidP="00E758F2">
            <w:pPr>
              <w:jc w:val="center"/>
              <w:rPr>
                <w:szCs w:val="24"/>
              </w:rPr>
            </w:pPr>
          </w:p>
        </w:tc>
        <w:tc>
          <w:tcPr>
            <w:tcW w:w="0" w:type="auto"/>
            <w:vAlign w:val="center"/>
          </w:tcPr>
          <w:p w14:paraId="41CAE6D8" w14:textId="77777777" w:rsidR="004F177F" w:rsidRPr="00A6029B" w:rsidRDefault="004F177F" w:rsidP="00E758F2">
            <w:pPr>
              <w:jc w:val="center"/>
              <w:rPr>
                <w:color w:val="000000"/>
                <w:szCs w:val="24"/>
              </w:rPr>
            </w:pPr>
            <w:r w:rsidRPr="00A6029B">
              <w:rPr>
                <w:color w:val="000000"/>
                <w:szCs w:val="24"/>
              </w:rPr>
              <w:t>0.613</w:t>
            </w:r>
          </w:p>
        </w:tc>
        <w:tc>
          <w:tcPr>
            <w:tcW w:w="0" w:type="auto"/>
            <w:vAlign w:val="center"/>
          </w:tcPr>
          <w:p w14:paraId="2006C1F7" w14:textId="77777777" w:rsidR="004F177F" w:rsidRPr="00A6029B" w:rsidRDefault="004F177F" w:rsidP="00E758F2">
            <w:pPr>
              <w:jc w:val="center"/>
              <w:rPr>
                <w:color w:val="000000"/>
                <w:szCs w:val="24"/>
              </w:rPr>
            </w:pPr>
            <w:r w:rsidRPr="00A6029B">
              <w:rPr>
                <w:color w:val="000000"/>
                <w:szCs w:val="24"/>
              </w:rPr>
              <w:t>0.935</w:t>
            </w:r>
          </w:p>
        </w:tc>
      </w:tr>
      <w:tr w:rsidR="004F177F" w:rsidRPr="00A6029B" w14:paraId="4280E0C9" w14:textId="77777777" w:rsidTr="00E758F2">
        <w:trPr>
          <w:jc w:val="center"/>
        </w:trPr>
        <w:tc>
          <w:tcPr>
            <w:tcW w:w="0" w:type="auto"/>
            <w:vAlign w:val="center"/>
          </w:tcPr>
          <w:p w14:paraId="7F8B963D"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szCs w:val="24"/>
              </w:rPr>
              <w:t>California with Non-Informative Priors</w:t>
            </w:r>
          </w:p>
        </w:tc>
        <w:tc>
          <w:tcPr>
            <w:tcW w:w="0" w:type="auto"/>
            <w:vAlign w:val="center"/>
          </w:tcPr>
          <w:p w14:paraId="290FA762" w14:textId="77777777" w:rsidR="004F177F" w:rsidRPr="00A6029B" w:rsidRDefault="004F177F" w:rsidP="00E758F2">
            <w:pPr>
              <w:jc w:val="center"/>
              <w:rPr>
                <w:color w:val="000000"/>
                <w:szCs w:val="24"/>
              </w:rPr>
            </w:pPr>
            <w:r w:rsidRPr="00A6029B">
              <w:rPr>
                <w:color w:val="000000"/>
                <w:szCs w:val="24"/>
              </w:rPr>
              <w:t>0.820</w:t>
            </w:r>
          </w:p>
        </w:tc>
        <w:tc>
          <w:tcPr>
            <w:tcW w:w="0" w:type="auto"/>
            <w:vAlign w:val="center"/>
          </w:tcPr>
          <w:p w14:paraId="589532F1" w14:textId="77777777" w:rsidR="004F177F" w:rsidRPr="00A6029B" w:rsidRDefault="004F177F" w:rsidP="00E758F2">
            <w:pPr>
              <w:jc w:val="center"/>
              <w:rPr>
                <w:color w:val="000000"/>
                <w:szCs w:val="24"/>
              </w:rPr>
            </w:pPr>
            <w:r w:rsidRPr="00A6029B">
              <w:rPr>
                <w:color w:val="000000"/>
                <w:szCs w:val="24"/>
              </w:rPr>
              <w:t>2.777</w:t>
            </w:r>
          </w:p>
        </w:tc>
        <w:tc>
          <w:tcPr>
            <w:tcW w:w="0" w:type="auto"/>
            <w:gridSpan w:val="2"/>
            <w:vMerge w:val="restart"/>
            <w:vAlign w:val="center"/>
          </w:tcPr>
          <w:p w14:paraId="6ED0274E" w14:textId="77777777" w:rsidR="004F177F" w:rsidRPr="00A6029B" w:rsidRDefault="004F177F" w:rsidP="00E758F2">
            <w:pPr>
              <w:jc w:val="center"/>
              <w:rPr>
                <w:szCs w:val="24"/>
              </w:rPr>
            </w:pPr>
            <w:r w:rsidRPr="00A6029B">
              <w:rPr>
                <w:szCs w:val="24"/>
              </w:rPr>
              <w:t>NA</w:t>
            </w:r>
          </w:p>
        </w:tc>
      </w:tr>
      <w:tr w:rsidR="004F177F" w:rsidRPr="00A6029B" w14:paraId="2443AE96" w14:textId="77777777" w:rsidTr="00E758F2">
        <w:trPr>
          <w:jc w:val="center"/>
        </w:trPr>
        <w:tc>
          <w:tcPr>
            <w:tcW w:w="0" w:type="auto"/>
            <w:vAlign w:val="center"/>
          </w:tcPr>
          <w:p w14:paraId="653C45D3" w14:textId="77777777" w:rsidR="004F177F" w:rsidRPr="00A6029B" w:rsidRDefault="004F177F" w:rsidP="00E758F2">
            <w:pPr>
              <w:jc w:val="center"/>
              <w:rPr>
                <w:rFonts w:eastAsia="Times New Roman" w:cs="Times New Roman"/>
                <w:b/>
                <w:color w:val="000000"/>
                <w:szCs w:val="24"/>
              </w:rPr>
            </w:pPr>
            <w:r w:rsidRPr="00A6029B">
              <w:rPr>
                <w:rFonts w:eastAsia="Times New Roman" w:cs="Times New Roman"/>
                <w:b/>
                <w:color w:val="000000"/>
                <w:szCs w:val="24"/>
              </w:rPr>
              <w:t>California with Florida’s Informative Priors</w:t>
            </w:r>
          </w:p>
        </w:tc>
        <w:tc>
          <w:tcPr>
            <w:tcW w:w="0" w:type="auto"/>
            <w:vAlign w:val="center"/>
          </w:tcPr>
          <w:p w14:paraId="544FA271" w14:textId="77777777" w:rsidR="004F177F" w:rsidRPr="00A6029B" w:rsidRDefault="004F177F" w:rsidP="00E758F2">
            <w:pPr>
              <w:jc w:val="center"/>
              <w:rPr>
                <w:color w:val="000000"/>
                <w:szCs w:val="24"/>
              </w:rPr>
            </w:pPr>
            <w:r w:rsidRPr="00A6029B">
              <w:rPr>
                <w:color w:val="000000"/>
                <w:szCs w:val="24"/>
              </w:rPr>
              <w:t>0.808</w:t>
            </w:r>
          </w:p>
        </w:tc>
        <w:tc>
          <w:tcPr>
            <w:tcW w:w="0" w:type="auto"/>
            <w:vAlign w:val="center"/>
          </w:tcPr>
          <w:p w14:paraId="0E17AD62" w14:textId="77777777" w:rsidR="004F177F" w:rsidRPr="00A6029B" w:rsidRDefault="004F177F" w:rsidP="00E758F2">
            <w:pPr>
              <w:jc w:val="center"/>
              <w:rPr>
                <w:color w:val="000000"/>
                <w:szCs w:val="24"/>
              </w:rPr>
            </w:pPr>
            <w:r w:rsidRPr="00A6029B">
              <w:rPr>
                <w:color w:val="000000"/>
                <w:szCs w:val="24"/>
              </w:rPr>
              <w:t>2.079</w:t>
            </w:r>
          </w:p>
        </w:tc>
        <w:tc>
          <w:tcPr>
            <w:tcW w:w="0" w:type="auto"/>
            <w:gridSpan w:val="2"/>
            <w:vMerge/>
            <w:vAlign w:val="center"/>
          </w:tcPr>
          <w:p w14:paraId="3D634465" w14:textId="77777777" w:rsidR="004F177F" w:rsidRPr="00A6029B" w:rsidRDefault="004F177F" w:rsidP="00E758F2">
            <w:pPr>
              <w:jc w:val="center"/>
              <w:rPr>
                <w:szCs w:val="24"/>
              </w:rPr>
            </w:pPr>
          </w:p>
        </w:tc>
      </w:tr>
    </w:tbl>
    <w:p w14:paraId="47B49C42" w14:textId="5CDD5CDC" w:rsidR="00DE5E0F" w:rsidRDefault="00DE5E0F" w:rsidP="004F177F">
      <w:pPr>
        <w:jc w:val="center"/>
      </w:pPr>
    </w:p>
    <w:p w14:paraId="1AD0F423" w14:textId="71B1A930" w:rsidR="00965986" w:rsidRPr="00403E0E" w:rsidRDefault="00965986" w:rsidP="00965986">
      <w:pPr>
        <w:pStyle w:val="Heading2"/>
        <w:rPr>
          <w:b/>
        </w:rPr>
      </w:pPr>
      <w:r w:rsidRPr="00403E0E">
        <w:rPr>
          <w:b/>
        </w:rPr>
        <w:t>Remarks on the SPFs with Non-Informative Priors</w:t>
      </w:r>
    </w:p>
    <w:p w14:paraId="5D329836" w14:textId="33CF1DC1" w:rsidR="004B626A" w:rsidRPr="00910E3A" w:rsidRDefault="00AE7538" w:rsidP="00207165">
      <w:r w:rsidRPr="00910E3A">
        <w:t>The AADT is associated with crash occurrence as can be shown in</w:t>
      </w:r>
      <w:r w:rsidR="00726F9C">
        <w:t xml:space="preserve"> Tables 2 and 4</w:t>
      </w:r>
      <w:r w:rsidR="00251943" w:rsidRPr="00910E3A">
        <w:t>.</w:t>
      </w:r>
      <w:r w:rsidR="00691B34" w:rsidRPr="00910E3A">
        <w:t xml:space="preserve"> The relationship is nearly linear for California.</w:t>
      </w:r>
      <w:r w:rsidR="00251943" w:rsidRPr="00910E3A">
        <w:t xml:space="preserve"> </w:t>
      </w:r>
      <w:r w:rsidR="005E231F">
        <w:t>Also, it is worth noting that several types of SPF specifications are attempted besides the model structure of Equation (5). In addition to the natural log transformation of the AADT, the lane width, shoulder width and median width variables are included as independent variables. However, the Bayesian credible interval includes 0 for these variables’ values prompting the</w:t>
      </w:r>
      <w:r w:rsidR="00207165">
        <w:t xml:space="preserve"> variables’</w:t>
      </w:r>
      <w:r w:rsidR="005E231F">
        <w:t xml:space="preserve"> removal.</w:t>
      </w:r>
    </w:p>
    <w:p w14:paraId="790643FA" w14:textId="77777777" w:rsidR="00193E56" w:rsidRPr="00403E0E" w:rsidRDefault="00193E56" w:rsidP="00447AF0">
      <w:pPr>
        <w:pStyle w:val="Heading2"/>
        <w:rPr>
          <w:b/>
        </w:rPr>
      </w:pPr>
      <w:r w:rsidRPr="00403E0E">
        <w:rPr>
          <w:b/>
        </w:rPr>
        <w:t>Remarks on the SPFs with Informative Priors</w:t>
      </w:r>
    </w:p>
    <w:p w14:paraId="6B2A44F3" w14:textId="77777777" w:rsidR="00207165" w:rsidRDefault="00207165" w:rsidP="00207165">
      <w:r>
        <w:t xml:space="preserve">When applying a state’s KABCO crash SPF to another state while borrowing the latter state’s independent variable values as </w:t>
      </w:r>
      <w:r w:rsidRPr="00910E3A">
        <w:t xml:space="preserve">informative priors </w:t>
      </w:r>
      <w:r>
        <w:t>improves the GOF relative to applying the former state’s SPF with non-informative priors to the latter state as shown in Table 6</w:t>
      </w:r>
      <w:r w:rsidRPr="00910E3A">
        <w:t xml:space="preserve">. </w:t>
      </w:r>
      <w:r>
        <w:t>Florida’s KABCO crash SPF with informative priors from California exhibits a lower MAD and MSPE than that with non-informative priors when both SPFs are applied to California. On the other hand, C</w:t>
      </w:r>
      <w:r w:rsidRPr="00DE5E0F">
        <w:rPr>
          <w:szCs w:val="24"/>
        </w:rPr>
        <w:t>alifornia’s KABCO SPF with Florida’s informative priors outperforms its respective SPF with non-informative priors when both SPFs are applied to Florida. Even though, the MAD increased by 0.073 (3.294 to 3.367), the MSPE dropped considerably by 10.647 (</w:t>
      </w:r>
      <w:r w:rsidRPr="00DE5E0F">
        <w:rPr>
          <w:color w:val="000000"/>
          <w:szCs w:val="24"/>
        </w:rPr>
        <w:t>80.938 to 70.291</w:t>
      </w:r>
      <w:r w:rsidRPr="00DE5E0F">
        <w:rPr>
          <w:szCs w:val="24"/>
        </w:rPr>
        <w:t>). The MSPE is a more effective measure than the MAD since the MSPE is more sensitive to large</w:t>
      </w:r>
      <w:r>
        <w:t xml:space="preserve"> residuals, which are deviations between observed and predicted crash counts needed for calculation of both measures. </w:t>
      </w:r>
      <w:r w:rsidRPr="00910E3A">
        <w:t xml:space="preserve">It </w:t>
      </w:r>
      <w:r>
        <w:t>i</w:t>
      </w:r>
      <w:r w:rsidRPr="00910E3A">
        <w:t xml:space="preserve">s demonstrated in the SPF transferability study by </w:t>
      </w:r>
      <w:proofErr w:type="spellStart"/>
      <w:r w:rsidRPr="00910E3A">
        <w:t>Farid</w:t>
      </w:r>
      <w:proofErr w:type="spellEnd"/>
      <w:r w:rsidRPr="00910E3A">
        <w:t xml:space="preserve"> et al. </w:t>
      </w:r>
      <w:r w:rsidRPr="006C1AD5">
        <w:rPr>
          <w:iCs/>
        </w:rPr>
        <w:t>(</w:t>
      </w:r>
      <w:r>
        <w:rPr>
          <w:iCs/>
        </w:rPr>
        <w:t>2016</w:t>
      </w:r>
      <w:r w:rsidRPr="006C1AD5">
        <w:rPr>
          <w:iCs/>
        </w:rPr>
        <w:t>)</w:t>
      </w:r>
      <w:r w:rsidRPr="00910E3A">
        <w:t xml:space="preserve"> that Florida’s SPFs</w:t>
      </w:r>
      <w:r>
        <w:t>, for crashes involving at least two vehicles,</w:t>
      </w:r>
      <w:r w:rsidRPr="00910E3A">
        <w:t xml:space="preserve"> are</w:t>
      </w:r>
      <w:r>
        <w:t xml:space="preserve"> to an extent</w:t>
      </w:r>
      <w:r w:rsidRPr="00910E3A">
        <w:t xml:space="preserve"> transferable to </w:t>
      </w:r>
      <w:r>
        <w:t>California</w:t>
      </w:r>
      <w:r w:rsidRPr="00910E3A">
        <w:t xml:space="preserve"> and vice versa possibly due to </w:t>
      </w:r>
      <w:r>
        <w:t>similarities</w:t>
      </w:r>
      <w:r w:rsidRPr="00910E3A">
        <w:t xml:space="preserve"> in demographics, topography and weather conditions in both states. Florida </w:t>
      </w:r>
      <w:r>
        <w:t>and California are characterized by tourism even though Florida experiences more rainfall than California</w:t>
      </w:r>
      <w:r w:rsidRPr="00910E3A">
        <w:t>.</w:t>
      </w:r>
      <w:r>
        <w:t xml:space="preserve"> In addition,</w:t>
      </w:r>
      <w:r w:rsidRPr="00910E3A">
        <w:t xml:space="preserve"> </w:t>
      </w:r>
      <w:r>
        <w:t>it is critical to note the</w:t>
      </w:r>
      <w:r w:rsidRPr="00910E3A">
        <w:t xml:space="preserve"> unobserved difference attributed to crash reporting thresholds in both states. The thresholds in Florida and </w:t>
      </w:r>
      <w:r>
        <w:t>California</w:t>
      </w:r>
      <w:r w:rsidRPr="00910E3A">
        <w:t xml:space="preserve"> are $500 </w:t>
      </w:r>
      <w:r w:rsidRPr="006C1AD5">
        <w:rPr>
          <w:iCs/>
        </w:rPr>
        <w:t>(</w:t>
      </w:r>
      <w:r>
        <w:rPr>
          <w:iCs/>
        </w:rPr>
        <w:t>Florida Statutes</w:t>
      </w:r>
      <w:r w:rsidRPr="006C1AD5">
        <w:rPr>
          <w:iCs/>
        </w:rPr>
        <w:t>)</w:t>
      </w:r>
      <w:r w:rsidRPr="00910E3A">
        <w:t xml:space="preserve"> and $</w:t>
      </w:r>
      <w:r>
        <w:t>750</w:t>
      </w:r>
      <w:r w:rsidRPr="00910E3A">
        <w:t xml:space="preserve"> </w:t>
      </w:r>
      <w:r w:rsidRPr="007206CA">
        <w:rPr>
          <w:iCs/>
        </w:rPr>
        <w:t>(</w:t>
      </w:r>
      <w:proofErr w:type="spellStart"/>
      <w:r w:rsidRPr="007206CA">
        <w:rPr>
          <w:iCs/>
        </w:rPr>
        <w:t>Xie</w:t>
      </w:r>
      <w:proofErr w:type="spellEnd"/>
      <w:r w:rsidRPr="007206CA">
        <w:rPr>
          <w:iCs/>
        </w:rPr>
        <w:t xml:space="preserve"> et al., 2011)</w:t>
      </w:r>
      <w:r w:rsidRPr="00910E3A">
        <w:t xml:space="preserve"> worth of damage to property</w:t>
      </w:r>
      <w:r>
        <w:t>,</w:t>
      </w:r>
      <w:r w:rsidRPr="00910E3A">
        <w:t xml:space="preserve"> respectively.</w:t>
      </w:r>
    </w:p>
    <w:p w14:paraId="4FA419D5" w14:textId="77777777" w:rsidR="00207165" w:rsidRDefault="00207165" w:rsidP="00207165">
      <w:r>
        <w:t xml:space="preserve">The KAB crash SPF results are consistent with those of KABCO crash SPFs. The MADs and MSPEs are reduced when applying Florida’s KAB crash SPF with California’s informative priors to California compared with applying Florida’s KAB crash SPF with non-informative </w:t>
      </w:r>
      <w:r>
        <w:lastRenderedPageBreak/>
        <w:t>priors to California. On the other hand, assigning Florida’s independent variables as informative priors to the California KAB crash SPF and applying the SPF to Florida improves the GOF values relative to applying the California KAB crash SPF with non-informative priors to Florida. Nevertheless, it is crucial to mention that differences in reporting thresholds affect the count of KABCO crash records but are highly unlikely to affect those of KAB crashes.</w:t>
      </w:r>
    </w:p>
    <w:p w14:paraId="293AE67F" w14:textId="5C73FA14" w:rsidR="00856C7B" w:rsidRDefault="00856C7B" w:rsidP="00382739">
      <w:pPr>
        <w:spacing w:after="0"/>
      </w:pPr>
    </w:p>
    <w:p w14:paraId="1CEFE809" w14:textId="10D4AAF6" w:rsidR="00F71667" w:rsidRPr="00382739" w:rsidRDefault="00502845" w:rsidP="00F71667">
      <w:pPr>
        <w:pStyle w:val="Heading1"/>
      </w:pPr>
      <w:r w:rsidRPr="00382739">
        <w:t xml:space="preserve">Summary and </w:t>
      </w:r>
      <w:r w:rsidR="00F71667" w:rsidRPr="00382739">
        <w:t>Conclusions</w:t>
      </w:r>
      <w:r w:rsidR="00DC2060">
        <w:br/>
      </w:r>
    </w:p>
    <w:p w14:paraId="6BD41C1E" w14:textId="37166661" w:rsidR="00207165" w:rsidRDefault="00B9702F" w:rsidP="00207165">
      <w:r w:rsidRPr="00910E3A">
        <w:t xml:space="preserve">Employing informative priors for modeling crash frequencies is an area that is </w:t>
      </w:r>
      <w:r w:rsidR="00DF700D">
        <w:t>explored to a</w:t>
      </w:r>
      <w:r w:rsidR="00DF700D" w:rsidRPr="00910E3A">
        <w:t xml:space="preserve"> </w:t>
      </w:r>
      <w:r w:rsidRPr="00910E3A">
        <w:t xml:space="preserve">limited </w:t>
      </w:r>
      <w:r w:rsidR="00DF700D">
        <w:t>extent</w:t>
      </w:r>
      <w:r w:rsidRPr="00910E3A">
        <w:t xml:space="preserve">. </w:t>
      </w:r>
      <w:r w:rsidR="008A1559">
        <w:t>R</w:t>
      </w:r>
      <w:r w:rsidRPr="00910E3A">
        <w:t xml:space="preserve">ecent studies contribute to </w:t>
      </w:r>
      <w:r w:rsidR="008A1559">
        <w:t xml:space="preserve">the </w:t>
      </w:r>
      <w:r w:rsidRPr="00910E3A">
        <w:t xml:space="preserve">solution of </w:t>
      </w:r>
      <w:r w:rsidR="00180CE2" w:rsidRPr="00910E3A">
        <w:t xml:space="preserve">accurately </w:t>
      </w:r>
      <w:r w:rsidRPr="00910E3A">
        <w:t>estimating crashes</w:t>
      </w:r>
      <w:r w:rsidR="00180CE2" w:rsidRPr="00910E3A">
        <w:t xml:space="preserve"> </w:t>
      </w:r>
      <w:r w:rsidRPr="00910E3A">
        <w:t xml:space="preserve">with data having limited sample sizes by the application of informative priors within </w:t>
      </w:r>
      <w:r w:rsidR="00A20787">
        <w:t xml:space="preserve">the </w:t>
      </w:r>
      <w:r w:rsidR="00DE5E0F">
        <w:t xml:space="preserve">context of the </w:t>
      </w:r>
      <w:r w:rsidRPr="00910E3A">
        <w:t xml:space="preserve">Bayesian inference. In our study, </w:t>
      </w:r>
      <w:r w:rsidR="004337F5" w:rsidRPr="00910E3A">
        <w:t xml:space="preserve">the use of informative priors from Florida and California is tested where each state is assigned the priors of the </w:t>
      </w:r>
      <w:r w:rsidR="006256C7">
        <w:t xml:space="preserve">other </w:t>
      </w:r>
      <w:r w:rsidR="004337F5" w:rsidRPr="00910E3A">
        <w:t>state.</w:t>
      </w:r>
      <w:r w:rsidR="00FA2E76">
        <w:t xml:space="preserve"> </w:t>
      </w:r>
      <w:r w:rsidR="00207165">
        <w:t>When transferring an SPF from one jurisdiction to another, borrowing informative priors from the latter</w:t>
      </w:r>
      <w:r w:rsidR="00DE5E0F">
        <w:t>,</w:t>
      </w:r>
      <w:r w:rsidR="00207165">
        <w:t xml:space="preserve"> when developing the SPF for the former</w:t>
      </w:r>
      <w:r w:rsidR="00DE5E0F">
        <w:t>,</w:t>
      </w:r>
      <w:r w:rsidR="00207165">
        <w:t xml:space="preserve"> facilitates the transferability of the developed SPF to the latter. The Florida KABCO crash SPF with California’s priors exhibits</w:t>
      </w:r>
      <w:r w:rsidR="00DE5E0F">
        <w:t xml:space="preserve"> a</w:t>
      </w:r>
      <w:r w:rsidR="00207165">
        <w:t xml:space="preserve"> better GOF than the Florida SPF with non-informative priors when both SPFs are applied to California. The opposite is also true. The crash predictions of California’s KABCO SPF with Florida’s informative priors</w:t>
      </w:r>
      <w:r w:rsidR="00DE5E0F">
        <w:t>,</w:t>
      </w:r>
      <w:r w:rsidR="00207165">
        <w:t xml:space="preserve"> applied to Florida’s conditions, are more accurate than those of California’s KABCO SPF with non-informative priors</w:t>
      </w:r>
      <w:r w:rsidR="00DE5E0F">
        <w:t xml:space="preserve"> applied to Florida’s conditions</w:t>
      </w:r>
      <w:r w:rsidR="00207165">
        <w:t>.</w:t>
      </w:r>
    </w:p>
    <w:p w14:paraId="3AA55AAB" w14:textId="29841918" w:rsidR="003B4625" w:rsidRPr="00910E3A" w:rsidRDefault="00207165" w:rsidP="0046371B">
      <w:r>
        <w:t xml:space="preserve">The KAB crash SPF results are consistent with those of KABCO crash SPFs. Florida’s KAB crash SPF with California’s informative priors demonstrates better performance when applied to California’s conditions compared to Florida’s KAB crash SPF with non-informative priors </w:t>
      </w:r>
      <w:r w:rsidR="001C5A09">
        <w:t xml:space="preserve">applied </w:t>
      </w:r>
      <w:r>
        <w:t xml:space="preserve">to California’s conditions. Also, the GOF results are improved when applying the California KAB SPF with Florida’s informative priors to Florida relative to applying California’s KAB SPF with non-informative priors to Florida. </w:t>
      </w:r>
      <w:r w:rsidRPr="00910E3A">
        <w:t xml:space="preserve">Ultimately, the findings of this study </w:t>
      </w:r>
      <w:r>
        <w:t xml:space="preserve">indicate </w:t>
      </w:r>
      <w:r w:rsidRPr="00910E3A">
        <w:t>that when developing SPFs, roadway agencies</w:t>
      </w:r>
      <w:r>
        <w:t>, lacking staff with expertise,</w:t>
      </w:r>
      <w:r w:rsidRPr="00910E3A">
        <w:t xml:space="preserve"> may </w:t>
      </w:r>
      <w:r w:rsidR="0046371B">
        <w:t>provide available data for another region’s municipality to extract the</w:t>
      </w:r>
      <w:r w:rsidRPr="00910E3A">
        <w:t xml:space="preserve"> informative priors</w:t>
      </w:r>
      <w:r w:rsidR="0046371B">
        <w:t>. The municipality, elsewhere, may develop SPFs with the priors, extracted,</w:t>
      </w:r>
      <w:r w:rsidRPr="00910E3A">
        <w:t xml:space="preserve"> </w:t>
      </w:r>
      <w:r w:rsidR="0046371B">
        <w:t xml:space="preserve">and transfer the SPFs to the locality of roadway agencies. Preferably, the agencies would provide their data to municipalities of </w:t>
      </w:r>
      <w:r w:rsidRPr="00910E3A">
        <w:t>regions with similar roadway design</w:t>
      </w:r>
      <w:r>
        <w:t xml:space="preserve"> characteristics</w:t>
      </w:r>
      <w:r w:rsidRPr="00910E3A">
        <w:t>,</w:t>
      </w:r>
      <w:r>
        <w:t xml:space="preserve"> weather trends,</w:t>
      </w:r>
      <w:r w:rsidRPr="00910E3A">
        <w:t xml:space="preserve"> demographic</w:t>
      </w:r>
      <w:r>
        <w:t>s</w:t>
      </w:r>
      <w:r w:rsidRPr="00910E3A">
        <w:t xml:space="preserve"> </w:t>
      </w:r>
      <w:r>
        <w:t>and topographic characteristics</w:t>
      </w:r>
      <w:r w:rsidRPr="00910E3A">
        <w:t>.</w:t>
      </w:r>
    </w:p>
    <w:p w14:paraId="68F0C9B9" w14:textId="458B38D4" w:rsidR="003B7C05" w:rsidRDefault="001856F3" w:rsidP="00E86FCB">
      <w:pPr>
        <w:spacing w:after="0"/>
      </w:pPr>
      <w:r w:rsidRPr="00910E3A">
        <w:t xml:space="preserve">It is imperative to </w:t>
      </w:r>
      <w:r w:rsidR="00915579">
        <w:t>discuss the future work to build upon this study</w:t>
      </w:r>
      <w:r w:rsidRPr="00910E3A">
        <w:t xml:space="preserve">. </w:t>
      </w:r>
      <w:r w:rsidR="00CC1CF2" w:rsidRPr="00910E3A">
        <w:t>The analysis</w:t>
      </w:r>
      <w:r w:rsidR="004952A2">
        <w:t>,</w:t>
      </w:r>
      <w:r w:rsidR="00CC1CF2" w:rsidRPr="00910E3A">
        <w:t xml:space="preserve"> undertaken</w:t>
      </w:r>
      <w:r w:rsidR="004952A2">
        <w:t>,</w:t>
      </w:r>
      <w:r w:rsidR="00CC1CF2" w:rsidRPr="00910E3A">
        <w:t xml:space="preserve"> is for distant states specifically for rural divided multilane highways.</w:t>
      </w:r>
      <w:r w:rsidR="0051360C" w:rsidRPr="00910E3A">
        <w:t xml:space="preserve"> The investigation can be conducted for neighbor states and for other types of roadway facilities.</w:t>
      </w:r>
      <w:r w:rsidR="00CC1CF2" w:rsidRPr="00910E3A">
        <w:t xml:space="preserve"> Furthermore, throughout the entire analysis procedure, non-informative priors are assigned to the inverse dispersion parameter even though informative priors are applied for the independent variables.</w:t>
      </w:r>
      <w:r w:rsidR="009D53D1" w:rsidRPr="00910E3A">
        <w:t xml:space="preserve"> Using informative priors for the inverse dispersion parameter</w:t>
      </w:r>
      <w:r w:rsidR="00E86FCB">
        <w:t>,</w:t>
      </w:r>
      <w:r w:rsidR="009D53D1" w:rsidRPr="00910E3A">
        <w:t xml:space="preserve"> obtained from another region’s SPF</w:t>
      </w:r>
      <w:r w:rsidR="00E86FCB">
        <w:t>,</w:t>
      </w:r>
      <w:r w:rsidR="009D53D1" w:rsidRPr="00910E3A">
        <w:t xml:space="preserve"> is a viable option.</w:t>
      </w:r>
      <w:r w:rsidR="00CC1CF2" w:rsidRPr="00910E3A">
        <w:t xml:space="preserve"> </w:t>
      </w:r>
      <w:r w:rsidR="004872AF" w:rsidRPr="00910E3A">
        <w:t>It should</w:t>
      </w:r>
      <w:r w:rsidR="001C5A09">
        <w:t xml:space="preserve"> also</w:t>
      </w:r>
      <w:r w:rsidR="004872AF" w:rsidRPr="00910E3A">
        <w:t xml:space="preserve"> be noted that the HSM’s SPFs’ dispersion parameter for rural divided multilane highway segments is a function with </w:t>
      </w:r>
      <w:r w:rsidR="00E86FCB">
        <w:t>an estimable coefficient</w:t>
      </w:r>
      <w:r w:rsidR="004872AF" w:rsidRPr="00910E3A">
        <w:t xml:space="preserve"> rather than a fixed parameter. That is, every site’s dispersion parameter is different than </w:t>
      </w:r>
      <w:r w:rsidR="00E4120D">
        <w:t xml:space="preserve">that of </w:t>
      </w:r>
      <w:r w:rsidR="004872AF" w:rsidRPr="00910E3A">
        <w:t>the other</w:t>
      </w:r>
      <w:r w:rsidR="00E4120D">
        <w:t xml:space="preserve"> </w:t>
      </w:r>
      <w:r w:rsidR="004872AF" w:rsidRPr="00910E3A">
        <w:t>s</w:t>
      </w:r>
      <w:r w:rsidR="00E4120D">
        <w:t>ites</w:t>
      </w:r>
      <w:r w:rsidR="00531C89">
        <w:t>,</w:t>
      </w:r>
      <w:r w:rsidR="004872AF" w:rsidRPr="00910E3A">
        <w:t xml:space="preserve"> which is not the case of this study.</w:t>
      </w:r>
      <w:r w:rsidR="009D53D1" w:rsidRPr="00910E3A">
        <w:t xml:space="preserve"> Modifying the dispersion parameter structure is a convenient technique to reduce bias. However, care should be taken to avoid including a large number of parameters in the dispersion parameter formula especially if the model size is large </w:t>
      </w:r>
      <w:r w:rsidR="009D53D1" w:rsidRPr="006C1AD5">
        <w:rPr>
          <w:iCs/>
        </w:rPr>
        <w:t>(</w:t>
      </w:r>
      <w:proofErr w:type="spellStart"/>
      <w:r w:rsidR="00C41BB4">
        <w:rPr>
          <w:iCs/>
        </w:rPr>
        <w:t>Mitra</w:t>
      </w:r>
      <w:proofErr w:type="spellEnd"/>
      <w:r w:rsidR="00C41BB4">
        <w:rPr>
          <w:iCs/>
        </w:rPr>
        <w:t xml:space="preserve"> and </w:t>
      </w:r>
      <w:r w:rsidR="00C41BB4">
        <w:rPr>
          <w:iCs/>
        </w:rPr>
        <w:lastRenderedPageBreak/>
        <w:t>Washington, 2007</w:t>
      </w:r>
      <w:r w:rsidR="009D53D1" w:rsidRPr="006C1AD5">
        <w:rPr>
          <w:iCs/>
        </w:rPr>
        <w:t>)</w:t>
      </w:r>
      <w:r w:rsidR="009D53D1" w:rsidRPr="00910E3A">
        <w:t>.</w:t>
      </w:r>
      <w:r w:rsidR="001108CB">
        <w:t xml:space="preserve"> Another issue to caution is the application of </w:t>
      </w:r>
      <w:r w:rsidR="00C71F8B">
        <w:t>uniform</w:t>
      </w:r>
      <w:r w:rsidR="001108CB">
        <w:t xml:space="preserve"> prior</w:t>
      </w:r>
      <w:r w:rsidR="00C71F8B">
        <w:t xml:space="preserve"> di</w:t>
      </w:r>
      <w:r w:rsidR="001108CB">
        <w:t>s</w:t>
      </w:r>
      <w:r w:rsidR="00C71F8B">
        <w:t>tributions, known as diffuse priors,</w:t>
      </w:r>
      <w:r w:rsidR="001108CB">
        <w:t xml:space="preserve"> </w:t>
      </w:r>
      <w:r w:rsidR="00B866C0">
        <w:t xml:space="preserve">because inaccuracies will result in the estimated posterior distributions </w:t>
      </w:r>
      <w:r w:rsidR="00B866C0" w:rsidRPr="006C1AD5">
        <w:t>(</w:t>
      </w:r>
      <w:r w:rsidR="00C41BB4">
        <w:t>Natarajan and McCulloch, 1998</w:t>
      </w:r>
      <w:r w:rsidR="00B866C0" w:rsidRPr="006C1AD5">
        <w:t>)</w:t>
      </w:r>
      <w:r w:rsidR="001108CB">
        <w:t>.</w:t>
      </w:r>
      <w:r w:rsidR="00CC1CF2" w:rsidRPr="00910E3A">
        <w:t xml:space="preserve"> Also, the independent variables used were l</w:t>
      </w:r>
      <w:r w:rsidR="00AA6B91" w:rsidRPr="00910E3A">
        <w:t>imited to the</w:t>
      </w:r>
      <w:r w:rsidR="004952A2">
        <w:t xml:space="preserve"> daily</w:t>
      </w:r>
      <w:r w:rsidR="00E86FCB">
        <w:t xml:space="preserve"> traffic even though the</w:t>
      </w:r>
      <w:r w:rsidR="00AA6B91" w:rsidRPr="00910E3A">
        <w:t xml:space="preserve"> lane width, shoulder width and median width</w:t>
      </w:r>
      <w:r w:rsidR="00E86FCB">
        <w:t xml:space="preserve"> are attempted and exhibit Bayesian intervals that include 0</w:t>
      </w:r>
      <w:r w:rsidR="00CC1CF2" w:rsidRPr="00910E3A">
        <w:t>.</w:t>
      </w:r>
      <w:r w:rsidR="004872AF" w:rsidRPr="00910E3A">
        <w:t xml:space="preserve"> One issue to investigate for future analysis is the addition of more variables suc</w:t>
      </w:r>
      <w:r w:rsidR="00573C1E" w:rsidRPr="00910E3A">
        <w:t>h as the roadside hazard rating</w:t>
      </w:r>
      <w:r w:rsidR="004872AF" w:rsidRPr="00910E3A">
        <w:t xml:space="preserve">, presence of horizontal curvature and street lighting, among others that are </w:t>
      </w:r>
      <w:r w:rsidR="004952A2">
        <w:t xml:space="preserve">not </w:t>
      </w:r>
      <w:r w:rsidR="00E86FCB">
        <w:t xml:space="preserve">necessarily </w:t>
      </w:r>
      <w:r w:rsidR="004952A2">
        <w:t>available in each state</w:t>
      </w:r>
      <w:r w:rsidR="004872AF" w:rsidRPr="00910E3A">
        <w:t xml:space="preserve">. </w:t>
      </w:r>
      <w:r w:rsidR="003F6D36" w:rsidRPr="00910E3A">
        <w:t xml:space="preserve">Another is the inclusion of socio-demographic and topographic </w:t>
      </w:r>
      <w:r w:rsidR="008A1559">
        <w:t>variables</w:t>
      </w:r>
      <w:r w:rsidR="008A1559" w:rsidRPr="00910E3A">
        <w:t xml:space="preserve"> </w:t>
      </w:r>
      <w:r w:rsidR="003F6D36" w:rsidRPr="00910E3A">
        <w:t>since crashes are not only affected by road geometrics</w:t>
      </w:r>
      <w:r w:rsidR="004C0FA9">
        <w:t xml:space="preserve"> </w:t>
      </w:r>
      <w:r w:rsidR="004C0FA9" w:rsidRPr="006C1AD5">
        <w:rPr>
          <w:iCs/>
        </w:rPr>
        <w:t>(</w:t>
      </w:r>
      <w:r w:rsidR="00F418D6">
        <w:rPr>
          <w:iCs/>
        </w:rPr>
        <w:t>Abdel-Aty et al., 2013; Lee et al., 2014</w:t>
      </w:r>
      <w:r w:rsidR="00B677E5">
        <w:rPr>
          <w:iCs/>
        </w:rPr>
        <w:t>a</w:t>
      </w:r>
      <w:r w:rsidR="00F418D6">
        <w:rPr>
          <w:iCs/>
        </w:rPr>
        <w:t>; Lee et al., 2014</w:t>
      </w:r>
      <w:r w:rsidR="00B677E5">
        <w:rPr>
          <w:iCs/>
        </w:rPr>
        <w:t>b</w:t>
      </w:r>
      <w:r w:rsidR="00F418D6">
        <w:rPr>
          <w:iCs/>
        </w:rPr>
        <w:t>; Lee et al., 2015</w:t>
      </w:r>
      <w:r w:rsidR="00B677E5">
        <w:rPr>
          <w:iCs/>
        </w:rPr>
        <w:t>a</w:t>
      </w:r>
      <w:r w:rsidR="00F418D6">
        <w:rPr>
          <w:iCs/>
        </w:rPr>
        <w:t>; Lee et al., 2015</w:t>
      </w:r>
      <w:r w:rsidR="00B677E5">
        <w:rPr>
          <w:iCs/>
        </w:rPr>
        <w:t>b</w:t>
      </w:r>
      <w:r w:rsidR="004C0FA9" w:rsidRPr="006C1AD5">
        <w:rPr>
          <w:iCs/>
        </w:rPr>
        <w:t>)</w:t>
      </w:r>
      <w:r w:rsidR="003F6D36" w:rsidRPr="00910E3A">
        <w:t>.</w:t>
      </w:r>
      <w:r w:rsidR="008C1F27" w:rsidRPr="00910E3A">
        <w:t xml:space="preserve"> Finally, the spatial correlation among crashes can</w:t>
      </w:r>
      <w:r w:rsidR="00573C1E" w:rsidRPr="00910E3A">
        <w:t xml:space="preserve"> and ought to</w:t>
      </w:r>
      <w:r w:rsidR="008C1F27" w:rsidRPr="00910E3A">
        <w:t xml:space="preserve"> be accounted for in future studies </w:t>
      </w:r>
      <w:r w:rsidR="008C1F27" w:rsidRPr="006C1AD5">
        <w:rPr>
          <w:iCs/>
        </w:rPr>
        <w:t>(</w:t>
      </w:r>
      <w:r w:rsidR="00F418D6">
        <w:rPr>
          <w:iCs/>
        </w:rPr>
        <w:t>Ma et al., 2008</w:t>
      </w:r>
      <w:r w:rsidR="008C1F27" w:rsidRPr="006C1AD5">
        <w:rPr>
          <w:iCs/>
        </w:rPr>
        <w:t>)</w:t>
      </w:r>
      <w:r w:rsidR="008C1F27" w:rsidRPr="00910E3A">
        <w:t>.</w:t>
      </w:r>
      <w:r w:rsidR="003F6D36" w:rsidRPr="00910E3A">
        <w:t xml:space="preserve"> </w:t>
      </w:r>
      <w:r w:rsidR="000F74E1">
        <w:br/>
      </w:r>
    </w:p>
    <w:p w14:paraId="2536F928" w14:textId="204A9988" w:rsidR="003B7C05" w:rsidRPr="00342EF5" w:rsidRDefault="00696E72" w:rsidP="00342EF5">
      <w:pPr>
        <w:pStyle w:val="Heading1"/>
      </w:pPr>
      <w:r w:rsidRPr="00342EF5">
        <w:t>Acknowledgments</w:t>
      </w:r>
      <w:r w:rsidR="003B7C05" w:rsidRPr="00342EF5">
        <w:br/>
      </w:r>
    </w:p>
    <w:p w14:paraId="62CF19ED" w14:textId="5CD10321" w:rsidR="00E90696" w:rsidRPr="00910E3A" w:rsidRDefault="00696E72">
      <w:r w:rsidRPr="00910E3A">
        <w:t xml:space="preserve">The authors would like to express their </w:t>
      </w:r>
      <w:r w:rsidRPr="008A1559">
        <w:t>gratitude</w:t>
      </w:r>
      <w:r w:rsidRPr="00910E3A">
        <w:t xml:space="preserve"> </w:t>
      </w:r>
      <w:r w:rsidR="00A609DB" w:rsidRPr="00910E3A">
        <w:t xml:space="preserve">for NCHRP 17-62’s </w:t>
      </w:r>
      <w:r w:rsidR="00097C3F">
        <w:t>funds</w:t>
      </w:r>
      <w:r w:rsidR="00A609DB" w:rsidRPr="00910E3A">
        <w:t xml:space="preserve">. Special thanks are conveyed to </w:t>
      </w:r>
      <w:r w:rsidR="008A1559">
        <w:t xml:space="preserve">the </w:t>
      </w:r>
      <w:r w:rsidR="00A609DB" w:rsidRPr="00910E3A">
        <w:t xml:space="preserve">research team headed by Drs. John Ivan, </w:t>
      </w:r>
      <w:proofErr w:type="spellStart"/>
      <w:r w:rsidR="00A609DB" w:rsidRPr="00910E3A">
        <w:t>Raghavan</w:t>
      </w:r>
      <w:proofErr w:type="spellEnd"/>
      <w:r w:rsidR="00A609DB" w:rsidRPr="00910E3A">
        <w:t xml:space="preserve"> Srinivasan and </w:t>
      </w:r>
      <w:proofErr w:type="spellStart"/>
      <w:r w:rsidR="00A609DB" w:rsidRPr="00910E3A">
        <w:t>Bhagwant</w:t>
      </w:r>
      <w:proofErr w:type="spellEnd"/>
      <w:r w:rsidR="00A609DB" w:rsidRPr="00910E3A">
        <w:t xml:space="preserve"> </w:t>
      </w:r>
      <w:proofErr w:type="spellStart"/>
      <w:r w:rsidR="00A609DB" w:rsidRPr="00910E3A">
        <w:t>Persaud</w:t>
      </w:r>
      <w:proofErr w:type="spellEnd"/>
      <w:r w:rsidR="00A20787">
        <w:t>.</w:t>
      </w:r>
      <w:r w:rsidR="00A609DB" w:rsidRPr="00910E3A">
        <w:t xml:space="preserve"> </w:t>
      </w:r>
      <w:r w:rsidR="00A20787">
        <w:t>All</w:t>
      </w:r>
      <w:r w:rsidR="00526EA6" w:rsidRPr="00910E3A">
        <w:t xml:space="preserve"> </w:t>
      </w:r>
      <w:r w:rsidR="00A20787">
        <w:t>o</w:t>
      </w:r>
      <w:r w:rsidR="00526EA6" w:rsidRPr="00910E3A">
        <w:t>pinions</w:t>
      </w:r>
      <w:r w:rsidR="004D61AE">
        <w:t>,</w:t>
      </w:r>
      <w:r w:rsidR="00526EA6" w:rsidRPr="00910E3A">
        <w:t xml:space="preserve"> </w:t>
      </w:r>
      <w:r w:rsidR="0008439C" w:rsidRPr="00910E3A">
        <w:t xml:space="preserve">stated </w:t>
      </w:r>
      <w:r w:rsidR="00526EA6" w:rsidRPr="00910E3A">
        <w:t>in this manuscript</w:t>
      </w:r>
      <w:r w:rsidR="004D61AE">
        <w:t>,</w:t>
      </w:r>
      <w:r w:rsidR="00526EA6" w:rsidRPr="00910E3A">
        <w:t xml:space="preserve"> are those of the authors only.</w:t>
      </w:r>
      <w:r w:rsidR="003B7C05">
        <w:br/>
      </w:r>
    </w:p>
    <w:p w14:paraId="3E227E8D" w14:textId="360FE190" w:rsidR="00F71667" w:rsidRPr="00382739" w:rsidRDefault="00F71667" w:rsidP="00F71667">
      <w:pPr>
        <w:pStyle w:val="Heading1"/>
      </w:pPr>
      <w:r w:rsidRPr="00382739">
        <w:t>References</w:t>
      </w:r>
      <w:r w:rsidR="003B7C05">
        <w:br/>
      </w:r>
    </w:p>
    <w:p w14:paraId="1667445C" w14:textId="77777777" w:rsidR="004B7A4D" w:rsidRDefault="004B7A4D" w:rsidP="004B7A4D">
      <w:pPr>
        <w:pStyle w:val="Default"/>
        <w:spacing w:after="49"/>
      </w:pPr>
      <w:r>
        <w:t xml:space="preserve">Farid, A., Abdel-Aty, M., Lee, J., </w:t>
      </w:r>
      <w:proofErr w:type="spellStart"/>
      <w:r>
        <w:t>Eluru</w:t>
      </w:r>
      <w:proofErr w:type="spellEnd"/>
      <w:r>
        <w:t>, N., Wang, J.-H., 2016. Exploring the Transferability of Safety Performance Functions. Accident Analysis and Prevention 94, 143-152.</w:t>
      </w:r>
    </w:p>
    <w:p w14:paraId="340CEEB5" w14:textId="77777777" w:rsidR="006E7EA2" w:rsidRDefault="006E7EA2" w:rsidP="004B7A4D">
      <w:pPr>
        <w:pStyle w:val="Default"/>
        <w:spacing w:after="49"/>
      </w:pPr>
    </w:p>
    <w:p w14:paraId="12B63B2A" w14:textId="28CBF89A" w:rsidR="004B7A4D" w:rsidRDefault="004B7A4D" w:rsidP="004B7A4D">
      <w:pPr>
        <w:pStyle w:val="Default"/>
        <w:spacing w:after="49"/>
      </w:pPr>
      <w:r>
        <w:t>Jang, H., Lee, S., Kim, S., 2010. Bayesian Analysis for Zero-Inflated Regression Models with the Power Prior: Applications to Road Safety Countermeasures. Accident Analysis and Prevention 42, 540–547.</w:t>
      </w:r>
    </w:p>
    <w:p w14:paraId="67427E37" w14:textId="77777777" w:rsidR="006E7EA2" w:rsidRDefault="006E7EA2" w:rsidP="004B7A4D">
      <w:pPr>
        <w:pStyle w:val="Default"/>
        <w:spacing w:after="49"/>
      </w:pPr>
    </w:p>
    <w:p w14:paraId="74088782" w14:textId="5E90776D" w:rsidR="004B7A4D" w:rsidRDefault="004B7A4D" w:rsidP="004B7A4D">
      <w:pPr>
        <w:pStyle w:val="Default"/>
        <w:spacing w:after="49"/>
      </w:pPr>
      <w:r>
        <w:t>Park, B.-J., Lord, D., Hart, J., 2010. Bias Properties of Bayesian Statistics in Finite Mixture of Negative Binomial Regression Models in Crash Data Analysis. Accident Analysis and Prevention 42 (2), 741-749.</w:t>
      </w:r>
    </w:p>
    <w:p w14:paraId="33C3DC30" w14:textId="77777777" w:rsidR="006E7EA2" w:rsidRDefault="006E7EA2" w:rsidP="004B7A4D">
      <w:pPr>
        <w:pStyle w:val="Default"/>
        <w:spacing w:after="49"/>
      </w:pPr>
    </w:p>
    <w:p w14:paraId="06436A7C" w14:textId="1D968D9F" w:rsidR="004B7A4D" w:rsidRDefault="004B7A4D" w:rsidP="004B7A4D">
      <w:pPr>
        <w:pStyle w:val="Default"/>
        <w:spacing w:after="49"/>
      </w:pPr>
      <w:r>
        <w:t xml:space="preserve">AASHTO, 2010. Highway Safety Manual. American Association of State Highway and </w:t>
      </w:r>
      <w:proofErr w:type="spellStart"/>
      <w:r>
        <w:t>Transportion</w:t>
      </w:r>
      <w:proofErr w:type="spellEnd"/>
      <w:r>
        <w:t xml:space="preserve"> Officials, Washington D.C.</w:t>
      </w:r>
    </w:p>
    <w:p w14:paraId="427C019A" w14:textId="77777777" w:rsidR="006E7EA2" w:rsidRDefault="006E7EA2" w:rsidP="004B7A4D">
      <w:pPr>
        <w:pStyle w:val="Default"/>
        <w:spacing w:after="49"/>
      </w:pPr>
    </w:p>
    <w:p w14:paraId="6358CC05" w14:textId="3DA372E8" w:rsidR="004B7A4D" w:rsidRDefault="004B7A4D" w:rsidP="004B7A4D">
      <w:pPr>
        <w:pStyle w:val="Default"/>
        <w:spacing w:after="49"/>
      </w:pPr>
      <w:r>
        <w:t>Abdel-Aty, M., Lee, J., Siddiqui, C., Choi, K., 2013. Geographical Unit Based Analysis in the Context of Transportation Safety Planning. Transportation Research Part A: Policy and Practice 49, 62-75.</w:t>
      </w:r>
    </w:p>
    <w:p w14:paraId="250D22B8" w14:textId="77777777" w:rsidR="006E7EA2" w:rsidRDefault="006E7EA2" w:rsidP="004B7A4D">
      <w:pPr>
        <w:pStyle w:val="Default"/>
        <w:spacing w:after="49"/>
      </w:pPr>
    </w:p>
    <w:p w14:paraId="6097C5C3" w14:textId="6F68DDAD" w:rsidR="004B7A4D" w:rsidRDefault="004B7A4D" w:rsidP="004B7A4D">
      <w:pPr>
        <w:pStyle w:val="Default"/>
        <w:spacing w:after="49"/>
      </w:pPr>
      <w:r>
        <w:t xml:space="preserve">Cowles, M., 2013. Applied Bayesian Statistics with R and </w:t>
      </w:r>
      <w:proofErr w:type="spellStart"/>
      <w:r>
        <w:t>OpenBUGS</w:t>
      </w:r>
      <w:proofErr w:type="spellEnd"/>
      <w:r>
        <w:t xml:space="preserve"> Examples. Springer, New York.</w:t>
      </w:r>
    </w:p>
    <w:p w14:paraId="0EC768F7" w14:textId="77777777" w:rsidR="006E7EA2" w:rsidRDefault="006E7EA2" w:rsidP="004B7A4D">
      <w:pPr>
        <w:pStyle w:val="Default"/>
        <w:spacing w:after="49"/>
      </w:pPr>
    </w:p>
    <w:p w14:paraId="398AC3E6" w14:textId="2BDB1528" w:rsidR="004B7A4D" w:rsidRDefault="004B7A4D" w:rsidP="004B7A4D">
      <w:pPr>
        <w:pStyle w:val="Default"/>
        <w:spacing w:after="49"/>
      </w:pPr>
      <w:r>
        <w:t>Donnell, E., Mason, J., 2006. Predicting the Frequency of Median Barrier Crashes on Pennsylvania Interstate Highways. Accident Analysis and Prevention 38 (3), 590-599.</w:t>
      </w:r>
    </w:p>
    <w:p w14:paraId="0DE9FC5C" w14:textId="77777777" w:rsidR="006E7EA2" w:rsidRDefault="006E7EA2" w:rsidP="004B7A4D">
      <w:pPr>
        <w:pStyle w:val="Default"/>
        <w:spacing w:after="49"/>
      </w:pPr>
    </w:p>
    <w:p w14:paraId="1B8A2446" w14:textId="5E376351" w:rsidR="004B7A4D" w:rsidRDefault="004B7A4D" w:rsidP="004B7A4D">
      <w:pPr>
        <w:pStyle w:val="Default"/>
        <w:spacing w:after="49"/>
      </w:pPr>
      <w:r>
        <w:t>Florida Statutes. Title XXIII – Motor Vehicle. The Florida Legislature, Tallahassee, Florida. http://www.leg.state.fl.us/Statutes/index.cfm?App_mode=Display_Statute&amp;Search_String=&amp;URL=0300-0399/0316/Sections/0316.065.html. Accessed Oct. 28, 2015.</w:t>
      </w:r>
    </w:p>
    <w:p w14:paraId="51828BA1" w14:textId="77777777" w:rsidR="006E7EA2" w:rsidRDefault="006E7EA2" w:rsidP="004B7A4D">
      <w:pPr>
        <w:pStyle w:val="Default"/>
        <w:spacing w:after="49"/>
      </w:pPr>
    </w:p>
    <w:p w14:paraId="1D9E637B" w14:textId="1424594D" w:rsidR="004B7A4D" w:rsidRDefault="004B7A4D" w:rsidP="004B7A4D">
      <w:pPr>
        <w:pStyle w:val="Default"/>
        <w:spacing w:after="49"/>
      </w:pPr>
      <w:r>
        <w:t>Garber, N., Wu, L., 2001. Stochastic Models Relating Crash Probabilities with Geometric and Corresponding Traffic Characteristics Data. Presented to National Intelligent Transportation Systems Implementation Research Center of the Department of Transportation, Charlottesville, Virginia.</w:t>
      </w:r>
    </w:p>
    <w:p w14:paraId="7AB48E5D" w14:textId="77777777" w:rsidR="006E7EA2" w:rsidRDefault="006E7EA2" w:rsidP="004B7A4D">
      <w:pPr>
        <w:pStyle w:val="Default"/>
        <w:spacing w:after="49"/>
      </w:pPr>
    </w:p>
    <w:p w14:paraId="605B1530" w14:textId="2FEB8E08" w:rsidR="004B7A4D" w:rsidRDefault="004B7A4D" w:rsidP="004B7A4D">
      <w:pPr>
        <w:pStyle w:val="Default"/>
        <w:spacing w:after="49"/>
      </w:pPr>
      <w:r>
        <w:t xml:space="preserve">Haleem, K., Abdel-Aty, M., Mackie, K., 2010. Using a Reliability Process to Reduce Uncertainty in Predicting Crashes at </w:t>
      </w:r>
      <w:proofErr w:type="spellStart"/>
      <w:r>
        <w:t>Unsignalized</w:t>
      </w:r>
      <w:proofErr w:type="spellEnd"/>
      <w:r>
        <w:t xml:space="preserve"> Intersections. Accident Analysis and Prevention 42 (2), 654-666.</w:t>
      </w:r>
    </w:p>
    <w:p w14:paraId="2EBD6B4C" w14:textId="77777777" w:rsidR="006E7EA2" w:rsidRDefault="006E7EA2" w:rsidP="004B7A4D">
      <w:pPr>
        <w:pStyle w:val="Default"/>
        <w:spacing w:after="49"/>
      </w:pPr>
    </w:p>
    <w:p w14:paraId="2148B26C" w14:textId="1D49AEA3" w:rsidR="004B7A4D" w:rsidRDefault="004B7A4D" w:rsidP="004B7A4D">
      <w:pPr>
        <w:pStyle w:val="Default"/>
        <w:spacing w:after="49"/>
      </w:pPr>
      <w:r>
        <w:t xml:space="preserve">Harnen, S., Umar, R., Wong, S., </w:t>
      </w:r>
      <w:proofErr w:type="spellStart"/>
      <w:r>
        <w:t>Hashim</w:t>
      </w:r>
      <w:proofErr w:type="spellEnd"/>
      <w:r>
        <w:t>, W., 2004. Development of Prediction Models for Motorcycle Crashes at Signalized Intersections on Urban Roads in Malaysia. Journal of Transportation and Statistics 7 (2), 27-39.</w:t>
      </w:r>
    </w:p>
    <w:p w14:paraId="1E1672D6" w14:textId="77777777" w:rsidR="006E7EA2" w:rsidRDefault="006E7EA2" w:rsidP="004B7A4D">
      <w:pPr>
        <w:pStyle w:val="Default"/>
        <w:spacing w:after="49"/>
      </w:pPr>
    </w:p>
    <w:p w14:paraId="7CF1A6DB" w14:textId="3D130793" w:rsidR="004B7A4D" w:rsidRDefault="004B7A4D" w:rsidP="004B7A4D">
      <w:pPr>
        <w:pStyle w:val="Default"/>
        <w:spacing w:after="49"/>
      </w:pPr>
      <w:r>
        <w:t>Heydari, S., Miranda-Moreno, L., Lord, D., Fu, L., 2014. Bayesian Methodology to Estimate and Update Safety Performance Functions under Limited Data Conditions: a Sensitivity Analysis. Accident Analysis and Prevention 64, 41-51.</w:t>
      </w:r>
    </w:p>
    <w:p w14:paraId="10289AA0" w14:textId="3877A098" w:rsidR="006E7EA2" w:rsidRDefault="006E7EA2" w:rsidP="004B7A4D">
      <w:pPr>
        <w:pStyle w:val="Default"/>
        <w:spacing w:after="49"/>
      </w:pPr>
    </w:p>
    <w:p w14:paraId="2426C1B1" w14:textId="39EE2AF6" w:rsidR="004B7A4D" w:rsidRDefault="004B7A4D" w:rsidP="007206CA">
      <w:pPr>
        <w:pStyle w:val="Default"/>
        <w:spacing w:after="49"/>
      </w:pPr>
      <w:r>
        <w:t>Highway Safety Information System. State Data. Highway Safety Research Center, University of North Carolina, Chapel Hill, North Carolina. http://www.hsisinfo.org/. Accessed Sept. 28, 2015.</w:t>
      </w:r>
    </w:p>
    <w:p w14:paraId="7E7545B1" w14:textId="77777777" w:rsidR="006E7EA2" w:rsidRDefault="006E7EA2" w:rsidP="004B7A4D">
      <w:pPr>
        <w:pStyle w:val="Default"/>
        <w:spacing w:after="49"/>
      </w:pPr>
    </w:p>
    <w:p w14:paraId="7DE161CA" w14:textId="7144FB9A" w:rsidR="004B7A4D" w:rsidRDefault="004B7A4D" w:rsidP="004B7A4D">
      <w:pPr>
        <w:pStyle w:val="Default"/>
        <w:spacing w:after="49"/>
      </w:pPr>
      <w:r>
        <w:t>Kim, S., Chung, S., Song, K., Chon, K., 2005. Development of an Accident Prediction Model using GLIM (Generalized Log-linear Model) and EB method: A case of Seoul. Journal of the Eastern Asia Society for Transportation Studies 6, 3669-3682.</w:t>
      </w:r>
    </w:p>
    <w:p w14:paraId="649E6ED2" w14:textId="77777777" w:rsidR="006E7EA2" w:rsidRDefault="006E7EA2" w:rsidP="004B7A4D">
      <w:pPr>
        <w:pStyle w:val="Default"/>
        <w:spacing w:after="49"/>
      </w:pPr>
    </w:p>
    <w:p w14:paraId="4A716EF4" w14:textId="6E699C4F" w:rsidR="004B7A4D" w:rsidRDefault="004B7A4D" w:rsidP="004B7A4D">
      <w:pPr>
        <w:pStyle w:val="Default"/>
        <w:spacing w:after="49"/>
      </w:pPr>
      <w:r>
        <w:t>Lee, J., Abdel-Aty, M., Choi, K., 2014a. Analysis of Residence Characteristics of at-Fault Drivers in Traffic Crashes. Safety Science 68, 6-13.</w:t>
      </w:r>
    </w:p>
    <w:p w14:paraId="67DABC72" w14:textId="77777777" w:rsidR="006E7EA2" w:rsidRDefault="006E7EA2" w:rsidP="004B7A4D">
      <w:pPr>
        <w:pStyle w:val="Default"/>
        <w:spacing w:after="49"/>
      </w:pPr>
    </w:p>
    <w:p w14:paraId="7CBA681E" w14:textId="59CB5077" w:rsidR="004B7A4D" w:rsidRDefault="004B7A4D" w:rsidP="004B7A4D">
      <w:pPr>
        <w:pStyle w:val="Default"/>
        <w:spacing w:after="49"/>
      </w:pPr>
      <w:r>
        <w:t>Lee, J., Abdel-Aty, M., Choi, K., Huang, H., 2015a. Multi-Level Hot Zone Identification for Pedestrian Safety. Accident Analysis and Prevention 76, 64-73.</w:t>
      </w:r>
    </w:p>
    <w:p w14:paraId="7333CBBE" w14:textId="77777777" w:rsidR="006E7EA2" w:rsidRDefault="006E7EA2" w:rsidP="004B7A4D">
      <w:pPr>
        <w:pStyle w:val="Default"/>
        <w:spacing w:after="49"/>
      </w:pPr>
    </w:p>
    <w:p w14:paraId="1639532B" w14:textId="4078BE92" w:rsidR="004B7A4D" w:rsidRDefault="004B7A4D" w:rsidP="004B7A4D">
      <w:pPr>
        <w:pStyle w:val="Default"/>
        <w:spacing w:after="49"/>
      </w:pPr>
      <w:r>
        <w:t>Lee, J., Abdel-Aty, M., Jiang, X., 2014b. Development of Zone System for Macro-Level Traffic Safety Analysis. Journal of Transport Geography 38, 13-21.</w:t>
      </w:r>
    </w:p>
    <w:p w14:paraId="6082832F" w14:textId="77777777" w:rsidR="00B677E5" w:rsidRDefault="00B677E5" w:rsidP="004B7A4D">
      <w:pPr>
        <w:pStyle w:val="Default"/>
        <w:spacing w:after="49"/>
      </w:pPr>
    </w:p>
    <w:p w14:paraId="30384D4C" w14:textId="10BDE839" w:rsidR="004B7A4D" w:rsidRDefault="004B7A4D" w:rsidP="004B7A4D">
      <w:pPr>
        <w:pStyle w:val="Default"/>
        <w:spacing w:after="49"/>
      </w:pPr>
      <w:r>
        <w:t>Lee, J., Abdel-Aty, M., Jiang, X., 2015b. Multivariate Crash Modeling for Motor Vehicle and Non-Motorized Modes at the Macroscopic Level. Accident Analysis and Prevention 78, 146-154.</w:t>
      </w:r>
    </w:p>
    <w:p w14:paraId="4C1CE1B1" w14:textId="77777777" w:rsidR="006E7EA2" w:rsidRDefault="006E7EA2" w:rsidP="004B7A4D">
      <w:pPr>
        <w:pStyle w:val="Default"/>
        <w:spacing w:after="49"/>
      </w:pPr>
    </w:p>
    <w:p w14:paraId="7AFA2AAE" w14:textId="083749F5" w:rsidR="004B7A4D" w:rsidRDefault="004B7A4D" w:rsidP="004B7A4D">
      <w:pPr>
        <w:pStyle w:val="Default"/>
        <w:spacing w:after="49"/>
      </w:pPr>
      <w:r>
        <w:lastRenderedPageBreak/>
        <w:t>Lord, D., Miranda-Moreno, L., 2008. Effects of Low Sample Mean Values and Small Sample Size on the Estimation of the Fixed Dispersion Parameter of Poisson-Gamma Models for Modeling Motor Vehicle Crashes: a Bayesian Perspective. Safety Science 46 (5), 751-770.</w:t>
      </w:r>
    </w:p>
    <w:p w14:paraId="03F5FE0A" w14:textId="77777777" w:rsidR="006E7EA2" w:rsidRDefault="006E7EA2" w:rsidP="004B7A4D">
      <w:pPr>
        <w:pStyle w:val="Default"/>
        <w:spacing w:after="49"/>
      </w:pPr>
    </w:p>
    <w:p w14:paraId="6A445FC0" w14:textId="2B876337" w:rsidR="004B7A4D" w:rsidRDefault="004B7A4D" w:rsidP="004B7A4D">
      <w:pPr>
        <w:pStyle w:val="Default"/>
        <w:spacing w:after="49"/>
      </w:pPr>
      <w:r>
        <w:t>Lord, D., Washington, S., Ivan, J., 2005. Poisson, Poisson-gamma and Zero-Inflated Regression Models of Motor Vehicle Crashes: Balancing Statistical Fit and Theory. Accident Analysis and Prevention 37 (1), 35-46.</w:t>
      </w:r>
    </w:p>
    <w:p w14:paraId="34F06AC3" w14:textId="77777777" w:rsidR="006E7EA2" w:rsidRDefault="006E7EA2" w:rsidP="004B7A4D">
      <w:pPr>
        <w:pStyle w:val="Default"/>
        <w:spacing w:after="49"/>
      </w:pPr>
    </w:p>
    <w:p w14:paraId="5C1A4368" w14:textId="2575D81C" w:rsidR="004B7A4D" w:rsidRDefault="004B7A4D" w:rsidP="004B7A4D">
      <w:pPr>
        <w:pStyle w:val="Default"/>
        <w:spacing w:after="49"/>
      </w:pPr>
      <w:r>
        <w:t xml:space="preserve">Lunn, D., Thomas, A., Best, N., </w:t>
      </w:r>
      <w:proofErr w:type="spellStart"/>
      <w:r>
        <w:t>Spiegelhalter</w:t>
      </w:r>
      <w:proofErr w:type="spellEnd"/>
      <w:r>
        <w:t xml:space="preserve">, D., 2000. </w:t>
      </w:r>
      <w:proofErr w:type="spellStart"/>
      <w:r>
        <w:t>WinBUGS</w:t>
      </w:r>
      <w:proofErr w:type="spellEnd"/>
      <w:r>
        <w:t>—a Bayesian Modelling Framework: Concepts, Structure, and Extensibility. Statistics and Computing 10 (4), 325–337.</w:t>
      </w:r>
    </w:p>
    <w:p w14:paraId="0E17403A" w14:textId="77777777" w:rsidR="006E7EA2" w:rsidRDefault="006E7EA2" w:rsidP="004B7A4D">
      <w:pPr>
        <w:pStyle w:val="Default"/>
        <w:spacing w:after="49"/>
      </w:pPr>
    </w:p>
    <w:p w14:paraId="7698D3E1" w14:textId="44A8782D" w:rsidR="004B7A4D" w:rsidRDefault="004B7A4D" w:rsidP="004B7A4D">
      <w:pPr>
        <w:pStyle w:val="Default"/>
        <w:spacing w:after="49"/>
      </w:pPr>
      <w:r>
        <w:t xml:space="preserve">Ma, J., </w:t>
      </w:r>
      <w:proofErr w:type="spellStart"/>
      <w:r>
        <w:t>Kockelman</w:t>
      </w:r>
      <w:proofErr w:type="spellEnd"/>
      <w:r>
        <w:t>, K., Damien, P., 2008. A Multivariate Poisson-Lognormal Regression Model for Prediction of Crash Counts by Severity, Using Bayesian Methods. Accident Analysis and Prevention 40 (3), 964-975.</w:t>
      </w:r>
    </w:p>
    <w:p w14:paraId="0F1C5520" w14:textId="77777777" w:rsidR="006E7EA2" w:rsidRDefault="006E7EA2" w:rsidP="004B7A4D">
      <w:pPr>
        <w:pStyle w:val="Default"/>
        <w:spacing w:after="49"/>
      </w:pPr>
    </w:p>
    <w:p w14:paraId="60055C8B" w14:textId="5ED0E635" w:rsidR="004B7A4D" w:rsidRDefault="004B7A4D" w:rsidP="004B7A4D">
      <w:pPr>
        <w:pStyle w:val="Default"/>
        <w:spacing w:after="49"/>
      </w:pPr>
      <w:r>
        <w:t>Miaou, S.-P., 1994. The Relationship between Truck Accidents and Geometric Design of Road Sections: Poisson versus Negative Binomial Regressions. Accident Analysis and Prevention 26 (4), 471-482.</w:t>
      </w:r>
    </w:p>
    <w:p w14:paraId="7323559A" w14:textId="77777777" w:rsidR="006E7EA2" w:rsidRDefault="006E7EA2" w:rsidP="004B7A4D">
      <w:pPr>
        <w:pStyle w:val="Default"/>
        <w:spacing w:after="49"/>
      </w:pPr>
    </w:p>
    <w:p w14:paraId="48BC1970" w14:textId="6D6C69CA" w:rsidR="004B7A4D" w:rsidRDefault="004B7A4D" w:rsidP="004B7A4D">
      <w:pPr>
        <w:pStyle w:val="Default"/>
        <w:spacing w:after="49"/>
      </w:pPr>
      <w:r>
        <w:t xml:space="preserve">Miaou, S.-P., </w:t>
      </w:r>
      <w:proofErr w:type="spellStart"/>
      <w:r>
        <w:t>Lum</w:t>
      </w:r>
      <w:proofErr w:type="spellEnd"/>
      <w:r>
        <w:t>, H., 1993. Modeling Vehicle Accidents and Highway Geometric Design Relationships. Accident Analysis and Prevention, 25 (6), 689-709.</w:t>
      </w:r>
    </w:p>
    <w:p w14:paraId="115B9B16" w14:textId="77777777" w:rsidR="006E7EA2" w:rsidRDefault="006E7EA2" w:rsidP="004B7A4D">
      <w:pPr>
        <w:pStyle w:val="Default"/>
        <w:spacing w:after="49"/>
      </w:pPr>
    </w:p>
    <w:p w14:paraId="7328A877" w14:textId="7A7C65D5" w:rsidR="004B7A4D" w:rsidRDefault="004B7A4D" w:rsidP="004B7A4D">
      <w:pPr>
        <w:pStyle w:val="Default"/>
        <w:spacing w:after="49"/>
      </w:pPr>
      <w:r>
        <w:t>Miranda-Moreno, L., Heydari, S., Lord, D., Fu, L., 2013. Bayesian Road Safety Analysis: Incorporation of Past Evidence and Effect of Hyper-Prior Choice. Journal of Safety Research 46, 31-40.</w:t>
      </w:r>
    </w:p>
    <w:p w14:paraId="3FDE82D1" w14:textId="77777777" w:rsidR="006E7EA2" w:rsidRDefault="006E7EA2" w:rsidP="004B7A4D">
      <w:pPr>
        <w:pStyle w:val="Default"/>
        <w:spacing w:after="49"/>
      </w:pPr>
    </w:p>
    <w:p w14:paraId="79D3C1B5" w14:textId="47771E9F" w:rsidR="004B7A4D" w:rsidRDefault="004B7A4D" w:rsidP="004B7A4D">
      <w:pPr>
        <w:pStyle w:val="Default"/>
        <w:spacing w:after="49"/>
      </w:pPr>
      <w:proofErr w:type="spellStart"/>
      <w:r>
        <w:t>Mitra</w:t>
      </w:r>
      <w:proofErr w:type="spellEnd"/>
      <w:r>
        <w:t>, S., Washington, S., 2007. On the Nature of Over-Dispersion in Motor Vehicle Crash Prediction Models. Accident Analysis and Prevention 39 (3), 459-468.</w:t>
      </w:r>
    </w:p>
    <w:p w14:paraId="79746271" w14:textId="77777777" w:rsidR="006E7EA2" w:rsidRDefault="006E7EA2" w:rsidP="004B7A4D">
      <w:pPr>
        <w:pStyle w:val="Default"/>
        <w:spacing w:after="49"/>
      </w:pPr>
    </w:p>
    <w:p w14:paraId="4BBB2CEC" w14:textId="0B6D4172" w:rsidR="004B7A4D" w:rsidRDefault="004B7A4D" w:rsidP="004B7A4D">
      <w:pPr>
        <w:pStyle w:val="Default"/>
        <w:spacing w:after="49"/>
      </w:pPr>
      <w:r>
        <w:t>Natarajan, R., McCulloch, C., 1998. Gibbs Sampling with Diffuse Proper Priors: a Valid Approach to Data-Driven Inference? Journal of Computational and Graphical Statistics 7 (3), 267-277.</w:t>
      </w:r>
    </w:p>
    <w:p w14:paraId="53669723" w14:textId="77777777" w:rsidR="006E7EA2" w:rsidRDefault="006E7EA2" w:rsidP="004B7A4D">
      <w:pPr>
        <w:pStyle w:val="Default"/>
        <w:spacing w:after="49"/>
      </w:pPr>
    </w:p>
    <w:p w14:paraId="66B7306D" w14:textId="030AE101" w:rsidR="004B7A4D" w:rsidRDefault="004B7A4D" w:rsidP="004B7A4D">
      <w:pPr>
        <w:pStyle w:val="Default"/>
        <w:spacing w:after="49"/>
      </w:pPr>
      <w:r>
        <w:t>R Core Team. R: A Language and Environment for Statistical Computing. R Foundation for Statistical Computing, Vienna, Austria, ISBN 3-900051-07-0, 2013. http://www.r-project.org/. Accessed Jan. 20, 2016.</w:t>
      </w:r>
    </w:p>
    <w:p w14:paraId="772A6948" w14:textId="77777777" w:rsidR="006E7EA2" w:rsidRDefault="006E7EA2" w:rsidP="004B7A4D">
      <w:pPr>
        <w:pStyle w:val="Default"/>
        <w:spacing w:after="49"/>
      </w:pPr>
    </w:p>
    <w:p w14:paraId="1CC9A582" w14:textId="2798F490" w:rsidR="004B7A4D" w:rsidRDefault="004B7A4D" w:rsidP="004B7A4D">
      <w:pPr>
        <w:pStyle w:val="Default"/>
        <w:spacing w:after="49"/>
      </w:pPr>
      <w:r>
        <w:t>Sawalha, Z., Sayed, T., 2006. Traffic Accident Modeling: Some Statistical Issues. Canadian Journal of Civil Engineering 33 (9), 1115-1124.</w:t>
      </w:r>
    </w:p>
    <w:p w14:paraId="06E8BE5A" w14:textId="77777777" w:rsidR="00157B14" w:rsidRDefault="00157B14" w:rsidP="004B7A4D">
      <w:pPr>
        <w:pStyle w:val="Default"/>
        <w:spacing w:after="49"/>
      </w:pPr>
    </w:p>
    <w:p w14:paraId="31EAED83" w14:textId="3F273BE5" w:rsidR="006E7EA2" w:rsidRDefault="006E7EA2" w:rsidP="004B7A4D">
      <w:pPr>
        <w:pStyle w:val="Default"/>
        <w:spacing w:after="49"/>
      </w:pPr>
      <w:proofErr w:type="spellStart"/>
      <w:r>
        <w:t>Spiegelhalter</w:t>
      </w:r>
      <w:proofErr w:type="spellEnd"/>
      <w:r>
        <w:t>, D., Best, N., Carlin, B., van der Linde, A., 2002. Bayesian Measures of Model Complexity and Fit. Journal of the Royal Statistical Society: Series B 64 (4), 583-639.</w:t>
      </w:r>
    </w:p>
    <w:p w14:paraId="5F31A6FE" w14:textId="77777777" w:rsidR="006E7EA2" w:rsidRDefault="006E7EA2" w:rsidP="004B7A4D">
      <w:pPr>
        <w:pStyle w:val="Default"/>
        <w:spacing w:after="49"/>
      </w:pPr>
    </w:p>
    <w:p w14:paraId="7EDF32E1" w14:textId="77777777" w:rsidR="004B7A4D" w:rsidRDefault="004B7A4D" w:rsidP="004B7A4D">
      <w:pPr>
        <w:pStyle w:val="Default"/>
        <w:spacing w:after="49"/>
      </w:pPr>
      <w:proofErr w:type="spellStart"/>
      <w:r>
        <w:t>Sturtz</w:t>
      </w:r>
      <w:proofErr w:type="spellEnd"/>
      <w:r>
        <w:t xml:space="preserve">, S., </w:t>
      </w:r>
      <w:proofErr w:type="spellStart"/>
      <w:r>
        <w:t>Ligges</w:t>
      </w:r>
      <w:proofErr w:type="spellEnd"/>
      <w:r>
        <w:t xml:space="preserve">, U., </w:t>
      </w:r>
      <w:proofErr w:type="spellStart"/>
      <w:r>
        <w:t>Gelman</w:t>
      </w:r>
      <w:proofErr w:type="spellEnd"/>
      <w:r>
        <w:t xml:space="preserve">, A., 2005. R2WinBUGS: a Package for Running </w:t>
      </w:r>
      <w:proofErr w:type="spellStart"/>
      <w:r>
        <w:t>WinBUGS</w:t>
      </w:r>
      <w:proofErr w:type="spellEnd"/>
      <w:r>
        <w:t xml:space="preserve"> from R. Journal of Statistical Software 12 (3), 1-16.</w:t>
      </w:r>
    </w:p>
    <w:p w14:paraId="5BFAFF1E" w14:textId="77777777" w:rsidR="006E7EA2" w:rsidRDefault="006E7EA2" w:rsidP="004B7A4D">
      <w:pPr>
        <w:pStyle w:val="Default"/>
        <w:spacing w:after="49"/>
      </w:pPr>
    </w:p>
    <w:p w14:paraId="53AFECF4" w14:textId="6FB05D5F" w:rsidR="004B7A4D" w:rsidRDefault="004B7A4D" w:rsidP="004B7A4D">
      <w:pPr>
        <w:pStyle w:val="Default"/>
        <w:spacing w:after="49"/>
      </w:pPr>
      <w:r>
        <w:t xml:space="preserve">Taylor, M., </w:t>
      </w:r>
      <w:proofErr w:type="spellStart"/>
      <w:r>
        <w:t>Baruya</w:t>
      </w:r>
      <w:proofErr w:type="spellEnd"/>
      <w:r>
        <w:t>, A., Kennedy, J., 2002. The Relationship between Speed and Accidents on Rural Single-Carriageway Roads. Publication TRL511. Transport Research Laboratory, United Kingdom.</w:t>
      </w:r>
    </w:p>
    <w:p w14:paraId="1BD79B24" w14:textId="77777777" w:rsidR="006E7EA2" w:rsidRDefault="006E7EA2" w:rsidP="004B7A4D">
      <w:pPr>
        <w:pStyle w:val="Default"/>
        <w:spacing w:after="49"/>
      </w:pPr>
    </w:p>
    <w:p w14:paraId="1F22395D" w14:textId="5D21B969" w:rsidR="004B7A4D" w:rsidRDefault="004B7A4D" w:rsidP="004B7A4D">
      <w:pPr>
        <w:pStyle w:val="Default"/>
        <w:spacing w:after="49"/>
      </w:pPr>
      <w:r>
        <w:t>Washington, S., Oh, J., 2006. Bayesian Methodology Incorporating Expert Judgment for Ranking Countermeasure Effectiveness Under Uncertainty: Example Applied to at Grade Railroad Crossings in Korea. Accident Analysis and Prevention 38, 234–247.</w:t>
      </w:r>
    </w:p>
    <w:p w14:paraId="71D2EBB9" w14:textId="603E8E10" w:rsidR="007206CA" w:rsidRDefault="007206CA" w:rsidP="004B7A4D">
      <w:pPr>
        <w:pStyle w:val="Default"/>
        <w:spacing w:after="49"/>
      </w:pPr>
    </w:p>
    <w:p w14:paraId="5ADCDCEB" w14:textId="11632D43" w:rsidR="007206CA" w:rsidRDefault="007206CA" w:rsidP="004B7A4D">
      <w:pPr>
        <w:pStyle w:val="Default"/>
        <w:spacing w:after="49"/>
      </w:pPr>
      <w:proofErr w:type="spellStart"/>
      <w:r>
        <w:t>Xie</w:t>
      </w:r>
      <w:proofErr w:type="spellEnd"/>
      <w:r>
        <w:t xml:space="preserve">, F., </w:t>
      </w:r>
      <w:proofErr w:type="spellStart"/>
      <w:r>
        <w:t>Gladhill</w:t>
      </w:r>
      <w:proofErr w:type="spellEnd"/>
      <w:r>
        <w:t xml:space="preserve">, K., Dixon, K., </w:t>
      </w:r>
      <w:proofErr w:type="spellStart"/>
      <w:r>
        <w:t>Monsere</w:t>
      </w:r>
      <w:proofErr w:type="spellEnd"/>
      <w:r>
        <w:t>, C., 2011. Calibration of Highway Safety Manual Predictive Models for Oregon State Highways. Transportation Research Record: Journal of the Transportation Research Board 2241, 19-28.</w:t>
      </w:r>
    </w:p>
    <w:p w14:paraId="47E23162" w14:textId="77777777" w:rsidR="006E7EA2" w:rsidRDefault="006E7EA2" w:rsidP="006C1AD5">
      <w:pPr>
        <w:pStyle w:val="Default"/>
        <w:spacing w:after="49"/>
      </w:pPr>
    </w:p>
    <w:p w14:paraId="33648244" w14:textId="3FAF6C80" w:rsidR="008610CD" w:rsidRPr="00403E0E" w:rsidRDefault="004B7A4D" w:rsidP="006C1AD5">
      <w:pPr>
        <w:pStyle w:val="Default"/>
        <w:spacing w:after="49"/>
      </w:pPr>
      <w:r>
        <w:t>Yu, R., Abdel-Aty, M., 2013. Investigating Different Approaches to Develop Informative Priors in Hierarchical Bayesian Safety Performance Functions. Accident Analysis and Prevention 56, 51-58.</w:t>
      </w:r>
    </w:p>
    <w:sectPr w:rsidR="008610CD" w:rsidRPr="00403E0E" w:rsidSect="00F7166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9A4D" w14:textId="77777777" w:rsidR="00C14F70" w:rsidRDefault="00C14F70" w:rsidP="007B3BD6">
      <w:pPr>
        <w:spacing w:after="0"/>
      </w:pPr>
      <w:r>
        <w:separator/>
      </w:r>
    </w:p>
  </w:endnote>
  <w:endnote w:type="continuationSeparator" w:id="0">
    <w:p w14:paraId="481842B4" w14:textId="77777777" w:rsidR="00C14F70" w:rsidRDefault="00C14F70" w:rsidP="007B3B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8FEF" w14:textId="77777777" w:rsidR="00C14F70" w:rsidRDefault="00C14F70" w:rsidP="007B3BD6">
      <w:pPr>
        <w:spacing w:after="0"/>
      </w:pPr>
      <w:r>
        <w:separator/>
      </w:r>
    </w:p>
  </w:footnote>
  <w:footnote w:type="continuationSeparator" w:id="0">
    <w:p w14:paraId="527C1966" w14:textId="77777777" w:rsidR="00C14F70" w:rsidRDefault="00C14F70" w:rsidP="007B3B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04940"/>
      <w:docPartObj>
        <w:docPartGallery w:val="Page Numbers (Top of Page)"/>
        <w:docPartUnique/>
      </w:docPartObj>
    </w:sdtPr>
    <w:sdtEndPr>
      <w:rPr>
        <w:noProof/>
      </w:rPr>
    </w:sdtEndPr>
    <w:sdtContent>
      <w:p w14:paraId="602EECDC" w14:textId="20B5524C" w:rsidR="00A55D98" w:rsidRDefault="00A55D98" w:rsidP="00732136">
        <w:pPr>
          <w:pStyle w:val="Header"/>
        </w:pPr>
        <w:r>
          <w:tab/>
        </w:r>
        <w:r>
          <w:tab/>
        </w:r>
      </w:p>
    </w:sdtContent>
  </w:sdt>
  <w:p w14:paraId="034199E7" w14:textId="77777777" w:rsidR="00A55D98" w:rsidRDefault="00A5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73544"/>
      <w:docPartObj>
        <w:docPartGallery w:val="Page Numbers (Top of Page)"/>
        <w:docPartUnique/>
      </w:docPartObj>
    </w:sdtPr>
    <w:sdtEndPr>
      <w:rPr>
        <w:noProof/>
      </w:rPr>
    </w:sdtEndPr>
    <w:sdtContent>
      <w:p w14:paraId="1759CBDD" w14:textId="37D521AF" w:rsidR="00A55D98" w:rsidRDefault="00A55D98" w:rsidP="00732136">
        <w:pPr>
          <w:pStyle w:val="Header"/>
        </w:pPr>
        <w:proofErr w:type="spellStart"/>
        <w:r>
          <w:t>Farid</w:t>
        </w:r>
        <w:proofErr w:type="spellEnd"/>
        <w:r>
          <w:t>, Abdel-</w:t>
        </w:r>
        <w:proofErr w:type="spellStart"/>
        <w:r>
          <w:t>Aty</w:t>
        </w:r>
        <w:proofErr w:type="spellEnd"/>
        <w:r>
          <w:t xml:space="preserve">, Lee and </w:t>
        </w:r>
        <w:proofErr w:type="spellStart"/>
        <w:r>
          <w:t>Eluru</w:t>
        </w:r>
        <w:proofErr w:type="spellEnd"/>
        <w:r>
          <w:tab/>
        </w:r>
        <w:r>
          <w:tab/>
        </w:r>
        <w:r>
          <w:fldChar w:fldCharType="begin"/>
        </w:r>
        <w:r>
          <w:instrText xml:space="preserve"> PAGE   \* MERGEFORMAT </w:instrText>
        </w:r>
        <w:r>
          <w:fldChar w:fldCharType="separate"/>
        </w:r>
        <w:r w:rsidR="00131F14">
          <w:rPr>
            <w:noProof/>
          </w:rPr>
          <w:t>16</w:t>
        </w:r>
        <w:r>
          <w:fldChar w:fldCharType="end"/>
        </w:r>
      </w:p>
    </w:sdtContent>
  </w:sdt>
  <w:p w14:paraId="6AEE95C7" w14:textId="77777777" w:rsidR="00A55D98" w:rsidRDefault="00A5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801"/>
    <w:multiLevelType w:val="hybridMultilevel"/>
    <w:tmpl w:val="1EC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416B3"/>
    <w:multiLevelType w:val="hybridMultilevel"/>
    <w:tmpl w:val="8CECA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67"/>
    <w:rsid w:val="00003F04"/>
    <w:rsid w:val="00006135"/>
    <w:rsid w:val="00006A28"/>
    <w:rsid w:val="000071C1"/>
    <w:rsid w:val="00007A18"/>
    <w:rsid w:val="00010B67"/>
    <w:rsid w:val="00017F06"/>
    <w:rsid w:val="000261E1"/>
    <w:rsid w:val="000271E1"/>
    <w:rsid w:val="000317AD"/>
    <w:rsid w:val="00032747"/>
    <w:rsid w:val="00035693"/>
    <w:rsid w:val="00036662"/>
    <w:rsid w:val="000434A2"/>
    <w:rsid w:val="00051F69"/>
    <w:rsid w:val="0005323C"/>
    <w:rsid w:val="0005617B"/>
    <w:rsid w:val="00062C77"/>
    <w:rsid w:val="00067C28"/>
    <w:rsid w:val="0007395E"/>
    <w:rsid w:val="00074F75"/>
    <w:rsid w:val="00075AF5"/>
    <w:rsid w:val="0008439C"/>
    <w:rsid w:val="00084C9C"/>
    <w:rsid w:val="000869F7"/>
    <w:rsid w:val="0009013C"/>
    <w:rsid w:val="00091517"/>
    <w:rsid w:val="000929F0"/>
    <w:rsid w:val="00097C3F"/>
    <w:rsid w:val="000C6191"/>
    <w:rsid w:val="000D4BBD"/>
    <w:rsid w:val="000D608C"/>
    <w:rsid w:val="000E431F"/>
    <w:rsid w:val="000E74F8"/>
    <w:rsid w:val="000F1BB5"/>
    <w:rsid w:val="000F3945"/>
    <w:rsid w:val="000F543A"/>
    <w:rsid w:val="000F74E1"/>
    <w:rsid w:val="0010119A"/>
    <w:rsid w:val="00101B4D"/>
    <w:rsid w:val="001022A6"/>
    <w:rsid w:val="00102961"/>
    <w:rsid w:val="00102C08"/>
    <w:rsid w:val="001108CB"/>
    <w:rsid w:val="00110A81"/>
    <w:rsid w:val="00110B59"/>
    <w:rsid w:val="00112F9A"/>
    <w:rsid w:val="00113368"/>
    <w:rsid w:val="00113A1A"/>
    <w:rsid w:val="00120205"/>
    <w:rsid w:val="00126BA0"/>
    <w:rsid w:val="0013179C"/>
    <w:rsid w:val="00131F14"/>
    <w:rsid w:val="00133326"/>
    <w:rsid w:val="00133700"/>
    <w:rsid w:val="00134B20"/>
    <w:rsid w:val="00137FBC"/>
    <w:rsid w:val="00140D07"/>
    <w:rsid w:val="00142218"/>
    <w:rsid w:val="00143805"/>
    <w:rsid w:val="00144CC1"/>
    <w:rsid w:val="00152298"/>
    <w:rsid w:val="00152373"/>
    <w:rsid w:val="00155A9A"/>
    <w:rsid w:val="001568B4"/>
    <w:rsid w:val="00157B14"/>
    <w:rsid w:val="00160D02"/>
    <w:rsid w:val="00161E92"/>
    <w:rsid w:val="00163D44"/>
    <w:rsid w:val="001650C7"/>
    <w:rsid w:val="00166E85"/>
    <w:rsid w:val="00170ACD"/>
    <w:rsid w:val="00175474"/>
    <w:rsid w:val="00175F72"/>
    <w:rsid w:val="00180CE2"/>
    <w:rsid w:val="0018324F"/>
    <w:rsid w:val="001856F3"/>
    <w:rsid w:val="00185B9F"/>
    <w:rsid w:val="0019067F"/>
    <w:rsid w:val="00193E56"/>
    <w:rsid w:val="001A257F"/>
    <w:rsid w:val="001A4AAF"/>
    <w:rsid w:val="001A4FAB"/>
    <w:rsid w:val="001A6011"/>
    <w:rsid w:val="001A74CE"/>
    <w:rsid w:val="001B01E9"/>
    <w:rsid w:val="001B0DE8"/>
    <w:rsid w:val="001B3A5A"/>
    <w:rsid w:val="001B3D9F"/>
    <w:rsid w:val="001B668E"/>
    <w:rsid w:val="001C0B17"/>
    <w:rsid w:val="001C20B6"/>
    <w:rsid w:val="001C5A09"/>
    <w:rsid w:val="001C6212"/>
    <w:rsid w:val="001C6504"/>
    <w:rsid w:val="001D3463"/>
    <w:rsid w:val="001D7B43"/>
    <w:rsid w:val="001E58AA"/>
    <w:rsid w:val="001F4E72"/>
    <w:rsid w:val="0020119A"/>
    <w:rsid w:val="002023B8"/>
    <w:rsid w:val="0020290E"/>
    <w:rsid w:val="00203BE2"/>
    <w:rsid w:val="00204C2A"/>
    <w:rsid w:val="002063CC"/>
    <w:rsid w:val="002068E5"/>
    <w:rsid w:val="00207165"/>
    <w:rsid w:val="00210305"/>
    <w:rsid w:val="00215566"/>
    <w:rsid w:val="0022395D"/>
    <w:rsid w:val="0022678E"/>
    <w:rsid w:val="002271C6"/>
    <w:rsid w:val="00233150"/>
    <w:rsid w:val="0023701F"/>
    <w:rsid w:val="00242876"/>
    <w:rsid w:val="00243E15"/>
    <w:rsid w:val="00245894"/>
    <w:rsid w:val="00251943"/>
    <w:rsid w:val="00253537"/>
    <w:rsid w:val="00254FE8"/>
    <w:rsid w:val="002572CE"/>
    <w:rsid w:val="00260698"/>
    <w:rsid w:val="002616E5"/>
    <w:rsid w:val="002632BD"/>
    <w:rsid w:val="0026361D"/>
    <w:rsid w:val="00263EFC"/>
    <w:rsid w:val="002677AC"/>
    <w:rsid w:val="00267817"/>
    <w:rsid w:val="00267F81"/>
    <w:rsid w:val="00271415"/>
    <w:rsid w:val="00273306"/>
    <w:rsid w:val="00273508"/>
    <w:rsid w:val="00276295"/>
    <w:rsid w:val="00286D6C"/>
    <w:rsid w:val="00287840"/>
    <w:rsid w:val="00291C5C"/>
    <w:rsid w:val="002973D2"/>
    <w:rsid w:val="002A1047"/>
    <w:rsid w:val="002A2262"/>
    <w:rsid w:val="002A4447"/>
    <w:rsid w:val="002A6748"/>
    <w:rsid w:val="002A7622"/>
    <w:rsid w:val="002B17D0"/>
    <w:rsid w:val="002C3451"/>
    <w:rsid w:val="002D0285"/>
    <w:rsid w:val="002D1D67"/>
    <w:rsid w:val="002D217E"/>
    <w:rsid w:val="002D4CB8"/>
    <w:rsid w:val="002E1FDC"/>
    <w:rsid w:val="002E3401"/>
    <w:rsid w:val="002E6CE9"/>
    <w:rsid w:val="002F1919"/>
    <w:rsid w:val="002F550B"/>
    <w:rsid w:val="002F6724"/>
    <w:rsid w:val="002F7DDB"/>
    <w:rsid w:val="00300942"/>
    <w:rsid w:val="0030328E"/>
    <w:rsid w:val="0030601D"/>
    <w:rsid w:val="0031244F"/>
    <w:rsid w:val="003146A9"/>
    <w:rsid w:val="00324A13"/>
    <w:rsid w:val="003254D9"/>
    <w:rsid w:val="00325E85"/>
    <w:rsid w:val="00327D32"/>
    <w:rsid w:val="00330000"/>
    <w:rsid w:val="00332040"/>
    <w:rsid w:val="00335F6E"/>
    <w:rsid w:val="003360C9"/>
    <w:rsid w:val="00337E41"/>
    <w:rsid w:val="00341F40"/>
    <w:rsid w:val="00342EF5"/>
    <w:rsid w:val="00343E92"/>
    <w:rsid w:val="0035037F"/>
    <w:rsid w:val="00355A7A"/>
    <w:rsid w:val="0035635B"/>
    <w:rsid w:val="00361487"/>
    <w:rsid w:val="00362C40"/>
    <w:rsid w:val="00364E72"/>
    <w:rsid w:val="00365D72"/>
    <w:rsid w:val="003701C9"/>
    <w:rsid w:val="00373D6B"/>
    <w:rsid w:val="00374308"/>
    <w:rsid w:val="00374831"/>
    <w:rsid w:val="003749AB"/>
    <w:rsid w:val="003818E7"/>
    <w:rsid w:val="00381C22"/>
    <w:rsid w:val="00381E48"/>
    <w:rsid w:val="00382739"/>
    <w:rsid w:val="00383144"/>
    <w:rsid w:val="003844FA"/>
    <w:rsid w:val="0038500C"/>
    <w:rsid w:val="0038605D"/>
    <w:rsid w:val="00387C5B"/>
    <w:rsid w:val="003926A7"/>
    <w:rsid w:val="003935C7"/>
    <w:rsid w:val="003A2BD6"/>
    <w:rsid w:val="003A36F2"/>
    <w:rsid w:val="003A39F4"/>
    <w:rsid w:val="003A4C49"/>
    <w:rsid w:val="003A4DD9"/>
    <w:rsid w:val="003B4625"/>
    <w:rsid w:val="003B5328"/>
    <w:rsid w:val="003B54E3"/>
    <w:rsid w:val="003B7C05"/>
    <w:rsid w:val="003B7FE5"/>
    <w:rsid w:val="003C22DC"/>
    <w:rsid w:val="003C47A6"/>
    <w:rsid w:val="003D0ED2"/>
    <w:rsid w:val="003D4E6D"/>
    <w:rsid w:val="003D70FD"/>
    <w:rsid w:val="003E3CCC"/>
    <w:rsid w:val="003E404F"/>
    <w:rsid w:val="003E5B7C"/>
    <w:rsid w:val="003E6979"/>
    <w:rsid w:val="003E7900"/>
    <w:rsid w:val="003F20D7"/>
    <w:rsid w:val="003F6D36"/>
    <w:rsid w:val="00401E4A"/>
    <w:rsid w:val="00402C9D"/>
    <w:rsid w:val="00402F48"/>
    <w:rsid w:val="00403E0E"/>
    <w:rsid w:val="00404859"/>
    <w:rsid w:val="00406BD7"/>
    <w:rsid w:val="004118A8"/>
    <w:rsid w:val="00412994"/>
    <w:rsid w:val="004152D8"/>
    <w:rsid w:val="00415306"/>
    <w:rsid w:val="0041674E"/>
    <w:rsid w:val="00424BF1"/>
    <w:rsid w:val="0042569D"/>
    <w:rsid w:val="00427932"/>
    <w:rsid w:val="004337F5"/>
    <w:rsid w:val="0044445B"/>
    <w:rsid w:val="00444AED"/>
    <w:rsid w:val="00445811"/>
    <w:rsid w:val="00445C9C"/>
    <w:rsid w:val="00447AF0"/>
    <w:rsid w:val="0045340F"/>
    <w:rsid w:val="0045405D"/>
    <w:rsid w:val="00454A33"/>
    <w:rsid w:val="00454FEC"/>
    <w:rsid w:val="0045670E"/>
    <w:rsid w:val="00457291"/>
    <w:rsid w:val="00460472"/>
    <w:rsid w:val="0046371B"/>
    <w:rsid w:val="00463D7E"/>
    <w:rsid w:val="004667F7"/>
    <w:rsid w:val="00471A74"/>
    <w:rsid w:val="00473FB7"/>
    <w:rsid w:val="00475144"/>
    <w:rsid w:val="0047706E"/>
    <w:rsid w:val="00481364"/>
    <w:rsid w:val="004825C1"/>
    <w:rsid w:val="00482777"/>
    <w:rsid w:val="00485474"/>
    <w:rsid w:val="004872AF"/>
    <w:rsid w:val="00487648"/>
    <w:rsid w:val="00490F6A"/>
    <w:rsid w:val="004936AA"/>
    <w:rsid w:val="004952A2"/>
    <w:rsid w:val="004A0425"/>
    <w:rsid w:val="004A47D1"/>
    <w:rsid w:val="004A4BD1"/>
    <w:rsid w:val="004B13CE"/>
    <w:rsid w:val="004B2B1D"/>
    <w:rsid w:val="004B4FA6"/>
    <w:rsid w:val="004B5EC9"/>
    <w:rsid w:val="004B60F2"/>
    <w:rsid w:val="004B626A"/>
    <w:rsid w:val="004B7A4D"/>
    <w:rsid w:val="004C05E9"/>
    <w:rsid w:val="004C0F0E"/>
    <w:rsid w:val="004C0FA9"/>
    <w:rsid w:val="004C1431"/>
    <w:rsid w:val="004C592D"/>
    <w:rsid w:val="004D050F"/>
    <w:rsid w:val="004D11B0"/>
    <w:rsid w:val="004D3F78"/>
    <w:rsid w:val="004D61AE"/>
    <w:rsid w:val="004E0F60"/>
    <w:rsid w:val="004E100C"/>
    <w:rsid w:val="004E3D6A"/>
    <w:rsid w:val="004E4111"/>
    <w:rsid w:val="004E6CCC"/>
    <w:rsid w:val="004F177F"/>
    <w:rsid w:val="004F50E5"/>
    <w:rsid w:val="004F69C7"/>
    <w:rsid w:val="004F7B52"/>
    <w:rsid w:val="00502845"/>
    <w:rsid w:val="005045A2"/>
    <w:rsid w:val="00504B79"/>
    <w:rsid w:val="005133EA"/>
    <w:rsid w:val="0051360C"/>
    <w:rsid w:val="0051457D"/>
    <w:rsid w:val="00515635"/>
    <w:rsid w:val="0052076E"/>
    <w:rsid w:val="00522EFF"/>
    <w:rsid w:val="00524AC6"/>
    <w:rsid w:val="00525788"/>
    <w:rsid w:val="00526128"/>
    <w:rsid w:val="00526EA6"/>
    <w:rsid w:val="00531C89"/>
    <w:rsid w:val="0053346A"/>
    <w:rsid w:val="00533A7B"/>
    <w:rsid w:val="0054012D"/>
    <w:rsid w:val="005436AD"/>
    <w:rsid w:val="00552E7F"/>
    <w:rsid w:val="00554D74"/>
    <w:rsid w:val="005575AE"/>
    <w:rsid w:val="005637C6"/>
    <w:rsid w:val="00565CA4"/>
    <w:rsid w:val="005677BF"/>
    <w:rsid w:val="005706ED"/>
    <w:rsid w:val="00573C1E"/>
    <w:rsid w:val="00574507"/>
    <w:rsid w:val="00574F2B"/>
    <w:rsid w:val="0057735D"/>
    <w:rsid w:val="00577ADD"/>
    <w:rsid w:val="005814CB"/>
    <w:rsid w:val="00586AFA"/>
    <w:rsid w:val="005919CC"/>
    <w:rsid w:val="00591EA3"/>
    <w:rsid w:val="0059270B"/>
    <w:rsid w:val="00593D34"/>
    <w:rsid w:val="005948BE"/>
    <w:rsid w:val="005A4EF7"/>
    <w:rsid w:val="005A6F94"/>
    <w:rsid w:val="005A76BA"/>
    <w:rsid w:val="005B2527"/>
    <w:rsid w:val="005B39F8"/>
    <w:rsid w:val="005B5CC2"/>
    <w:rsid w:val="005B5F5D"/>
    <w:rsid w:val="005C2FEF"/>
    <w:rsid w:val="005C3E63"/>
    <w:rsid w:val="005C4F88"/>
    <w:rsid w:val="005C54B7"/>
    <w:rsid w:val="005D76FE"/>
    <w:rsid w:val="005D7D8E"/>
    <w:rsid w:val="005E097E"/>
    <w:rsid w:val="005E1C97"/>
    <w:rsid w:val="005E231F"/>
    <w:rsid w:val="005E54BE"/>
    <w:rsid w:val="005F1B32"/>
    <w:rsid w:val="005F3753"/>
    <w:rsid w:val="005F69CA"/>
    <w:rsid w:val="00600431"/>
    <w:rsid w:val="006018FB"/>
    <w:rsid w:val="00602A15"/>
    <w:rsid w:val="00607414"/>
    <w:rsid w:val="0060761B"/>
    <w:rsid w:val="00607863"/>
    <w:rsid w:val="00607DC6"/>
    <w:rsid w:val="00611DE6"/>
    <w:rsid w:val="00617287"/>
    <w:rsid w:val="006256C7"/>
    <w:rsid w:val="006327D7"/>
    <w:rsid w:val="006343BC"/>
    <w:rsid w:val="00634D8C"/>
    <w:rsid w:val="00636BDC"/>
    <w:rsid w:val="00640AC7"/>
    <w:rsid w:val="00642676"/>
    <w:rsid w:val="00645C3E"/>
    <w:rsid w:val="00653018"/>
    <w:rsid w:val="00653AAB"/>
    <w:rsid w:val="00654484"/>
    <w:rsid w:val="00655EE0"/>
    <w:rsid w:val="0066163F"/>
    <w:rsid w:val="006804C3"/>
    <w:rsid w:val="00680559"/>
    <w:rsid w:val="00681F6A"/>
    <w:rsid w:val="00687EBE"/>
    <w:rsid w:val="00691B34"/>
    <w:rsid w:val="006933E7"/>
    <w:rsid w:val="006948A2"/>
    <w:rsid w:val="00694F19"/>
    <w:rsid w:val="00695D53"/>
    <w:rsid w:val="00696E72"/>
    <w:rsid w:val="006A02F5"/>
    <w:rsid w:val="006A5088"/>
    <w:rsid w:val="006A5A9C"/>
    <w:rsid w:val="006A64F5"/>
    <w:rsid w:val="006C1AD5"/>
    <w:rsid w:val="006D3A3D"/>
    <w:rsid w:val="006D439E"/>
    <w:rsid w:val="006E06F5"/>
    <w:rsid w:val="006E1A98"/>
    <w:rsid w:val="006E457D"/>
    <w:rsid w:val="006E7CD8"/>
    <w:rsid w:val="006E7EA2"/>
    <w:rsid w:val="00704772"/>
    <w:rsid w:val="0070539E"/>
    <w:rsid w:val="00710419"/>
    <w:rsid w:val="00713069"/>
    <w:rsid w:val="007205DA"/>
    <w:rsid w:val="007206CA"/>
    <w:rsid w:val="00721B74"/>
    <w:rsid w:val="0072504B"/>
    <w:rsid w:val="00726F9C"/>
    <w:rsid w:val="0073181D"/>
    <w:rsid w:val="00732136"/>
    <w:rsid w:val="00736670"/>
    <w:rsid w:val="00737B7C"/>
    <w:rsid w:val="00744B53"/>
    <w:rsid w:val="007516F7"/>
    <w:rsid w:val="007553C2"/>
    <w:rsid w:val="0076134D"/>
    <w:rsid w:val="00762F72"/>
    <w:rsid w:val="00765E60"/>
    <w:rsid w:val="00767D01"/>
    <w:rsid w:val="00785383"/>
    <w:rsid w:val="00785D01"/>
    <w:rsid w:val="007924D5"/>
    <w:rsid w:val="00792EA4"/>
    <w:rsid w:val="00794610"/>
    <w:rsid w:val="00794AE5"/>
    <w:rsid w:val="007A27EC"/>
    <w:rsid w:val="007A4485"/>
    <w:rsid w:val="007B0E3C"/>
    <w:rsid w:val="007B3BD6"/>
    <w:rsid w:val="007B4982"/>
    <w:rsid w:val="007B5011"/>
    <w:rsid w:val="007B531B"/>
    <w:rsid w:val="007B700A"/>
    <w:rsid w:val="007C0E88"/>
    <w:rsid w:val="007C3645"/>
    <w:rsid w:val="007C3878"/>
    <w:rsid w:val="007C4BC6"/>
    <w:rsid w:val="007C5AC8"/>
    <w:rsid w:val="007D1A51"/>
    <w:rsid w:val="007D55EC"/>
    <w:rsid w:val="007D57D6"/>
    <w:rsid w:val="007D5CD1"/>
    <w:rsid w:val="007E17E9"/>
    <w:rsid w:val="007E74E4"/>
    <w:rsid w:val="007E7968"/>
    <w:rsid w:val="007F044C"/>
    <w:rsid w:val="007F5B1E"/>
    <w:rsid w:val="0080012C"/>
    <w:rsid w:val="008200AE"/>
    <w:rsid w:val="00820D07"/>
    <w:rsid w:val="00822CC4"/>
    <w:rsid w:val="00825421"/>
    <w:rsid w:val="00826B0E"/>
    <w:rsid w:val="00827D22"/>
    <w:rsid w:val="0083086B"/>
    <w:rsid w:val="00834959"/>
    <w:rsid w:val="00840125"/>
    <w:rsid w:val="00840CC4"/>
    <w:rsid w:val="0084154A"/>
    <w:rsid w:val="00844779"/>
    <w:rsid w:val="00845C07"/>
    <w:rsid w:val="00845EDA"/>
    <w:rsid w:val="00850702"/>
    <w:rsid w:val="00850C43"/>
    <w:rsid w:val="00850FDC"/>
    <w:rsid w:val="008522C1"/>
    <w:rsid w:val="00856876"/>
    <w:rsid w:val="00856C7B"/>
    <w:rsid w:val="008610CD"/>
    <w:rsid w:val="008615CC"/>
    <w:rsid w:val="00863C10"/>
    <w:rsid w:val="00863CD3"/>
    <w:rsid w:val="0088663E"/>
    <w:rsid w:val="00892511"/>
    <w:rsid w:val="008A115E"/>
    <w:rsid w:val="008A1559"/>
    <w:rsid w:val="008B1C33"/>
    <w:rsid w:val="008B263D"/>
    <w:rsid w:val="008B4EB1"/>
    <w:rsid w:val="008B7C5D"/>
    <w:rsid w:val="008C0563"/>
    <w:rsid w:val="008C1F27"/>
    <w:rsid w:val="008C7CAA"/>
    <w:rsid w:val="008D12B7"/>
    <w:rsid w:val="008D13BA"/>
    <w:rsid w:val="008D539D"/>
    <w:rsid w:val="008D5AF5"/>
    <w:rsid w:val="008E513B"/>
    <w:rsid w:val="008E5A6B"/>
    <w:rsid w:val="008F38B4"/>
    <w:rsid w:val="008F6FC6"/>
    <w:rsid w:val="008F7E36"/>
    <w:rsid w:val="00900814"/>
    <w:rsid w:val="00900A50"/>
    <w:rsid w:val="009012AF"/>
    <w:rsid w:val="009047FD"/>
    <w:rsid w:val="00904A4C"/>
    <w:rsid w:val="00904FD9"/>
    <w:rsid w:val="00905D5A"/>
    <w:rsid w:val="00906A38"/>
    <w:rsid w:val="00907D6E"/>
    <w:rsid w:val="00910E3A"/>
    <w:rsid w:val="00913297"/>
    <w:rsid w:val="00913683"/>
    <w:rsid w:val="00915579"/>
    <w:rsid w:val="00922472"/>
    <w:rsid w:val="00927973"/>
    <w:rsid w:val="0093043C"/>
    <w:rsid w:val="0093479E"/>
    <w:rsid w:val="009374AC"/>
    <w:rsid w:val="0094263A"/>
    <w:rsid w:val="00945C9B"/>
    <w:rsid w:val="00945F0C"/>
    <w:rsid w:val="0094627B"/>
    <w:rsid w:val="009473BA"/>
    <w:rsid w:val="00950431"/>
    <w:rsid w:val="00950C63"/>
    <w:rsid w:val="00951B08"/>
    <w:rsid w:val="00951FCB"/>
    <w:rsid w:val="00955051"/>
    <w:rsid w:val="0095752B"/>
    <w:rsid w:val="00961A9A"/>
    <w:rsid w:val="00964505"/>
    <w:rsid w:val="00965986"/>
    <w:rsid w:val="00970C34"/>
    <w:rsid w:val="00970CAF"/>
    <w:rsid w:val="00971010"/>
    <w:rsid w:val="00972BFD"/>
    <w:rsid w:val="0097358F"/>
    <w:rsid w:val="00973911"/>
    <w:rsid w:val="009810D7"/>
    <w:rsid w:val="0098149A"/>
    <w:rsid w:val="00981ABC"/>
    <w:rsid w:val="009851B2"/>
    <w:rsid w:val="009858D0"/>
    <w:rsid w:val="00985A3E"/>
    <w:rsid w:val="00986D1B"/>
    <w:rsid w:val="00986FD3"/>
    <w:rsid w:val="0099143B"/>
    <w:rsid w:val="009A2518"/>
    <w:rsid w:val="009A2579"/>
    <w:rsid w:val="009A3DF6"/>
    <w:rsid w:val="009A4E6A"/>
    <w:rsid w:val="009A5F22"/>
    <w:rsid w:val="009B0597"/>
    <w:rsid w:val="009B1EEA"/>
    <w:rsid w:val="009B3534"/>
    <w:rsid w:val="009B3F16"/>
    <w:rsid w:val="009B44C9"/>
    <w:rsid w:val="009C0D95"/>
    <w:rsid w:val="009C1230"/>
    <w:rsid w:val="009C4BA9"/>
    <w:rsid w:val="009C5644"/>
    <w:rsid w:val="009D010A"/>
    <w:rsid w:val="009D3E76"/>
    <w:rsid w:val="009D4465"/>
    <w:rsid w:val="009D53D1"/>
    <w:rsid w:val="009D7C5A"/>
    <w:rsid w:val="009E0DAB"/>
    <w:rsid w:val="009E44AA"/>
    <w:rsid w:val="009F091B"/>
    <w:rsid w:val="009F23A1"/>
    <w:rsid w:val="00A0059D"/>
    <w:rsid w:val="00A016CA"/>
    <w:rsid w:val="00A02D4A"/>
    <w:rsid w:val="00A038AE"/>
    <w:rsid w:val="00A038F1"/>
    <w:rsid w:val="00A10CCB"/>
    <w:rsid w:val="00A15530"/>
    <w:rsid w:val="00A16DBA"/>
    <w:rsid w:val="00A20787"/>
    <w:rsid w:val="00A265E3"/>
    <w:rsid w:val="00A32014"/>
    <w:rsid w:val="00A32775"/>
    <w:rsid w:val="00A32A60"/>
    <w:rsid w:val="00A40E8D"/>
    <w:rsid w:val="00A4238A"/>
    <w:rsid w:val="00A4704E"/>
    <w:rsid w:val="00A55D98"/>
    <w:rsid w:val="00A576D6"/>
    <w:rsid w:val="00A60276"/>
    <w:rsid w:val="00A609DB"/>
    <w:rsid w:val="00A62EAD"/>
    <w:rsid w:val="00A6474E"/>
    <w:rsid w:val="00A65067"/>
    <w:rsid w:val="00A67CDD"/>
    <w:rsid w:val="00A70434"/>
    <w:rsid w:val="00A733BB"/>
    <w:rsid w:val="00A75149"/>
    <w:rsid w:val="00A818BD"/>
    <w:rsid w:val="00A82239"/>
    <w:rsid w:val="00A8227D"/>
    <w:rsid w:val="00A82BF1"/>
    <w:rsid w:val="00A830C4"/>
    <w:rsid w:val="00A84725"/>
    <w:rsid w:val="00A84DD7"/>
    <w:rsid w:val="00A87358"/>
    <w:rsid w:val="00A87702"/>
    <w:rsid w:val="00A877FC"/>
    <w:rsid w:val="00A90173"/>
    <w:rsid w:val="00A90295"/>
    <w:rsid w:val="00A9148A"/>
    <w:rsid w:val="00A92A0E"/>
    <w:rsid w:val="00A9397F"/>
    <w:rsid w:val="00A9477B"/>
    <w:rsid w:val="00AA1D92"/>
    <w:rsid w:val="00AA35A8"/>
    <w:rsid w:val="00AA4F7F"/>
    <w:rsid w:val="00AA6B91"/>
    <w:rsid w:val="00AB10FF"/>
    <w:rsid w:val="00AB5145"/>
    <w:rsid w:val="00AB5221"/>
    <w:rsid w:val="00AB60EC"/>
    <w:rsid w:val="00AC7D88"/>
    <w:rsid w:val="00AD1007"/>
    <w:rsid w:val="00AD1D96"/>
    <w:rsid w:val="00AD1F06"/>
    <w:rsid w:val="00AD381A"/>
    <w:rsid w:val="00AD6D33"/>
    <w:rsid w:val="00AD7400"/>
    <w:rsid w:val="00AE4717"/>
    <w:rsid w:val="00AE7538"/>
    <w:rsid w:val="00AE77A2"/>
    <w:rsid w:val="00AF21E0"/>
    <w:rsid w:val="00AF283B"/>
    <w:rsid w:val="00AF7160"/>
    <w:rsid w:val="00AF78AF"/>
    <w:rsid w:val="00B00886"/>
    <w:rsid w:val="00B00EE8"/>
    <w:rsid w:val="00B0105F"/>
    <w:rsid w:val="00B06C3A"/>
    <w:rsid w:val="00B10C67"/>
    <w:rsid w:val="00B11056"/>
    <w:rsid w:val="00B1208D"/>
    <w:rsid w:val="00B14AD9"/>
    <w:rsid w:val="00B155FC"/>
    <w:rsid w:val="00B17C6E"/>
    <w:rsid w:val="00B24BEF"/>
    <w:rsid w:val="00B26126"/>
    <w:rsid w:val="00B263E9"/>
    <w:rsid w:val="00B26F86"/>
    <w:rsid w:val="00B33541"/>
    <w:rsid w:val="00B34EFB"/>
    <w:rsid w:val="00B418C2"/>
    <w:rsid w:val="00B46192"/>
    <w:rsid w:val="00B54EAC"/>
    <w:rsid w:val="00B556B5"/>
    <w:rsid w:val="00B57F2D"/>
    <w:rsid w:val="00B61464"/>
    <w:rsid w:val="00B63005"/>
    <w:rsid w:val="00B6303B"/>
    <w:rsid w:val="00B677E5"/>
    <w:rsid w:val="00B7142E"/>
    <w:rsid w:val="00B71920"/>
    <w:rsid w:val="00B73497"/>
    <w:rsid w:val="00B739D5"/>
    <w:rsid w:val="00B769FC"/>
    <w:rsid w:val="00B7735E"/>
    <w:rsid w:val="00B827B2"/>
    <w:rsid w:val="00B82FA7"/>
    <w:rsid w:val="00B866C0"/>
    <w:rsid w:val="00B907B3"/>
    <w:rsid w:val="00B96DFB"/>
    <w:rsid w:val="00B9702F"/>
    <w:rsid w:val="00B9720E"/>
    <w:rsid w:val="00BA0B5E"/>
    <w:rsid w:val="00BA3B88"/>
    <w:rsid w:val="00BA5278"/>
    <w:rsid w:val="00BA6CCA"/>
    <w:rsid w:val="00BB04CF"/>
    <w:rsid w:val="00BB1632"/>
    <w:rsid w:val="00BB70A3"/>
    <w:rsid w:val="00BB74EB"/>
    <w:rsid w:val="00BC0489"/>
    <w:rsid w:val="00BD10A4"/>
    <w:rsid w:val="00BD5D33"/>
    <w:rsid w:val="00BD6987"/>
    <w:rsid w:val="00BE1E3F"/>
    <w:rsid w:val="00BE3464"/>
    <w:rsid w:val="00BF4835"/>
    <w:rsid w:val="00BF6121"/>
    <w:rsid w:val="00BF7B90"/>
    <w:rsid w:val="00C05790"/>
    <w:rsid w:val="00C06FF1"/>
    <w:rsid w:val="00C115CD"/>
    <w:rsid w:val="00C12097"/>
    <w:rsid w:val="00C133EB"/>
    <w:rsid w:val="00C14F70"/>
    <w:rsid w:val="00C16E8C"/>
    <w:rsid w:val="00C1705B"/>
    <w:rsid w:val="00C236E5"/>
    <w:rsid w:val="00C24DB7"/>
    <w:rsid w:val="00C2512B"/>
    <w:rsid w:val="00C26FF1"/>
    <w:rsid w:val="00C30635"/>
    <w:rsid w:val="00C317CA"/>
    <w:rsid w:val="00C32AF6"/>
    <w:rsid w:val="00C35C85"/>
    <w:rsid w:val="00C378D8"/>
    <w:rsid w:val="00C40B82"/>
    <w:rsid w:val="00C414D1"/>
    <w:rsid w:val="00C41BB4"/>
    <w:rsid w:val="00C44F18"/>
    <w:rsid w:val="00C5440A"/>
    <w:rsid w:val="00C54425"/>
    <w:rsid w:val="00C61648"/>
    <w:rsid w:val="00C630AB"/>
    <w:rsid w:val="00C64498"/>
    <w:rsid w:val="00C66416"/>
    <w:rsid w:val="00C71F8B"/>
    <w:rsid w:val="00C74E7A"/>
    <w:rsid w:val="00C76944"/>
    <w:rsid w:val="00C8196F"/>
    <w:rsid w:val="00C8246F"/>
    <w:rsid w:val="00C85721"/>
    <w:rsid w:val="00C8584B"/>
    <w:rsid w:val="00C868BC"/>
    <w:rsid w:val="00C90204"/>
    <w:rsid w:val="00C91A22"/>
    <w:rsid w:val="00C9463A"/>
    <w:rsid w:val="00C97CC5"/>
    <w:rsid w:val="00CA07A9"/>
    <w:rsid w:val="00CA5BA0"/>
    <w:rsid w:val="00CB24DF"/>
    <w:rsid w:val="00CB3BC4"/>
    <w:rsid w:val="00CB4F2D"/>
    <w:rsid w:val="00CB649D"/>
    <w:rsid w:val="00CC022F"/>
    <w:rsid w:val="00CC03A2"/>
    <w:rsid w:val="00CC1CF2"/>
    <w:rsid w:val="00CC297B"/>
    <w:rsid w:val="00CC4F99"/>
    <w:rsid w:val="00CC5B0D"/>
    <w:rsid w:val="00CD1284"/>
    <w:rsid w:val="00CD41CA"/>
    <w:rsid w:val="00CE24E5"/>
    <w:rsid w:val="00CE28BE"/>
    <w:rsid w:val="00CE477E"/>
    <w:rsid w:val="00CF0390"/>
    <w:rsid w:val="00CF4772"/>
    <w:rsid w:val="00CF6000"/>
    <w:rsid w:val="00CF648B"/>
    <w:rsid w:val="00CF7FA9"/>
    <w:rsid w:val="00D03817"/>
    <w:rsid w:val="00D039F7"/>
    <w:rsid w:val="00D03BC2"/>
    <w:rsid w:val="00D049D0"/>
    <w:rsid w:val="00D05112"/>
    <w:rsid w:val="00D076E4"/>
    <w:rsid w:val="00D12880"/>
    <w:rsid w:val="00D13C14"/>
    <w:rsid w:val="00D15377"/>
    <w:rsid w:val="00D16B01"/>
    <w:rsid w:val="00D2277C"/>
    <w:rsid w:val="00D23045"/>
    <w:rsid w:val="00D238D9"/>
    <w:rsid w:val="00D240A1"/>
    <w:rsid w:val="00D25954"/>
    <w:rsid w:val="00D35149"/>
    <w:rsid w:val="00D35CE8"/>
    <w:rsid w:val="00D364D1"/>
    <w:rsid w:val="00D36C5D"/>
    <w:rsid w:val="00D42478"/>
    <w:rsid w:val="00D4482E"/>
    <w:rsid w:val="00D47E08"/>
    <w:rsid w:val="00D5326F"/>
    <w:rsid w:val="00D53B19"/>
    <w:rsid w:val="00D5636A"/>
    <w:rsid w:val="00D566D8"/>
    <w:rsid w:val="00D56FA3"/>
    <w:rsid w:val="00D63A3A"/>
    <w:rsid w:val="00D7568C"/>
    <w:rsid w:val="00D80431"/>
    <w:rsid w:val="00D82C1E"/>
    <w:rsid w:val="00D841ED"/>
    <w:rsid w:val="00DA097D"/>
    <w:rsid w:val="00DA3EDC"/>
    <w:rsid w:val="00DA5021"/>
    <w:rsid w:val="00DA78DD"/>
    <w:rsid w:val="00DB42BC"/>
    <w:rsid w:val="00DB755A"/>
    <w:rsid w:val="00DB7814"/>
    <w:rsid w:val="00DB7FDF"/>
    <w:rsid w:val="00DC1EF0"/>
    <w:rsid w:val="00DC2060"/>
    <w:rsid w:val="00DC2DE6"/>
    <w:rsid w:val="00DC4677"/>
    <w:rsid w:val="00DD250A"/>
    <w:rsid w:val="00DD61CC"/>
    <w:rsid w:val="00DD7A53"/>
    <w:rsid w:val="00DE10B5"/>
    <w:rsid w:val="00DE1B88"/>
    <w:rsid w:val="00DE1D12"/>
    <w:rsid w:val="00DE1E54"/>
    <w:rsid w:val="00DE24F1"/>
    <w:rsid w:val="00DE3C86"/>
    <w:rsid w:val="00DE428F"/>
    <w:rsid w:val="00DE4B10"/>
    <w:rsid w:val="00DE5A8D"/>
    <w:rsid w:val="00DE5E0F"/>
    <w:rsid w:val="00DE615D"/>
    <w:rsid w:val="00DE7633"/>
    <w:rsid w:val="00DF244B"/>
    <w:rsid w:val="00DF4CD3"/>
    <w:rsid w:val="00DF700D"/>
    <w:rsid w:val="00DF7034"/>
    <w:rsid w:val="00DF737B"/>
    <w:rsid w:val="00E00144"/>
    <w:rsid w:val="00E279B8"/>
    <w:rsid w:val="00E4120D"/>
    <w:rsid w:val="00E42B07"/>
    <w:rsid w:val="00E442D0"/>
    <w:rsid w:val="00E44499"/>
    <w:rsid w:val="00E46DDF"/>
    <w:rsid w:val="00E5574F"/>
    <w:rsid w:val="00E6188F"/>
    <w:rsid w:val="00E618F0"/>
    <w:rsid w:val="00E64727"/>
    <w:rsid w:val="00E66B5F"/>
    <w:rsid w:val="00E673A7"/>
    <w:rsid w:val="00E73294"/>
    <w:rsid w:val="00E74ED0"/>
    <w:rsid w:val="00E758F2"/>
    <w:rsid w:val="00E763BA"/>
    <w:rsid w:val="00E81313"/>
    <w:rsid w:val="00E835FA"/>
    <w:rsid w:val="00E8397B"/>
    <w:rsid w:val="00E85CF6"/>
    <w:rsid w:val="00E86E7D"/>
    <w:rsid w:val="00E86FCB"/>
    <w:rsid w:val="00E87724"/>
    <w:rsid w:val="00E90696"/>
    <w:rsid w:val="00E92F1A"/>
    <w:rsid w:val="00E9646A"/>
    <w:rsid w:val="00E96AD2"/>
    <w:rsid w:val="00E977F3"/>
    <w:rsid w:val="00EA108F"/>
    <w:rsid w:val="00EA35A8"/>
    <w:rsid w:val="00EA60E0"/>
    <w:rsid w:val="00EB05F6"/>
    <w:rsid w:val="00EB09BE"/>
    <w:rsid w:val="00EB5C9D"/>
    <w:rsid w:val="00EC0AD1"/>
    <w:rsid w:val="00EC2E22"/>
    <w:rsid w:val="00EC35E3"/>
    <w:rsid w:val="00EC4CBF"/>
    <w:rsid w:val="00ED3CA2"/>
    <w:rsid w:val="00ED6714"/>
    <w:rsid w:val="00ED73E1"/>
    <w:rsid w:val="00ED76FB"/>
    <w:rsid w:val="00EE66A8"/>
    <w:rsid w:val="00EE67A0"/>
    <w:rsid w:val="00EE67ED"/>
    <w:rsid w:val="00EF3BD9"/>
    <w:rsid w:val="00EF4851"/>
    <w:rsid w:val="00EF4A5D"/>
    <w:rsid w:val="00F0120D"/>
    <w:rsid w:val="00F02BE3"/>
    <w:rsid w:val="00F02CDC"/>
    <w:rsid w:val="00F04550"/>
    <w:rsid w:val="00F06399"/>
    <w:rsid w:val="00F06A42"/>
    <w:rsid w:val="00F076EC"/>
    <w:rsid w:val="00F1233F"/>
    <w:rsid w:val="00F129D8"/>
    <w:rsid w:val="00F153AB"/>
    <w:rsid w:val="00F16951"/>
    <w:rsid w:val="00F16B7F"/>
    <w:rsid w:val="00F228FF"/>
    <w:rsid w:val="00F2670D"/>
    <w:rsid w:val="00F30AD8"/>
    <w:rsid w:val="00F329BA"/>
    <w:rsid w:val="00F402A4"/>
    <w:rsid w:val="00F40DE9"/>
    <w:rsid w:val="00F40F09"/>
    <w:rsid w:val="00F40F8B"/>
    <w:rsid w:val="00F418D6"/>
    <w:rsid w:val="00F446FC"/>
    <w:rsid w:val="00F51922"/>
    <w:rsid w:val="00F51DBE"/>
    <w:rsid w:val="00F57412"/>
    <w:rsid w:val="00F61338"/>
    <w:rsid w:val="00F6196D"/>
    <w:rsid w:val="00F62FA6"/>
    <w:rsid w:val="00F639E2"/>
    <w:rsid w:val="00F65089"/>
    <w:rsid w:val="00F6765C"/>
    <w:rsid w:val="00F71667"/>
    <w:rsid w:val="00F731F3"/>
    <w:rsid w:val="00F77687"/>
    <w:rsid w:val="00F82529"/>
    <w:rsid w:val="00F84EAB"/>
    <w:rsid w:val="00F9225E"/>
    <w:rsid w:val="00F9226D"/>
    <w:rsid w:val="00F95382"/>
    <w:rsid w:val="00FA2E76"/>
    <w:rsid w:val="00FA5937"/>
    <w:rsid w:val="00FB0577"/>
    <w:rsid w:val="00FB2003"/>
    <w:rsid w:val="00FB5D13"/>
    <w:rsid w:val="00FC2CFA"/>
    <w:rsid w:val="00FC3AB7"/>
    <w:rsid w:val="00FC672A"/>
    <w:rsid w:val="00FD0A28"/>
    <w:rsid w:val="00FD3C1E"/>
    <w:rsid w:val="00FD7814"/>
    <w:rsid w:val="00FD78BA"/>
    <w:rsid w:val="00FE183B"/>
    <w:rsid w:val="00FE203F"/>
    <w:rsid w:val="00FE3833"/>
    <w:rsid w:val="00FE47B8"/>
    <w:rsid w:val="00FF041C"/>
    <w:rsid w:val="00FF48ED"/>
    <w:rsid w:val="00FF4CE3"/>
    <w:rsid w:val="00FF68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C5ABB"/>
  <w15:docId w15:val="{6A2B39DC-1D78-4EF7-9C71-CCA0E8CB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0696"/>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0F74E1"/>
    <w:pPr>
      <w:keepNext/>
      <w:keepLines/>
      <w:spacing w:before="240" w:after="0"/>
      <w:contextualSpacing/>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3749AB"/>
    <w:pPr>
      <w:keepNext/>
      <w:keepLines/>
      <w:spacing w:before="40" w:after="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4E1"/>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749AB"/>
    <w:rPr>
      <w:rFonts w:ascii="Times New Roman" w:eastAsiaTheme="majorEastAsia" w:hAnsi="Times New Roman" w:cstheme="majorBidi"/>
      <w:i/>
      <w:sz w:val="24"/>
      <w:szCs w:val="26"/>
    </w:rPr>
  </w:style>
  <w:style w:type="character" w:styleId="LineNumber">
    <w:name w:val="line number"/>
    <w:basedOn w:val="DefaultParagraphFont"/>
    <w:uiPriority w:val="99"/>
    <w:semiHidden/>
    <w:unhideWhenUsed/>
    <w:rsid w:val="00F71667"/>
  </w:style>
  <w:style w:type="paragraph" w:styleId="NoSpacing">
    <w:name w:val="No Spacing"/>
    <w:uiPriority w:val="1"/>
    <w:qFormat/>
    <w:rsid w:val="00142218"/>
    <w:pPr>
      <w:spacing w:after="0" w:line="240" w:lineRule="auto"/>
      <w:jc w:val="center"/>
    </w:pPr>
    <w:rPr>
      <w:rFonts w:ascii="Times New Roman" w:hAnsi="Times New Roman"/>
      <w:sz w:val="24"/>
    </w:rPr>
  </w:style>
  <w:style w:type="table" w:styleId="TableGrid">
    <w:name w:val="Table Grid"/>
    <w:basedOn w:val="TableNormal"/>
    <w:uiPriority w:val="39"/>
    <w:rsid w:val="0014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BD6"/>
    <w:pPr>
      <w:tabs>
        <w:tab w:val="center" w:pos="4680"/>
        <w:tab w:val="right" w:pos="9360"/>
      </w:tabs>
      <w:spacing w:after="0"/>
    </w:pPr>
  </w:style>
  <w:style w:type="character" w:customStyle="1" w:styleId="HeaderChar">
    <w:name w:val="Header Char"/>
    <w:basedOn w:val="DefaultParagraphFont"/>
    <w:link w:val="Header"/>
    <w:uiPriority w:val="99"/>
    <w:rsid w:val="007B3BD6"/>
    <w:rPr>
      <w:rFonts w:ascii="Times New Roman" w:hAnsi="Times New Roman"/>
      <w:sz w:val="24"/>
    </w:rPr>
  </w:style>
  <w:style w:type="paragraph" w:styleId="Footer">
    <w:name w:val="footer"/>
    <w:basedOn w:val="Normal"/>
    <w:link w:val="FooterChar"/>
    <w:uiPriority w:val="99"/>
    <w:unhideWhenUsed/>
    <w:rsid w:val="007B3BD6"/>
    <w:pPr>
      <w:tabs>
        <w:tab w:val="center" w:pos="4680"/>
        <w:tab w:val="right" w:pos="9360"/>
      </w:tabs>
      <w:spacing w:after="0"/>
    </w:pPr>
  </w:style>
  <w:style w:type="character" w:customStyle="1" w:styleId="FooterChar">
    <w:name w:val="Footer Char"/>
    <w:basedOn w:val="DefaultParagraphFont"/>
    <w:link w:val="Footer"/>
    <w:uiPriority w:val="99"/>
    <w:rsid w:val="007B3BD6"/>
    <w:rPr>
      <w:rFonts w:ascii="Times New Roman" w:hAnsi="Times New Roman"/>
      <w:sz w:val="24"/>
    </w:rPr>
  </w:style>
  <w:style w:type="paragraph" w:styleId="Caption">
    <w:name w:val="caption"/>
    <w:basedOn w:val="Normal"/>
    <w:next w:val="Normal"/>
    <w:uiPriority w:val="35"/>
    <w:unhideWhenUsed/>
    <w:qFormat/>
    <w:rsid w:val="004F50E5"/>
    <w:pPr>
      <w:spacing w:after="200"/>
      <w:jc w:val="center"/>
    </w:pPr>
    <w:rPr>
      <w:b/>
      <w:iCs/>
      <w:szCs w:val="18"/>
    </w:rPr>
  </w:style>
  <w:style w:type="character" w:styleId="PlaceholderText">
    <w:name w:val="Placeholder Text"/>
    <w:basedOn w:val="DefaultParagraphFont"/>
    <w:uiPriority w:val="99"/>
    <w:semiHidden/>
    <w:rsid w:val="004667F7"/>
    <w:rPr>
      <w:color w:val="808080"/>
    </w:rPr>
  </w:style>
  <w:style w:type="paragraph" w:customStyle="1" w:styleId="Default">
    <w:name w:val="Default"/>
    <w:rsid w:val="008610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2845"/>
    <w:rPr>
      <w:sz w:val="16"/>
      <w:szCs w:val="16"/>
    </w:rPr>
  </w:style>
  <w:style w:type="paragraph" w:styleId="CommentText">
    <w:name w:val="annotation text"/>
    <w:basedOn w:val="Normal"/>
    <w:link w:val="CommentTextChar"/>
    <w:uiPriority w:val="99"/>
    <w:unhideWhenUsed/>
    <w:rsid w:val="00502845"/>
    <w:rPr>
      <w:sz w:val="20"/>
      <w:szCs w:val="20"/>
    </w:rPr>
  </w:style>
  <w:style w:type="character" w:customStyle="1" w:styleId="CommentTextChar">
    <w:name w:val="Comment Text Char"/>
    <w:basedOn w:val="DefaultParagraphFont"/>
    <w:link w:val="CommentText"/>
    <w:uiPriority w:val="99"/>
    <w:rsid w:val="0050284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02845"/>
    <w:rPr>
      <w:b/>
      <w:bCs/>
    </w:rPr>
  </w:style>
  <w:style w:type="character" w:customStyle="1" w:styleId="CommentSubjectChar">
    <w:name w:val="Comment Subject Char"/>
    <w:basedOn w:val="CommentTextChar"/>
    <w:link w:val="CommentSubject"/>
    <w:uiPriority w:val="99"/>
    <w:semiHidden/>
    <w:rsid w:val="00502845"/>
    <w:rPr>
      <w:rFonts w:ascii="Times New Roman" w:hAnsi="Times New Roman"/>
      <w:b/>
      <w:bCs/>
      <w:sz w:val="20"/>
      <w:szCs w:val="20"/>
    </w:rPr>
  </w:style>
  <w:style w:type="paragraph" w:styleId="BalloonText">
    <w:name w:val="Balloon Text"/>
    <w:basedOn w:val="Normal"/>
    <w:link w:val="BalloonTextChar"/>
    <w:uiPriority w:val="99"/>
    <w:semiHidden/>
    <w:unhideWhenUsed/>
    <w:rsid w:val="005028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845"/>
    <w:rPr>
      <w:rFonts w:ascii="Tahoma" w:hAnsi="Tahoma" w:cs="Tahoma"/>
      <w:sz w:val="16"/>
      <w:szCs w:val="16"/>
    </w:rPr>
  </w:style>
  <w:style w:type="paragraph" w:styleId="Revision">
    <w:name w:val="Revision"/>
    <w:hidden/>
    <w:uiPriority w:val="99"/>
    <w:semiHidden/>
    <w:rsid w:val="00BF483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654">
      <w:bodyDiv w:val="1"/>
      <w:marLeft w:val="0"/>
      <w:marRight w:val="0"/>
      <w:marTop w:val="0"/>
      <w:marBottom w:val="0"/>
      <w:divBdr>
        <w:top w:val="none" w:sz="0" w:space="0" w:color="auto"/>
        <w:left w:val="none" w:sz="0" w:space="0" w:color="auto"/>
        <w:bottom w:val="none" w:sz="0" w:space="0" w:color="auto"/>
        <w:right w:val="none" w:sz="0" w:space="0" w:color="auto"/>
      </w:divBdr>
    </w:div>
    <w:div w:id="846333832">
      <w:bodyDiv w:val="1"/>
      <w:marLeft w:val="0"/>
      <w:marRight w:val="0"/>
      <w:marTop w:val="0"/>
      <w:marBottom w:val="0"/>
      <w:divBdr>
        <w:top w:val="none" w:sz="0" w:space="0" w:color="auto"/>
        <w:left w:val="none" w:sz="0" w:space="0" w:color="auto"/>
        <w:bottom w:val="none" w:sz="0" w:space="0" w:color="auto"/>
        <w:right w:val="none" w:sz="0" w:space="0" w:color="auto"/>
      </w:divBdr>
    </w:div>
    <w:div w:id="1242518782">
      <w:bodyDiv w:val="1"/>
      <w:marLeft w:val="0"/>
      <w:marRight w:val="0"/>
      <w:marTop w:val="0"/>
      <w:marBottom w:val="0"/>
      <w:divBdr>
        <w:top w:val="none" w:sz="0" w:space="0" w:color="auto"/>
        <w:left w:val="none" w:sz="0" w:space="0" w:color="auto"/>
        <w:bottom w:val="none" w:sz="0" w:space="0" w:color="auto"/>
        <w:right w:val="none" w:sz="0" w:space="0" w:color="auto"/>
      </w:divBdr>
    </w:div>
    <w:div w:id="1428884320">
      <w:bodyDiv w:val="1"/>
      <w:marLeft w:val="0"/>
      <w:marRight w:val="0"/>
      <w:marTop w:val="0"/>
      <w:marBottom w:val="0"/>
      <w:divBdr>
        <w:top w:val="none" w:sz="0" w:space="0" w:color="auto"/>
        <w:left w:val="none" w:sz="0" w:space="0" w:color="auto"/>
        <w:bottom w:val="none" w:sz="0" w:space="0" w:color="auto"/>
        <w:right w:val="none" w:sz="0" w:space="0" w:color="auto"/>
      </w:divBdr>
    </w:div>
    <w:div w:id="1462773030">
      <w:bodyDiv w:val="1"/>
      <w:marLeft w:val="0"/>
      <w:marRight w:val="0"/>
      <w:marTop w:val="0"/>
      <w:marBottom w:val="0"/>
      <w:divBdr>
        <w:top w:val="none" w:sz="0" w:space="0" w:color="auto"/>
        <w:left w:val="none" w:sz="0" w:space="0" w:color="auto"/>
        <w:bottom w:val="none" w:sz="0" w:space="0" w:color="auto"/>
        <w:right w:val="none" w:sz="0" w:space="0" w:color="auto"/>
      </w:divBdr>
    </w:div>
    <w:div w:id="1687440685">
      <w:bodyDiv w:val="1"/>
      <w:marLeft w:val="0"/>
      <w:marRight w:val="0"/>
      <w:marTop w:val="0"/>
      <w:marBottom w:val="0"/>
      <w:divBdr>
        <w:top w:val="none" w:sz="0" w:space="0" w:color="auto"/>
        <w:left w:val="none" w:sz="0" w:space="0" w:color="auto"/>
        <w:bottom w:val="none" w:sz="0" w:space="0" w:color="auto"/>
        <w:right w:val="none" w:sz="0" w:space="0" w:color="auto"/>
      </w:divBdr>
    </w:div>
    <w:div w:id="2073699658">
      <w:bodyDiv w:val="1"/>
      <w:marLeft w:val="0"/>
      <w:marRight w:val="0"/>
      <w:marTop w:val="0"/>
      <w:marBottom w:val="0"/>
      <w:divBdr>
        <w:top w:val="none" w:sz="0" w:space="0" w:color="auto"/>
        <w:left w:val="none" w:sz="0" w:space="0" w:color="auto"/>
        <w:bottom w:val="none" w:sz="0" w:space="0" w:color="auto"/>
        <w:right w:val="none" w:sz="0" w:space="0" w:color="auto"/>
      </w:divBdr>
    </w:div>
    <w:div w:id="2086829380">
      <w:bodyDiv w:val="1"/>
      <w:marLeft w:val="0"/>
      <w:marRight w:val="0"/>
      <w:marTop w:val="0"/>
      <w:marBottom w:val="0"/>
      <w:divBdr>
        <w:top w:val="none" w:sz="0" w:space="0" w:color="auto"/>
        <w:left w:val="none" w:sz="0" w:space="0" w:color="auto"/>
        <w:bottom w:val="none" w:sz="0" w:space="0" w:color="auto"/>
        <w:right w:val="none" w:sz="0" w:space="0" w:color="auto"/>
      </w:divBdr>
    </w:div>
    <w:div w:id="21170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89D1-7959-418D-AF9A-C616471E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17</Pages>
  <Words>6293</Words>
  <Characters>35874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Tarek Ahmed Farid</dc:creator>
  <cp:lastModifiedBy>Ahmed</cp:lastModifiedBy>
  <cp:revision>30</cp:revision>
  <cp:lastPrinted>2016-07-29T03:38:00Z</cp:lastPrinted>
  <dcterms:created xsi:type="dcterms:W3CDTF">2016-10-26T22:33:00Z</dcterms:created>
  <dcterms:modified xsi:type="dcterms:W3CDTF">2017-01-30T02:21:00Z</dcterms:modified>
</cp:coreProperties>
</file>