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8395C2" w14:textId="53608620" w:rsidR="00076BDE" w:rsidRPr="006A4C6F" w:rsidRDefault="00ED6140" w:rsidP="008A17D3">
      <w:pPr>
        <w:spacing w:line="276" w:lineRule="auto"/>
        <w:jc w:val="center"/>
        <w:rPr>
          <w:b/>
        </w:rPr>
      </w:pPr>
      <w:bookmarkStart w:id="0" w:name="_GoBack"/>
      <w:bookmarkEnd w:id="0"/>
      <w:r>
        <w:rPr>
          <w:b/>
        </w:rPr>
        <w:t>Modelling Bicycle Availability i</w:t>
      </w:r>
      <w:r w:rsidRPr="006A4C6F">
        <w:rPr>
          <w:b/>
        </w:rPr>
        <w:t xml:space="preserve">n Bicycle Sharing Systems: A Case Study </w:t>
      </w:r>
      <w:r w:rsidR="00E533C2" w:rsidRPr="006A4C6F">
        <w:rPr>
          <w:b/>
        </w:rPr>
        <w:t>from</w:t>
      </w:r>
      <w:r w:rsidRPr="006A4C6F">
        <w:rPr>
          <w:b/>
        </w:rPr>
        <w:t xml:space="preserve"> Montreal</w:t>
      </w:r>
    </w:p>
    <w:p w14:paraId="199AB132" w14:textId="77777777" w:rsidR="00076BDE" w:rsidRDefault="00076BDE" w:rsidP="008A17D3">
      <w:pPr>
        <w:spacing w:line="276" w:lineRule="auto"/>
      </w:pPr>
    </w:p>
    <w:p w14:paraId="2C7C0796" w14:textId="77777777" w:rsidR="00A54EC4" w:rsidRDefault="00A54EC4" w:rsidP="00A54EC4">
      <w:pPr>
        <w:spacing w:line="276" w:lineRule="auto"/>
      </w:pPr>
    </w:p>
    <w:p w14:paraId="532A7AE8" w14:textId="77777777" w:rsidR="00DA6E39" w:rsidRDefault="00DA6E39" w:rsidP="00A54EC4">
      <w:pPr>
        <w:spacing w:line="276" w:lineRule="auto"/>
      </w:pPr>
    </w:p>
    <w:p w14:paraId="1FB9FCC9" w14:textId="77777777" w:rsidR="00DA6E39" w:rsidRDefault="00DA6E39" w:rsidP="00A54EC4">
      <w:pPr>
        <w:spacing w:line="276" w:lineRule="auto"/>
      </w:pPr>
    </w:p>
    <w:p w14:paraId="3D237114" w14:textId="77777777" w:rsidR="00DA6E39" w:rsidRPr="006A4C6F" w:rsidRDefault="00DA6E39" w:rsidP="00A54EC4">
      <w:pPr>
        <w:spacing w:line="276" w:lineRule="auto"/>
      </w:pPr>
    </w:p>
    <w:p w14:paraId="2D3BD9DD" w14:textId="77777777" w:rsidR="00A54EC4" w:rsidRPr="00FD1A67" w:rsidRDefault="00A54EC4" w:rsidP="00A54EC4">
      <w:pPr>
        <w:jc w:val="center"/>
        <w:rPr>
          <w:b/>
        </w:rPr>
      </w:pPr>
      <w:r w:rsidRPr="00FD1A67">
        <w:rPr>
          <w:b/>
        </w:rPr>
        <w:t>Frederic Reynaud</w:t>
      </w:r>
    </w:p>
    <w:p w14:paraId="6C21BAFD" w14:textId="77777777" w:rsidR="00A54EC4" w:rsidRDefault="00A54EC4" w:rsidP="00A54EC4">
      <w:pPr>
        <w:jc w:val="center"/>
      </w:pPr>
      <w:r w:rsidRPr="00FD1A67">
        <w:t>McGill University</w:t>
      </w:r>
    </w:p>
    <w:p w14:paraId="650F7597" w14:textId="77777777" w:rsidR="00A54EC4" w:rsidRDefault="00A54EC4" w:rsidP="00A54EC4">
      <w:pPr>
        <w:spacing w:line="276" w:lineRule="auto"/>
        <w:jc w:val="center"/>
      </w:pPr>
      <w:r>
        <w:t>817 Sherbrooke Street West, Montreal, Quebec H3A 0C3</w:t>
      </w:r>
    </w:p>
    <w:p w14:paraId="1D1F2176" w14:textId="77777777" w:rsidR="00A54EC4" w:rsidRDefault="00A54EC4" w:rsidP="00A54EC4">
      <w:pPr>
        <w:spacing w:line="276" w:lineRule="auto"/>
        <w:jc w:val="center"/>
        <w:rPr>
          <w:b/>
        </w:rPr>
      </w:pPr>
      <w:r w:rsidRPr="00FD1A67">
        <w:t>Ph</w:t>
      </w:r>
      <w:r>
        <w:t>: 514-663-3003;</w:t>
      </w:r>
      <w:r w:rsidRPr="00FD1A67">
        <w:t xml:space="preserve"> Email: frederic.reynaud@mail.mcgill.ca</w:t>
      </w:r>
      <w:r w:rsidRPr="006A4C6F" w:rsidDel="00F1456C">
        <w:rPr>
          <w:b/>
        </w:rPr>
        <w:t xml:space="preserve"> </w:t>
      </w:r>
    </w:p>
    <w:p w14:paraId="2C45221B" w14:textId="2D8162EC" w:rsidR="008A17D3" w:rsidRDefault="008A17D3" w:rsidP="008A17D3">
      <w:pPr>
        <w:spacing w:line="276" w:lineRule="auto"/>
      </w:pPr>
    </w:p>
    <w:p w14:paraId="0A1F104D" w14:textId="77777777" w:rsidR="002F4018" w:rsidRDefault="002F4018" w:rsidP="008A17D3">
      <w:pPr>
        <w:spacing w:line="276" w:lineRule="auto"/>
      </w:pPr>
    </w:p>
    <w:p w14:paraId="6DF16850" w14:textId="77777777" w:rsidR="002F4018" w:rsidRDefault="002F4018" w:rsidP="002F4018">
      <w:pPr>
        <w:spacing w:line="276" w:lineRule="auto"/>
        <w:jc w:val="center"/>
        <w:rPr>
          <w:b/>
        </w:rPr>
      </w:pPr>
      <w:r w:rsidRPr="006A4C6F">
        <w:rPr>
          <w:b/>
        </w:rPr>
        <w:t>Ahmadreza Faghih-Imani</w:t>
      </w:r>
    </w:p>
    <w:p w14:paraId="613BC9FC" w14:textId="77777777" w:rsidR="002F4018" w:rsidRPr="008904A0" w:rsidRDefault="002F4018" w:rsidP="002F4018">
      <w:pPr>
        <w:jc w:val="center"/>
        <w:rPr>
          <w:bCs/>
        </w:rPr>
      </w:pPr>
      <w:r w:rsidRPr="008904A0">
        <w:rPr>
          <w:bCs/>
        </w:rPr>
        <w:t>Department of Civil Engineering</w:t>
      </w:r>
    </w:p>
    <w:p w14:paraId="4DC0AB60" w14:textId="77777777" w:rsidR="002F4018" w:rsidRPr="008904A0" w:rsidRDefault="002F4018" w:rsidP="002F4018">
      <w:pPr>
        <w:jc w:val="center"/>
        <w:rPr>
          <w:bCs/>
        </w:rPr>
      </w:pPr>
      <w:r w:rsidRPr="008904A0">
        <w:rPr>
          <w:bCs/>
        </w:rPr>
        <w:t>University of Toronto</w:t>
      </w:r>
    </w:p>
    <w:p w14:paraId="737B721D" w14:textId="77777777" w:rsidR="002F4018" w:rsidRDefault="002F4018" w:rsidP="002F4018">
      <w:pPr>
        <w:jc w:val="center"/>
        <w:rPr>
          <w:bCs/>
        </w:rPr>
      </w:pPr>
      <w:r w:rsidRPr="001F10B0">
        <w:t>35 St George St,</w:t>
      </w:r>
      <w:r>
        <w:t xml:space="preserve"> GB305,</w:t>
      </w:r>
      <w:r w:rsidRPr="001F10B0">
        <w:t xml:space="preserve"> Toronto, ON M5S 1A4</w:t>
      </w:r>
    </w:p>
    <w:p w14:paraId="61D5C67B" w14:textId="77777777" w:rsidR="002F4018" w:rsidRPr="008904A0" w:rsidRDefault="002F4018" w:rsidP="002F4018">
      <w:pPr>
        <w:jc w:val="center"/>
        <w:rPr>
          <w:bCs/>
        </w:rPr>
      </w:pPr>
      <w:r w:rsidRPr="008904A0">
        <w:rPr>
          <w:bCs/>
        </w:rPr>
        <w:t xml:space="preserve">E-mail: </w:t>
      </w:r>
      <w:hyperlink r:id="rId8" w:history="1">
        <w:r w:rsidRPr="008904A0">
          <w:rPr>
            <w:rStyle w:val="Hyperlink"/>
            <w:bCs/>
          </w:rPr>
          <w:t>a.faghihimani@utoronto.ca</w:t>
        </w:r>
      </w:hyperlink>
      <w:r w:rsidRPr="008904A0">
        <w:rPr>
          <w:bCs/>
        </w:rPr>
        <w:t xml:space="preserve"> </w:t>
      </w:r>
    </w:p>
    <w:p w14:paraId="6411FEE8" w14:textId="77777777" w:rsidR="008A17D3" w:rsidRDefault="008A17D3" w:rsidP="008A17D3">
      <w:pPr>
        <w:spacing w:line="276" w:lineRule="auto"/>
        <w:jc w:val="center"/>
      </w:pPr>
    </w:p>
    <w:p w14:paraId="216D0611" w14:textId="77777777" w:rsidR="008A17D3" w:rsidRDefault="008A17D3" w:rsidP="008A17D3">
      <w:pPr>
        <w:spacing w:line="276" w:lineRule="auto"/>
        <w:jc w:val="center"/>
      </w:pPr>
    </w:p>
    <w:p w14:paraId="21A1D333" w14:textId="68CBD8D6" w:rsidR="00076BDE" w:rsidRPr="00D675C5" w:rsidRDefault="00076BDE" w:rsidP="008A17D3">
      <w:pPr>
        <w:spacing w:line="276" w:lineRule="auto"/>
        <w:jc w:val="center"/>
      </w:pPr>
      <w:r w:rsidRPr="007A4BD6">
        <w:rPr>
          <w:b/>
          <w:lang w:val="fr-FR"/>
        </w:rPr>
        <w:t>Naveen Eluru*</w:t>
      </w:r>
      <w:r w:rsidR="00D675C5">
        <w:rPr>
          <w:b/>
          <w:lang w:val="fr-FR"/>
        </w:rPr>
        <w:t xml:space="preserve"> (</w:t>
      </w:r>
      <w:r w:rsidR="00D675C5" w:rsidRPr="006A4C6F">
        <w:t>Corresponding auth</w:t>
      </w:r>
      <w:r w:rsidR="00D675C5">
        <w:t>or</w:t>
      </w:r>
      <w:r w:rsidR="00D675C5">
        <w:rPr>
          <w:b/>
          <w:lang w:val="fr-FR"/>
        </w:rPr>
        <w:t>)</w:t>
      </w:r>
    </w:p>
    <w:p w14:paraId="3D525E1E" w14:textId="77777777" w:rsidR="00F64AE3" w:rsidRDefault="00F64AE3" w:rsidP="008A17D3">
      <w:pPr>
        <w:spacing w:line="276" w:lineRule="auto"/>
        <w:jc w:val="center"/>
      </w:pPr>
      <w:r>
        <w:t>University of Central Florida</w:t>
      </w:r>
    </w:p>
    <w:p w14:paraId="4AA23C26" w14:textId="250B6BC5" w:rsidR="009B1A2A" w:rsidRDefault="009B1A2A" w:rsidP="008A17D3">
      <w:pPr>
        <w:spacing w:line="276" w:lineRule="auto"/>
        <w:jc w:val="center"/>
      </w:pPr>
      <w:r w:rsidRPr="009B1A2A">
        <w:t xml:space="preserve">12800 Pegasus Drive, Suite </w:t>
      </w:r>
      <w:r w:rsidR="00ED6140">
        <w:t>211</w:t>
      </w:r>
      <w:r w:rsidRPr="009B1A2A">
        <w:t>,</w:t>
      </w:r>
      <w:r w:rsidR="00ED6140">
        <w:t xml:space="preserve"> </w:t>
      </w:r>
      <w:r w:rsidRPr="009B1A2A">
        <w:t>Orlando, FL 32816-2450</w:t>
      </w:r>
    </w:p>
    <w:p w14:paraId="5760BA9F" w14:textId="32C74F3E" w:rsidR="00076BDE" w:rsidRPr="006A4C6F" w:rsidRDefault="00F64AE3" w:rsidP="008A17D3">
      <w:pPr>
        <w:spacing w:line="276" w:lineRule="auto"/>
        <w:jc w:val="center"/>
      </w:pPr>
      <w:r>
        <w:t xml:space="preserve">Ph: 407-823-4815; </w:t>
      </w:r>
      <w:r w:rsidR="00076BDE" w:rsidRPr="006A4C6F">
        <w:t>Email: naveen.eluru@</w:t>
      </w:r>
      <w:r w:rsidR="00BE10E9">
        <w:t>ucf.edu</w:t>
      </w:r>
    </w:p>
    <w:p w14:paraId="3FB805F6" w14:textId="77777777" w:rsidR="002E2189" w:rsidRPr="002B0227" w:rsidRDefault="002E2189" w:rsidP="008A17D3">
      <w:pPr>
        <w:spacing w:line="276" w:lineRule="auto"/>
        <w:rPr>
          <w:b/>
        </w:rPr>
      </w:pPr>
    </w:p>
    <w:p w14:paraId="721E1B5A" w14:textId="77777777" w:rsidR="007663C4" w:rsidRDefault="007663C4">
      <w:pPr>
        <w:spacing w:after="200" w:line="276" w:lineRule="auto"/>
        <w:rPr>
          <w:b/>
        </w:rPr>
      </w:pPr>
      <w:r>
        <w:rPr>
          <w:b/>
        </w:rPr>
        <w:br w:type="page"/>
      </w:r>
    </w:p>
    <w:p w14:paraId="5383FFEE" w14:textId="77777777" w:rsidR="00693048" w:rsidRPr="006A4C6F" w:rsidRDefault="00693048" w:rsidP="00693048">
      <w:pPr>
        <w:spacing w:line="276" w:lineRule="auto"/>
        <w:jc w:val="center"/>
        <w:rPr>
          <w:b/>
        </w:rPr>
      </w:pPr>
      <w:r>
        <w:rPr>
          <w:b/>
        </w:rPr>
        <w:lastRenderedPageBreak/>
        <w:t>Modelling Bicycle Availability i</w:t>
      </w:r>
      <w:r w:rsidRPr="006A4C6F">
        <w:rPr>
          <w:b/>
        </w:rPr>
        <w:t>n Bicycle Sharing Systems: A Case Study from Montreal</w:t>
      </w:r>
    </w:p>
    <w:p w14:paraId="09FE3218" w14:textId="77777777" w:rsidR="00693048" w:rsidRDefault="00693048" w:rsidP="00693048">
      <w:pPr>
        <w:spacing w:line="276" w:lineRule="auto"/>
      </w:pPr>
    </w:p>
    <w:p w14:paraId="38F86FBF" w14:textId="77777777" w:rsidR="00693048" w:rsidRDefault="00693048" w:rsidP="008A17D3">
      <w:pPr>
        <w:spacing w:line="276" w:lineRule="auto"/>
        <w:rPr>
          <w:b/>
        </w:rPr>
      </w:pPr>
    </w:p>
    <w:p w14:paraId="607EE9F9" w14:textId="7FF018E8" w:rsidR="00076BDE" w:rsidRDefault="00076BDE" w:rsidP="008A17D3">
      <w:pPr>
        <w:spacing w:line="276" w:lineRule="auto"/>
        <w:rPr>
          <w:b/>
        </w:rPr>
      </w:pPr>
      <w:r w:rsidRPr="006A4C6F">
        <w:rPr>
          <w:b/>
        </w:rPr>
        <w:t>ABSTRACT</w:t>
      </w:r>
    </w:p>
    <w:p w14:paraId="09AFE90F" w14:textId="77777777" w:rsidR="008A60E2" w:rsidRPr="006A4C6F" w:rsidRDefault="008A60E2" w:rsidP="008A17D3">
      <w:pPr>
        <w:spacing w:line="276" w:lineRule="auto"/>
        <w:rPr>
          <w:b/>
        </w:rPr>
      </w:pPr>
    </w:p>
    <w:p w14:paraId="0E3EFA66" w14:textId="6036110C" w:rsidR="003F44BA" w:rsidRDefault="00933395" w:rsidP="008A17D3">
      <w:pPr>
        <w:spacing w:line="276" w:lineRule="auto"/>
        <w:jc w:val="both"/>
      </w:pPr>
      <w:r>
        <w:t>This paper</w:t>
      </w:r>
      <w:r w:rsidR="003F44BA" w:rsidRPr="006A4C6F">
        <w:t xml:space="preserve"> contribute</w:t>
      </w:r>
      <w:r>
        <w:t>s</w:t>
      </w:r>
      <w:r w:rsidR="003F44BA" w:rsidRPr="006A4C6F">
        <w:t xml:space="preserve"> to</w:t>
      </w:r>
      <w:r>
        <w:t xml:space="preserve"> the</w:t>
      </w:r>
      <w:r w:rsidR="003F44BA" w:rsidRPr="006A4C6F">
        <w:t xml:space="preserve"> literature on </w:t>
      </w:r>
      <w:r w:rsidR="003F44BA">
        <w:t>Bicycle Sharing Systems (</w:t>
      </w:r>
      <w:r w:rsidR="003F44BA" w:rsidRPr="006A4C6F">
        <w:t>BSS</w:t>
      </w:r>
      <w:r w:rsidR="003F44BA">
        <w:t>)</w:t>
      </w:r>
      <w:r w:rsidR="003F44BA" w:rsidRPr="006A4C6F">
        <w:t xml:space="preserve"> by examining bicycle availability at a station as a direct metric of analysis. The </w:t>
      </w:r>
      <w:r w:rsidR="00E17D5C">
        <w:t xml:space="preserve">main </w:t>
      </w:r>
      <w:r w:rsidR="003F44BA" w:rsidRPr="006A4C6F">
        <w:t>contribution of the current research effort is to develop a behavioral</w:t>
      </w:r>
      <w:r w:rsidR="003F44BA">
        <w:t>ly</w:t>
      </w:r>
      <w:r w:rsidR="003F44BA" w:rsidRPr="006A4C6F">
        <w:t xml:space="preserve"> quantitative model that accommodates for the influence of temporal, meteorological, bicycle infrastructure, built environment and land-use attributes on bicycle availability. A</w:t>
      </w:r>
      <w:r w:rsidR="003F44BA">
        <w:t>n</w:t>
      </w:r>
      <w:r w:rsidR="003F44BA" w:rsidRPr="006A4C6F">
        <w:t xml:space="preserve"> </w:t>
      </w:r>
      <w:r w:rsidR="003F44BA">
        <w:t xml:space="preserve">ordered regression model - </w:t>
      </w:r>
      <w:r w:rsidR="003F44BA" w:rsidRPr="006A4C6F">
        <w:t xml:space="preserve">panel </w:t>
      </w:r>
      <w:r w:rsidR="003F44BA">
        <w:t xml:space="preserve">mixed </w:t>
      </w:r>
      <w:r w:rsidR="003F44BA" w:rsidRPr="006A4C6F">
        <w:t>generalized ordered logit model</w:t>
      </w:r>
      <w:r w:rsidR="003F44BA">
        <w:t xml:space="preserve"> </w:t>
      </w:r>
      <w:r w:rsidR="008D2733">
        <w:t>–</w:t>
      </w:r>
      <w:r w:rsidR="003F44BA" w:rsidRPr="006A4C6F">
        <w:t xml:space="preserve"> </w:t>
      </w:r>
      <w:r w:rsidR="008D2733">
        <w:t xml:space="preserve">for hourly bicycle availability </w:t>
      </w:r>
      <w:r w:rsidR="003F44BA" w:rsidRPr="006A4C6F">
        <w:t xml:space="preserve">is estimated to accommodate for </w:t>
      </w:r>
      <w:r w:rsidR="003F44BA">
        <w:t xml:space="preserve">exogenous variables and station level </w:t>
      </w:r>
      <w:r w:rsidR="003F44BA" w:rsidRPr="006A4C6F">
        <w:t xml:space="preserve">unobserved factors. </w:t>
      </w:r>
      <w:r w:rsidR="003F44BA">
        <w:t>The model estimation is undertake</w:t>
      </w:r>
      <w:r w:rsidR="00E17D5C">
        <w:t>n</w:t>
      </w:r>
      <w:r w:rsidR="003F44BA">
        <w:t xml:space="preserve"> using </w:t>
      </w:r>
      <w:r w:rsidR="00EE0B4B">
        <w:t xml:space="preserve">Montreal </w:t>
      </w:r>
      <w:r w:rsidR="003F44BA">
        <w:t>BIXI data from</w:t>
      </w:r>
      <w:r w:rsidR="00E17D5C">
        <w:t xml:space="preserve"> the</w:t>
      </w:r>
      <w:r w:rsidR="003050EE">
        <w:t xml:space="preserve"> summer of 2012. </w:t>
      </w:r>
      <w:r w:rsidR="000E6C57">
        <w:t>From the results</w:t>
      </w:r>
      <w:r w:rsidR="008D2733">
        <w:t>,</w:t>
      </w:r>
      <w:r w:rsidR="000E6C57">
        <w:t xml:space="preserve"> we observe that BIXI is used more in the afternoon than in the morning, </w:t>
      </w:r>
      <w:r w:rsidR="000E6C57" w:rsidRPr="006A4C6F">
        <w:t xml:space="preserve">dense areas tend to be associated </w:t>
      </w:r>
      <w:r w:rsidR="000E6C57">
        <w:t>with</w:t>
      </w:r>
      <w:r w:rsidR="000E6C57" w:rsidRPr="006A4C6F">
        <w:t xml:space="preserve"> lower availability levels</w:t>
      </w:r>
      <w:r w:rsidR="000E6C57">
        <w:t xml:space="preserve">, and interactions of time of day with land use impact availability. </w:t>
      </w:r>
      <w:r w:rsidR="003F44BA" w:rsidRPr="006A4C6F">
        <w:t xml:space="preserve">The </w:t>
      </w:r>
      <w:r w:rsidR="003F44BA">
        <w:t>estimated</w:t>
      </w:r>
      <w:r w:rsidR="003F44BA" w:rsidRPr="006A4C6F">
        <w:t xml:space="preserve"> model is validated using a hold-out sample. </w:t>
      </w:r>
      <w:r w:rsidR="000E6C57">
        <w:t xml:space="preserve">The results clearly highlight the satisfactory performance of the proposed framework. </w:t>
      </w:r>
      <w:r w:rsidR="003F44BA" w:rsidRPr="006A4C6F">
        <w:t>The model developed can be employed by BSS operators to arrive at hourly system state predictions and used for rebalancing operations.</w:t>
      </w:r>
      <w:r w:rsidR="000E6C57">
        <w:t xml:space="preserve"> T</w:t>
      </w:r>
      <w:r w:rsidR="000E6C57" w:rsidRPr="006A4C6F">
        <w:t xml:space="preserve">o illustrate its applicability, an availability prediction exercise is </w:t>
      </w:r>
      <w:r w:rsidR="000E6C57">
        <w:t xml:space="preserve">also </w:t>
      </w:r>
      <w:r w:rsidR="000E6C57" w:rsidRPr="006A4C6F">
        <w:t>undertaken.</w:t>
      </w:r>
    </w:p>
    <w:p w14:paraId="0F45D4B7" w14:textId="77777777" w:rsidR="000E6C57" w:rsidRPr="006A4C6F" w:rsidRDefault="000E6C57" w:rsidP="008A17D3">
      <w:pPr>
        <w:spacing w:line="276" w:lineRule="auto"/>
      </w:pPr>
    </w:p>
    <w:p w14:paraId="084CB72F" w14:textId="291F9D30" w:rsidR="00076BDE" w:rsidRPr="006A4C6F" w:rsidRDefault="00076BDE" w:rsidP="008A17D3">
      <w:pPr>
        <w:spacing w:line="276" w:lineRule="auto"/>
        <w:rPr>
          <w:rFonts w:eastAsiaTheme="majorEastAsia"/>
          <w:bCs/>
        </w:rPr>
      </w:pPr>
      <w:r w:rsidRPr="006A4C6F">
        <w:t>Keywords</w:t>
      </w:r>
      <w:r w:rsidR="000C3FA4" w:rsidRPr="006A4C6F">
        <w:t xml:space="preserve">: BIXI, Montreal, bikesharing, </w:t>
      </w:r>
      <w:r w:rsidR="008B6F0E" w:rsidRPr="006A4C6F">
        <w:t xml:space="preserve">Panel </w:t>
      </w:r>
      <w:r w:rsidR="000C3FA4" w:rsidRPr="006A4C6F">
        <w:t>G</w:t>
      </w:r>
      <w:r w:rsidR="00851E48" w:rsidRPr="006A4C6F">
        <w:t xml:space="preserve">eneralized </w:t>
      </w:r>
      <w:r w:rsidR="000C3FA4" w:rsidRPr="006A4C6F">
        <w:t>Ordered Logit M</w:t>
      </w:r>
      <w:r w:rsidR="008B6F0E" w:rsidRPr="006A4C6F">
        <w:t>odel</w:t>
      </w:r>
      <w:r w:rsidR="00851E48" w:rsidRPr="006A4C6F">
        <w:t>, bicycle availability</w:t>
      </w:r>
      <w:r w:rsidRPr="006A4C6F">
        <w:br w:type="page"/>
      </w:r>
    </w:p>
    <w:p w14:paraId="021C37D5" w14:textId="779668D0" w:rsidR="007F75F3" w:rsidRPr="006229D9" w:rsidRDefault="007A2429" w:rsidP="00A43BE5">
      <w:pPr>
        <w:pStyle w:val="Heading1"/>
      </w:pPr>
      <w:r w:rsidRPr="006229D9">
        <w:lastRenderedPageBreak/>
        <w:t>I</w:t>
      </w:r>
      <w:r w:rsidR="00CB1086" w:rsidRPr="006229D9">
        <w:t>NTRODUCTION</w:t>
      </w:r>
    </w:p>
    <w:p w14:paraId="2D0C65B2" w14:textId="3D0B1360" w:rsidR="00243B72" w:rsidRPr="006A4C6F" w:rsidRDefault="00A8277F" w:rsidP="00EC0263">
      <w:pPr>
        <w:spacing w:line="276" w:lineRule="auto"/>
        <w:jc w:val="both"/>
      </w:pPr>
      <w:r w:rsidRPr="006A4C6F">
        <w:t>Bicycle sharing systems</w:t>
      </w:r>
      <w:r w:rsidR="00340D6B" w:rsidRPr="006A4C6F">
        <w:t xml:space="preserve"> (BSS)</w:t>
      </w:r>
      <w:r w:rsidRPr="006A4C6F">
        <w:t xml:space="preserve"> have been receiving increasing at</w:t>
      </w:r>
      <w:r w:rsidR="001A783D" w:rsidRPr="006A4C6F">
        <w:t>tention in recent</w:t>
      </w:r>
      <w:r w:rsidRPr="006A4C6F">
        <w:t xml:space="preserve"> years as complementary modes of transportation in urban areas around the world</w:t>
      </w:r>
      <w:r w:rsidR="007E169C">
        <w:t xml:space="preserve"> (</w:t>
      </w:r>
      <w:r w:rsidR="007E169C" w:rsidRPr="00B20179">
        <w:t>Parkes</w:t>
      </w:r>
      <w:r w:rsidR="007E169C">
        <w:t xml:space="preserve"> et al., 2013)</w:t>
      </w:r>
      <w:r w:rsidRPr="006A4C6F">
        <w:t xml:space="preserve">. </w:t>
      </w:r>
      <w:r w:rsidR="00D65A02" w:rsidRPr="006A4C6F">
        <w:t>Currently, there are over one million public bicycles worldwide, and over 1,100 cities have installed or are planning a BSS (</w:t>
      </w:r>
      <w:r w:rsidR="007931A9" w:rsidRPr="007931A9">
        <w:t>Meddin &amp; DeMaio, 2015</w:t>
      </w:r>
      <w:r w:rsidR="00D65A02" w:rsidRPr="006A4C6F">
        <w:t xml:space="preserve">). </w:t>
      </w:r>
      <w:r w:rsidRPr="006A4C6F">
        <w:t>These systems present many advantages, including flexibility, ease of access and use, physical activ</w:t>
      </w:r>
      <w:r w:rsidR="00DC6A9D" w:rsidRPr="006A4C6F">
        <w:t>ity and health-related benefits</w:t>
      </w:r>
      <w:r w:rsidR="00BE47DD" w:rsidRPr="006A4C6F">
        <w:t xml:space="preserve">. These systems also </w:t>
      </w:r>
      <w:r w:rsidRPr="006A4C6F">
        <w:t>address the issue of bicycle theft for users, a common problem for regular cyclists in urban environments (</w:t>
      </w:r>
      <w:r w:rsidR="007931A9">
        <w:t>Van Lierop et al., 2013; Bachand-Marleau et al., 2012</w:t>
      </w:r>
      <w:r w:rsidRPr="006A4C6F">
        <w:t xml:space="preserve">). </w:t>
      </w:r>
      <w:r w:rsidR="00340D6B" w:rsidRPr="006A4C6F">
        <w:t xml:space="preserve">Additionally, </w:t>
      </w:r>
      <w:r w:rsidR="0056782C" w:rsidRPr="006A4C6F">
        <w:t xml:space="preserve">BSS </w:t>
      </w:r>
      <w:r w:rsidR="00540FC1" w:rsidRPr="006A4C6F">
        <w:t>offer</w:t>
      </w:r>
      <w:r w:rsidR="00EE7295">
        <w:t>s</w:t>
      </w:r>
      <w:r w:rsidR="00540FC1" w:rsidRPr="006A4C6F">
        <w:t xml:space="preserve"> a </w:t>
      </w:r>
      <w:r w:rsidR="0056782C" w:rsidRPr="006A4C6F">
        <w:t>potential solution to the “last mile” problem (</w:t>
      </w:r>
      <w:r w:rsidR="007931A9">
        <w:t xml:space="preserve">Cervero et al., 2013; </w:t>
      </w:r>
      <w:r w:rsidR="00EC0263" w:rsidRPr="00A1743C">
        <w:rPr>
          <w:bCs/>
        </w:rPr>
        <w:t>Jäppinen</w:t>
      </w:r>
      <w:r w:rsidR="00EC0263" w:rsidDel="00EC0263">
        <w:t xml:space="preserve"> </w:t>
      </w:r>
      <w:r w:rsidR="007931A9">
        <w:t xml:space="preserve">et al., </w:t>
      </w:r>
      <w:r w:rsidR="00EC0263">
        <w:t>2013</w:t>
      </w:r>
      <w:r w:rsidR="000C3FA4" w:rsidRPr="006A4C6F">
        <w:t>)</w:t>
      </w:r>
      <w:r w:rsidR="0056782C" w:rsidRPr="006A4C6F">
        <w:t xml:space="preserve"> and </w:t>
      </w:r>
      <w:r w:rsidR="00340D6B" w:rsidRPr="006A4C6F">
        <w:t>are in tune with current generational trends in transportation. Younger generations are less willing to drive, more concerned about the environment, and more prone to use public transit and shared transportation alternatives (</w:t>
      </w:r>
      <w:r w:rsidR="007931A9">
        <w:t>Dutzik &amp; Baxandall, 2013</w:t>
      </w:r>
      <w:r w:rsidR="00AD56CD" w:rsidRPr="006A4C6F">
        <w:t>).</w:t>
      </w:r>
      <w:r w:rsidR="00340D6B" w:rsidRPr="006A4C6F">
        <w:t xml:space="preserve"> </w:t>
      </w:r>
    </w:p>
    <w:p w14:paraId="4F9E1618" w14:textId="44BF9566" w:rsidR="00B827B2" w:rsidRDefault="001B2966" w:rsidP="008A17D3">
      <w:pPr>
        <w:spacing w:line="276" w:lineRule="auto"/>
        <w:ind w:firstLine="720"/>
        <w:jc w:val="both"/>
      </w:pPr>
      <w:r w:rsidRPr="006A4C6F">
        <w:t>The observed bicycle flows</w:t>
      </w:r>
      <w:r w:rsidR="00A41A3F" w:rsidRPr="006A4C6F">
        <w:t xml:space="preserve"> (arrivals and departures)</w:t>
      </w:r>
      <w:r w:rsidRPr="006A4C6F">
        <w:t xml:space="preserve"> in a BSS are in response to individuals</w:t>
      </w:r>
      <w:r w:rsidR="00A41A3F" w:rsidRPr="006A4C6F">
        <w:t>’</w:t>
      </w:r>
      <w:r w:rsidRPr="006A4C6F">
        <w:t xml:space="preserve"> need to travel. Hence, observed flows are significantly influenced by land use</w:t>
      </w:r>
      <w:r w:rsidR="00540FC1" w:rsidRPr="006A4C6F">
        <w:t xml:space="preserve"> and urban form</w:t>
      </w:r>
      <w:r w:rsidRPr="006A4C6F">
        <w:t xml:space="preserve">, </w:t>
      </w:r>
      <w:r w:rsidR="00A41A3F" w:rsidRPr="006A4C6F">
        <w:t>meteorological</w:t>
      </w:r>
      <w:r w:rsidRPr="006A4C6F">
        <w:t xml:space="preserve"> and temporal attributes. F</w:t>
      </w:r>
      <w:r w:rsidR="00B827B2">
        <w:t xml:space="preserve">or example, </w:t>
      </w:r>
      <w:r w:rsidR="00B20179">
        <w:t>several studies</w:t>
      </w:r>
      <w:r w:rsidRPr="006A4C6F">
        <w:t xml:space="preserve"> </w:t>
      </w:r>
      <w:r w:rsidR="00B827B2">
        <w:t>(</w:t>
      </w:r>
      <w:r w:rsidR="007931A9">
        <w:t>Faghih-Imani et al., 2014</w:t>
      </w:r>
      <w:r w:rsidR="00110D94">
        <w:t>; Faghih-Imani and Eluru, 2016a; Faghih-Imani and Eluru, 2016b</w:t>
      </w:r>
      <w:r w:rsidR="00B827B2">
        <w:t>)</w:t>
      </w:r>
      <w:r w:rsidRPr="006A4C6F">
        <w:t xml:space="preserve"> observed clear commuting trends i.e. in the morning period</w:t>
      </w:r>
      <w:r w:rsidR="00700095">
        <w:t>,</w:t>
      </w:r>
      <w:r w:rsidRPr="006A4C6F">
        <w:t xml:space="preserve"> bicycles were likely to be picked up</w:t>
      </w:r>
      <w:r w:rsidR="00477843">
        <w:t xml:space="preserve"> from stations </w:t>
      </w:r>
      <w:r w:rsidRPr="006A4C6F">
        <w:t>farther from</w:t>
      </w:r>
      <w:r w:rsidR="003C2369" w:rsidRPr="006A4C6F">
        <w:t xml:space="preserve"> the Central Business D</w:t>
      </w:r>
      <w:r w:rsidRPr="006A4C6F">
        <w:t xml:space="preserve">istrict (CBD) and dropped off at stations in the CBD. Such </w:t>
      </w:r>
      <w:r w:rsidR="00477843">
        <w:t>asymmetric</w:t>
      </w:r>
      <w:r w:rsidR="00477843" w:rsidRPr="006A4C6F">
        <w:t xml:space="preserve"> </w:t>
      </w:r>
      <w:r w:rsidRPr="006A4C6F">
        <w:t>movement</w:t>
      </w:r>
      <w:r w:rsidR="003C2369" w:rsidRPr="006A4C6F">
        <w:t>s</w:t>
      </w:r>
      <w:r w:rsidRPr="006A4C6F">
        <w:t xml:space="preserve"> of bicycles in a single direction are likely to create empty stations away from </w:t>
      </w:r>
      <w:r w:rsidR="003C2369" w:rsidRPr="006A4C6F">
        <w:t xml:space="preserve">the </w:t>
      </w:r>
      <w:r w:rsidRPr="006A4C6F">
        <w:t>CBD and full stations around</w:t>
      </w:r>
      <w:r w:rsidR="003C2369" w:rsidRPr="006A4C6F">
        <w:t xml:space="preserve"> the</w:t>
      </w:r>
      <w:r w:rsidRPr="006A4C6F">
        <w:t xml:space="preserve"> CBD</w:t>
      </w:r>
      <w:r w:rsidR="00EC0263">
        <w:t xml:space="preserve"> in the morning hours while the opposite </w:t>
      </w:r>
      <w:r w:rsidR="00700095">
        <w:t>is likely to occur</w:t>
      </w:r>
      <w:r w:rsidR="00EC0263">
        <w:t xml:space="preserve"> in the PM peak hours</w:t>
      </w:r>
      <w:r w:rsidRPr="006A4C6F">
        <w:t xml:space="preserve">. </w:t>
      </w:r>
      <w:r w:rsidR="003C2369" w:rsidRPr="006A4C6F">
        <w:t>This</w:t>
      </w:r>
      <w:r w:rsidR="00BE47DD" w:rsidRPr="006A4C6F">
        <w:t xml:space="preserve"> pattern c</w:t>
      </w:r>
      <w:r w:rsidR="003C2369" w:rsidRPr="006A4C6F">
        <w:t>an</w:t>
      </w:r>
      <w:r w:rsidR="00BE47DD" w:rsidRPr="006A4C6F">
        <w:t xml:space="preserve"> lead to lack of access to bicycles</w:t>
      </w:r>
      <w:r w:rsidR="00477843">
        <w:t xml:space="preserve"> (</w:t>
      </w:r>
      <w:r w:rsidR="005F0F26">
        <w:t xml:space="preserve">in </w:t>
      </w:r>
      <w:r w:rsidR="00477843">
        <w:t>empty stations)</w:t>
      </w:r>
      <w:r w:rsidR="003C2369" w:rsidRPr="006A4C6F">
        <w:t xml:space="preserve"> or </w:t>
      </w:r>
      <w:r w:rsidR="00477843">
        <w:t xml:space="preserve">lack of </w:t>
      </w:r>
      <w:r w:rsidR="003C2369" w:rsidRPr="006A4C6F">
        <w:t>empty slots</w:t>
      </w:r>
      <w:r w:rsidR="00477843">
        <w:t xml:space="preserve"> (</w:t>
      </w:r>
      <w:r w:rsidR="005F0F26">
        <w:t xml:space="preserve">in </w:t>
      </w:r>
      <w:r w:rsidR="00477843">
        <w:t>full stations)</w:t>
      </w:r>
      <w:r w:rsidR="003C2369" w:rsidRPr="006A4C6F">
        <w:t xml:space="preserve"> for customers</w:t>
      </w:r>
      <w:r w:rsidR="001E68D1">
        <w:t xml:space="preserve">. </w:t>
      </w:r>
      <w:r w:rsidR="007275D8" w:rsidRPr="006A4C6F">
        <w:t>In addition to the commuting trend, several spatial and temporal relationships can result in asymmetry across the system</w:t>
      </w:r>
      <w:r w:rsidR="007275D8">
        <w:t xml:space="preserve"> </w:t>
      </w:r>
      <w:r w:rsidR="007275D8" w:rsidRPr="006A4C6F">
        <w:t>(</w:t>
      </w:r>
      <w:r w:rsidR="007275D8">
        <w:t>Nair et al., 2013</w:t>
      </w:r>
      <w:r w:rsidR="00F01FC5">
        <w:t>; Zhao et al., 2015</w:t>
      </w:r>
      <w:r w:rsidR="007275D8" w:rsidRPr="006A4C6F">
        <w:t xml:space="preserve">). </w:t>
      </w:r>
      <w:r w:rsidR="001E68D1">
        <w:t xml:space="preserve">Such asymmetric usage </w:t>
      </w:r>
      <w:r w:rsidR="003C2369" w:rsidRPr="006A4C6F">
        <w:t>is a concern for BSS operators because b</w:t>
      </w:r>
      <w:r w:rsidR="00A41A3F" w:rsidRPr="006A4C6F">
        <w:t>icycle</w:t>
      </w:r>
      <w:r w:rsidR="005F0F26">
        <w:t xml:space="preserve"> </w:t>
      </w:r>
      <w:r w:rsidR="00A41A3F" w:rsidRPr="006A4C6F">
        <w:t>availability</w:t>
      </w:r>
      <w:r w:rsidR="00700095">
        <w:t xml:space="preserve"> (or empty slot for returning)</w:t>
      </w:r>
      <w:r w:rsidR="00A41A3F" w:rsidRPr="006A4C6F">
        <w:t xml:space="preserve"> is at the </w:t>
      </w:r>
      <w:r w:rsidR="00A41A3F" w:rsidRPr="006A4C6F">
        <w:rPr>
          <w:i/>
        </w:rPr>
        <w:t>heart</w:t>
      </w:r>
      <w:r w:rsidR="00A41A3F" w:rsidRPr="006A4C6F">
        <w:t xml:space="preserve"> of </w:t>
      </w:r>
      <w:r w:rsidR="00700095">
        <w:t xml:space="preserve">the </w:t>
      </w:r>
      <w:r w:rsidR="00B824F2" w:rsidRPr="006A4C6F">
        <w:t xml:space="preserve">BSS </w:t>
      </w:r>
      <w:r w:rsidR="00A41A3F" w:rsidRPr="006A4C6F">
        <w:t xml:space="preserve">user-experience. A lack of available bicycles or </w:t>
      </w:r>
      <w:r w:rsidR="00477843">
        <w:t xml:space="preserve">lack of available </w:t>
      </w:r>
      <w:r w:rsidR="00A41A3F" w:rsidRPr="006A4C6F">
        <w:t>space to drop</w:t>
      </w:r>
      <w:r w:rsidR="00B16E23" w:rsidRPr="00B16E23">
        <w:t xml:space="preserve"> </w:t>
      </w:r>
      <w:r w:rsidR="00B16E23" w:rsidRPr="006A4C6F">
        <w:t>off</w:t>
      </w:r>
      <w:r w:rsidR="00A41A3F" w:rsidRPr="006A4C6F">
        <w:t xml:space="preserve"> a bike after usage discourage</w:t>
      </w:r>
      <w:r w:rsidR="00B16E23">
        <w:t>s</w:t>
      </w:r>
      <w:r w:rsidR="00A41A3F" w:rsidRPr="006A4C6F">
        <w:t xml:space="preserve"> individuals from using the system. Hence, it is important for system operators to ensure that</w:t>
      </w:r>
      <w:r w:rsidR="001E68D1">
        <w:t xml:space="preserve"> a desirable level of</w:t>
      </w:r>
      <w:r w:rsidR="00A41A3F" w:rsidRPr="006A4C6F">
        <w:t xml:space="preserve"> bicycle availability (</w:t>
      </w:r>
      <w:r w:rsidR="001E68D1">
        <w:t>or</w:t>
      </w:r>
      <w:r w:rsidR="00A41A3F" w:rsidRPr="006A4C6F">
        <w:t xml:space="preserve"> empty slot availability) is maintained. </w:t>
      </w:r>
      <w:r w:rsidR="00445365" w:rsidRPr="006A4C6F">
        <w:t>For a fixed station capacity, determining the number of bicycles at the station will automatically determine the number of empty slots. Therefore by examining bicycle availability we</w:t>
      </w:r>
      <w:r w:rsidR="005F0F26">
        <w:t xml:space="preserve"> </w:t>
      </w:r>
      <w:r w:rsidR="00EE0B4B">
        <w:t>automatically</w:t>
      </w:r>
      <w:r w:rsidR="00445365" w:rsidRPr="006A4C6F">
        <w:t xml:space="preserve"> observe the availability of empty slots.  </w:t>
      </w:r>
    </w:p>
    <w:p w14:paraId="4FA6249F" w14:textId="2AA40804" w:rsidR="00F43270" w:rsidRPr="006A4C6F" w:rsidRDefault="001E68D1" w:rsidP="008A17D3">
      <w:pPr>
        <w:spacing w:line="276" w:lineRule="auto"/>
        <w:ind w:firstLine="720"/>
        <w:jc w:val="both"/>
      </w:pPr>
      <w:r>
        <w:t>T</w:t>
      </w:r>
      <w:r w:rsidR="00B827B2">
        <w:t>o address</w:t>
      </w:r>
      <w:r w:rsidR="00445365">
        <w:t xml:space="preserve"> flow imbalances, in </w:t>
      </w:r>
      <w:r w:rsidR="00A41A3F" w:rsidRPr="006A4C6F">
        <w:t>most systems</w:t>
      </w:r>
      <w:r w:rsidR="00F01FC5">
        <w:t>,</w:t>
      </w:r>
      <w:r w:rsidR="00A41A3F" w:rsidRPr="006A4C6F">
        <w:t xml:space="preserve"> BSS operators transfer </w:t>
      </w:r>
      <w:r w:rsidR="007275D8">
        <w:t>bicycles</w:t>
      </w:r>
      <w:r w:rsidR="00A41A3F" w:rsidRPr="006A4C6F">
        <w:t xml:space="preserve"> from full stations to empty stations to ensure bicycle (or slot) accessibility in the system - the process referred to as rebalancing. </w:t>
      </w:r>
      <w:r w:rsidR="00972365" w:rsidRPr="006A4C6F">
        <w:t xml:space="preserve">Moreover, </w:t>
      </w:r>
      <w:r w:rsidR="00C03CCC" w:rsidRPr="006A4C6F">
        <w:t>from an environmental perspective,</w:t>
      </w:r>
      <w:r w:rsidR="00F43270" w:rsidRPr="006A4C6F">
        <w:t xml:space="preserve"> since rebalancing trucks are the only source of air pollution </w:t>
      </w:r>
      <w:r w:rsidR="00FE3D5B" w:rsidRPr="006A4C6F">
        <w:t xml:space="preserve">related to </w:t>
      </w:r>
      <w:r w:rsidR="00F43270" w:rsidRPr="006A4C6F">
        <w:t>BSS systems</w:t>
      </w:r>
      <w:r w:rsidR="00FE3D5B" w:rsidRPr="006A4C6F">
        <w:t xml:space="preserve">, </w:t>
      </w:r>
      <w:r w:rsidR="00972365" w:rsidRPr="006A4C6F">
        <w:t xml:space="preserve">it is important to </w:t>
      </w:r>
      <w:r w:rsidR="001C05E3" w:rsidRPr="006A4C6F">
        <w:t xml:space="preserve">minimize </w:t>
      </w:r>
      <w:r w:rsidR="00FE3D5B" w:rsidRPr="006A4C6F">
        <w:t>negative environmental externalities</w:t>
      </w:r>
      <w:r w:rsidR="002D3D72" w:rsidRPr="006A4C6F">
        <w:t xml:space="preserve">. </w:t>
      </w:r>
      <w:r w:rsidR="00F43270" w:rsidRPr="006A4C6F">
        <w:t xml:space="preserve">Despite the growth of BSS around the world in recent years and the </w:t>
      </w:r>
      <w:r w:rsidR="004D3A64" w:rsidRPr="006A4C6F">
        <w:t>challenges</w:t>
      </w:r>
      <w:r w:rsidR="002D3D72" w:rsidRPr="006A4C6F">
        <w:t xml:space="preserve"> highlighted above</w:t>
      </w:r>
      <w:r w:rsidR="00F43270" w:rsidRPr="006A4C6F">
        <w:t>,</w:t>
      </w:r>
      <w:r w:rsidR="000C3FA4" w:rsidRPr="006A4C6F">
        <w:t xml:space="preserve"> </w:t>
      </w:r>
      <w:r w:rsidR="002D3D72" w:rsidRPr="006A4C6F">
        <w:t xml:space="preserve">there are very few studies examining the </w:t>
      </w:r>
      <w:r w:rsidR="00DD6439" w:rsidRPr="006A4C6F">
        <w:t xml:space="preserve">availability of bicycles or empty slots at a </w:t>
      </w:r>
      <w:r w:rsidR="002D3D72" w:rsidRPr="006A4C6F">
        <w:t>station</w:t>
      </w:r>
      <w:r w:rsidR="00F43270" w:rsidRPr="006A4C6F">
        <w:t>.</w:t>
      </w:r>
      <w:r w:rsidR="00DD6439" w:rsidRPr="006A4C6F">
        <w:t xml:space="preserve"> </w:t>
      </w:r>
      <w:r w:rsidR="00445365" w:rsidRPr="00445365">
        <w:t xml:space="preserve">To be sure, there have been studies on optimizing rebalancing operations using historical data from a data </w:t>
      </w:r>
      <w:r w:rsidR="00445365" w:rsidRPr="00445365">
        <w:lastRenderedPageBreak/>
        <w:t>mining based approach (</w:t>
      </w:r>
      <w:r w:rsidR="007931A9">
        <w:t>Kloimüllner et al., 2014)</w:t>
      </w:r>
      <w:r w:rsidR="001A5B5D">
        <w:t xml:space="preserve">. </w:t>
      </w:r>
      <w:r w:rsidR="00445365" w:rsidRPr="00445365">
        <w:t>However, these approaches do not consider any behavioral relationships between BSS demand and factors affecting demand such as socio-demographics</w:t>
      </w:r>
      <w:r>
        <w:t>, time of day</w:t>
      </w:r>
      <w:r w:rsidR="00445365" w:rsidRPr="00445365">
        <w:t xml:space="preserve"> and land use.</w:t>
      </w:r>
    </w:p>
    <w:p w14:paraId="47E28AB8" w14:textId="0F8141E6" w:rsidR="00CB3386" w:rsidRDefault="00A41A3F" w:rsidP="00070582">
      <w:pPr>
        <w:spacing w:line="276" w:lineRule="auto"/>
        <w:ind w:firstLine="720"/>
        <w:jc w:val="both"/>
      </w:pPr>
      <w:r w:rsidRPr="006A4C6F">
        <w:t>In this study, we contribute to</w:t>
      </w:r>
      <w:r w:rsidR="0089683C">
        <w:t xml:space="preserve"> </w:t>
      </w:r>
      <w:r w:rsidR="00EE7295">
        <w:t xml:space="preserve">the </w:t>
      </w:r>
      <w:r w:rsidRPr="006A4C6F">
        <w:t xml:space="preserve">literature on BSS by examining bicycle availability at a station as a direct metric of analysis. </w:t>
      </w:r>
      <w:r w:rsidR="00CB3386">
        <w:t xml:space="preserve">With the public availability of trip data on BSS provider websites for various cities (such as Chicago, New York and London), several studies have explored system usage (as arrivals and departures). The approach relates the observed usage (arrivals and departures) at a station to various exogenous factors influencing demand. While system usage is an important measure for BSS operators, it still does not directly study </w:t>
      </w:r>
      <w:r w:rsidR="00CB3386" w:rsidRPr="006A4C6F">
        <w:t>bicycle (or slot) accessibility in the system</w:t>
      </w:r>
      <w:r w:rsidR="00CB3386">
        <w:t xml:space="preserve">. The primary reason for lack of analysis of this nature is the lack of station level </w:t>
      </w:r>
      <w:r w:rsidR="00CB3386" w:rsidRPr="006A4C6F">
        <w:t>availability</w:t>
      </w:r>
      <w:r w:rsidR="00CB3386">
        <w:t xml:space="preserve"> information. </w:t>
      </w:r>
      <w:r w:rsidR="005F0F26">
        <w:t xml:space="preserve">The operator provided data does not allow us to generate station level availability because the rebalancing flows </w:t>
      </w:r>
      <w:r w:rsidR="00AD560D">
        <w:t xml:space="preserve">- BSS operator undertaken removal or addition - </w:t>
      </w:r>
      <w:r w:rsidR="005F0F26">
        <w:t xml:space="preserve">are not reported. The observed availability at the BSS station is a net result of user flows and rebalancing flows. </w:t>
      </w:r>
      <w:r w:rsidR="00CB3386">
        <w:t xml:space="preserve">Such information can be obtained through a web crawler based script that records the status of bicycle availability (or slot) in continuous time. In this research effort, we employ a web crawler script based database that directly measures availability to identify potentially full or empty stations. </w:t>
      </w:r>
    </w:p>
    <w:p w14:paraId="33D7C220" w14:textId="2378B1EE" w:rsidR="00F43270" w:rsidRPr="006A4C6F" w:rsidRDefault="00AA58B8" w:rsidP="00FA5309">
      <w:pPr>
        <w:spacing w:line="276" w:lineRule="auto"/>
        <w:ind w:firstLine="720"/>
        <w:jc w:val="both"/>
      </w:pPr>
      <w:r w:rsidRPr="006A4C6F">
        <w:t xml:space="preserve">The </w:t>
      </w:r>
      <w:r w:rsidR="00430CFF" w:rsidRPr="006A4C6F">
        <w:t xml:space="preserve">current </w:t>
      </w:r>
      <w:r w:rsidRPr="006A4C6F">
        <w:t xml:space="preserve">research </w:t>
      </w:r>
      <w:r w:rsidR="00430CFF" w:rsidRPr="006A4C6F">
        <w:t>effort develop</w:t>
      </w:r>
      <w:r w:rsidR="00EE0B4B">
        <w:t>s</w:t>
      </w:r>
      <w:r w:rsidR="00430CFF" w:rsidRPr="006A4C6F">
        <w:t xml:space="preserve"> a behavioral</w:t>
      </w:r>
      <w:r w:rsidR="00B16E23">
        <w:t>ly</w:t>
      </w:r>
      <w:r w:rsidR="00430CFF" w:rsidRPr="006A4C6F">
        <w:t xml:space="preserve"> quantitative model that accommodates for the influence of </w:t>
      </w:r>
      <w:r w:rsidR="00F43270" w:rsidRPr="006A4C6F">
        <w:t>temporal, meteorological, bicycle infrastructure, built environment and land-use attributes</w:t>
      </w:r>
      <w:r w:rsidR="00430CFF" w:rsidRPr="006A4C6F">
        <w:t xml:space="preserve"> on </w:t>
      </w:r>
      <w:r w:rsidR="00540FC1" w:rsidRPr="006A4C6F">
        <w:t>bicycle availability</w:t>
      </w:r>
      <w:r w:rsidR="00F43270" w:rsidRPr="006A4C6F">
        <w:t xml:space="preserve">. </w:t>
      </w:r>
      <w:r w:rsidR="00477843">
        <w:t xml:space="preserve">The proposed approach allows system operators to forecast the potential problematic stations (full or empty) based on the quantitative model. </w:t>
      </w:r>
      <w:r w:rsidR="00F43270" w:rsidRPr="006A4C6F">
        <w:t xml:space="preserve">Furthering current understanding of the factors affecting bicycle availability </w:t>
      </w:r>
      <w:r w:rsidR="000C3FA4" w:rsidRPr="006A4C6F">
        <w:t>will</w:t>
      </w:r>
      <w:r w:rsidR="00F43270" w:rsidRPr="006A4C6F">
        <w:t xml:space="preserve"> yield insights into the supply-and-demand mechanisms of bikesharing systems, and allow </w:t>
      </w:r>
      <w:r w:rsidR="00833F7C" w:rsidRPr="006A4C6F">
        <w:t xml:space="preserve">the </w:t>
      </w:r>
      <w:r w:rsidR="00430CFF" w:rsidRPr="006A4C6F">
        <w:t>operators to better optimize their rebalancing procedures</w:t>
      </w:r>
      <w:r w:rsidR="00070582">
        <w:t xml:space="preserve"> </w:t>
      </w:r>
      <w:r w:rsidR="00700095">
        <w:t>and/</w:t>
      </w:r>
      <w:r w:rsidR="00070582">
        <w:t xml:space="preserve">or plan the </w:t>
      </w:r>
      <w:r w:rsidR="00700095">
        <w:t xml:space="preserve">system </w:t>
      </w:r>
      <w:r w:rsidR="00070582">
        <w:t>modification</w:t>
      </w:r>
      <w:r w:rsidR="00700095">
        <w:t xml:space="preserve"> (addition or relocation of stations and capacity)</w:t>
      </w:r>
      <w:r w:rsidR="00F43270" w:rsidRPr="006A4C6F">
        <w:t xml:space="preserve">. </w:t>
      </w:r>
      <w:r w:rsidR="00EE0B4B">
        <w:t>In fact, t</w:t>
      </w:r>
      <w:r w:rsidR="005F0F26">
        <w:t xml:space="preserve">he apriori identification </w:t>
      </w:r>
      <w:r w:rsidR="00EE0B4B">
        <w:t xml:space="preserve">will </w:t>
      </w:r>
      <w:r w:rsidR="005F0F26">
        <w:t xml:space="preserve">allow the system operators to </w:t>
      </w:r>
      <w:r w:rsidR="00EE0B4B">
        <w:t>plan and schedule</w:t>
      </w:r>
      <w:r w:rsidR="005F0F26">
        <w:t xml:space="preserve"> rebalancing operations </w:t>
      </w:r>
      <w:r w:rsidR="00EE0B4B">
        <w:t xml:space="preserve">minimizing BSS truck movements </w:t>
      </w:r>
      <w:r w:rsidR="005F0F26">
        <w:t>while also ensuring improved bicycle (or slot) accessibility in the system.</w:t>
      </w:r>
      <w:r w:rsidR="004629D8">
        <w:t xml:space="preserve"> </w:t>
      </w:r>
      <w:r w:rsidR="00700095">
        <w:t>The k</w:t>
      </w:r>
      <w:r w:rsidR="004629D8">
        <w:t xml:space="preserve">nowledge of </w:t>
      </w:r>
      <w:r w:rsidR="00685118">
        <w:t xml:space="preserve">expected problematic stations (full or empty) would also help the BSS operators to </w:t>
      </w:r>
      <w:r w:rsidR="00700095">
        <w:t>formulate</w:t>
      </w:r>
      <w:r w:rsidR="00685118">
        <w:t xml:space="preserve"> innovative programs to reduce the need for rebalancing; for instance, some BSS operators are considering incentive program</w:t>
      </w:r>
      <w:r w:rsidR="00FA5309">
        <w:t>s</w:t>
      </w:r>
      <w:r w:rsidR="00685118">
        <w:t xml:space="preserve"> for the</w:t>
      </w:r>
      <w:r w:rsidR="00FA5309">
        <w:t>ir</w:t>
      </w:r>
      <w:r w:rsidR="00685118">
        <w:t xml:space="preserve"> users </w:t>
      </w:r>
      <w:r w:rsidR="00FA5309">
        <w:t>to</w:t>
      </w:r>
      <w:r w:rsidR="00685118">
        <w:t xml:space="preserve"> pick up a bike at a full station and drop it off at an empty station (for example see the bike angels program of CitiBike in New York City: </w:t>
      </w:r>
      <w:r w:rsidR="00685118" w:rsidRPr="00685118">
        <w:t>http://bikeangels.citibikenyc.com/</w:t>
      </w:r>
      <w:r w:rsidR="00685118">
        <w:t xml:space="preserve">). </w:t>
      </w:r>
    </w:p>
    <w:p w14:paraId="773F21B5" w14:textId="4F5572B4" w:rsidR="003A79CB" w:rsidRPr="006A4C6F" w:rsidRDefault="003A79CB" w:rsidP="008A17D3">
      <w:pPr>
        <w:spacing w:line="276" w:lineRule="auto"/>
        <w:ind w:firstLine="720"/>
        <w:jc w:val="both"/>
        <w:rPr>
          <w:rFonts w:eastAsiaTheme="minorEastAsia"/>
        </w:rPr>
      </w:pPr>
      <w:r w:rsidRPr="00B81173">
        <w:t xml:space="preserve">The </w:t>
      </w:r>
      <w:r w:rsidR="0044639A">
        <w:t xml:space="preserve">rest of the </w:t>
      </w:r>
      <w:r w:rsidRPr="00B81173">
        <w:t>paper is organized as follows: section 2</w:t>
      </w:r>
      <w:r w:rsidR="00B81173" w:rsidRPr="00B81173">
        <w:t xml:space="preserve"> gives some background on BSS and reviews the current literature on the topic; section 3 </w:t>
      </w:r>
      <w:r w:rsidRPr="00B81173">
        <w:t>presents the da</w:t>
      </w:r>
      <w:r w:rsidR="00B81173" w:rsidRPr="00B81173">
        <w:t>ta and models used; section 4</w:t>
      </w:r>
      <w:r w:rsidRPr="00B81173">
        <w:t xml:space="preserve"> summarizes the results; </w:t>
      </w:r>
      <w:r w:rsidR="00B81173" w:rsidRPr="00B81173">
        <w:t>section 5</w:t>
      </w:r>
      <w:r w:rsidRPr="00B81173">
        <w:t xml:space="preserve"> features a validation </w:t>
      </w:r>
      <w:r w:rsidR="00B81173" w:rsidRPr="00B81173">
        <w:t>exercise; and finally, section 6</w:t>
      </w:r>
      <w:r w:rsidRPr="00B81173">
        <w:t xml:space="preserve"> outlines some suggestions for future research and concludes the paper.</w:t>
      </w:r>
      <w:r w:rsidRPr="006A4C6F">
        <w:t xml:space="preserve"> </w:t>
      </w:r>
    </w:p>
    <w:p w14:paraId="27680C0D" w14:textId="77777777" w:rsidR="008A60E2" w:rsidRPr="006A4C6F" w:rsidRDefault="008A60E2" w:rsidP="008A17D3">
      <w:pPr>
        <w:spacing w:line="276" w:lineRule="auto"/>
      </w:pPr>
    </w:p>
    <w:p w14:paraId="79745AC3" w14:textId="0094DF5A" w:rsidR="00540FC1" w:rsidRPr="006A4C6F" w:rsidRDefault="00D0674D" w:rsidP="00A43BE5">
      <w:pPr>
        <w:pStyle w:val="Heading1"/>
        <w:spacing w:line="276" w:lineRule="auto"/>
        <w:ind w:left="357" w:hanging="357"/>
      </w:pPr>
      <w:r>
        <w:t>STUDY IN CONTEXT</w:t>
      </w:r>
    </w:p>
    <w:p w14:paraId="432051C9" w14:textId="1A86E650" w:rsidR="008B7DD9" w:rsidRPr="00212701" w:rsidRDefault="008B7DD9" w:rsidP="005C0035">
      <w:pPr>
        <w:pStyle w:val="Heading1"/>
        <w:numPr>
          <w:ilvl w:val="1"/>
          <w:numId w:val="30"/>
        </w:numPr>
        <w:spacing w:line="276" w:lineRule="auto"/>
        <w:ind w:left="418" w:hanging="418"/>
      </w:pPr>
      <w:r w:rsidRPr="00212701">
        <w:lastRenderedPageBreak/>
        <w:t>Literature Review</w:t>
      </w:r>
    </w:p>
    <w:p w14:paraId="3E9E3A74" w14:textId="64BF70C2" w:rsidR="006B4E0F" w:rsidRDefault="00540FC1" w:rsidP="00212701">
      <w:pPr>
        <w:spacing w:line="276" w:lineRule="auto"/>
        <w:jc w:val="both"/>
      </w:pPr>
      <w:r w:rsidRPr="006A4C6F">
        <w:t xml:space="preserve">In recent years, several studies have examined bicycle flows and usage levels in various bikesharing systems in Europe and North America. These studies can be segmented into three broad groups. The </w:t>
      </w:r>
      <w:r w:rsidRPr="00B81173">
        <w:rPr>
          <w:u w:val="single"/>
        </w:rPr>
        <w:t>first group</w:t>
      </w:r>
      <w:r w:rsidRPr="006A4C6F">
        <w:t xml:space="preserve"> </w:t>
      </w:r>
      <w:r w:rsidR="00B16E23">
        <w:t xml:space="preserve">of studies </w:t>
      </w:r>
      <w:r w:rsidRPr="006A4C6F">
        <w:t>employ</w:t>
      </w:r>
      <w:r w:rsidR="00EE7295">
        <w:t>s</w:t>
      </w:r>
      <w:r w:rsidRPr="006A4C6F">
        <w:t xml:space="preserve"> actual flow data obtained from the system under consideration to investigate the factors affecting </w:t>
      </w:r>
      <w:r w:rsidR="00FE3D5B" w:rsidRPr="006A4C6F">
        <w:t>BSS flow</w:t>
      </w:r>
      <w:r w:rsidRPr="006A4C6F">
        <w:t xml:space="preserve">s. </w:t>
      </w:r>
      <w:r w:rsidR="00FA5309" w:rsidRPr="006A4C6F">
        <w:t>Krykewycz et al. (</w:t>
      </w:r>
      <w:r w:rsidR="00FA5309">
        <w:t>2010</w:t>
      </w:r>
      <w:r w:rsidR="00FA5309" w:rsidRPr="006A4C6F">
        <w:t>) investigated a planned system in Philadelphia, Pennsylvania, using a raster based Geographic Information System (GIS) to identify possible locations for BSS while using data from European cities to forecast expected demand.</w:t>
      </w:r>
      <w:r w:rsidR="00FA5309">
        <w:t xml:space="preserve"> Several studies assessed </w:t>
      </w:r>
      <w:r w:rsidRPr="006A4C6F">
        <w:t xml:space="preserve">how bikesharing ridership levels were affected by </w:t>
      </w:r>
      <w:r w:rsidR="00FA5309">
        <w:t>socio-</w:t>
      </w:r>
      <w:r w:rsidRPr="006A4C6F">
        <w:t xml:space="preserve">demographic </w:t>
      </w:r>
      <w:r w:rsidR="00FA5309">
        <w:t xml:space="preserve">attributes </w:t>
      </w:r>
      <w:r w:rsidRPr="006A4C6F">
        <w:t xml:space="preserve">and built environment around stations </w:t>
      </w:r>
      <w:r w:rsidR="00FA5309">
        <w:t>(</w:t>
      </w:r>
      <w:r w:rsidR="003E13EA">
        <w:t xml:space="preserve">Buck and Buehler 2012; Rixey, </w:t>
      </w:r>
      <w:r w:rsidR="00FA5309">
        <w:t>2013</w:t>
      </w:r>
      <w:r w:rsidR="003E13EA">
        <w:t>;</w:t>
      </w:r>
      <w:r w:rsidR="00FA5309">
        <w:t xml:space="preserve"> </w:t>
      </w:r>
      <w:r w:rsidR="003E13EA">
        <w:rPr>
          <w:bCs/>
        </w:rPr>
        <w:t xml:space="preserve">Rudloff and Lackner, 2014; Zhao et al., 2014; </w:t>
      </w:r>
      <w:r w:rsidR="00FA5309" w:rsidRPr="006A4C6F">
        <w:t>Wang et al.</w:t>
      </w:r>
      <w:r w:rsidR="003E13EA">
        <w:t>,</w:t>
      </w:r>
      <w:r w:rsidR="00FA5309" w:rsidRPr="006A4C6F">
        <w:t xml:space="preserve"> </w:t>
      </w:r>
      <w:r w:rsidR="003E13EA">
        <w:t>2015</w:t>
      </w:r>
      <w:r w:rsidR="0023237C">
        <w:t>; Mattson and Godavarthy, 2017</w:t>
      </w:r>
      <w:r w:rsidR="00FA5309" w:rsidRPr="006A4C6F">
        <w:t>)</w:t>
      </w:r>
      <w:r w:rsidR="003E13EA">
        <w:t>.</w:t>
      </w:r>
      <w:r w:rsidRPr="006A4C6F">
        <w:t xml:space="preserve"> A common </w:t>
      </w:r>
      <w:r w:rsidR="00397F66" w:rsidRPr="006A4C6F">
        <w:t>limitation</w:t>
      </w:r>
      <w:r w:rsidRPr="006A4C6F">
        <w:t xml:space="preserve"> of </w:t>
      </w:r>
      <w:r w:rsidR="00397F66" w:rsidRPr="006A4C6F">
        <w:t>these</w:t>
      </w:r>
      <w:r w:rsidRPr="006A4C6F">
        <w:t xml:space="preserve"> studies is the lack of detailed temporal resolution. Monthly or annual flow estimations fail to capture short term variation due to shifts in weather, as well as </w:t>
      </w:r>
      <w:r w:rsidR="00EE7295">
        <w:t xml:space="preserve">the </w:t>
      </w:r>
      <w:r w:rsidRPr="006A4C6F">
        <w:t xml:space="preserve">time of day and weekend variation. </w:t>
      </w:r>
      <w:r w:rsidR="0023237C">
        <w:t>S</w:t>
      </w:r>
      <w:r w:rsidR="00BE0BE6">
        <w:t>everal</w:t>
      </w:r>
      <w:r w:rsidRPr="006A4C6F">
        <w:t xml:space="preserve"> </w:t>
      </w:r>
      <w:r w:rsidR="00BE0BE6">
        <w:t>studies considered fine temporal resolution at</w:t>
      </w:r>
      <w:r w:rsidRPr="006A4C6F">
        <w:t xml:space="preserve"> </w:t>
      </w:r>
      <w:r w:rsidR="003F2D93">
        <w:t xml:space="preserve">an </w:t>
      </w:r>
      <w:r w:rsidRPr="006A4C6F">
        <w:t>hourly</w:t>
      </w:r>
      <w:r w:rsidR="00BE0BE6">
        <w:t xml:space="preserve"> level</w:t>
      </w:r>
      <w:r w:rsidRPr="006A4C6F">
        <w:t xml:space="preserve"> </w:t>
      </w:r>
      <w:r w:rsidR="00BE0BE6">
        <w:t>to examine</w:t>
      </w:r>
      <w:r w:rsidRPr="006A4C6F">
        <w:t xml:space="preserve"> the influence of </w:t>
      </w:r>
      <w:r w:rsidR="00BE0BE6" w:rsidRPr="006A4C6F">
        <w:t>meteorological, temporal</w:t>
      </w:r>
      <w:r w:rsidR="00BE0BE6">
        <w:t>,</w:t>
      </w:r>
      <w:r w:rsidR="00BE0BE6" w:rsidRPr="006A4C6F">
        <w:t xml:space="preserve"> land use and built environment attributes on </w:t>
      </w:r>
      <w:r w:rsidR="00BE0BE6">
        <w:t>hourly arrival and departure rates (Faghih-Imani et al</w:t>
      </w:r>
      <w:r w:rsidR="00935974">
        <w:t xml:space="preserve">. 2014; </w:t>
      </w:r>
      <w:r w:rsidR="00745E81">
        <w:t xml:space="preserve">Faghih-Imani and Eluru, 2016a; Faghih-Imani and Eluru, 2016b; </w:t>
      </w:r>
      <w:r w:rsidR="00935974">
        <w:t>Faghih-Imani et al. 2017</w:t>
      </w:r>
      <w:r w:rsidR="00BE0BE6">
        <w:t>)</w:t>
      </w:r>
      <w:r w:rsidRPr="006A4C6F">
        <w:t>.</w:t>
      </w:r>
      <w:r w:rsidR="0023237C">
        <w:t xml:space="preserve">  Recently, McBain and Caulfield (2018) evaluated estimated travel time differences for ridersharing trips by comparing observed travel times to the expected travel times. The study found that locations with higher walking access to shops are likely </w:t>
      </w:r>
      <w:r w:rsidR="00CD50EA">
        <w:t xml:space="preserve">to </w:t>
      </w:r>
      <w:r w:rsidR="0023237C">
        <w:t xml:space="preserve">experience larger differences. </w:t>
      </w:r>
    </w:p>
    <w:p w14:paraId="3D992953" w14:textId="72F028A1" w:rsidR="006B4E0F" w:rsidRDefault="00397F66">
      <w:pPr>
        <w:spacing w:line="276" w:lineRule="auto"/>
        <w:ind w:firstLine="720"/>
        <w:jc w:val="both"/>
      </w:pPr>
      <w:r w:rsidRPr="006A4C6F">
        <w:t xml:space="preserve">The </w:t>
      </w:r>
      <w:r w:rsidRPr="00B81173">
        <w:rPr>
          <w:u w:val="single"/>
        </w:rPr>
        <w:t>second set</w:t>
      </w:r>
      <w:r w:rsidRPr="006A4C6F">
        <w:t xml:space="preserve"> of studies elicit</w:t>
      </w:r>
      <w:r w:rsidR="000043F5">
        <w:t>s</w:t>
      </w:r>
      <w:r w:rsidRPr="006A4C6F">
        <w:t xml:space="preserve"> user experience perceptions</w:t>
      </w:r>
      <w:r w:rsidR="0023237C">
        <w:t xml:space="preserve"> and system level effects</w:t>
      </w:r>
      <w:r w:rsidR="00AA5BCF">
        <w:t xml:space="preserve"> </w:t>
      </w:r>
      <w:r w:rsidR="0023237C">
        <w:t>of</w:t>
      </w:r>
      <w:r w:rsidR="00AA5BCF">
        <w:t xml:space="preserve"> bicycle-sharing systems</w:t>
      </w:r>
      <w:r w:rsidRPr="006A4C6F">
        <w:t xml:space="preserve">. </w:t>
      </w:r>
      <w:r w:rsidR="00F60E6A">
        <w:t xml:space="preserve">Several studies examined the differences between BSS </w:t>
      </w:r>
      <w:r w:rsidRPr="006A4C6F">
        <w:t>short-term users and annual members</w:t>
      </w:r>
      <w:r w:rsidR="00F60E6A">
        <w:t xml:space="preserve"> (Lathia et al., 2012; Buck et al., 2013; Faghih-Imani and Eluru, 2015)</w:t>
      </w:r>
      <w:r w:rsidRPr="006A4C6F">
        <w:t>.</w:t>
      </w:r>
      <w:r w:rsidR="00F60E6A">
        <w:t xml:space="preserve"> The convenience of bikeshare systems and the </w:t>
      </w:r>
      <w:r w:rsidR="00F60E6A" w:rsidRPr="006A4C6F">
        <w:t>proximity of home to a docking station</w:t>
      </w:r>
      <w:r w:rsidR="00F60E6A">
        <w:t xml:space="preserve"> were found to be the greatest encouragement for individuals to use the system (</w:t>
      </w:r>
      <w:r w:rsidR="00AA5BCF">
        <w:t xml:space="preserve">Fuller et al., 2011; Bachand-Marleau et al., 2012). </w:t>
      </w:r>
      <w:r w:rsidR="004D1942" w:rsidRPr="006A4C6F">
        <w:t>The</w:t>
      </w:r>
      <w:r w:rsidR="00AA5BCF" w:rsidRPr="006A4C6F">
        <w:t xml:space="preserve"> </w:t>
      </w:r>
      <w:r w:rsidR="00AA5BCF">
        <w:t>relationship</w:t>
      </w:r>
      <w:r w:rsidR="00AA5BCF" w:rsidRPr="006A4C6F">
        <w:t xml:space="preserve"> between </w:t>
      </w:r>
      <w:r w:rsidR="00AA5BCF">
        <w:t>BSS</w:t>
      </w:r>
      <w:r w:rsidR="00AA5BCF" w:rsidRPr="006A4C6F">
        <w:t xml:space="preserve"> and public transit </w:t>
      </w:r>
      <w:r w:rsidR="00AA5BCF">
        <w:t>system was examined in several studies (Bachand-Marleau et al., 2012; Faghih-Imani and Eluru, 2015; González et al., 2015).</w:t>
      </w:r>
      <w:r w:rsidR="00F60E6A">
        <w:t xml:space="preserve"> </w:t>
      </w:r>
      <w:r w:rsidRPr="006A4C6F">
        <w:t>Fishman et al. (</w:t>
      </w:r>
      <w:r w:rsidR="005E0B01">
        <w:t>2014</w:t>
      </w:r>
      <w:r w:rsidRPr="006A4C6F">
        <w:t xml:space="preserve">) used survey and trip data from </w:t>
      </w:r>
      <w:r w:rsidR="00AA5BCF">
        <w:t xml:space="preserve">five cities </w:t>
      </w:r>
      <w:r w:rsidRPr="006A4C6F">
        <w:t xml:space="preserve">to investigate the extent to which BSS can help replace some of the automobile mode share with bicycle share. The study also examined the influence of rebalancing needs in order to determine the impact of BSS on vehicle-kilometers travelled. </w:t>
      </w:r>
      <w:r w:rsidR="00CD50EA">
        <w:t>Bullock et al.</w:t>
      </w:r>
      <w:r w:rsidR="0023237C">
        <w:t xml:space="preserve"> </w:t>
      </w:r>
      <w:r w:rsidR="00CD50EA">
        <w:t>(</w:t>
      </w:r>
      <w:r w:rsidR="0023237C">
        <w:t>2017</w:t>
      </w:r>
      <w:r w:rsidR="00CD50EA">
        <w:t>)</w:t>
      </w:r>
      <w:r w:rsidR="0023237C">
        <w:t xml:space="preserve"> investigated the system costs and benefits associated with </w:t>
      </w:r>
      <w:r w:rsidR="00032232">
        <w:t>BSS</w:t>
      </w:r>
      <w:r w:rsidR="0023237C">
        <w:t xml:space="preserve">. The study found overwhelming evidence </w:t>
      </w:r>
      <w:r w:rsidR="00CD50EA">
        <w:t>of</w:t>
      </w:r>
      <w:r w:rsidR="0023237C">
        <w:t xml:space="preserve"> </w:t>
      </w:r>
      <w:r w:rsidR="00CD50EA">
        <w:t xml:space="preserve">significant </w:t>
      </w:r>
      <w:r w:rsidR="0023237C">
        <w:t xml:space="preserve">economic, time and health benefits from </w:t>
      </w:r>
      <w:r w:rsidR="00032232">
        <w:t>BSS</w:t>
      </w:r>
      <w:r w:rsidR="00CD50EA">
        <w:t xml:space="preserve"> based on their analysis of survey day from Dublin</w:t>
      </w:r>
      <w:r w:rsidR="0023237C">
        <w:t xml:space="preserve">. Godavarthy and Taleqani, (2017) examined willingness to use </w:t>
      </w:r>
      <w:r w:rsidR="00032232">
        <w:t>BSS</w:t>
      </w:r>
      <w:r w:rsidR="0023237C">
        <w:t xml:space="preserve"> in the cold season. </w:t>
      </w:r>
    </w:p>
    <w:p w14:paraId="0580124C" w14:textId="69CFC9ED" w:rsidR="0014138A" w:rsidRDefault="00AB5408">
      <w:pPr>
        <w:spacing w:line="276" w:lineRule="auto"/>
        <w:ind w:firstLine="720"/>
        <w:jc w:val="both"/>
      </w:pPr>
      <w:r w:rsidRPr="006A4C6F">
        <w:t xml:space="preserve">Finally, the </w:t>
      </w:r>
      <w:r w:rsidRPr="00B81173">
        <w:rPr>
          <w:u w:val="single"/>
        </w:rPr>
        <w:t>third group</w:t>
      </w:r>
      <w:r w:rsidRPr="006A4C6F">
        <w:t xml:space="preserve"> of studies, and the most relevant to current research, focus on identifying problematic stations </w:t>
      </w:r>
      <w:r w:rsidR="00540FC1" w:rsidRPr="006A4C6F">
        <w:t>(stations that are full or empty</w:t>
      </w:r>
      <w:r w:rsidR="00B824F2" w:rsidRPr="006A4C6F">
        <w:t xml:space="preserve">). </w:t>
      </w:r>
      <w:r w:rsidR="00540FC1" w:rsidRPr="006A4C6F">
        <w:t>Nair et al. (</w:t>
      </w:r>
      <w:r w:rsidR="005E0B01">
        <w:t>2013</w:t>
      </w:r>
      <w:r w:rsidR="00540FC1" w:rsidRPr="006A4C6F">
        <w:t xml:space="preserve">) examined </w:t>
      </w:r>
      <w:r w:rsidRPr="006A4C6F">
        <w:t>system characteristics, utilization patterns, public transit</w:t>
      </w:r>
      <w:r w:rsidR="00FE3D5B" w:rsidRPr="006A4C6F">
        <w:t xml:space="preserve"> interaction</w:t>
      </w:r>
      <w:r w:rsidRPr="006A4C6F">
        <w:t>, and flow imbalances between stations over time</w:t>
      </w:r>
      <w:r w:rsidRPr="006A4C6F" w:rsidDel="00AB5408">
        <w:t xml:space="preserve"> </w:t>
      </w:r>
      <w:r w:rsidR="00FE3D5B" w:rsidRPr="006A4C6F">
        <w:t>for</w:t>
      </w:r>
      <w:r w:rsidR="00540FC1" w:rsidRPr="006A4C6F">
        <w:t xml:space="preserve"> the Vélib’ system in Paris, France. The authors </w:t>
      </w:r>
      <w:r w:rsidRPr="006A4C6F">
        <w:lastRenderedPageBreak/>
        <w:t xml:space="preserve">adopted </w:t>
      </w:r>
      <w:r w:rsidR="00540FC1" w:rsidRPr="006A4C6F">
        <w:t>a stochastic optimization framework to generate redistribution plans for the Vélib’ system. Fricker and Gast (</w:t>
      </w:r>
      <w:r w:rsidR="005E0B01">
        <w:t>2014</w:t>
      </w:r>
      <w:r w:rsidR="00540FC1" w:rsidRPr="006A4C6F">
        <w:t xml:space="preserve">), studied the effect of the randomness of user decisions on the number of problematic stations. </w:t>
      </w:r>
      <w:r w:rsidR="00D632CB" w:rsidRPr="00755044">
        <w:t xml:space="preserve">Vogel and Mattfeld, </w:t>
      </w:r>
      <w:r w:rsidR="00D632CB">
        <w:t>(</w:t>
      </w:r>
      <w:r w:rsidR="00D632CB" w:rsidRPr="00755044">
        <w:t>2011</w:t>
      </w:r>
      <w:r w:rsidR="00D632CB">
        <w:t>)</w:t>
      </w:r>
      <w:r w:rsidR="0014138A">
        <w:t xml:space="preserve"> and </w:t>
      </w:r>
      <w:r w:rsidR="0014138A" w:rsidRPr="0014138A">
        <w:t>Bouveyron</w:t>
      </w:r>
      <w:r w:rsidR="0014138A">
        <w:t xml:space="preserve"> et al. (2015)</w:t>
      </w:r>
      <w:r w:rsidR="00D632CB">
        <w:t xml:space="preserve"> developed cluster analysis and found </w:t>
      </w:r>
      <w:r w:rsidR="0014138A">
        <w:t>different</w:t>
      </w:r>
      <w:r w:rsidR="00D632CB">
        <w:t xml:space="preserve"> categories of stations within the </w:t>
      </w:r>
      <w:r w:rsidR="0014138A">
        <w:t xml:space="preserve">bikeshare </w:t>
      </w:r>
      <w:r w:rsidR="00D632CB">
        <w:t>system</w:t>
      </w:r>
      <w:r w:rsidR="0014138A">
        <w:t>s</w:t>
      </w:r>
      <w:r w:rsidR="00D632CB">
        <w:t>.</w:t>
      </w:r>
      <w:r w:rsidR="00885F87">
        <w:t xml:space="preserve"> </w:t>
      </w:r>
      <w:r w:rsidR="00755044" w:rsidRPr="00755044">
        <w:t>A</w:t>
      </w:r>
      <w:r w:rsidR="00755044">
        <w:t xml:space="preserve">nother subset of </w:t>
      </w:r>
      <w:r w:rsidR="00755044" w:rsidRPr="00755044">
        <w:t xml:space="preserve">studies </w:t>
      </w:r>
      <w:r w:rsidR="00755044">
        <w:t xml:space="preserve">focuses </w:t>
      </w:r>
      <w:r w:rsidR="00755044" w:rsidRPr="00755044">
        <w:t xml:space="preserve">on operational issues of </w:t>
      </w:r>
      <w:r w:rsidR="00755044">
        <w:t>BSS</w:t>
      </w:r>
      <w:r w:rsidR="00755044" w:rsidRPr="00755044">
        <w:t xml:space="preserve"> such as optimizing bicycle repositioning operat</w:t>
      </w:r>
      <w:r w:rsidR="00755044">
        <w:t xml:space="preserve">ions and rebalancing truck routing </w:t>
      </w:r>
      <w:r w:rsidR="00755044" w:rsidRPr="00755044">
        <w:t>(Vogel and Mattfeld, 2011</w:t>
      </w:r>
      <w:r w:rsidR="00755044">
        <w:t>; Raviv et al., 2013</w:t>
      </w:r>
      <w:r w:rsidR="00885F87">
        <w:t xml:space="preserve">; </w:t>
      </w:r>
      <w:r w:rsidR="00885F87" w:rsidRPr="006A4C6F">
        <w:t>Kloimüllner et al.</w:t>
      </w:r>
      <w:r w:rsidR="00885F87">
        <w:t>,</w:t>
      </w:r>
      <w:r w:rsidR="00885F87" w:rsidRPr="006A4C6F">
        <w:t xml:space="preserve"> </w:t>
      </w:r>
      <w:r w:rsidR="00885F87">
        <w:t>2014</w:t>
      </w:r>
      <w:r w:rsidR="0014138A">
        <w:t xml:space="preserve">; </w:t>
      </w:r>
      <w:r w:rsidR="0014138A" w:rsidRPr="0014138A">
        <w:t>Pfrommer</w:t>
      </w:r>
      <w:r w:rsidR="0014138A">
        <w:t xml:space="preserve"> et al., 2014</w:t>
      </w:r>
      <w:r w:rsidR="00763ADA">
        <w:t xml:space="preserve">; Forma et al., 2015 </w:t>
      </w:r>
      <w:r w:rsidR="00755044" w:rsidRPr="00755044">
        <w:t>).</w:t>
      </w:r>
    </w:p>
    <w:p w14:paraId="4C76C30A" w14:textId="77777777" w:rsidR="008B7DD9" w:rsidRDefault="008B7DD9" w:rsidP="008A17D3">
      <w:pPr>
        <w:spacing w:line="276" w:lineRule="auto"/>
        <w:jc w:val="both"/>
      </w:pPr>
    </w:p>
    <w:p w14:paraId="0F5FFD21" w14:textId="613CE46A" w:rsidR="008B7DD9" w:rsidRPr="00A43BE5" w:rsidRDefault="008B7DD9" w:rsidP="005C0035">
      <w:pPr>
        <w:pStyle w:val="Heading1"/>
        <w:numPr>
          <w:ilvl w:val="1"/>
          <w:numId w:val="30"/>
        </w:numPr>
        <w:spacing w:line="276" w:lineRule="auto"/>
        <w:ind w:left="418" w:hanging="418"/>
      </w:pPr>
      <w:r w:rsidRPr="00212701">
        <w:t xml:space="preserve">Study </w:t>
      </w:r>
      <w:r w:rsidR="009657ED" w:rsidRPr="00212701">
        <w:t>C</w:t>
      </w:r>
      <w:r w:rsidRPr="00A43BE5">
        <w:t>ontribution</w:t>
      </w:r>
    </w:p>
    <w:p w14:paraId="20C6D870" w14:textId="166D112A" w:rsidR="000F1E41" w:rsidRDefault="000F1E41" w:rsidP="000F1E41">
      <w:pPr>
        <w:spacing w:line="276" w:lineRule="auto"/>
        <w:jc w:val="both"/>
      </w:pPr>
      <w:r>
        <w:t xml:space="preserve">The current research effort makes empirical and methodological contributions. Empirically, the study develops a quantitative model to identify stations that are either full or empty, thus providing the system operators with a priori information for optimizing their vehicle routing for ensuring bicycle (slot) availability. </w:t>
      </w:r>
      <w:r w:rsidRPr="006A4C6F">
        <w:t xml:space="preserve">As is evident from the literature review, there are few studies exploring the availability aspect in the BSS literature. Earlier work has primarily focused on optimization approaches that work on historical data of BSS usage. While these </w:t>
      </w:r>
      <w:r>
        <w:t xml:space="preserve">studies </w:t>
      </w:r>
      <w:r w:rsidRPr="006A4C6F">
        <w:t xml:space="preserve">provide useful insights based on analytical approaches, they fail to consider the impact of a host of exogenous variables on bicycle availability. Ignoring the impact of these variables would reduce the effectiveness of the prediction platform for new stations or in locations with rapid land use changes. To elaborate, as these approaches are mainly based on historical patterns, any change in the station structure and usage patterns due to changes </w:t>
      </w:r>
      <w:r w:rsidR="003F2D93">
        <w:t>in</w:t>
      </w:r>
      <w:r w:rsidR="003F2D93" w:rsidRPr="006A4C6F">
        <w:t xml:space="preserve"> </w:t>
      </w:r>
      <w:r w:rsidRPr="006A4C6F">
        <w:t xml:space="preserve">land-use (or new developments) might be harder to replicate. </w:t>
      </w:r>
    </w:p>
    <w:p w14:paraId="4EB19223" w14:textId="4658DB8B" w:rsidR="004D1942" w:rsidRDefault="000F1E41" w:rsidP="00A43BE5">
      <w:pPr>
        <w:spacing w:line="276" w:lineRule="auto"/>
        <w:ind w:firstLine="360"/>
        <w:jc w:val="both"/>
      </w:pPr>
      <w:r>
        <w:t>In our study, we define a new “</w:t>
      </w:r>
      <w:r w:rsidRPr="000F1E41">
        <w:rPr>
          <w:i/>
        </w:rPr>
        <w:t>availability</w:t>
      </w:r>
      <w:r>
        <w:t xml:space="preserve">” variable </w:t>
      </w:r>
      <w:r w:rsidR="00331130" w:rsidRPr="00745E81">
        <w:t xml:space="preserve">measured as the ratio of number of bicycles available to station capacity (ranging from 0 to 1 - empty through full). </w:t>
      </w:r>
      <w:r w:rsidR="00EC6B41" w:rsidRPr="00745E81">
        <w:t xml:space="preserve">The variable while continuous in nature does not lend itself to linear regression approaches because of its </w:t>
      </w:r>
      <w:r w:rsidR="00EE0B4B" w:rsidRPr="00745E81">
        <w:t>limited</w:t>
      </w:r>
      <w:r w:rsidR="00EC6B41" w:rsidRPr="00745E81">
        <w:t xml:space="preserve"> range</w:t>
      </w:r>
      <w:r w:rsidR="00EE0B4B" w:rsidRPr="00745E81">
        <w:t xml:space="preserve"> (between 0</w:t>
      </w:r>
      <w:r w:rsidR="004D1942" w:rsidRPr="00745E81">
        <w:t xml:space="preserve"> </w:t>
      </w:r>
      <w:r w:rsidR="00EE0B4B" w:rsidRPr="00745E81">
        <w:t>and 1)</w:t>
      </w:r>
      <w:r w:rsidR="00EC6B41" w:rsidRPr="00745E81">
        <w:t xml:space="preserve">. It is possible to consider a logarithmic form of the variable and employ a log-linear regression approach. While the approach is useful, translating the log-linear variable to meaningful cut-offs for system operators to act upon is not </w:t>
      </w:r>
      <w:r w:rsidR="006D2878" w:rsidRPr="00745E81">
        <w:t xml:space="preserve">quite </w:t>
      </w:r>
      <w:r w:rsidR="00EC6B41" w:rsidRPr="00745E81">
        <w:t>intuitive. Hence, in our analysis, w</w:t>
      </w:r>
      <w:r w:rsidR="00331130" w:rsidRPr="00745E81">
        <w:t xml:space="preserve">e employ an ordered grouping approach that discretizes the </w:t>
      </w:r>
      <w:r w:rsidR="00EC6B41" w:rsidRPr="00745E81">
        <w:t xml:space="preserve">availability variable into 5 categories with the following discretization (0-0.2, 0.2-0.4, 0.4-0.6, 0.6-0.8, and 0.8-1.0). The approach provides </w:t>
      </w:r>
      <w:r w:rsidR="004D1942" w:rsidRPr="00745E81">
        <w:t xml:space="preserve">a </w:t>
      </w:r>
      <w:r w:rsidR="00EC6B41" w:rsidRPr="00745E81">
        <w:t>directly actionable dependent variable</w:t>
      </w:r>
      <w:r w:rsidR="00EE0B4B" w:rsidRPr="00745E81">
        <w:t xml:space="preserve"> that is easy to consider for BSS operators</w:t>
      </w:r>
      <w:r w:rsidR="004D1942" w:rsidRPr="00745E81">
        <w:rPr>
          <w:rStyle w:val="FootnoteReference"/>
        </w:rPr>
        <w:footnoteReference w:id="1"/>
      </w:r>
      <w:r w:rsidR="00EC6B41" w:rsidRPr="00745E81">
        <w:t xml:space="preserve">. When the station falls within category 1 (empty) or 5 (full) the station is a potential candidate for rebalancing activity. </w:t>
      </w:r>
      <w:r w:rsidR="005E000C">
        <w:t xml:space="preserve">The proposed availability variable can be employed by any BSS operator in the world to identify stations for rebalancing. </w:t>
      </w:r>
    </w:p>
    <w:p w14:paraId="2516DCC7" w14:textId="7138341F" w:rsidR="000F1E41" w:rsidRDefault="000F1E41" w:rsidP="000F1E41">
      <w:pPr>
        <w:spacing w:line="276" w:lineRule="auto"/>
        <w:ind w:firstLine="360"/>
        <w:jc w:val="both"/>
      </w:pPr>
      <w:r>
        <w:t xml:space="preserve">The consideration of the discrete variable presents interesting methodological challenges. </w:t>
      </w:r>
      <w:r w:rsidR="004D1942" w:rsidRPr="00745E81">
        <w:t xml:space="preserve">The ordered nature of the dependent variable lends itself to an ordered regression approach. </w:t>
      </w:r>
      <w:r w:rsidR="007C0C74" w:rsidRPr="00745E81">
        <w:t xml:space="preserve">However, the traditional ordered outcome models impose a restrictive and monotonic impact </w:t>
      </w:r>
      <w:r w:rsidR="007C0C74" w:rsidRPr="00745E81">
        <w:sym w:font="Symbol" w:char="F02D"/>
      </w:r>
      <w:r w:rsidR="007C0C74" w:rsidRPr="00745E81">
        <w:t xml:space="preserve"> most widely referred to as proportional odds or parallel line </w:t>
      </w:r>
      <w:r w:rsidR="007C0C74" w:rsidRPr="00745E81">
        <w:lastRenderedPageBreak/>
        <w:t xml:space="preserve">regression assumption (McCullagh, 1980) </w:t>
      </w:r>
      <w:r w:rsidR="007C0C74" w:rsidRPr="00745E81">
        <w:sym w:font="Symbol" w:char="F02D"/>
      </w:r>
      <w:r w:rsidR="007C0C74" w:rsidRPr="00745E81">
        <w:t xml:space="preserve"> of the exogenous variables on the discrete alternatives. Imposing such restriction can lead to inconsistent parameter estimation. Recent research has offered effective approaches to address the limitation in the form of generalized ordered logit</w:t>
      </w:r>
      <w:r w:rsidR="00E82731" w:rsidRPr="00745E81">
        <w:t xml:space="preserve"> (GOL)</w:t>
      </w:r>
      <w:r w:rsidR="007C0C74" w:rsidRPr="00745E81">
        <w:t xml:space="preserve"> models (see </w:t>
      </w:r>
      <w:r w:rsidR="00E82731" w:rsidRPr="00745E81">
        <w:t xml:space="preserve">Eluru, 2013; Eluru and Yasmin, 2015). These frameworks allow for additional flexibility in modeling the influence of exogenous variables. </w:t>
      </w:r>
      <w:r>
        <w:t xml:space="preserve">In our study, </w:t>
      </w:r>
      <w:r w:rsidR="00E82731" w:rsidRPr="00745E81">
        <w:t xml:space="preserve">the dependent variable of interest – </w:t>
      </w:r>
      <w:r w:rsidR="004D1942" w:rsidRPr="00745E81">
        <w:t>availability</w:t>
      </w:r>
      <w:r w:rsidR="00E82731" w:rsidRPr="00745E81">
        <w:t xml:space="preserve"> - </w:t>
      </w:r>
      <w:r w:rsidR="004D1942" w:rsidRPr="00745E81">
        <w:t xml:space="preserve">is computed for a station at an hourly level thus offering multiple repetitions of the variable for each station. </w:t>
      </w:r>
      <w:r w:rsidR="00E82731" w:rsidRPr="00745E81">
        <w:t xml:space="preserve">To account for the influence of unobserved factors affecting availability at a station a panel version of the GOL model needs to be employed. </w:t>
      </w:r>
      <w:r w:rsidR="00212E25" w:rsidRPr="00745E81">
        <w:t xml:space="preserve"> Thus, </w:t>
      </w:r>
      <w:r w:rsidR="00E82731" w:rsidRPr="00745E81">
        <w:t xml:space="preserve">in our study, </w:t>
      </w:r>
      <w:r w:rsidR="00212E25" w:rsidRPr="00745E81">
        <w:t xml:space="preserve">a </w:t>
      </w:r>
      <w:r w:rsidR="00212E25" w:rsidRPr="00745E81">
        <w:rPr>
          <w:rFonts w:eastAsiaTheme="minorEastAsia"/>
        </w:rPr>
        <w:t>Panel Mixed Generalized Ordered Logit (PMGOL) model</w:t>
      </w:r>
      <w:r w:rsidR="00212E25" w:rsidRPr="006A4C6F">
        <w:rPr>
          <w:rFonts w:eastAsiaTheme="minorEastAsia"/>
        </w:rPr>
        <w:t xml:space="preserve"> </w:t>
      </w:r>
      <w:r w:rsidR="008B7DD9" w:rsidRPr="006A4C6F">
        <w:t xml:space="preserve">is estimated </w:t>
      </w:r>
      <w:r w:rsidR="0095000F">
        <w:t xml:space="preserve">using data from the summer of 2012 </w:t>
      </w:r>
      <w:r w:rsidR="008B7DD9" w:rsidRPr="006A4C6F">
        <w:t xml:space="preserve">to accommodate for </w:t>
      </w:r>
      <w:r w:rsidR="0076310A">
        <w:t xml:space="preserve">exogenous variables and station level </w:t>
      </w:r>
      <w:r w:rsidR="008B7DD9" w:rsidRPr="006A4C6F">
        <w:t xml:space="preserve">unobserved factors. </w:t>
      </w:r>
      <w:r w:rsidR="00477843">
        <w:t xml:space="preserve">The proposed modeling approach, to the best of the </w:t>
      </w:r>
      <w:r w:rsidR="00246A8C">
        <w:t>authors’</w:t>
      </w:r>
      <w:r w:rsidR="00477843">
        <w:t xml:space="preserve"> knowledge, is the first instance of the </w:t>
      </w:r>
      <w:r w:rsidR="00E82731">
        <w:t xml:space="preserve">application of the </w:t>
      </w:r>
      <w:r w:rsidR="00477843">
        <w:t xml:space="preserve">panel mixed generalized ordered logit model in literature. </w:t>
      </w:r>
      <w:r w:rsidR="008B7DD9" w:rsidRPr="006A4C6F">
        <w:t xml:space="preserve">The </w:t>
      </w:r>
      <w:r w:rsidR="0076310A">
        <w:t>estimated</w:t>
      </w:r>
      <w:r w:rsidR="008B7DD9" w:rsidRPr="006A4C6F">
        <w:t xml:space="preserve"> model is validated using a hold-out sample of data from the summer of 2013. Finally, to illustrate its applicability, an availability prediction exercise is undertaken. The model developed can be employed by BSS operators to arrive at hourly system state predictions and u</w:t>
      </w:r>
      <w:r w:rsidR="00787F56">
        <w:t>sed for rebalancing operations.</w:t>
      </w:r>
      <w:r>
        <w:t xml:space="preserve"> </w:t>
      </w:r>
      <w:r w:rsidR="00745E81">
        <w:t xml:space="preserve">In summary, </w:t>
      </w:r>
      <w:r w:rsidRPr="000F1E41">
        <w:rPr>
          <w:i/>
        </w:rPr>
        <w:t>methodologically</w:t>
      </w:r>
      <w:r>
        <w:t>, the paper contributes to research by estimating a panel mixed generalized ordered logit model.</w:t>
      </w:r>
    </w:p>
    <w:p w14:paraId="5DA31155" w14:textId="77777777" w:rsidR="008A60E2" w:rsidRPr="006A4C6F" w:rsidRDefault="008A60E2" w:rsidP="008A17D3">
      <w:pPr>
        <w:spacing w:line="276" w:lineRule="auto"/>
      </w:pPr>
    </w:p>
    <w:p w14:paraId="3BAD5BE7" w14:textId="2DCC3F1B" w:rsidR="00922330" w:rsidRDefault="008B7DD9" w:rsidP="00A43BE5">
      <w:pPr>
        <w:pStyle w:val="Heading1"/>
        <w:spacing w:line="276" w:lineRule="auto"/>
        <w:ind w:left="357" w:hanging="357"/>
      </w:pPr>
      <w:r>
        <w:t>DATA</w:t>
      </w:r>
      <w:r w:rsidR="00B240DB">
        <w:t xml:space="preserve"> </w:t>
      </w:r>
      <w:r w:rsidR="00DB22C1">
        <w:t>PREPARATION AND MODELING EXERCISE</w:t>
      </w:r>
    </w:p>
    <w:p w14:paraId="1B749312" w14:textId="5191B561" w:rsidR="00F726C3" w:rsidRDefault="006829D7" w:rsidP="008A17D3">
      <w:pPr>
        <w:spacing w:line="276" w:lineRule="auto"/>
        <w:jc w:val="both"/>
      </w:pPr>
      <w:r w:rsidRPr="006A4C6F">
        <w:t xml:space="preserve">The data used for this study was collected from BIXI Montreal’s website based on </w:t>
      </w:r>
      <w:r w:rsidR="003F2D93">
        <w:t xml:space="preserve">the </w:t>
      </w:r>
      <w:r w:rsidRPr="006A4C6F">
        <w:t>number of bicycles available at each station on a minute-per-minute basis between April and August 2012, for 410 BIXI stations throughout the island of Montreal.</w:t>
      </w:r>
      <w:r>
        <w:t xml:space="preserve"> </w:t>
      </w:r>
      <w:r w:rsidR="003E00E0">
        <w:t xml:space="preserve">The capacity of these stations range from 7 to 65. Around each station, the number of stations within a 250 m buffer vary from 0 to 7. </w:t>
      </w:r>
      <w:r w:rsidR="00F726C3" w:rsidRPr="006A4C6F">
        <w:t xml:space="preserve">For the purposes of this study, seven consecutive days </w:t>
      </w:r>
      <w:r w:rsidR="00B0627C">
        <w:t xml:space="preserve">were randomly selected </w:t>
      </w:r>
      <w:r w:rsidR="00F726C3" w:rsidRPr="006A4C6F">
        <w:t>for each station from the months of May to August</w:t>
      </w:r>
      <w:r w:rsidR="005D1FE0">
        <w:t xml:space="preserve"> in a way that </w:t>
      </w:r>
      <w:r w:rsidR="000043F5">
        <w:t>allows for reasonable coverage</w:t>
      </w:r>
      <w:r w:rsidR="005D1FE0">
        <w:t xml:space="preserve"> </w:t>
      </w:r>
      <w:r w:rsidR="000043F5">
        <w:t>across</w:t>
      </w:r>
      <w:r w:rsidR="005D1FE0">
        <w:t xml:space="preserve"> the four months</w:t>
      </w:r>
      <w:r w:rsidR="00F726C3" w:rsidRPr="006A4C6F">
        <w:t xml:space="preserve">. </w:t>
      </w:r>
      <w:r w:rsidR="003E00E0">
        <w:t xml:space="preserve">The reader should note that, due to severe winter conditions in Montreal, the BIXI season starts on April 15th. </w:t>
      </w:r>
      <w:r w:rsidR="00F726C3" w:rsidRPr="006A4C6F">
        <w:t xml:space="preserve">April was excluded </w:t>
      </w:r>
      <w:r w:rsidR="003E00E0">
        <w:t xml:space="preserve">from our analysis </w:t>
      </w:r>
      <w:r w:rsidR="00F726C3" w:rsidRPr="006A4C6F">
        <w:t xml:space="preserve">since all stations </w:t>
      </w:r>
      <w:r w:rsidR="001E68D1">
        <w:t>are not fully functional</w:t>
      </w:r>
      <w:r w:rsidR="00F726C3" w:rsidRPr="006A4C6F">
        <w:t xml:space="preserve">. </w:t>
      </w:r>
      <w:r w:rsidR="00EC374D">
        <w:t xml:space="preserve">The </w:t>
      </w:r>
      <w:r w:rsidR="000043F5">
        <w:t xml:space="preserve">sample data across each station (as opposed </w:t>
      </w:r>
      <w:r w:rsidR="003E00E0">
        <w:t>t</w:t>
      </w:r>
      <w:r w:rsidR="000043F5">
        <w:t>o</w:t>
      </w:r>
      <w:r w:rsidR="003E00E0">
        <w:t xml:space="preserve"> </w:t>
      </w:r>
      <w:r w:rsidR="000043F5">
        <w:t xml:space="preserve">one week of data for all stations) </w:t>
      </w:r>
      <w:r w:rsidR="00EC374D">
        <w:t xml:space="preserve">give us opportunity to better capture the impact of weather attributes such as temperature </w:t>
      </w:r>
      <w:r w:rsidR="009A5211">
        <w:t>on BIXI system usage as</w:t>
      </w:r>
      <w:r w:rsidR="00EC374D">
        <w:t xml:space="preserve"> </w:t>
      </w:r>
      <w:r w:rsidR="009A5211">
        <w:t xml:space="preserve">weather attributes are recognized to be an important factor for cycling (Ahmed et al., 2012; Kashfi et al, 2016). </w:t>
      </w:r>
      <w:r w:rsidR="00F726C3" w:rsidRPr="006A4C6F">
        <w:t xml:space="preserve">The </w:t>
      </w:r>
      <w:r w:rsidR="000043F5">
        <w:t xml:space="preserve">sampled </w:t>
      </w:r>
      <w:r w:rsidR="00F726C3" w:rsidRPr="006A4C6F">
        <w:t xml:space="preserve">data was aggregated </w:t>
      </w:r>
      <w:r w:rsidR="001E68D1">
        <w:t>at</w:t>
      </w:r>
      <w:r w:rsidR="00F726C3" w:rsidRPr="006A4C6F">
        <w:t xml:space="preserve"> an hourly level and augmented with a host of variables, including weather, location, bicycle infrastructure, land use and built environment, and </w:t>
      </w:r>
      <w:r w:rsidR="00D72688">
        <w:t>Traffic Analysis Zone (</w:t>
      </w:r>
      <w:r w:rsidR="00F726C3" w:rsidRPr="006A4C6F">
        <w:t>TAZ</w:t>
      </w:r>
      <w:r w:rsidR="00D72688">
        <w:t>)</w:t>
      </w:r>
      <w:r w:rsidR="00F726C3" w:rsidRPr="006A4C6F">
        <w:t xml:space="preserve"> level data. The </w:t>
      </w:r>
      <w:r w:rsidR="00B0627C">
        <w:t xml:space="preserve">final </w:t>
      </w:r>
      <w:r w:rsidR="00F726C3" w:rsidRPr="006A4C6F">
        <w:t xml:space="preserve">dataset consists of 68,880 observations (7 days × 24 hours × 410 stations). </w:t>
      </w:r>
    </w:p>
    <w:p w14:paraId="6C271987" w14:textId="77777777" w:rsidR="00D675C5" w:rsidRPr="006A4C6F" w:rsidRDefault="00D675C5" w:rsidP="008A17D3">
      <w:pPr>
        <w:spacing w:line="276" w:lineRule="auto"/>
        <w:jc w:val="both"/>
      </w:pPr>
    </w:p>
    <w:p w14:paraId="69DC6209" w14:textId="2AD2EB7B" w:rsidR="00F726C3" w:rsidRPr="00A43BE5" w:rsidRDefault="00F726C3" w:rsidP="005C0035">
      <w:pPr>
        <w:pStyle w:val="Heading1"/>
        <w:numPr>
          <w:ilvl w:val="1"/>
          <w:numId w:val="30"/>
        </w:numPr>
        <w:spacing w:line="276" w:lineRule="auto"/>
        <w:ind w:left="418" w:hanging="418"/>
      </w:pPr>
      <w:r w:rsidRPr="00212701">
        <w:t xml:space="preserve">Dependent Variable </w:t>
      </w:r>
      <w:r w:rsidR="009657ED" w:rsidRPr="00A43BE5">
        <w:t>Definition</w:t>
      </w:r>
    </w:p>
    <w:p w14:paraId="7CCD8CFC" w14:textId="0DCF1D8E" w:rsidR="00F726C3" w:rsidRDefault="00F726C3" w:rsidP="008A17D3">
      <w:pPr>
        <w:spacing w:line="276" w:lineRule="auto"/>
        <w:jc w:val="both"/>
      </w:pPr>
      <w:r w:rsidRPr="006A4C6F">
        <w:t xml:space="preserve">An important part of the research exercise is to define station level availability. In our work, </w:t>
      </w:r>
      <w:r>
        <w:t>we</w:t>
      </w:r>
      <w:r w:rsidRPr="006A4C6F">
        <w:t xml:space="preserve"> defin</w:t>
      </w:r>
      <w:r>
        <w:t>e</w:t>
      </w:r>
      <w:r w:rsidRPr="006A4C6F">
        <w:t xml:space="preserve"> bicycle availability as the ratio of bicycles docked at a station to station capacity. </w:t>
      </w:r>
      <w:r w:rsidRPr="006A4C6F">
        <w:lastRenderedPageBreak/>
        <w:t>Hence, availability of 0 would mean the station is completely empty, while availability of 1 would imply a full station. Further, as BSS operate</w:t>
      </w:r>
      <w:r w:rsidR="001E68D1">
        <w:t>s</w:t>
      </w:r>
      <w:r w:rsidRPr="006A4C6F">
        <w:t xml:space="preserve"> in continuous time scale, the availability measure could also be computed in continuous time. However, this would make the analysis substantially computationally intensive. Hence, in our approach, we average the minute-by-minute availability across an hour to generate an hourly availability value</w:t>
      </w:r>
      <w:r w:rsidR="00F330F3">
        <w:t xml:space="preserve"> for each station</w:t>
      </w:r>
      <w:r w:rsidRPr="006A4C6F">
        <w:t>. Thus</w:t>
      </w:r>
      <w:r w:rsidR="005322E7">
        <w:t>,</w:t>
      </w:r>
      <w:r w:rsidRPr="006A4C6F">
        <w:t xml:space="preserve"> a single hourly measure that reflects the state of the system in that hour is computed as the dependent variable in our analysis. The variable has a range from 0 to 1 </w:t>
      </w:r>
      <w:r w:rsidR="00EE0B4B">
        <w:t xml:space="preserve">with </w:t>
      </w:r>
      <w:r w:rsidRPr="006A4C6F">
        <w:t xml:space="preserve">five categories: 0-0.2, 0.2-0.4, 0.4-0.6, 0.6-0.8, </w:t>
      </w:r>
      <w:r>
        <w:t xml:space="preserve">and </w:t>
      </w:r>
      <w:r w:rsidRPr="006A4C6F">
        <w:t xml:space="preserve">0.8-1. </w:t>
      </w:r>
    </w:p>
    <w:p w14:paraId="38EF2ED5" w14:textId="4F22E66F" w:rsidR="00F330F3" w:rsidRDefault="00E91E5A" w:rsidP="008A17D3">
      <w:pPr>
        <w:spacing w:line="276" w:lineRule="auto"/>
        <w:ind w:firstLine="720"/>
        <w:jc w:val="both"/>
      </w:pPr>
      <w:r>
        <w:t xml:space="preserve">Based on the discretization, </w:t>
      </w:r>
      <w:r w:rsidR="005322E7" w:rsidRPr="00F330F3">
        <w:t xml:space="preserve">in 26.3% of cases, stations were less than 20% full, and in 18.3% of cases, they were over 80% full. So, in total the stations were close to unusable 44.6% of the time. These numbers clearly highlight the potential inefficiency in the BSS system being studied. </w:t>
      </w:r>
      <w:r w:rsidR="00E74B0B">
        <w:t>F</w:t>
      </w:r>
      <w:r w:rsidR="00E17D5C">
        <w:t>inally</w:t>
      </w:r>
      <w:r w:rsidR="00E74B0B">
        <w:t xml:space="preserve">, the spatial distribution of the inefficiency also varies substantially across the system. </w:t>
      </w:r>
    </w:p>
    <w:p w14:paraId="25BA934D" w14:textId="77777777" w:rsidR="00C45D90" w:rsidRDefault="00C45D90" w:rsidP="008A17D3">
      <w:pPr>
        <w:spacing w:line="276" w:lineRule="auto"/>
        <w:ind w:firstLine="720"/>
        <w:jc w:val="both"/>
      </w:pPr>
    </w:p>
    <w:p w14:paraId="0DE6F40F" w14:textId="1C2EE254" w:rsidR="00281096" w:rsidRPr="00A43BE5" w:rsidRDefault="00281096" w:rsidP="005C0035">
      <w:pPr>
        <w:pStyle w:val="Heading1"/>
        <w:numPr>
          <w:ilvl w:val="1"/>
          <w:numId w:val="30"/>
        </w:numPr>
        <w:spacing w:line="276" w:lineRule="auto"/>
        <w:ind w:left="418" w:hanging="418"/>
      </w:pPr>
      <w:r w:rsidRPr="00212701">
        <w:t xml:space="preserve">Visual </w:t>
      </w:r>
      <w:r w:rsidR="009657ED" w:rsidRPr="00A43BE5">
        <w:t xml:space="preserve">Representation </w:t>
      </w:r>
      <w:r w:rsidRPr="00A43BE5">
        <w:t>of Availability</w:t>
      </w:r>
    </w:p>
    <w:p w14:paraId="546A525F" w14:textId="4F3D7965" w:rsidR="00281096" w:rsidRDefault="00281096" w:rsidP="008A17D3">
      <w:pPr>
        <w:spacing w:line="276" w:lineRule="auto"/>
        <w:jc w:val="both"/>
        <w:rPr>
          <w:bCs/>
          <w:iCs/>
        </w:rPr>
      </w:pPr>
      <w:r w:rsidRPr="006A4C6F">
        <w:t xml:space="preserve">In order to better understand bicycle availability and its intimate link with rebalancing operations, </w:t>
      </w:r>
      <w:r w:rsidR="00D42F75">
        <w:t>we mapped</w:t>
      </w:r>
      <w:r w:rsidRPr="006A4C6F">
        <w:t xml:space="preserve"> bicycle availability at all stations in Montreal’s BIXI system, </w:t>
      </w:r>
      <w:r w:rsidR="00674DDD">
        <w:t>at 8 AM</w:t>
      </w:r>
      <w:r w:rsidRPr="006A4C6F">
        <w:t xml:space="preserve">, </w:t>
      </w:r>
      <w:r w:rsidR="00674DDD">
        <w:t xml:space="preserve">12 PM, 5 </w:t>
      </w:r>
      <w:r w:rsidRPr="006A4C6F">
        <w:t xml:space="preserve">PM, and </w:t>
      </w:r>
      <w:r w:rsidR="00674DDD">
        <w:t>9 PM</w:t>
      </w:r>
      <w:r w:rsidRPr="006A4C6F">
        <w:t xml:space="preserve"> of a typical summer day</w:t>
      </w:r>
      <w:r w:rsidR="00A133E0">
        <w:t xml:space="preserve"> (see Figure 1)</w:t>
      </w:r>
      <w:r w:rsidR="00DE001A">
        <w:t>. The availability values plotted represent the weekly mean of</w:t>
      </w:r>
      <w:r w:rsidRPr="006A4C6F">
        <w:t xml:space="preserve"> availability values for each time period </w:t>
      </w:r>
      <w:r w:rsidR="00DE001A">
        <w:t>and station</w:t>
      </w:r>
      <w:r w:rsidRPr="006A4C6F">
        <w:t xml:space="preserve">. Figure 1 highlights </w:t>
      </w:r>
      <w:r w:rsidR="00A133E0">
        <w:t xml:space="preserve">the </w:t>
      </w:r>
      <w:r w:rsidRPr="006A4C6F">
        <w:t xml:space="preserve">typical </w:t>
      </w:r>
      <w:r w:rsidR="00A133E0">
        <w:t>bicycle</w:t>
      </w:r>
      <w:r w:rsidRPr="006A4C6F">
        <w:t xml:space="preserve"> movements throughout the day. </w:t>
      </w:r>
      <w:r w:rsidR="00674DDD">
        <w:t>At 8 A</w:t>
      </w:r>
      <w:r w:rsidR="00E17D5C">
        <w:t>M</w:t>
      </w:r>
      <w:r w:rsidRPr="006A4C6F">
        <w:t xml:space="preserve">, stations located near downtown present low availability levels (green), whereas stations located further away are more likely to be full (red). </w:t>
      </w:r>
      <w:r w:rsidR="00674DDD">
        <w:t>At 12 PM</w:t>
      </w:r>
      <w:r w:rsidRPr="006A4C6F">
        <w:t xml:space="preserve">, the trend </w:t>
      </w:r>
      <w:r w:rsidR="00A133E0">
        <w:t xml:space="preserve">is </w:t>
      </w:r>
      <w:r w:rsidRPr="006A4C6F">
        <w:t>reversed. All the morning commutes downtown have filled th</w:t>
      </w:r>
      <w:r w:rsidR="00A133E0">
        <w:t xml:space="preserve">e downtown </w:t>
      </w:r>
      <w:r w:rsidRPr="006A4C6F">
        <w:t xml:space="preserve">stations and emptied the </w:t>
      </w:r>
      <w:r w:rsidR="00A133E0">
        <w:t>stations</w:t>
      </w:r>
      <w:r w:rsidRPr="006A4C6F">
        <w:t xml:space="preserve"> located further out. The </w:t>
      </w:r>
      <w:r w:rsidR="00674DDD">
        <w:t xml:space="preserve">5 </w:t>
      </w:r>
      <w:r w:rsidRPr="006A4C6F">
        <w:t xml:space="preserve">PM period has less of a clear distinction, since downtown stations </w:t>
      </w:r>
      <w:r w:rsidR="00B75852">
        <w:t>are close to</w:t>
      </w:r>
      <w:r w:rsidRPr="006A4C6F">
        <w:t xml:space="preserve"> empty. Finally, </w:t>
      </w:r>
      <w:r w:rsidR="00674DDD">
        <w:t>at 9 PM</w:t>
      </w:r>
      <w:r w:rsidRPr="006A4C6F">
        <w:t xml:space="preserve">, the downtown stations are nearly empty, while the stations on the outskirts are full. It is interesting to note that there are many more balanced stations (yellow) in the morning than in the evening. This is likely due to the rebalancing efforts of BIXI operators. </w:t>
      </w:r>
      <w:r w:rsidR="00507B87" w:rsidRPr="00507B87">
        <w:t xml:space="preserve">Mapping the BSS availability across the city </w:t>
      </w:r>
      <w:r w:rsidR="000043F5">
        <w:t>clearly highlights</w:t>
      </w:r>
      <w:r w:rsidR="00507B87" w:rsidRPr="00507B87">
        <w:t xml:space="preserve"> the presence of spatial dependencies of bicycle availability at a station with its neighbouring stations. To account for this dependency, we consider a spatial lag parameter as an independent variable in our modeling effort. </w:t>
      </w:r>
      <w:r w:rsidR="00507B87" w:rsidRPr="00507B87">
        <w:rPr>
          <w:bCs/>
          <w:iCs/>
        </w:rPr>
        <w:t xml:space="preserve">The </w:t>
      </w:r>
      <w:r w:rsidR="00507B87" w:rsidRPr="00507B87">
        <w:t xml:space="preserve">spatial lag </w:t>
      </w:r>
      <w:r w:rsidR="00507B87" w:rsidRPr="00507B87">
        <w:rPr>
          <w:bCs/>
          <w:iCs/>
        </w:rPr>
        <w:t>variable represents the ratio of available bicycles at stations within 250m of a specific station over the capacity of those nearby stations in the previous hour.</w:t>
      </w:r>
    </w:p>
    <w:p w14:paraId="04670A30" w14:textId="77777777" w:rsidR="003E00E0" w:rsidRDefault="003E00E0" w:rsidP="008A17D3">
      <w:pPr>
        <w:spacing w:line="276" w:lineRule="auto"/>
        <w:jc w:val="both"/>
      </w:pPr>
    </w:p>
    <w:p w14:paraId="01167CB9" w14:textId="3EC326D0" w:rsidR="00281096" w:rsidRPr="00A43BE5" w:rsidRDefault="00281096" w:rsidP="005C0035">
      <w:pPr>
        <w:pStyle w:val="Heading1"/>
        <w:numPr>
          <w:ilvl w:val="1"/>
          <w:numId w:val="30"/>
        </w:numPr>
        <w:spacing w:line="276" w:lineRule="auto"/>
        <w:ind w:left="418" w:hanging="418"/>
      </w:pPr>
      <w:r w:rsidRPr="00212701">
        <w:t>Addressing Rebala</w:t>
      </w:r>
      <w:r w:rsidRPr="00A43BE5">
        <w:t>ncing</w:t>
      </w:r>
    </w:p>
    <w:p w14:paraId="272FC1DD" w14:textId="4BAC5A40" w:rsidR="000D7076" w:rsidRPr="006A4C6F" w:rsidRDefault="000D7076" w:rsidP="008A17D3">
      <w:pPr>
        <w:spacing w:line="276" w:lineRule="auto"/>
        <w:jc w:val="both"/>
      </w:pPr>
      <w:r w:rsidRPr="006A4C6F">
        <w:t>In using station data compiled from BIXI’s website, it is not possible to differentiate between user drop-offs and pick-ups versus rebalancing actions. Rebalancing operations represent an outside attempt to ensure bicycle availability in the system. However, for our analysis it is critical to account for the presence of artificial flows due to rebalancing. Faghih-Imani et al. (</w:t>
      </w:r>
      <w:r w:rsidR="005E0B01">
        <w:t>2014</w:t>
      </w:r>
      <w:r w:rsidRPr="006A4C6F">
        <w:t xml:space="preserve">) proposed a heuristic approach to separate rebalancing flows </w:t>
      </w:r>
      <w:r w:rsidRPr="006A4C6F">
        <w:lastRenderedPageBreak/>
        <w:t>from true flows. However, the same methodology could not be employed here because rebalancing operations are likely to have a more prolonged impact on the dependent variable. To elaborate, accounting for rebalancing on an hourly level would be inadequate, since the number of bikes docked at a station at a specific time is dependent on how many bikes were there in the previous time frame, and will affect several subsequent records. In other words, if a rebalancing operation occurs at 2</w:t>
      </w:r>
      <w:r w:rsidR="003F2D93">
        <w:t xml:space="preserve"> </w:t>
      </w:r>
      <w:r w:rsidRPr="006A4C6F">
        <w:t>pm, it will not only affect the 2-3</w:t>
      </w:r>
      <w:r w:rsidR="003F2D93">
        <w:t xml:space="preserve"> </w:t>
      </w:r>
      <w:r w:rsidRPr="006A4C6F">
        <w:t xml:space="preserve">pm record. It is much more likely to affect several subsequent records. In order to address this issue, we created identifier variables to recognize rebalancing operations and examined their impact over the next 2, 3, 4, 5, 6, and 12 hours. These identifiers were then provided as input to the models being developed. </w:t>
      </w:r>
    </w:p>
    <w:p w14:paraId="3204AFC7" w14:textId="77777777" w:rsidR="00E27FDA" w:rsidRPr="006A4C6F" w:rsidRDefault="00E27FDA" w:rsidP="008A17D3">
      <w:pPr>
        <w:spacing w:line="276" w:lineRule="auto"/>
      </w:pPr>
    </w:p>
    <w:p w14:paraId="6EEAECA9" w14:textId="1B0834DC" w:rsidR="00106CF6" w:rsidRPr="00A43BE5" w:rsidRDefault="00106CF6" w:rsidP="005C0035">
      <w:pPr>
        <w:pStyle w:val="Heading1"/>
        <w:numPr>
          <w:ilvl w:val="1"/>
          <w:numId w:val="30"/>
        </w:numPr>
        <w:spacing w:line="276" w:lineRule="auto"/>
        <w:ind w:left="418" w:hanging="418"/>
      </w:pPr>
      <w:r w:rsidRPr="00A43BE5">
        <w:t xml:space="preserve">Econometric </w:t>
      </w:r>
      <w:r w:rsidR="00F91776" w:rsidRPr="00A43BE5">
        <w:t>M</w:t>
      </w:r>
      <w:r w:rsidRPr="00A43BE5">
        <w:t xml:space="preserve">odel </w:t>
      </w:r>
      <w:r w:rsidR="00F91776" w:rsidRPr="00A43BE5">
        <w:t>Framework</w:t>
      </w:r>
    </w:p>
    <w:p w14:paraId="200E5F06" w14:textId="1BFB2E2B" w:rsidR="00432A2E" w:rsidRDefault="003B09A9" w:rsidP="009A71D3">
      <w:pPr>
        <w:spacing w:line="276" w:lineRule="auto"/>
        <w:jc w:val="both"/>
        <w:rPr>
          <w:rFonts w:eastAsiaTheme="minorEastAsia"/>
        </w:rPr>
      </w:pPr>
      <w:r>
        <w:rPr>
          <w:rFonts w:eastAsiaTheme="minorEastAsia"/>
        </w:rPr>
        <w:t xml:space="preserve">The </w:t>
      </w:r>
      <w:r w:rsidR="00E15830">
        <w:rPr>
          <w:rFonts w:eastAsiaTheme="minorEastAsia"/>
        </w:rPr>
        <w:t xml:space="preserve">Ordered Logit (OL) </w:t>
      </w:r>
      <w:r>
        <w:rPr>
          <w:rFonts w:eastAsiaTheme="minorEastAsia"/>
        </w:rPr>
        <w:t>f</w:t>
      </w:r>
      <w:r w:rsidR="00432A2E">
        <w:rPr>
          <w:rFonts w:eastAsiaTheme="minorEastAsia"/>
        </w:rPr>
        <w:t xml:space="preserve">ramework </w:t>
      </w:r>
      <w:r>
        <w:rPr>
          <w:rFonts w:eastAsiaTheme="minorEastAsia"/>
        </w:rPr>
        <w:t>model</w:t>
      </w:r>
      <w:r w:rsidR="00432A2E">
        <w:rPr>
          <w:rFonts w:eastAsiaTheme="minorEastAsia"/>
        </w:rPr>
        <w:t>s</w:t>
      </w:r>
      <w:r w:rsidRPr="003B09A9">
        <w:rPr>
          <w:rFonts w:eastAsiaTheme="minorEastAsia"/>
        </w:rPr>
        <w:t xml:space="preserve"> the choice probabilities </w:t>
      </w:r>
      <w:r>
        <w:rPr>
          <w:rFonts w:eastAsiaTheme="minorEastAsia"/>
        </w:rPr>
        <w:t xml:space="preserve">of a </w:t>
      </w:r>
      <w:r w:rsidRPr="003B09A9">
        <w:rPr>
          <w:rFonts w:eastAsiaTheme="minorEastAsia"/>
        </w:rPr>
        <w:t>decision process</w:t>
      </w:r>
      <w:r>
        <w:rPr>
          <w:rFonts w:eastAsiaTheme="minorEastAsia"/>
        </w:rPr>
        <w:t xml:space="preserve"> by </w:t>
      </w:r>
      <w:r w:rsidRPr="003B09A9">
        <w:rPr>
          <w:rFonts w:eastAsiaTheme="minorEastAsia"/>
        </w:rPr>
        <w:t>partitioning a single latent propensity into as many categories as the dependent variable alternatives through a set of thresholds.</w:t>
      </w:r>
      <w:r w:rsidR="009A71D3">
        <w:rPr>
          <w:rFonts w:eastAsiaTheme="minorEastAsia"/>
        </w:rPr>
        <w:t xml:space="preserve"> Using only a single equation for the propensity, the ordered logit model limit</w:t>
      </w:r>
      <w:r w:rsidR="00CA7E09">
        <w:rPr>
          <w:rFonts w:eastAsiaTheme="minorEastAsia"/>
        </w:rPr>
        <w:t>s</w:t>
      </w:r>
      <w:r w:rsidR="009A71D3">
        <w:rPr>
          <w:rFonts w:eastAsiaTheme="minorEastAsia"/>
        </w:rPr>
        <w:t xml:space="preserve"> the impact of exogenous variables to be same across all alternatives. To overcome this limitation, </w:t>
      </w:r>
      <w:r w:rsidR="00E15830" w:rsidRPr="00432A2E">
        <w:rPr>
          <w:rFonts w:eastAsiaTheme="minorEastAsia"/>
        </w:rPr>
        <w:t xml:space="preserve">Generalized Ordered Logit </w:t>
      </w:r>
      <w:r w:rsidR="009A71D3" w:rsidRPr="00432A2E">
        <w:rPr>
          <w:rFonts w:eastAsiaTheme="minorEastAsia"/>
        </w:rPr>
        <w:t>(GOL)</w:t>
      </w:r>
      <w:r w:rsidR="00E15830">
        <w:rPr>
          <w:rFonts w:eastAsiaTheme="minorEastAsia"/>
        </w:rPr>
        <w:t xml:space="preserve"> </w:t>
      </w:r>
      <w:r w:rsidR="00CA7E09">
        <w:rPr>
          <w:rFonts w:eastAsiaTheme="minorEastAsia"/>
        </w:rPr>
        <w:t>m</w:t>
      </w:r>
      <w:r w:rsidR="00432A2E" w:rsidRPr="00432A2E">
        <w:rPr>
          <w:rFonts w:eastAsiaTheme="minorEastAsia"/>
        </w:rPr>
        <w:t>odel</w:t>
      </w:r>
      <w:r w:rsidR="009A71D3">
        <w:rPr>
          <w:rFonts w:eastAsiaTheme="minorEastAsia"/>
        </w:rPr>
        <w:t xml:space="preserve"> that allows the exogenous variables to influence the threshold parameters</w:t>
      </w:r>
      <w:r w:rsidR="00CA7E09">
        <w:rPr>
          <w:rFonts w:eastAsiaTheme="minorEastAsia"/>
        </w:rPr>
        <w:t xml:space="preserve"> (see </w:t>
      </w:r>
      <w:r w:rsidR="00CA7E09" w:rsidRPr="005E0B01">
        <w:rPr>
          <w:rFonts w:eastAsiaTheme="minorEastAsia"/>
        </w:rPr>
        <w:t>E</w:t>
      </w:r>
      <w:r w:rsidR="00CA7E09">
        <w:rPr>
          <w:rFonts w:eastAsiaTheme="minorEastAsia"/>
        </w:rPr>
        <w:t>luru et al. (2008) and Eluru (</w:t>
      </w:r>
      <w:r w:rsidR="00CA7E09" w:rsidRPr="005E0B01">
        <w:rPr>
          <w:rFonts w:eastAsiaTheme="minorEastAsia"/>
        </w:rPr>
        <w:t>2013</w:t>
      </w:r>
      <w:r w:rsidR="00CA7E09">
        <w:rPr>
          <w:rFonts w:eastAsiaTheme="minorEastAsia"/>
        </w:rPr>
        <w:t>) for more details)</w:t>
      </w:r>
      <w:r w:rsidR="00507B87">
        <w:rPr>
          <w:rFonts w:eastAsiaTheme="minorEastAsia"/>
        </w:rPr>
        <w:t xml:space="preserve"> was developed</w:t>
      </w:r>
      <w:r w:rsidR="009A71D3">
        <w:rPr>
          <w:rFonts w:eastAsiaTheme="minorEastAsia"/>
        </w:rPr>
        <w:t xml:space="preserve">. </w:t>
      </w:r>
      <w:r w:rsidR="00590FD2">
        <w:rPr>
          <w:rFonts w:eastAsiaTheme="minorEastAsia"/>
        </w:rPr>
        <w:t xml:space="preserve">In GOL, in addition to the main equation for the propensity, each threshold can be a function of exogenous variables. Further, </w:t>
      </w:r>
      <w:r w:rsidR="00CA7E09">
        <w:rPr>
          <w:rFonts w:eastAsiaTheme="minorEastAsia"/>
        </w:rPr>
        <w:t>to</w:t>
      </w:r>
      <w:r w:rsidR="00E15830">
        <w:rPr>
          <w:rFonts w:eastAsiaTheme="minorEastAsia"/>
        </w:rPr>
        <w:t xml:space="preserve"> </w:t>
      </w:r>
      <w:r w:rsidR="00E15830" w:rsidRPr="006A4C6F">
        <w:rPr>
          <w:rFonts w:eastAsiaTheme="minorEastAsia"/>
        </w:rPr>
        <w:t>examine bicycle availability</w:t>
      </w:r>
      <w:r w:rsidR="00E15830">
        <w:rPr>
          <w:rFonts w:eastAsiaTheme="minorEastAsia"/>
        </w:rPr>
        <w:t xml:space="preserve"> at each station </w:t>
      </w:r>
      <w:r w:rsidR="00AD560D">
        <w:rPr>
          <w:rFonts w:eastAsiaTheme="minorEastAsia"/>
        </w:rPr>
        <w:t>for</w:t>
      </w:r>
      <w:r w:rsidR="00E15830">
        <w:rPr>
          <w:rFonts w:eastAsiaTheme="minorEastAsia"/>
        </w:rPr>
        <w:t xml:space="preserve"> each hour</w:t>
      </w:r>
      <w:r w:rsidR="009A71D3">
        <w:rPr>
          <w:rFonts w:eastAsiaTheme="minorEastAsia"/>
        </w:rPr>
        <w:t xml:space="preserve">, </w:t>
      </w:r>
      <w:r w:rsidR="00590FD2">
        <w:rPr>
          <w:rFonts w:eastAsiaTheme="minorEastAsia"/>
        </w:rPr>
        <w:t>in this study</w:t>
      </w:r>
      <w:r w:rsidR="00AD560D">
        <w:rPr>
          <w:rFonts w:eastAsiaTheme="minorEastAsia"/>
        </w:rPr>
        <w:t>,</w:t>
      </w:r>
      <w:r w:rsidR="00590FD2">
        <w:rPr>
          <w:rFonts w:eastAsiaTheme="minorEastAsia"/>
        </w:rPr>
        <w:t xml:space="preserve"> </w:t>
      </w:r>
      <w:r w:rsidR="009A71D3">
        <w:rPr>
          <w:rFonts w:eastAsiaTheme="minorEastAsia"/>
        </w:rPr>
        <w:t xml:space="preserve">we extend the GOL model to a </w:t>
      </w:r>
      <w:r w:rsidR="009A71D3" w:rsidRPr="006A4C6F">
        <w:rPr>
          <w:rFonts w:eastAsiaTheme="minorEastAsia"/>
        </w:rPr>
        <w:t xml:space="preserve">Panel </w:t>
      </w:r>
      <w:r w:rsidR="009A71D3">
        <w:rPr>
          <w:rFonts w:eastAsiaTheme="minorEastAsia"/>
        </w:rPr>
        <w:t>Mixed Generalized Ordered Logit (PMGOL)</w:t>
      </w:r>
      <w:r w:rsidR="00CA7E09">
        <w:rPr>
          <w:rFonts w:eastAsiaTheme="minorEastAsia"/>
        </w:rPr>
        <w:t xml:space="preserve"> model</w:t>
      </w:r>
      <w:r w:rsidR="009A71D3">
        <w:rPr>
          <w:rFonts w:eastAsiaTheme="minorEastAsia"/>
        </w:rPr>
        <w:t xml:space="preserve"> </w:t>
      </w:r>
      <w:r w:rsidR="00CA7E09">
        <w:rPr>
          <w:rFonts w:eastAsiaTheme="minorEastAsia"/>
        </w:rPr>
        <w:t>that</w:t>
      </w:r>
      <w:r w:rsidR="009A71D3">
        <w:rPr>
          <w:rFonts w:eastAsiaTheme="minorEastAsia"/>
        </w:rPr>
        <w:t xml:space="preserve"> account</w:t>
      </w:r>
      <w:r w:rsidR="00CA7E09">
        <w:rPr>
          <w:rFonts w:eastAsiaTheme="minorEastAsia"/>
        </w:rPr>
        <w:t>s</w:t>
      </w:r>
      <w:r w:rsidR="009A71D3">
        <w:rPr>
          <w:rFonts w:eastAsiaTheme="minorEastAsia"/>
        </w:rPr>
        <w:t xml:space="preserve"> for the panel structure of the data by considering </w:t>
      </w:r>
      <w:r w:rsidR="009A71D3">
        <w:t xml:space="preserve">station level </w:t>
      </w:r>
      <w:r w:rsidR="009A71D3" w:rsidRPr="006A4C6F">
        <w:t>unobserved factors</w:t>
      </w:r>
      <w:r w:rsidR="00E15830">
        <w:t>.</w:t>
      </w:r>
      <w:r w:rsidR="00590FD2">
        <w:t xml:space="preserve"> The reader would note that this is the first instance of a panel mixed GOL model implemented in practice.</w:t>
      </w:r>
    </w:p>
    <w:p w14:paraId="5182EB18" w14:textId="77777777" w:rsidR="003B09A9" w:rsidRDefault="003B09A9" w:rsidP="008A17D3">
      <w:pPr>
        <w:spacing w:line="276" w:lineRule="auto"/>
        <w:jc w:val="both"/>
        <w:rPr>
          <w:rFonts w:eastAsiaTheme="minorEastAsia"/>
        </w:rPr>
      </w:pPr>
    </w:p>
    <w:p w14:paraId="55013835" w14:textId="6EF00D93" w:rsidR="00106CF6" w:rsidRPr="00780D5F" w:rsidRDefault="00106CF6" w:rsidP="008A17D3">
      <w:pPr>
        <w:spacing w:line="276" w:lineRule="auto"/>
        <w:jc w:val="both"/>
      </w:pPr>
      <w:r>
        <w:t xml:space="preserve">Consider that propensity for station availability is denoted by </w:t>
      </w:r>
      <m:oMath>
        <m:sSubSup>
          <m:sSubSupPr>
            <m:ctrlPr>
              <w:rPr>
                <w:rFonts w:ascii="Cambria Math" w:hAnsi="Cambria Math"/>
                <w:lang w:val="fr-CA"/>
              </w:rPr>
            </m:ctrlPr>
          </m:sSubSupPr>
          <m:e>
            <m:r>
              <w:rPr>
                <w:rFonts w:ascii="Cambria Math" w:hAnsi="Cambria Math"/>
                <w:lang w:val="fr-CA"/>
              </w:rPr>
              <m:t>y</m:t>
            </m:r>
          </m:e>
          <m:sub>
            <m:r>
              <w:rPr>
                <w:rFonts w:ascii="Cambria Math" w:hAnsi="Cambria Math"/>
                <w:lang w:val="fr-CA"/>
              </w:rPr>
              <m:t>it</m:t>
            </m:r>
          </m:sub>
          <m:sup>
            <m:r>
              <m:rPr>
                <m:sty m:val="p"/>
              </m:rPr>
              <w:rPr>
                <w:rFonts w:ascii="Cambria Math" w:hAnsi="Cambria Math"/>
              </w:rPr>
              <m:t>*</m:t>
            </m:r>
          </m:sup>
        </m:sSubSup>
      </m:oMath>
      <w:r>
        <w:t xml:space="preserve">  where </w:t>
      </w:r>
      <w:r>
        <w:rPr>
          <w:i/>
        </w:rPr>
        <w:t>i</w:t>
      </w:r>
      <w:r>
        <w:t xml:space="preserve"> represents the station (</w:t>
      </w:r>
      <w:r w:rsidRPr="0090216D">
        <w:rPr>
          <w:i/>
        </w:rPr>
        <w:t>i = 1, 2.. N; N</w:t>
      </w:r>
      <w:r w:rsidR="00E93DF8">
        <w:t xml:space="preserve">=410 in our case), </w:t>
      </w:r>
      <w:r w:rsidRPr="0090216D">
        <w:rPr>
          <w:i/>
        </w:rPr>
        <w:t>t</w:t>
      </w:r>
      <w:r>
        <w:t xml:space="preserve"> represents the hour under consideration (</w:t>
      </w:r>
      <w:r w:rsidRPr="0090216D">
        <w:rPr>
          <w:i/>
        </w:rPr>
        <w:t>t = 1,2.. T; T=</w:t>
      </w:r>
      <w:r w:rsidR="00E93DF8">
        <w:t xml:space="preserve"> 168 in our case), and </w:t>
      </w:r>
      <m:oMath>
        <m:r>
          <w:rPr>
            <w:rFonts w:ascii="Cambria Math"/>
          </w:rPr>
          <m:t>j (j=1,2,</m:t>
        </m:r>
        <m:r>
          <w:rPr>
            <w:rFonts w:ascii="Cambria Math"/>
          </w:rPr>
          <m:t>………</m:t>
        </m:r>
        <m:r>
          <w:rPr>
            <w:rFonts w:ascii="Cambria Math"/>
          </w:rPr>
          <m:t>,J</m:t>
        </m:r>
      </m:oMath>
      <w:r w:rsidR="00E93DF8" w:rsidRPr="004774B7">
        <w:t>) denote</w:t>
      </w:r>
      <w:r w:rsidR="00E93DF8">
        <w:t>s</w:t>
      </w:r>
      <w:r w:rsidR="00E93DF8" w:rsidRPr="004774B7">
        <w:t xml:space="preserve"> the </w:t>
      </w:r>
      <w:r w:rsidR="00E93DF8">
        <w:t>station availability levels.</w:t>
      </w:r>
      <w:r w:rsidR="00590FD2">
        <w:t xml:space="preserve"> Then, t</w:t>
      </w:r>
      <w:r>
        <w:t xml:space="preserve">he </w:t>
      </w:r>
      <w:r w:rsidRPr="00780D5F">
        <w:t xml:space="preserve">equation system for </w:t>
      </w:r>
      <w:r w:rsidR="001E68D1">
        <w:t>P</w:t>
      </w:r>
      <w:r w:rsidRPr="00780D5F">
        <w:t>MGOL model can be expressed as</w:t>
      </w:r>
      <w:r w:rsidR="005E0B01">
        <w:t xml:space="preserve"> </w:t>
      </w:r>
      <w:r w:rsidR="001E68D1">
        <w:t>follows (</w:t>
      </w:r>
      <w:r w:rsidR="005E0B01">
        <w:t>Yasmin &amp; Eluru (2013</w:t>
      </w:r>
      <w:r w:rsidR="00135A28">
        <w:t>)</w:t>
      </w:r>
      <w:r w:rsidR="003F704D">
        <w:t xml:space="preserve"> employ</w:t>
      </w:r>
      <w:r w:rsidR="003B09A9">
        <w:t>ed</w:t>
      </w:r>
      <w:r w:rsidR="003F704D">
        <w:t xml:space="preserve"> a similar variant for the cross-sectional version of the model</w:t>
      </w:r>
      <w:r w:rsidR="001E68D1">
        <w:t>)</w:t>
      </w:r>
      <w:r w:rsidRPr="00780D5F">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4"/>
        <w:gridCol w:w="1296"/>
      </w:tblGrid>
      <w:tr w:rsidR="00106CF6" w:rsidRPr="00780D5F" w14:paraId="73AE4268" w14:textId="77777777" w:rsidTr="00D55CE6">
        <w:tc>
          <w:tcPr>
            <w:tcW w:w="4250" w:type="pct"/>
            <w:vAlign w:val="center"/>
          </w:tcPr>
          <w:p w14:paraId="2AD628CA" w14:textId="07301C3D" w:rsidR="00106CF6" w:rsidRPr="00780D5F" w:rsidRDefault="00D23C38" w:rsidP="00311887">
            <w:pPr>
              <w:spacing w:before="200" w:line="276" w:lineRule="auto"/>
              <w:jc w:val="both"/>
            </w:pPr>
            <m:oMath>
              <m:sSubSup>
                <m:sSubSupPr>
                  <m:ctrlPr>
                    <w:rPr>
                      <w:rFonts w:ascii="Cambria Math" w:hAnsi="Cambria Math"/>
                      <w:i/>
                    </w:rPr>
                  </m:ctrlPr>
                </m:sSubSupPr>
                <m:e>
                  <m:r>
                    <w:rPr>
                      <w:rFonts w:ascii="Cambria Math"/>
                    </w:rPr>
                    <m:t>y</m:t>
                  </m:r>
                </m:e>
                <m:sub>
                  <m:r>
                    <w:rPr>
                      <w:rFonts w:ascii="Cambria Math"/>
                    </w:rPr>
                    <m:t>it</m:t>
                  </m:r>
                </m:sub>
                <m:sup>
                  <m:r>
                    <w:rPr>
                      <w:rFonts w:ascii="Cambria Math" w:hAnsi="Cambria Math"/>
                    </w:rPr>
                    <m:t>*</m:t>
                  </m:r>
                </m:sup>
              </m:sSubSup>
              <m:r>
                <w:rPr>
                  <w:rFonts w:ascii="Cambria Math"/>
                </w:rPr>
                <m:t>=</m:t>
              </m:r>
              <m:r>
                <m:rPr>
                  <m:sty m:val="bi"/>
                </m:rPr>
                <w:rPr>
                  <w:rFonts w:ascii="Cambria Math"/>
                </w:rPr>
                <m:t>(β+</m:t>
              </m:r>
              <m:sSub>
                <m:sSubPr>
                  <m:ctrlPr>
                    <w:rPr>
                      <w:rFonts w:ascii="Cambria Math" w:hAnsi="Cambria Math"/>
                      <w:i/>
                    </w:rPr>
                  </m:ctrlPr>
                </m:sSubPr>
                <m:e>
                  <m:r>
                    <m:rPr>
                      <m:sty m:val="bi"/>
                    </m:rPr>
                    <w:rPr>
                      <w:rFonts w:ascii="Cambria Math" w:hAnsi="Cambria Math"/>
                    </w:rPr>
                    <m:t>α</m:t>
                  </m:r>
                </m:e>
                <m:sub>
                  <m:r>
                    <w:rPr>
                      <w:rFonts w:ascii="Cambria Math" w:hAnsi="Cambria Math"/>
                    </w:rPr>
                    <m:t>i</m:t>
                  </m:r>
                </m:sub>
              </m:sSub>
              <m:r>
                <w:rPr>
                  <w:rFonts w:ascii="Cambria Math"/>
                </w:rPr>
                <m:t>)</m:t>
              </m:r>
              <m:sSub>
                <m:sSubPr>
                  <m:ctrlPr>
                    <w:rPr>
                      <w:rFonts w:ascii="Cambria Math" w:hAnsi="Cambria Math"/>
                      <w:i/>
                    </w:rPr>
                  </m:ctrlPr>
                </m:sSubPr>
                <m:e>
                  <m:r>
                    <m:rPr>
                      <m:sty m:val="bi"/>
                    </m:rPr>
                    <w:rPr>
                      <w:rFonts w:ascii="Cambria Math" w:hAnsi="Cambria Math"/>
                    </w:rPr>
                    <m:t>X</m:t>
                  </m:r>
                </m:e>
                <m:sub>
                  <m:r>
                    <w:rPr>
                      <w:rFonts w:ascii="Cambria Math"/>
                    </w:rPr>
                    <m:t>it</m:t>
                  </m:r>
                </m:sub>
              </m:sSub>
              <m:r>
                <w:rPr>
                  <w:rFonts w:ascii="Cambria Math"/>
                </w:rPr>
                <m:t>+</m:t>
              </m:r>
              <m:sSub>
                <m:sSubPr>
                  <m:ctrlPr>
                    <w:rPr>
                      <w:rFonts w:ascii="Cambria Math" w:hAnsi="Cambria Math"/>
                      <w:i/>
                    </w:rPr>
                  </m:ctrlPr>
                </m:sSubPr>
                <m:e>
                  <m:r>
                    <w:rPr>
                      <w:rFonts w:ascii="Cambria Math"/>
                    </w:rPr>
                    <m:t>ε</m:t>
                  </m:r>
                </m:e>
                <m:sub>
                  <m:r>
                    <w:rPr>
                      <w:rFonts w:ascii="Cambria Math"/>
                    </w:rPr>
                    <m:t>it</m:t>
                  </m:r>
                </m:sub>
              </m:sSub>
            </m:oMath>
            <w:r w:rsidR="00106CF6" w:rsidRPr="00780D5F">
              <w:rPr>
                <w:i/>
              </w:rPr>
              <w:t xml:space="preserve">, </w:t>
            </w:r>
          </w:p>
        </w:tc>
        <w:tc>
          <w:tcPr>
            <w:tcW w:w="750" w:type="pct"/>
          </w:tcPr>
          <w:p w14:paraId="74E7978F" w14:textId="77777777" w:rsidR="00106CF6" w:rsidRPr="00780D5F" w:rsidRDefault="00106CF6" w:rsidP="008A17D3">
            <w:pPr>
              <w:pStyle w:val="ListParagraph"/>
              <w:numPr>
                <w:ilvl w:val="0"/>
                <w:numId w:val="22"/>
              </w:numPr>
              <w:spacing w:before="200" w:after="200" w:line="276" w:lineRule="auto"/>
              <w:jc w:val="right"/>
            </w:pPr>
          </w:p>
        </w:tc>
      </w:tr>
    </w:tbl>
    <w:p w14:paraId="7F367A8D" w14:textId="77777777" w:rsidR="00106CF6" w:rsidRPr="00780D5F" w:rsidRDefault="00106CF6" w:rsidP="008A17D3">
      <w:pPr>
        <w:spacing w:line="276" w:lineRule="auto"/>
        <w:jc w:val="both"/>
      </w:pPr>
      <w:r w:rsidRPr="00780D5F">
        <w:t>and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4"/>
        <w:gridCol w:w="1296"/>
      </w:tblGrid>
      <w:tr w:rsidR="00106CF6" w:rsidRPr="00780D5F" w14:paraId="2E769B4B" w14:textId="77777777" w:rsidTr="00D55CE6">
        <w:tc>
          <w:tcPr>
            <w:tcW w:w="4250" w:type="pct"/>
            <w:vAlign w:val="center"/>
          </w:tcPr>
          <w:p w14:paraId="68086D47" w14:textId="0A9E9C98" w:rsidR="00106CF6" w:rsidRPr="00780D5F" w:rsidRDefault="00D23C38" w:rsidP="008A17D3">
            <w:pPr>
              <w:spacing w:before="200" w:line="276" w:lineRule="auto"/>
              <w:jc w:val="both"/>
            </w:pPr>
            <m:oMathPara>
              <m:oMathParaPr>
                <m:jc m:val="left"/>
              </m:oMathParaPr>
              <m:oMath>
                <m:sSub>
                  <m:sSubPr>
                    <m:ctrlPr>
                      <w:rPr>
                        <w:rFonts w:ascii="Cambria Math" w:hAnsi="Cambria Math"/>
                        <w:i/>
                      </w:rPr>
                    </m:ctrlPr>
                  </m:sSubPr>
                  <m:e>
                    <m:r>
                      <w:rPr>
                        <w:rFonts w:ascii="Cambria Math"/>
                      </w:rPr>
                      <m:t>τ</m:t>
                    </m:r>
                  </m:e>
                  <m:sub>
                    <m:r>
                      <w:rPr>
                        <w:rFonts w:ascii="Cambria Math"/>
                      </w:rPr>
                      <m:t>it,j</m:t>
                    </m:r>
                  </m:sub>
                </m:sSub>
                <m:r>
                  <w:rPr>
                    <w:rFonts w:ascii="Cambria Math"/>
                  </w:rPr>
                  <m:t>=</m:t>
                </m:r>
                <m:sSub>
                  <m:sSubPr>
                    <m:ctrlPr>
                      <w:rPr>
                        <w:rFonts w:ascii="Cambria Math" w:hAnsi="Cambria Math"/>
                        <w:i/>
                      </w:rPr>
                    </m:ctrlPr>
                  </m:sSubPr>
                  <m:e>
                    <m:r>
                      <w:rPr>
                        <w:rFonts w:ascii="Cambria Math"/>
                      </w:rPr>
                      <m:t>τ</m:t>
                    </m:r>
                  </m:e>
                  <m:sub>
                    <m:r>
                      <w:rPr>
                        <w:rFonts w:ascii="Cambria Math"/>
                      </w:rPr>
                      <m:t>it,j</m:t>
                    </m:r>
                    <m:r>
                      <w:rPr>
                        <w:rFonts w:ascii="Cambria Math"/>
                      </w:rPr>
                      <m:t>-</m:t>
                    </m:r>
                    <m:r>
                      <w:rPr>
                        <w:rFonts w:ascii="Cambria Math"/>
                      </w:rPr>
                      <m:t>1</m:t>
                    </m:r>
                  </m:sub>
                </m:sSub>
                <m:r>
                  <w:rPr>
                    <w:rFonts w:ascii="Cambria Math"/>
                  </w:rPr>
                  <m:t>+</m:t>
                </m:r>
                <m:r>
                  <w:rPr>
                    <w:rFonts w:ascii="Cambria Math" w:hAnsi="Cambria Math"/>
                  </w:rPr>
                  <m:t>exp</m:t>
                </m:r>
                <m:r>
                  <m:rPr>
                    <m:sty m:val="p"/>
                  </m:rPr>
                  <w:rPr>
                    <w:rFonts w:ascii="Cambria Math" w:hAnsi="Cambria Math"/>
                  </w:rPr>
                  <m:t>⁡</m:t>
                </m:r>
                <m:r>
                  <w:rPr>
                    <w:rFonts w:ascii="Cambria Math" w:hAnsi="Cambria Math"/>
                  </w:rPr>
                  <m:t>[</m:t>
                </m:r>
                <m:r>
                  <w:rPr>
                    <w:rFonts w:ascii="Cambria Math"/>
                  </w:rPr>
                  <m:t>(</m:t>
                </m:r>
                <m:sSub>
                  <m:sSubPr>
                    <m:ctrlPr>
                      <w:rPr>
                        <w:rFonts w:ascii="Cambria Math" w:hAnsi="Cambria Math"/>
                        <w:i/>
                      </w:rPr>
                    </m:ctrlPr>
                  </m:sSubPr>
                  <m:e>
                    <m:sSub>
                      <m:sSubPr>
                        <m:ctrlPr>
                          <w:rPr>
                            <w:rFonts w:ascii="Cambria Math" w:hAnsi="Cambria Math"/>
                            <w:b/>
                            <w:i/>
                          </w:rPr>
                        </m:ctrlPr>
                      </m:sSubPr>
                      <m:e>
                        <m:r>
                          <m:rPr>
                            <m:sty m:val="bi"/>
                          </m:rPr>
                          <w:rPr>
                            <w:rFonts w:ascii="Cambria Math" w:hAnsi="Cambria Math"/>
                          </w:rPr>
                          <m:t>δ</m:t>
                        </m:r>
                      </m:e>
                      <m:sub>
                        <m:r>
                          <m:rPr>
                            <m:sty m:val="bi"/>
                          </m:rPr>
                          <w:rPr>
                            <w:rFonts w:ascii="Cambria Math"/>
                          </w:rPr>
                          <m:t>j</m:t>
                        </m:r>
                      </m:sub>
                    </m:sSub>
                    <m:r>
                      <w:rPr>
                        <w:rFonts w:ascii="Cambria Math" w:hAnsi="Cambria Math"/>
                      </w:rPr>
                      <m:t>+</m:t>
                    </m:r>
                    <m:sSub>
                      <m:sSubPr>
                        <m:ctrlPr>
                          <w:rPr>
                            <w:rFonts w:ascii="Cambria Math" w:hAnsi="Cambria Math"/>
                            <w:i/>
                          </w:rPr>
                        </m:ctrlPr>
                      </m:sSubPr>
                      <m:e>
                        <m:r>
                          <m:rPr>
                            <m:sty m:val="bi"/>
                          </m:rPr>
                          <w:rPr>
                            <w:rFonts w:ascii="Cambria Math" w:hAnsi="Cambria Math"/>
                          </w:rPr>
                          <m:t>γ</m:t>
                        </m:r>
                      </m:e>
                      <m:sub>
                        <m:r>
                          <w:rPr>
                            <w:rFonts w:ascii="Cambria Math" w:hAnsi="Cambria Math"/>
                          </w:rPr>
                          <m:t>i,j</m:t>
                        </m:r>
                      </m:sub>
                    </m:sSub>
                    <m:r>
                      <w:rPr>
                        <w:rFonts w:ascii="Cambria Math" w:hAnsi="Cambria Math"/>
                      </w:rPr>
                      <m:t xml:space="preserve">) </m:t>
                    </m:r>
                    <m:r>
                      <m:rPr>
                        <m:sty m:val="bi"/>
                      </m:rPr>
                      <w:rPr>
                        <w:rFonts w:ascii="Cambria Math" w:hAnsi="Cambria Math"/>
                      </w:rPr>
                      <m:t>Z</m:t>
                    </m:r>
                  </m:e>
                  <m:sub>
                    <m:r>
                      <w:rPr>
                        <w:rFonts w:ascii="Cambria Math"/>
                      </w:rPr>
                      <m:t>it,j</m:t>
                    </m:r>
                  </m:sub>
                </m:sSub>
                <m:r>
                  <w:rPr>
                    <w:rFonts w:ascii="Cambria Math" w:hAnsi="Cambria Math"/>
                  </w:rPr>
                  <m:t>]</m:t>
                </m:r>
              </m:oMath>
            </m:oMathPara>
          </w:p>
        </w:tc>
        <w:tc>
          <w:tcPr>
            <w:tcW w:w="750" w:type="pct"/>
          </w:tcPr>
          <w:p w14:paraId="265538F3" w14:textId="77777777" w:rsidR="00106CF6" w:rsidRPr="00780D5F" w:rsidRDefault="00106CF6" w:rsidP="008A17D3">
            <w:pPr>
              <w:pStyle w:val="ListParagraph"/>
              <w:numPr>
                <w:ilvl w:val="0"/>
                <w:numId w:val="22"/>
              </w:numPr>
              <w:spacing w:before="200" w:after="200" w:line="276" w:lineRule="auto"/>
              <w:jc w:val="right"/>
            </w:pPr>
          </w:p>
        </w:tc>
      </w:tr>
    </w:tbl>
    <w:p w14:paraId="17305DFF" w14:textId="77777777" w:rsidR="00106CF6" w:rsidRDefault="00106CF6" w:rsidP="008A17D3">
      <w:pPr>
        <w:spacing w:line="276" w:lineRule="auto"/>
        <w:jc w:val="both"/>
      </w:pPr>
    </w:p>
    <w:p w14:paraId="58E845F4" w14:textId="47FDCE6A" w:rsidR="00106CF6" w:rsidRDefault="00106CF6" w:rsidP="00212701">
      <w:pPr>
        <w:spacing w:line="276" w:lineRule="auto"/>
        <w:ind w:firstLine="720"/>
        <w:jc w:val="both"/>
      </w:pPr>
      <m:oMath>
        <m:r>
          <m:rPr>
            <m:sty m:val="bi"/>
          </m:rPr>
          <w:rPr>
            <w:rFonts w:ascii="Cambria Math"/>
          </w:rPr>
          <m:t>β</m:t>
        </m:r>
      </m:oMath>
      <w:r w:rsidRPr="004774B7">
        <w:t xml:space="preserve"> </w:t>
      </w:r>
      <w:r>
        <w:t xml:space="preserve">and </w:t>
      </w:r>
      <m:oMath>
        <m:sSub>
          <m:sSubPr>
            <m:ctrlPr>
              <w:rPr>
                <w:rFonts w:ascii="Cambria Math" w:hAnsi="Cambria Math"/>
                <w:i/>
              </w:rPr>
            </m:ctrlPr>
          </m:sSubPr>
          <m:e>
            <m:r>
              <m:rPr>
                <m:sty m:val="bi"/>
              </m:rPr>
              <w:rPr>
                <w:rFonts w:ascii="Cambria Math" w:hAnsi="Cambria Math"/>
              </w:rPr>
              <m:t>δ</m:t>
            </m:r>
          </m:e>
          <m:sub>
            <m:r>
              <w:rPr>
                <w:rFonts w:ascii="Cambria Math"/>
              </w:rPr>
              <m:t>j</m:t>
            </m:r>
          </m:sub>
        </m:sSub>
      </m:oMath>
      <w:r w:rsidRPr="00A34928">
        <w:t xml:space="preserve"> </w:t>
      </w:r>
      <w:r>
        <w:t xml:space="preserve">are </w:t>
      </w:r>
      <w:r w:rsidRPr="004774B7">
        <w:t>vector</w:t>
      </w:r>
      <w:r>
        <w:t>s</w:t>
      </w:r>
      <w:r w:rsidRPr="004774B7">
        <w:t xml:space="preserve"> of unknown parameters to be estimated</w:t>
      </w:r>
      <w:r w:rsidR="00D42F75">
        <w:t xml:space="preserve"> </w:t>
      </w:r>
      <w:r w:rsidR="000F1E41">
        <w:t xml:space="preserve">for exogenous variable matrices </w:t>
      </w:r>
      <m:oMath>
        <m:sSub>
          <m:sSubPr>
            <m:ctrlPr>
              <w:rPr>
                <w:rFonts w:ascii="Cambria Math" w:hAnsi="Cambria Math"/>
                <w:i/>
              </w:rPr>
            </m:ctrlPr>
          </m:sSubPr>
          <m:e>
            <m:r>
              <m:rPr>
                <m:sty m:val="bi"/>
              </m:rPr>
              <w:rPr>
                <w:rFonts w:ascii="Cambria Math" w:hAnsi="Cambria Math"/>
              </w:rPr>
              <m:t>X</m:t>
            </m:r>
          </m:e>
          <m:sub>
            <m:r>
              <w:rPr>
                <w:rFonts w:ascii="Cambria Math"/>
              </w:rPr>
              <m:t>it</m:t>
            </m:r>
          </m:sub>
        </m:sSub>
      </m:oMath>
      <w:r w:rsidR="000F1E41">
        <w:t xml:space="preserve"> and </w:t>
      </w:r>
      <m:oMath>
        <m:sSub>
          <m:sSubPr>
            <m:ctrlPr>
              <w:rPr>
                <w:rFonts w:ascii="Cambria Math" w:hAnsi="Cambria Math"/>
                <w:b/>
                <w:i/>
              </w:rPr>
            </m:ctrlPr>
          </m:sSubPr>
          <m:e>
            <m:r>
              <m:rPr>
                <m:sty m:val="bi"/>
              </m:rPr>
              <w:rPr>
                <w:rFonts w:ascii="Cambria Math" w:hAnsi="Cambria Math"/>
              </w:rPr>
              <m:t>Z</m:t>
            </m:r>
          </m:e>
          <m:sub>
            <m:r>
              <w:rPr>
                <w:rFonts w:ascii="Cambria Math"/>
              </w:rPr>
              <m:t>it,j</m:t>
            </m:r>
          </m:sub>
        </m:sSub>
      </m:oMath>
      <w:r w:rsidR="000F1E41">
        <w:t xml:space="preserve"> </w:t>
      </w:r>
      <w:r w:rsidR="003D3395">
        <w:t xml:space="preserve">(considered for every threshold) </w:t>
      </w:r>
      <w:r w:rsidR="00D42F75">
        <w:t xml:space="preserve">while </w:t>
      </w:r>
      <m:oMath>
        <m:sSub>
          <m:sSubPr>
            <m:ctrlPr>
              <w:rPr>
                <w:rFonts w:ascii="Cambria Math" w:hAnsi="Cambria Math"/>
                <w:i/>
              </w:rPr>
            </m:ctrlPr>
          </m:sSubPr>
          <m:e>
            <m:r>
              <w:rPr>
                <w:rFonts w:ascii="Cambria Math" w:hAnsi="Cambria Math"/>
              </w:rPr>
              <m:t>τ</m:t>
            </m:r>
          </m:e>
          <m:sub>
            <m:r>
              <w:rPr>
                <w:rFonts w:ascii="Cambria Math" w:hAnsi="Cambria Math"/>
              </w:rPr>
              <m:t>it,j</m:t>
            </m:r>
          </m:sub>
        </m:sSub>
      </m:oMath>
      <w:r w:rsidRPr="004774B7">
        <w:t xml:space="preserve"> </w:t>
      </w:r>
      <w:r>
        <w:t xml:space="preserve">represents </w:t>
      </w:r>
      <w:r w:rsidRPr="004774B7">
        <w:t xml:space="preserve">the thresholds associated with these </w:t>
      </w:r>
      <w:r w:rsidR="001E68D1">
        <w:t>availability</w:t>
      </w:r>
      <w:r w:rsidRPr="004774B7">
        <w:t xml:space="preserve"> levels.</w:t>
      </w:r>
      <w:r w:rsidR="00E93DF8">
        <w:t xml:space="preserve"> </w:t>
      </w:r>
      <w:r w:rsidRPr="004774B7">
        <w:t xml:space="preserve">In order to ensure the well-defined intervals and </w:t>
      </w:r>
      <w:r w:rsidRPr="004774B7">
        <w:lastRenderedPageBreak/>
        <w:t xml:space="preserve">natural ordering of observed </w:t>
      </w:r>
      <w:r w:rsidR="001E68D1">
        <w:t>availability</w:t>
      </w:r>
      <w:r w:rsidRPr="004774B7">
        <w:t>, the thresholds are assumed to be ascending in order, such that</w:t>
      </w:r>
      <m:oMath>
        <m:r>
          <m:rPr>
            <m:sty m:val="p"/>
          </m:rPr>
          <w:rPr>
            <w:rFonts w:ascii="Cambria Math"/>
          </w:rPr>
          <m:t xml:space="preserve"> </m:t>
        </m:r>
        <m:sSub>
          <m:sSubPr>
            <m:ctrlPr>
              <w:rPr>
                <w:rFonts w:ascii="Cambria Math" w:hAnsi="Cambria Math"/>
                <w:i/>
              </w:rPr>
            </m:ctrlPr>
          </m:sSubPr>
          <m:e>
            <m:r>
              <w:rPr>
                <w:rFonts w:ascii="Cambria Math"/>
              </w:rPr>
              <m:t>τ</m:t>
            </m:r>
          </m:e>
          <m:sub>
            <m:r>
              <w:rPr>
                <w:rFonts w:ascii="Cambria Math"/>
              </w:rPr>
              <m:t>t0</m:t>
            </m:r>
          </m:sub>
        </m:sSub>
        <m:r>
          <w:rPr>
            <w:rFonts w:ascii="Cambria Math"/>
          </w:rPr>
          <m:t>&lt;</m:t>
        </m:r>
        <m:sSub>
          <m:sSubPr>
            <m:ctrlPr>
              <w:rPr>
                <w:rFonts w:ascii="Cambria Math" w:hAnsi="Cambria Math"/>
                <w:i/>
              </w:rPr>
            </m:ctrlPr>
          </m:sSubPr>
          <m:e>
            <m:r>
              <w:rPr>
                <w:rFonts w:ascii="Cambria Math"/>
              </w:rPr>
              <m:t>τ</m:t>
            </m:r>
          </m:e>
          <m:sub>
            <m:r>
              <w:rPr>
                <w:rFonts w:ascii="Cambria Math"/>
              </w:rPr>
              <m:t>t1</m:t>
            </m:r>
          </m:sub>
        </m:sSub>
        <m:r>
          <w:rPr>
            <w:rFonts w:ascii="Cambria Math"/>
          </w:rPr>
          <m:t xml:space="preserve">&lt; </m:t>
        </m:r>
        <m:r>
          <w:rPr>
            <w:rFonts w:ascii="Cambria Math"/>
          </w:rPr>
          <m:t>………</m:t>
        </m:r>
        <m:sSub>
          <m:sSubPr>
            <m:ctrlPr>
              <w:rPr>
                <w:rFonts w:ascii="Cambria Math" w:hAnsi="Cambria Math"/>
                <w:i/>
              </w:rPr>
            </m:ctrlPr>
          </m:sSubPr>
          <m:e>
            <m:r>
              <w:rPr>
                <w:rFonts w:ascii="Cambria Math"/>
              </w:rPr>
              <m:t>&lt;</m:t>
            </m:r>
            <m:r>
              <w:rPr>
                <w:rFonts w:ascii="Cambria Math" w:hAnsi="Cambria Math"/>
              </w:rPr>
              <m:t>τ</m:t>
            </m:r>
          </m:e>
          <m:sub>
            <m:r>
              <w:rPr>
                <w:rFonts w:ascii="Cambria Math"/>
              </w:rPr>
              <m:t>tJ</m:t>
            </m:r>
          </m:sub>
        </m:sSub>
      </m:oMath>
      <w:r>
        <w:t xml:space="preserve"> where</w:t>
      </w:r>
      <w:r w:rsidRPr="004774B7">
        <w:t xml:space="preserve"> </w:t>
      </w:r>
      <m:oMath>
        <m:sSub>
          <m:sSubPr>
            <m:ctrlPr>
              <w:rPr>
                <w:rFonts w:ascii="Cambria Math" w:hAnsi="Cambria Math"/>
                <w:i/>
              </w:rPr>
            </m:ctrlPr>
          </m:sSubPr>
          <m:e>
            <m:r>
              <w:rPr>
                <w:rFonts w:ascii="Cambria Math"/>
              </w:rPr>
              <m:t>τ</m:t>
            </m:r>
          </m:e>
          <m:sub>
            <m:r>
              <w:rPr>
                <w:rFonts w:ascii="Cambria Math"/>
              </w:rPr>
              <m:t>t0</m:t>
            </m:r>
          </m:sub>
        </m:sSub>
        <m:r>
          <w:rPr>
            <w:rFonts w:ascii="Cambria Math"/>
          </w:rPr>
          <m:t>=</m:t>
        </m:r>
        <m:r>
          <w:rPr>
            <w:rFonts w:ascii="Cambria Math"/>
          </w:rPr>
          <m:t>-∞</m:t>
        </m:r>
      </m:oMath>
      <w:r w:rsidRPr="004774B7">
        <w:t xml:space="preserve"> and </w:t>
      </w:r>
      <m:oMath>
        <m:sSub>
          <m:sSubPr>
            <m:ctrlPr>
              <w:rPr>
                <w:rFonts w:ascii="Cambria Math" w:hAnsi="Cambria Math"/>
                <w:i/>
              </w:rPr>
            </m:ctrlPr>
          </m:sSubPr>
          <m:e>
            <m:r>
              <w:rPr>
                <w:rFonts w:ascii="Cambria Math"/>
              </w:rPr>
              <m:t>τ</m:t>
            </m:r>
          </m:e>
          <m:sub>
            <m:r>
              <w:rPr>
                <w:rFonts w:ascii="Cambria Math"/>
              </w:rPr>
              <m:t>tJ</m:t>
            </m:r>
          </m:sub>
        </m:sSub>
        <m:r>
          <w:rPr>
            <w:rFonts w:ascii="Cambria Math"/>
          </w:rPr>
          <m:t>=+</m:t>
        </m:r>
        <m:r>
          <w:rPr>
            <w:rFonts w:ascii="Cambria Math"/>
          </w:rPr>
          <m:t>∞</m:t>
        </m:r>
      </m:oMath>
      <w:r w:rsidRPr="004774B7">
        <w:t>.</w:t>
      </w:r>
      <w:r w:rsidR="00A317ED">
        <w:t xml:space="preserve"> </w:t>
      </w:r>
      <m:oMath>
        <m:sSub>
          <m:sSubPr>
            <m:ctrlPr>
              <w:rPr>
                <w:rFonts w:ascii="Cambria Math" w:hAnsi="Cambria Math"/>
                <w:i/>
              </w:rPr>
            </m:ctrlPr>
          </m:sSubPr>
          <m:e>
            <m:r>
              <w:rPr>
                <w:rFonts w:ascii="Cambria Math"/>
              </w:rPr>
              <m:t>ε</m:t>
            </m:r>
          </m:e>
          <m:sub>
            <m:r>
              <w:rPr>
                <w:rFonts w:ascii="Cambria Math"/>
              </w:rPr>
              <m:t>it</m:t>
            </m:r>
          </m:sub>
        </m:sSub>
      </m:oMath>
      <w:r w:rsidR="00A317ED">
        <w:rPr>
          <w:rFonts w:eastAsiaTheme="minorEastAsia"/>
        </w:rPr>
        <w:t xml:space="preserve"> represents a standard logistic distributed unobserved error term</w:t>
      </w:r>
      <w:r w:rsidR="003F704D">
        <w:rPr>
          <w:rFonts w:eastAsiaTheme="minorEastAsia"/>
        </w:rPr>
        <w:t xml:space="preserve"> for station </w:t>
      </w:r>
      <w:r w:rsidR="003F704D" w:rsidRPr="003F704D">
        <w:rPr>
          <w:rFonts w:eastAsiaTheme="minorEastAsia"/>
          <w:i/>
        </w:rPr>
        <w:t>i</w:t>
      </w:r>
      <w:r w:rsidR="003F704D">
        <w:rPr>
          <w:rFonts w:eastAsiaTheme="minorEastAsia"/>
        </w:rPr>
        <w:t xml:space="preserve"> and time period </w:t>
      </w:r>
      <w:r w:rsidR="003F704D" w:rsidRPr="003F704D">
        <w:rPr>
          <w:rFonts w:eastAsiaTheme="minorEastAsia"/>
          <w:i/>
        </w:rPr>
        <w:t>t</w:t>
      </w:r>
      <w:r w:rsidR="00A317ED">
        <w:rPr>
          <w:rFonts w:eastAsiaTheme="minorEastAsia"/>
        </w:rPr>
        <w:t>.</w:t>
      </w:r>
    </w:p>
    <w:p w14:paraId="61D09421" w14:textId="004E84B5" w:rsidR="00106CF6" w:rsidRPr="00780D5F" w:rsidRDefault="00106CF6" w:rsidP="008A17D3">
      <w:pPr>
        <w:spacing w:line="276" w:lineRule="auto"/>
        <w:ind w:firstLine="720"/>
        <w:jc w:val="both"/>
      </w:pPr>
      <w:r w:rsidRPr="00780D5F">
        <w:t xml:space="preserve">In equations </w:t>
      </w:r>
      <w:r>
        <w:t>1</w:t>
      </w:r>
      <w:r w:rsidRPr="00780D5F">
        <w:t xml:space="preserve"> and </w:t>
      </w:r>
      <w:r>
        <w:t>2</w:t>
      </w:r>
      <w:r w:rsidRPr="00780D5F">
        <w:t xml:space="preserve">, we assume that </w:t>
      </w:r>
      <m:oMath>
        <m:sSub>
          <m:sSubPr>
            <m:ctrlPr>
              <w:rPr>
                <w:rFonts w:ascii="Cambria Math" w:hAnsi="Cambria Math"/>
                <w:i/>
              </w:rPr>
            </m:ctrlPr>
          </m:sSubPr>
          <m:e>
            <m:r>
              <m:rPr>
                <m:sty m:val="bi"/>
              </m:rPr>
              <w:rPr>
                <w:rFonts w:ascii="Cambria Math" w:hAnsi="Cambria Math"/>
              </w:rPr>
              <m:t>α</m:t>
            </m:r>
          </m:e>
          <m:sub>
            <m:r>
              <w:rPr>
                <w:rFonts w:ascii="Cambria Math" w:hAnsi="Cambria Math"/>
              </w:rPr>
              <m:t>i</m:t>
            </m:r>
          </m:sub>
        </m:sSub>
      </m:oMath>
      <w:r w:rsidRPr="00780D5F">
        <w:t xml:space="preserve"> and </w:t>
      </w:r>
      <m:oMath>
        <m:sSub>
          <m:sSubPr>
            <m:ctrlPr>
              <w:rPr>
                <w:rFonts w:ascii="Cambria Math" w:hAnsi="Cambria Math"/>
                <w:i/>
              </w:rPr>
            </m:ctrlPr>
          </m:sSubPr>
          <m:e>
            <m:r>
              <m:rPr>
                <m:sty m:val="bi"/>
              </m:rPr>
              <w:rPr>
                <w:rFonts w:ascii="Cambria Math" w:hAnsi="Cambria Math"/>
              </w:rPr>
              <m:t>γ</m:t>
            </m:r>
          </m:e>
          <m:sub>
            <m:r>
              <w:rPr>
                <w:rFonts w:ascii="Cambria Math" w:hAnsi="Cambria Math"/>
              </w:rPr>
              <m:t>ij</m:t>
            </m:r>
          </m:sub>
        </m:sSub>
      </m:oMath>
      <w:r w:rsidRPr="00780D5F">
        <w:t xml:space="preserve"> are independent realizations from normal distribution for this study. Thus, conditional on </w:t>
      </w:r>
      <m:oMath>
        <m:sSub>
          <m:sSubPr>
            <m:ctrlPr>
              <w:rPr>
                <w:rFonts w:ascii="Cambria Math" w:hAnsi="Cambria Math"/>
                <w:i/>
              </w:rPr>
            </m:ctrlPr>
          </m:sSubPr>
          <m:e>
            <m:r>
              <m:rPr>
                <m:sty m:val="bi"/>
              </m:rPr>
              <w:rPr>
                <w:rFonts w:ascii="Cambria Math" w:hAnsi="Cambria Math"/>
              </w:rPr>
              <m:t>α</m:t>
            </m:r>
          </m:e>
          <m:sub>
            <m:r>
              <w:rPr>
                <w:rFonts w:ascii="Cambria Math" w:hAnsi="Cambria Math"/>
              </w:rPr>
              <m:t>i</m:t>
            </m:r>
          </m:sub>
        </m:sSub>
      </m:oMath>
      <w:r w:rsidRPr="00780D5F">
        <w:t xml:space="preserve"> and </w:t>
      </w:r>
      <m:oMath>
        <m:sSub>
          <m:sSubPr>
            <m:ctrlPr>
              <w:rPr>
                <w:rFonts w:ascii="Cambria Math" w:hAnsi="Cambria Math"/>
                <w:i/>
              </w:rPr>
            </m:ctrlPr>
          </m:sSubPr>
          <m:e>
            <m:r>
              <m:rPr>
                <m:sty m:val="bi"/>
              </m:rPr>
              <w:rPr>
                <w:rFonts w:ascii="Cambria Math" w:hAnsi="Cambria Math"/>
              </w:rPr>
              <m:t>γ</m:t>
            </m:r>
          </m:e>
          <m:sub>
            <m:r>
              <w:rPr>
                <w:rFonts w:ascii="Cambria Math" w:hAnsi="Cambria Math"/>
              </w:rPr>
              <m:t>ij</m:t>
            </m:r>
          </m:sub>
        </m:sSub>
      </m:oMath>
      <w:r w:rsidRPr="00780D5F">
        <w:t>, the probability expression</w:t>
      </w:r>
      <w:r>
        <w:t>s</w:t>
      </w:r>
      <w:r w:rsidRPr="00780D5F">
        <w:t xml:space="preserve"> for </w:t>
      </w:r>
      <w:r>
        <w:t>station</w:t>
      </w:r>
      <w:r w:rsidRPr="00780D5F">
        <w:t xml:space="preserve"> </w:t>
      </w:r>
      <m:oMath>
        <m:r>
          <w:rPr>
            <w:rFonts w:ascii="Cambria Math" w:hAnsi="Cambria Math"/>
          </w:rPr>
          <m:t>i</m:t>
        </m:r>
      </m:oMath>
      <w:r>
        <w:rPr>
          <w:rFonts w:eastAsiaTheme="minorEastAsia"/>
        </w:rPr>
        <w:t xml:space="preserve">, hour </w:t>
      </w:r>
      <w:r w:rsidR="00C902BE" w:rsidRPr="00E17D5C">
        <w:rPr>
          <w:rFonts w:eastAsiaTheme="minorEastAsia"/>
          <w:i/>
        </w:rPr>
        <w:t>t</w:t>
      </w:r>
      <w:r w:rsidR="00C902BE" w:rsidRPr="00780D5F">
        <w:t xml:space="preserve"> </w:t>
      </w:r>
      <w:r w:rsidRPr="00780D5F">
        <w:t xml:space="preserve">and alternative </w:t>
      </w:r>
      <m:oMath>
        <m:r>
          <w:rPr>
            <w:rFonts w:ascii="Cambria Math" w:hAnsi="Cambria Math"/>
          </w:rPr>
          <m:t>j</m:t>
        </m:r>
      </m:oMath>
      <w:r w:rsidRPr="00780D5F">
        <w:t xml:space="preserve"> in MGOL model take the following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4"/>
        <w:gridCol w:w="1296"/>
      </w:tblGrid>
      <w:tr w:rsidR="00106CF6" w14:paraId="16CC6385" w14:textId="77777777" w:rsidTr="00D55CE6">
        <w:tc>
          <w:tcPr>
            <w:tcW w:w="4250" w:type="pct"/>
            <w:vAlign w:val="center"/>
          </w:tcPr>
          <w:p w14:paraId="19CFA4CF" w14:textId="43F752E4" w:rsidR="00106CF6" w:rsidRPr="00780D5F" w:rsidRDefault="00D23C38" w:rsidP="008A17D3">
            <w:pPr>
              <w:spacing w:before="200" w:line="276" w:lineRule="auto"/>
              <w:jc w:val="both"/>
            </w:pPr>
            <m:oMathPara>
              <m:oMathParaPr>
                <m:jc m:val="left"/>
              </m:oMathParaPr>
              <m:oMath>
                <m:func>
                  <m:funcPr>
                    <m:ctrlPr>
                      <w:rPr>
                        <w:rFonts w:ascii="Cambria Math" w:hAnsi="Cambria Math"/>
                        <w:i/>
                      </w:rPr>
                    </m:ctrlPr>
                  </m:funcPr>
                  <m:fName>
                    <m:sSub>
                      <m:sSubPr>
                        <m:ctrlPr>
                          <w:rPr>
                            <w:rFonts w:ascii="Cambria Math" w:hAnsi="Cambria Math"/>
                            <w:i/>
                          </w:rPr>
                        </m:ctrlPr>
                      </m:sSubPr>
                      <m:e>
                        <m:r>
                          <w:rPr>
                            <w:rFonts w:ascii="Cambria Math"/>
                          </w:rPr>
                          <m:t>π</m:t>
                        </m:r>
                      </m:e>
                      <m:sub>
                        <m:r>
                          <w:rPr>
                            <w:rFonts w:ascii="Cambria Math"/>
                          </w:rPr>
                          <m:t>itj</m:t>
                        </m:r>
                      </m:sub>
                    </m:sSub>
                    <m:r>
                      <w:rPr>
                        <w:rFonts w:ascii="Cambria Math"/>
                      </w:rPr>
                      <m:t xml:space="preserve">  =Pr</m:t>
                    </m:r>
                  </m:fName>
                  <m:e>
                    <m:d>
                      <m:dPr>
                        <m:ctrlPr>
                          <w:rPr>
                            <w:rFonts w:ascii="Cambria Math" w:hAnsi="Cambria Math"/>
                            <w:i/>
                          </w:rPr>
                        </m:ctrlPr>
                      </m:dPr>
                      <m:e>
                        <m:sSub>
                          <m:sSubPr>
                            <m:ctrlPr>
                              <w:rPr>
                                <w:rFonts w:ascii="Cambria Math" w:hAnsi="Cambria Math"/>
                                <w:i/>
                              </w:rPr>
                            </m:ctrlPr>
                          </m:sSubPr>
                          <m:e>
                            <m:r>
                              <w:rPr>
                                <w:rFonts w:ascii="Cambria Math"/>
                              </w:rPr>
                              <m:t>y</m:t>
                            </m:r>
                          </m:e>
                          <m:sub>
                            <m:r>
                              <w:rPr>
                                <w:rFonts w:ascii="Cambria Math"/>
                              </w:rPr>
                              <m:t>it</m:t>
                            </m:r>
                          </m:sub>
                        </m:sSub>
                        <m:r>
                          <w:rPr>
                            <w:rFonts w:ascii="Cambria Math"/>
                          </w:rPr>
                          <m:t>=j</m:t>
                        </m:r>
                      </m:e>
                      <m:e>
                        <m:sSub>
                          <m:sSubPr>
                            <m:ctrlPr>
                              <w:rPr>
                                <w:rFonts w:ascii="Cambria Math" w:hAnsi="Cambria Math"/>
                                <w:i/>
                              </w:rPr>
                            </m:ctrlPr>
                          </m:sSubPr>
                          <m:e>
                            <m:r>
                              <m:rPr>
                                <m:sty m:val="bi"/>
                              </m:rPr>
                              <w:rPr>
                                <w:rFonts w:ascii="Cambria Math" w:hAnsi="Cambria Math"/>
                              </w:rPr>
                              <m:t>α</m:t>
                            </m:r>
                          </m:e>
                          <m:sub>
                            <m:r>
                              <w:rPr>
                                <w:rFonts w:ascii="Cambria Math" w:hAnsi="Cambria Math"/>
                              </w:rPr>
                              <m:t>i</m:t>
                            </m:r>
                          </m:sub>
                        </m:sSub>
                        <m:r>
                          <m:rPr>
                            <m:sty m:val="p"/>
                          </m:rPr>
                          <w:rPr>
                            <w:rFonts w:ascii="Cambria Math" w:hAnsi="Cambria Math"/>
                          </w:rPr>
                          <m:t>,</m:t>
                        </m:r>
                        <m:sSub>
                          <m:sSubPr>
                            <m:ctrlPr>
                              <w:rPr>
                                <w:rFonts w:ascii="Cambria Math" w:hAnsi="Cambria Math"/>
                                <w:i/>
                              </w:rPr>
                            </m:ctrlPr>
                          </m:sSubPr>
                          <m:e>
                            <m:r>
                              <m:rPr>
                                <m:sty m:val="bi"/>
                              </m:rPr>
                              <w:rPr>
                                <w:rFonts w:ascii="Cambria Math" w:hAnsi="Cambria Math"/>
                              </w:rPr>
                              <m:t>γ</m:t>
                            </m:r>
                          </m:e>
                          <m:sub>
                            <m:r>
                              <w:rPr>
                                <w:rFonts w:ascii="Cambria Math" w:hAnsi="Cambria Math"/>
                              </w:rPr>
                              <m:t>ij</m:t>
                            </m:r>
                          </m:sub>
                        </m:sSub>
                      </m:e>
                    </m:d>
                  </m:e>
                </m:func>
              </m:oMath>
            </m:oMathPara>
          </w:p>
          <w:p w14:paraId="4DF2657A" w14:textId="104FB2C3" w:rsidR="00106CF6" w:rsidRPr="0090216D" w:rsidRDefault="00106CF6" w:rsidP="008A17D3">
            <w:pPr>
              <w:spacing w:before="200" w:line="276" w:lineRule="auto"/>
              <w:jc w:val="both"/>
              <w:rPr>
                <w:rFonts w:eastAsiaTheme="minorEastAsia"/>
                <w:b/>
              </w:rPr>
            </w:pPr>
            <m:oMathPara>
              <m:oMath>
                <m:r>
                  <w:rPr>
                    <w:rFonts w:ascii="Cambria Math"/>
                  </w:rPr>
                  <m:t>=Λ[(</m:t>
                </m:r>
                <m:sSub>
                  <m:sSubPr>
                    <m:ctrlPr>
                      <w:rPr>
                        <w:rFonts w:ascii="Cambria Math" w:hAnsi="Cambria Math"/>
                        <w:i/>
                      </w:rPr>
                    </m:ctrlPr>
                  </m:sSubPr>
                  <m:e>
                    <m:sSub>
                      <m:sSubPr>
                        <m:ctrlPr>
                          <w:rPr>
                            <w:rFonts w:ascii="Cambria Math" w:hAnsi="Cambria Math"/>
                            <w:i/>
                          </w:rPr>
                        </m:ctrlPr>
                      </m:sSubPr>
                      <m:e>
                        <m:r>
                          <m:rPr>
                            <m:sty m:val="bi"/>
                          </m:rPr>
                          <w:rPr>
                            <w:rFonts w:ascii="Cambria Math" w:hAnsi="Cambria Math"/>
                          </w:rPr>
                          <m:t>δ</m:t>
                        </m:r>
                      </m:e>
                      <m:sub>
                        <m:r>
                          <w:rPr>
                            <w:rFonts w:ascii="Cambria Math"/>
                          </w:rPr>
                          <m:t>j</m:t>
                        </m:r>
                      </m:sub>
                    </m:sSub>
                    <m:r>
                      <w:rPr>
                        <w:rFonts w:ascii="Cambria Math" w:hAnsi="Cambria Math"/>
                      </w:rPr>
                      <m:t>+</m:t>
                    </m:r>
                    <m:sSub>
                      <m:sSubPr>
                        <m:ctrlPr>
                          <w:rPr>
                            <w:rFonts w:ascii="Cambria Math" w:hAnsi="Cambria Math"/>
                            <w:i/>
                          </w:rPr>
                        </m:ctrlPr>
                      </m:sSubPr>
                      <m:e>
                        <m:r>
                          <m:rPr>
                            <m:sty m:val="bi"/>
                          </m:rPr>
                          <w:rPr>
                            <w:rFonts w:ascii="Cambria Math" w:hAnsi="Cambria Math"/>
                          </w:rPr>
                          <m:t>γ</m:t>
                        </m:r>
                      </m:e>
                      <m:sub>
                        <m:r>
                          <w:rPr>
                            <w:rFonts w:ascii="Cambria Math" w:hAnsi="Cambria Math"/>
                          </w:rPr>
                          <m:t>it,j</m:t>
                        </m:r>
                      </m:sub>
                    </m:sSub>
                    <m:r>
                      <w:rPr>
                        <w:rFonts w:ascii="Cambria Math" w:hAnsi="Cambria Math"/>
                      </w:rPr>
                      <m:t xml:space="preserve">) </m:t>
                    </m:r>
                    <m:r>
                      <m:rPr>
                        <m:sty m:val="bi"/>
                      </m:rPr>
                      <w:rPr>
                        <w:rFonts w:ascii="Cambria Math" w:hAnsi="Cambria Math"/>
                      </w:rPr>
                      <m:t>Z</m:t>
                    </m:r>
                  </m:e>
                  <m:sub>
                    <m:r>
                      <w:rPr>
                        <w:rFonts w:ascii="Cambria Math"/>
                      </w:rPr>
                      <m:t>it,j</m:t>
                    </m:r>
                  </m:sub>
                </m:sSub>
                <m:r>
                  <w:rPr>
                    <w:rFonts w:ascii="Cambria Math"/>
                  </w:rPr>
                  <m:t>-</m:t>
                </m:r>
                <m:d>
                  <m:dPr>
                    <m:ctrlPr>
                      <w:rPr>
                        <w:rFonts w:ascii="Cambria Math" w:hAnsi="Cambria Math"/>
                        <w:b/>
                        <w:i/>
                      </w:rPr>
                    </m:ctrlPr>
                  </m:dPr>
                  <m:e>
                    <m:r>
                      <m:rPr>
                        <m:sty m:val="bi"/>
                      </m:rPr>
                      <w:rPr>
                        <w:rFonts w:ascii="Cambria Math"/>
                      </w:rPr>
                      <m:t>β+</m:t>
                    </m:r>
                    <m:sSub>
                      <m:sSubPr>
                        <m:ctrlPr>
                          <w:rPr>
                            <w:rFonts w:ascii="Cambria Math" w:hAnsi="Cambria Math"/>
                            <w:i/>
                          </w:rPr>
                        </m:ctrlPr>
                      </m:sSubPr>
                      <m:e>
                        <m:r>
                          <m:rPr>
                            <m:sty m:val="bi"/>
                          </m:rPr>
                          <w:rPr>
                            <w:rFonts w:ascii="Cambria Math" w:hAnsi="Cambria Math"/>
                          </w:rPr>
                          <m:t>α</m:t>
                        </m:r>
                      </m:e>
                      <m:sub>
                        <m:r>
                          <w:rPr>
                            <w:rFonts w:ascii="Cambria Math" w:hAnsi="Cambria Math"/>
                          </w:rPr>
                          <m:t>i</m:t>
                        </m:r>
                      </m:sub>
                    </m:sSub>
                    <m:ctrlPr>
                      <w:rPr>
                        <w:rFonts w:ascii="Cambria Math" w:hAnsi="Cambria Math"/>
                        <w:i/>
                      </w:rPr>
                    </m:ctrlPr>
                  </m:e>
                </m:d>
                <m:sSub>
                  <m:sSubPr>
                    <m:ctrlPr>
                      <w:rPr>
                        <w:rFonts w:ascii="Cambria Math" w:hAnsi="Cambria Math"/>
                        <w:i/>
                      </w:rPr>
                    </m:ctrlPr>
                  </m:sSubPr>
                  <m:e>
                    <m:r>
                      <m:rPr>
                        <m:sty m:val="bi"/>
                      </m:rPr>
                      <w:rPr>
                        <w:rFonts w:ascii="Cambria Math" w:hAnsi="Cambria Math"/>
                      </w:rPr>
                      <m:t>X</m:t>
                    </m:r>
                  </m:e>
                  <m:sub>
                    <m:r>
                      <w:rPr>
                        <w:rFonts w:ascii="Cambria Math"/>
                      </w:rPr>
                      <m:t>it</m:t>
                    </m:r>
                  </m:sub>
                </m:sSub>
                <m:r>
                  <m:rPr>
                    <m:sty m:val="bi"/>
                  </m:rPr>
                  <w:rPr>
                    <w:rFonts w:ascii="Cambria Math" w:hAnsi="Cambria Math"/>
                  </w:rPr>
                  <m:t>]</m:t>
                </m:r>
                <m:r>
                  <w:rPr>
                    <w:rFonts w:ascii="Cambria Math"/>
                  </w:rPr>
                  <m:t>-</m:t>
                </m:r>
                <m:r>
                  <w:rPr>
                    <w:rFonts w:ascii="Cambria Math"/>
                  </w:rPr>
                  <m:t>Λ[(</m:t>
                </m:r>
                <m:sSub>
                  <m:sSubPr>
                    <m:ctrlPr>
                      <w:rPr>
                        <w:rFonts w:ascii="Cambria Math" w:hAnsi="Cambria Math"/>
                        <w:i/>
                      </w:rPr>
                    </m:ctrlPr>
                  </m:sSubPr>
                  <m:e>
                    <m:sSub>
                      <m:sSubPr>
                        <m:ctrlPr>
                          <w:rPr>
                            <w:rFonts w:ascii="Cambria Math" w:hAnsi="Cambria Math"/>
                            <w:i/>
                          </w:rPr>
                        </m:ctrlPr>
                      </m:sSubPr>
                      <m:e>
                        <m:r>
                          <m:rPr>
                            <m:sty m:val="bi"/>
                          </m:rPr>
                          <w:rPr>
                            <w:rFonts w:ascii="Cambria Math" w:hAnsi="Cambria Math"/>
                          </w:rPr>
                          <m:t>δ</m:t>
                        </m:r>
                      </m:e>
                      <m:sub>
                        <m:r>
                          <w:rPr>
                            <w:rFonts w:ascii="Cambria Math"/>
                          </w:rPr>
                          <m:t>j</m:t>
                        </m:r>
                        <m:r>
                          <w:rPr>
                            <w:rFonts w:ascii="Cambria Math"/>
                          </w:rPr>
                          <m:t>-</m:t>
                        </m:r>
                        <m:r>
                          <w:rPr>
                            <w:rFonts w:ascii="Cambria Math"/>
                          </w:rPr>
                          <m:t>1</m:t>
                        </m:r>
                      </m:sub>
                    </m:sSub>
                    <m:r>
                      <w:rPr>
                        <w:rFonts w:ascii="Cambria Math" w:hAnsi="Cambria Math"/>
                      </w:rPr>
                      <m:t>+</m:t>
                    </m:r>
                    <m:sSub>
                      <m:sSubPr>
                        <m:ctrlPr>
                          <w:rPr>
                            <w:rFonts w:ascii="Cambria Math" w:hAnsi="Cambria Math"/>
                            <w:i/>
                          </w:rPr>
                        </m:ctrlPr>
                      </m:sSubPr>
                      <m:e>
                        <m:r>
                          <m:rPr>
                            <m:sty m:val="bi"/>
                          </m:rPr>
                          <w:rPr>
                            <w:rFonts w:ascii="Cambria Math" w:hAnsi="Cambria Math"/>
                          </w:rPr>
                          <m:t>γ</m:t>
                        </m:r>
                      </m:e>
                      <m:sub>
                        <m:r>
                          <w:rPr>
                            <w:rFonts w:ascii="Cambria Math" w:hAnsi="Cambria Math"/>
                          </w:rPr>
                          <m:t>i,j-1</m:t>
                        </m:r>
                      </m:sub>
                    </m:sSub>
                    <m:r>
                      <w:rPr>
                        <w:rFonts w:ascii="Cambria Math" w:hAnsi="Cambria Math"/>
                      </w:rPr>
                      <m:t xml:space="preserve">) </m:t>
                    </m:r>
                    <m:r>
                      <m:rPr>
                        <m:sty m:val="bi"/>
                      </m:rPr>
                      <w:rPr>
                        <w:rFonts w:ascii="Cambria Math" w:hAnsi="Cambria Math"/>
                      </w:rPr>
                      <m:t>Z</m:t>
                    </m:r>
                  </m:e>
                  <m:sub>
                    <m:r>
                      <w:rPr>
                        <w:rFonts w:ascii="Cambria Math"/>
                      </w:rPr>
                      <m:t>i,j</m:t>
                    </m:r>
                  </m:sub>
                </m:sSub>
                <m:r>
                  <w:rPr>
                    <w:rFonts w:ascii="Cambria Math"/>
                  </w:rPr>
                  <m:t>-</m:t>
                </m:r>
                <m:d>
                  <m:dPr>
                    <m:ctrlPr>
                      <w:rPr>
                        <w:rFonts w:ascii="Cambria Math" w:hAnsi="Cambria Math"/>
                        <w:b/>
                        <w:i/>
                      </w:rPr>
                    </m:ctrlPr>
                  </m:dPr>
                  <m:e>
                    <m:r>
                      <m:rPr>
                        <m:sty m:val="bi"/>
                      </m:rPr>
                      <w:rPr>
                        <w:rFonts w:ascii="Cambria Math"/>
                      </w:rPr>
                      <m:t>β+</m:t>
                    </m:r>
                    <m:sSub>
                      <m:sSubPr>
                        <m:ctrlPr>
                          <w:rPr>
                            <w:rFonts w:ascii="Cambria Math" w:hAnsi="Cambria Math"/>
                            <w:i/>
                          </w:rPr>
                        </m:ctrlPr>
                      </m:sSubPr>
                      <m:e>
                        <m:r>
                          <m:rPr>
                            <m:sty m:val="bi"/>
                          </m:rPr>
                          <w:rPr>
                            <w:rFonts w:ascii="Cambria Math" w:hAnsi="Cambria Math"/>
                          </w:rPr>
                          <m:t>α</m:t>
                        </m:r>
                      </m:e>
                      <m:sub>
                        <m:r>
                          <w:rPr>
                            <w:rFonts w:ascii="Cambria Math" w:hAnsi="Cambria Math"/>
                          </w:rPr>
                          <m:t>i</m:t>
                        </m:r>
                      </m:sub>
                    </m:sSub>
                    <m:ctrlPr>
                      <w:rPr>
                        <w:rFonts w:ascii="Cambria Math" w:hAnsi="Cambria Math"/>
                        <w:i/>
                      </w:rPr>
                    </m:ctrlPr>
                  </m:e>
                </m:d>
                <m:sSub>
                  <m:sSubPr>
                    <m:ctrlPr>
                      <w:rPr>
                        <w:rFonts w:ascii="Cambria Math" w:hAnsi="Cambria Math"/>
                        <w:i/>
                      </w:rPr>
                    </m:ctrlPr>
                  </m:sSubPr>
                  <m:e>
                    <m:r>
                      <m:rPr>
                        <m:sty m:val="bi"/>
                      </m:rPr>
                      <w:rPr>
                        <w:rFonts w:ascii="Cambria Math" w:hAnsi="Cambria Math"/>
                      </w:rPr>
                      <m:t>X</m:t>
                    </m:r>
                  </m:e>
                  <m:sub>
                    <m:r>
                      <w:rPr>
                        <w:rFonts w:ascii="Cambria Math"/>
                      </w:rPr>
                      <m:t>it</m:t>
                    </m:r>
                  </m:sub>
                </m:sSub>
                <m:r>
                  <m:rPr>
                    <m:sty m:val="bi"/>
                  </m:rPr>
                  <w:rPr>
                    <w:rFonts w:ascii="Cambria Math" w:hAnsi="Cambria Math"/>
                  </w:rPr>
                  <m:t>]</m:t>
                </m:r>
              </m:oMath>
            </m:oMathPara>
          </w:p>
        </w:tc>
        <w:tc>
          <w:tcPr>
            <w:tcW w:w="750" w:type="pct"/>
            <w:vAlign w:val="center"/>
          </w:tcPr>
          <w:p w14:paraId="672BCFB6" w14:textId="77777777" w:rsidR="00106CF6" w:rsidRPr="00780D5F" w:rsidRDefault="00106CF6" w:rsidP="008A17D3">
            <w:pPr>
              <w:pStyle w:val="ListParagraph"/>
              <w:numPr>
                <w:ilvl w:val="0"/>
                <w:numId w:val="22"/>
              </w:numPr>
              <w:spacing w:before="200" w:after="200" w:line="276" w:lineRule="auto"/>
              <w:jc w:val="center"/>
            </w:pPr>
          </w:p>
        </w:tc>
      </w:tr>
    </w:tbl>
    <w:p w14:paraId="7614FA12" w14:textId="5C898F7F" w:rsidR="00106CF6" w:rsidRDefault="00106CF6" w:rsidP="008A17D3">
      <w:pPr>
        <w:spacing w:line="276" w:lineRule="auto"/>
        <w:jc w:val="both"/>
      </w:pPr>
      <w:r w:rsidRPr="00B14F89">
        <w:t xml:space="preserve">where </w:t>
      </w:r>
      <m:oMath>
        <m:r>
          <m:rPr>
            <m:sty m:val="p"/>
          </m:rPr>
          <w:rPr>
            <w:rFonts w:ascii="Cambria Math"/>
          </w:rPr>
          <m:t>Λ</m:t>
        </m:r>
        <m:r>
          <m:rPr>
            <m:sty m:val="p"/>
          </m:rPr>
          <w:rPr>
            <w:rFonts w:ascii="Cambria Math"/>
          </w:rPr>
          <m:t>(.)</m:t>
        </m:r>
      </m:oMath>
      <w:r w:rsidRPr="00B14F89">
        <w:t xml:space="preserve"> represents the standard logistic cumulative distribution function</w:t>
      </w:r>
      <w:r w:rsidR="00E17D5C">
        <w:t>.</w:t>
      </w:r>
    </w:p>
    <w:p w14:paraId="7C7E8856" w14:textId="77777777" w:rsidR="00106CF6" w:rsidRDefault="00106CF6" w:rsidP="008A17D3">
      <w:pPr>
        <w:spacing w:line="276" w:lineRule="auto"/>
        <w:jc w:val="both"/>
      </w:pPr>
      <w:r>
        <w:t xml:space="preserve">The likelihood function </w:t>
      </w:r>
      <w:r w:rsidRPr="00780D5F">
        <w:t xml:space="preserve">conditional on </w:t>
      </w:r>
      <m:oMath>
        <m:sSub>
          <m:sSubPr>
            <m:ctrlPr>
              <w:rPr>
                <w:rFonts w:ascii="Cambria Math" w:hAnsi="Cambria Math"/>
                <w:i/>
              </w:rPr>
            </m:ctrlPr>
          </m:sSubPr>
          <m:e>
            <m:r>
              <m:rPr>
                <m:sty m:val="bi"/>
              </m:rPr>
              <w:rPr>
                <w:rFonts w:ascii="Cambria Math" w:hAnsi="Cambria Math"/>
              </w:rPr>
              <m:t>α</m:t>
            </m:r>
          </m:e>
          <m:sub>
            <m:r>
              <w:rPr>
                <w:rFonts w:ascii="Cambria Math" w:hAnsi="Cambria Math"/>
              </w:rPr>
              <m:t>i</m:t>
            </m:r>
          </m:sub>
        </m:sSub>
      </m:oMath>
      <w:r w:rsidRPr="00780D5F">
        <w:t xml:space="preserve"> and </w:t>
      </w:r>
      <m:oMath>
        <m:sSub>
          <m:sSubPr>
            <m:ctrlPr>
              <w:rPr>
                <w:rFonts w:ascii="Cambria Math" w:hAnsi="Cambria Math"/>
                <w:i/>
              </w:rPr>
            </m:ctrlPr>
          </m:sSubPr>
          <m:e>
            <m:r>
              <m:rPr>
                <m:sty m:val="bi"/>
              </m:rPr>
              <w:rPr>
                <w:rFonts w:ascii="Cambria Math" w:hAnsi="Cambria Math"/>
              </w:rPr>
              <m:t>γ</m:t>
            </m:r>
          </m:e>
          <m:sub>
            <m:r>
              <w:rPr>
                <w:rFonts w:ascii="Cambria Math" w:hAnsi="Cambria Math"/>
              </w:rPr>
              <m:t>ij</m:t>
            </m:r>
          </m:sub>
        </m:sSub>
      </m:oMath>
      <w:r w:rsidRPr="00780D5F">
        <w:t>,</w:t>
      </w:r>
      <w:r>
        <w:t xml:space="preserve"> can be 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4"/>
        <w:gridCol w:w="1296"/>
      </w:tblGrid>
      <w:tr w:rsidR="00106CF6" w14:paraId="4DA12EB6" w14:textId="77777777" w:rsidTr="00D55CE6">
        <w:tc>
          <w:tcPr>
            <w:tcW w:w="4250" w:type="pct"/>
            <w:vAlign w:val="center"/>
          </w:tcPr>
          <w:p w14:paraId="1D415004" w14:textId="77777777" w:rsidR="00106CF6" w:rsidRPr="0090216D" w:rsidRDefault="00106CF6" w:rsidP="008A17D3">
            <w:pPr>
              <w:spacing w:before="200" w:line="276" w:lineRule="auto"/>
              <w:jc w:val="both"/>
            </w:pPr>
            <m:oMath>
              <m:r>
                <m:rPr>
                  <m:sty m:val="p"/>
                </m:rPr>
                <w:rPr>
                  <w:rFonts w:ascii="Cambria Math" w:hAnsi="Cambria Math"/>
                </w:rPr>
                <m:t>L|</m:t>
              </m:r>
              <m:sSub>
                <m:sSubPr>
                  <m:ctrlPr>
                    <w:rPr>
                      <w:rFonts w:ascii="Cambria Math" w:hAnsi="Cambria Math"/>
                      <w:i/>
                    </w:rPr>
                  </m:ctrlPr>
                </m:sSubPr>
                <m:e>
                  <m:r>
                    <m:rPr>
                      <m:sty m:val="bi"/>
                    </m:rPr>
                    <w:rPr>
                      <w:rFonts w:ascii="Cambria Math" w:hAnsi="Cambria Math"/>
                    </w:rPr>
                    <m:t>α</m:t>
                  </m:r>
                </m:e>
                <m:sub>
                  <m:r>
                    <w:rPr>
                      <w:rFonts w:ascii="Cambria Math" w:hAnsi="Cambria Math"/>
                    </w:rPr>
                    <m:t>i</m:t>
                  </m:r>
                </m:sub>
              </m:sSub>
              <m:r>
                <m:rPr>
                  <m:sty m:val="p"/>
                </m:rPr>
                <w:rPr>
                  <w:rFonts w:ascii="Cambria Math" w:hAnsi="Cambria Math"/>
                </w:rPr>
                <m:t>,</m:t>
              </m:r>
              <m:sSub>
                <m:sSubPr>
                  <m:ctrlPr>
                    <w:rPr>
                      <w:rFonts w:ascii="Cambria Math" w:hAnsi="Cambria Math"/>
                      <w:i/>
                    </w:rPr>
                  </m:ctrlPr>
                </m:sSubPr>
                <m:e>
                  <m:r>
                    <m:rPr>
                      <m:sty m:val="bi"/>
                    </m:rPr>
                    <w:rPr>
                      <w:rFonts w:ascii="Cambria Math" w:hAnsi="Cambria Math"/>
                    </w:rPr>
                    <m:t>γ</m:t>
                  </m:r>
                </m:e>
                <m:sub>
                  <m:r>
                    <w:rPr>
                      <w:rFonts w:ascii="Cambria Math" w:hAnsi="Cambria Math"/>
                    </w:rPr>
                    <m:t>ij</m:t>
                  </m:r>
                </m:sub>
              </m:sSub>
            </m:oMath>
            <w:r>
              <w:rPr>
                <w:rFonts w:eastAsiaTheme="minorEastAsia"/>
              </w:rPr>
              <w:t xml:space="preserve"> = </w:t>
            </w:r>
            <m:oMath>
              <m:nary>
                <m:naryPr>
                  <m:chr m:val="∏"/>
                  <m:limLoc m:val="subSup"/>
                  <m:ctrlPr>
                    <w:rPr>
                      <w:rFonts w:ascii="Cambria Math" w:eastAsiaTheme="minorEastAsia" w:hAnsi="Cambria Math"/>
                      <w:i/>
                    </w:rPr>
                  </m:ctrlPr>
                </m:naryPr>
                <m:sub>
                  <m:r>
                    <w:rPr>
                      <w:rFonts w:ascii="Cambria Math" w:eastAsiaTheme="minorEastAsia" w:hAnsi="Cambria Math"/>
                    </w:rPr>
                    <m:t>t=1</m:t>
                  </m:r>
                </m:sub>
                <m:sup>
                  <m:r>
                    <w:rPr>
                      <w:rFonts w:ascii="Cambria Math" w:eastAsiaTheme="minorEastAsia" w:hAnsi="Cambria Math"/>
                    </w:rPr>
                    <m:t>T</m:t>
                  </m:r>
                </m:sup>
                <m:e>
                  <m:nary>
                    <m:naryPr>
                      <m:chr m:val="∏"/>
                      <m:limLoc m:val="subSup"/>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J</m:t>
                      </m:r>
                    </m:sup>
                    <m:e>
                      <m:sSup>
                        <m:sSupPr>
                          <m:ctrlPr>
                            <w:rPr>
                              <w:rFonts w:ascii="Cambria Math" w:eastAsiaTheme="minorEastAsia" w:hAnsi="Cambria Math"/>
                              <w:i/>
                            </w:rPr>
                          </m:ctrlPr>
                        </m:sSupPr>
                        <m:e>
                          <m:r>
                            <w:rPr>
                              <w:rFonts w:ascii="Cambria Math" w:eastAsiaTheme="minorEastAsia" w:hAnsi="Cambria Math"/>
                            </w:rPr>
                            <m:t>(</m:t>
                          </m:r>
                          <m:sSub>
                            <m:sSubPr>
                              <m:ctrlPr>
                                <w:rPr>
                                  <w:rFonts w:ascii="Cambria Math" w:hAnsi="Cambria Math"/>
                                  <w:i/>
                                </w:rPr>
                              </m:ctrlPr>
                            </m:sSubPr>
                            <m:e>
                              <m:r>
                                <w:rPr>
                                  <w:rFonts w:ascii="Cambria Math"/>
                                </w:rPr>
                                <m:t>π</m:t>
                              </m:r>
                            </m:e>
                            <m:sub>
                              <m:r>
                                <w:rPr>
                                  <w:rFonts w:ascii="Cambria Math"/>
                                </w:rPr>
                                <m:t>itj</m:t>
                              </m:r>
                            </m:sub>
                          </m:sSub>
                          <m:r>
                            <w:rPr>
                              <w:rFonts w:ascii="Cambria Math" w:hAnsi="Cambria Math"/>
                            </w:rPr>
                            <m:t>)</m:t>
                          </m:r>
                        </m:e>
                        <m:sup>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itj</m:t>
                              </m:r>
                            </m:sub>
                          </m:sSub>
                        </m:sup>
                      </m:sSup>
                    </m:e>
                  </m:nary>
                </m:e>
              </m:nary>
            </m:oMath>
          </w:p>
        </w:tc>
        <w:tc>
          <w:tcPr>
            <w:tcW w:w="750" w:type="pct"/>
            <w:vAlign w:val="center"/>
          </w:tcPr>
          <w:p w14:paraId="6DA77E32" w14:textId="77777777" w:rsidR="00106CF6" w:rsidRPr="00780D5F" w:rsidRDefault="00106CF6" w:rsidP="008A17D3">
            <w:pPr>
              <w:pStyle w:val="ListParagraph"/>
              <w:numPr>
                <w:ilvl w:val="0"/>
                <w:numId w:val="22"/>
              </w:numPr>
              <w:spacing w:before="200" w:after="200" w:line="276" w:lineRule="auto"/>
              <w:jc w:val="center"/>
            </w:pPr>
          </w:p>
        </w:tc>
      </w:tr>
    </w:tbl>
    <w:p w14:paraId="3396D605" w14:textId="77777777" w:rsidR="00106CF6" w:rsidRDefault="00106CF6" w:rsidP="008A17D3">
      <w:pPr>
        <w:spacing w:line="276" w:lineRule="auto"/>
        <w:jc w:val="both"/>
        <w:rPr>
          <w:rFonts w:eastAsiaTheme="minorEastAsia"/>
        </w:rPr>
      </w:pPr>
      <w:r>
        <w:t xml:space="preserve">where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itj</m:t>
            </m:r>
          </m:sub>
        </m:sSub>
      </m:oMath>
      <w:r>
        <w:rPr>
          <w:rFonts w:eastAsiaTheme="minorEastAsia"/>
        </w:rPr>
        <w:t xml:space="preserve"> takes the value of 1 if </w:t>
      </w:r>
      <w:r w:rsidRPr="001E68D1">
        <w:rPr>
          <w:rFonts w:eastAsiaTheme="minorEastAsia"/>
          <w:i/>
        </w:rPr>
        <w:t>j</w:t>
      </w:r>
      <w:r>
        <w:rPr>
          <w:rFonts w:eastAsiaTheme="minorEastAsia"/>
        </w:rPr>
        <w:t xml:space="preserve"> is the observed availability at station </w:t>
      </w:r>
      <w:r w:rsidRPr="0090216D">
        <w:rPr>
          <w:rFonts w:eastAsiaTheme="minorEastAsia"/>
          <w:i/>
        </w:rPr>
        <w:t>i</w:t>
      </w:r>
      <w:r>
        <w:rPr>
          <w:rFonts w:eastAsiaTheme="minorEastAsia"/>
        </w:rPr>
        <w:t xml:space="preserve"> for hour </w:t>
      </w:r>
      <w:r w:rsidRPr="0090216D">
        <w:rPr>
          <w:rFonts w:eastAsiaTheme="minorEastAsia"/>
          <w:i/>
        </w:rPr>
        <w:t>t</w:t>
      </w:r>
    </w:p>
    <w:p w14:paraId="79447034" w14:textId="330B459B" w:rsidR="00106CF6" w:rsidRPr="00196ACE" w:rsidRDefault="00106CF6" w:rsidP="008A17D3">
      <w:pPr>
        <w:spacing w:line="276" w:lineRule="auto"/>
        <w:jc w:val="both"/>
      </w:pPr>
      <w:r>
        <w:rPr>
          <w:rFonts w:eastAsiaTheme="minorEastAsia"/>
        </w:rPr>
        <w:t xml:space="preserve"> </w:t>
      </w:r>
      <w:r w:rsidRPr="00196ACE">
        <w:t xml:space="preserve">The unconditional </w:t>
      </w:r>
      <w:r>
        <w:t>likelihood</w:t>
      </w:r>
      <w:r w:rsidRPr="00196ACE">
        <w:t xml:space="preserve"> can subsequently be obtained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4"/>
        <w:gridCol w:w="1296"/>
      </w:tblGrid>
      <w:tr w:rsidR="00106CF6" w14:paraId="72BDF484" w14:textId="77777777" w:rsidTr="00D55CE6">
        <w:tc>
          <w:tcPr>
            <w:tcW w:w="4250" w:type="pct"/>
            <w:vAlign w:val="center"/>
          </w:tcPr>
          <w:p w14:paraId="51916ECE" w14:textId="2452DEDE" w:rsidR="00106CF6" w:rsidRPr="00E06C14" w:rsidRDefault="00D23C38" w:rsidP="008A17D3">
            <w:pPr>
              <w:spacing w:before="200" w:line="276" w:lineRule="auto"/>
              <w:jc w:val="both"/>
              <w:rPr>
                <w:spacing w:val="-2"/>
              </w:rPr>
            </w:pPr>
            <m:oMathPara>
              <m:oMathParaPr>
                <m:jc m:val="left"/>
              </m:oMathParaPr>
              <m:oMath>
                <m:sSub>
                  <m:sSubPr>
                    <m:ctrlPr>
                      <w:rPr>
                        <w:rFonts w:ascii="Cambria Math" w:hAnsi="Cambria Math"/>
                        <w:i/>
                        <w:spacing w:val="-2"/>
                      </w:rPr>
                    </m:ctrlPr>
                  </m:sSubPr>
                  <m:e>
                    <m:r>
                      <w:rPr>
                        <w:rFonts w:ascii="Cambria Math" w:hAnsi="Cambria Math"/>
                        <w:spacing w:val="-2"/>
                      </w:rPr>
                      <m:t>L</m:t>
                    </m:r>
                  </m:e>
                  <m:sub>
                    <m:r>
                      <w:rPr>
                        <w:rFonts w:ascii="Cambria Math" w:hAnsi="Cambria Math"/>
                        <w:spacing w:val="-2"/>
                      </w:rPr>
                      <m:t>n</m:t>
                    </m:r>
                  </m:sub>
                </m:sSub>
                <m:r>
                  <w:rPr>
                    <w:rFonts w:ascii="Cambria Math"/>
                    <w:spacing w:val="-2"/>
                  </w:rPr>
                  <m:t>=</m:t>
                </m:r>
                <m:nary>
                  <m:naryPr>
                    <m:limLoc m:val="subSup"/>
                    <m:ctrlPr>
                      <w:rPr>
                        <w:rFonts w:ascii="Cambria Math" w:hAnsi="Cambria Math"/>
                        <w:i/>
                        <w:spacing w:val="-2"/>
                      </w:rPr>
                    </m:ctrlPr>
                  </m:naryPr>
                  <m:sub>
                    <m:sSub>
                      <m:sSubPr>
                        <m:ctrlPr>
                          <w:rPr>
                            <w:rFonts w:ascii="Cambria Math" w:hAnsi="Cambria Math"/>
                            <w:i/>
                          </w:rPr>
                        </m:ctrlPr>
                      </m:sSubPr>
                      <m:e>
                        <m:r>
                          <m:rPr>
                            <m:sty m:val="bi"/>
                          </m:rPr>
                          <w:rPr>
                            <w:rFonts w:ascii="Cambria Math" w:hAnsi="Cambria Math"/>
                          </w:rPr>
                          <m:t>α</m:t>
                        </m:r>
                      </m:e>
                      <m:sub>
                        <m:r>
                          <w:rPr>
                            <w:rFonts w:ascii="Cambria Math" w:hAnsi="Cambria Math"/>
                          </w:rPr>
                          <m:t>i</m:t>
                        </m:r>
                      </m:sub>
                    </m:sSub>
                    <m:r>
                      <m:rPr>
                        <m:sty m:val="p"/>
                      </m:rPr>
                      <w:rPr>
                        <w:rFonts w:ascii="Cambria Math" w:hAnsi="Cambria Math"/>
                      </w:rPr>
                      <m:t>,</m:t>
                    </m:r>
                    <m:sSub>
                      <m:sSubPr>
                        <m:ctrlPr>
                          <w:rPr>
                            <w:rFonts w:ascii="Cambria Math" w:hAnsi="Cambria Math"/>
                            <w:i/>
                          </w:rPr>
                        </m:ctrlPr>
                      </m:sSubPr>
                      <m:e>
                        <m:r>
                          <m:rPr>
                            <m:sty m:val="bi"/>
                          </m:rPr>
                          <w:rPr>
                            <w:rFonts w:ascii="Cambria Math" w:hAnsi="Cambria Math"/>
                          </w:rPr>
                          <m:t>γ</m:t>
                        </m:r>
                      </m:e>
                      <m:sub>
                        <m:r>
                          <w:rPr>
                            <w:rFonts w:ascii="Cambria Math" w:hAnsi="Cambria Math"/>
                          </w:rPr>
                          <m:t>ij</m:t>
                        </m:r>
                      </m:sub>
                    </m:sSub>
                  </m:sub>
                  <m:sup/>
                  <m:e>
                    <m:r>
                      <w:rPr>
                        <w:rFonts w:ascii="Cambria Math"/>
                        <w:spacing w:val="-2"/>
                      </w:rPr>
                      <m:t>(</m:t>
                    </m:r>
                    <m:r>
                      <m:rPr>
                        <m:sty m:val="p"/>
                      </m:rPr>
                      <w:rPr>
                        <w:rFonts w:ascii="Cambria Math" w:hAnsi="Cambria Math"/>
                      </w:rPr>
                      <m:t>L|</m:t>
                    </m:r>
                    <m:sSub>
                      <m:sSubPr>
                        <m:ctrlPr>
                          <w:rPr>
                            <w:rFonts w:ascii="Cambria Math" w:hAnsi="Cambria Math"/>
                            <w:i/>
                          </w:rPr>
                        </m:ctrlPr>
                      </m:sSubPr>
                      <m:e>
                        <m:r>
                          <m:rPr>
                            <m:sty m:val="bi"/>
                          </m:rPr>
                          <w:rPr>
                            <w:rFonts w:ascii="Cambria Math" w:hAnsi="Cambria Math"/>
                          </w:rPr>
                          <m:t>α</m:t>
                        </m:r>
                      </m:e>
                      <m:sub>
                        <m:r>
                          <w:rPr>
                            <w:rFonts w:ascii="Cambria Math" w:hAnsi="Cambria Math"/>
                          </w:rPr>
                          <m:t>i</m:t>
                        </m:r>
                      </m:sub>
                    </m:sSub>
                    <m:r>
                      <m:rPr>
                        <m:sty m:val="p"/>
                      </m:rPr>
                      <w:rPr>
                        <w:rFonts w:ascii="Cambria Math" w:hAnsi="Cambria Math"/>
                      </w:rPr>
                      <m:t>,</m:t>
                    </m:r>
                    <m:sSub>
                      <m:sSubPr>
                        <m:ctrlPr>
                          <w:rPr>
                            <w:rFonts w:ascii="Cambria Math" w:hAnsi="Cambria Math"/>
                            <w:i/>
                          </w:rPr>
                        </m:ctrlPr>
                      </m:sSubPr>
                      <m:e>
                        <m:r>
                          <m:rPr>
                            <m:sty m:val="bi"/>
                          </m:rPr>
                          <w:rPr>
                            <w:rFonts w:ascii="Cambria Math" w:hAnsi="Cambria Math"/>
                          </w:rPr>
                          <m:t>γ</m:t>
                        </m:r>
                      </m:e>
                      <m:sub>
                        <m:r>
                          <w:rPr>
                            <w:rFonts w:ascii="Cambria Math" w:hAnsi="Cambria Math"/>
                          </w:rPr>
                          <m:t>ij</m:t>
                        </m:r>
                      </m:sub>
                    </m:sSub>
                    <m:r>
                      <m:rPr>
                        <m:sty m:val="bi"/>
                      </m:rPr>
                      <w:rPr>
                        <w:rFonts w:ascii="Cambria Math" w:hAnsi="Cambria Math"/>
                        <w:spacing w:val="-2"/>
                      </w:rPr>
                      <m:t>)*dF</m:t>
                    </m:r>
                    <m:d>
                      <m:dPr>
                        <m:ctrlPr>
                          <w:rPr>
                            <w:rFonts w:ascii="Cambria Math" w:hAnsi="Cambria Math"/>
                            <w:b/>
                            <w:i/>
                            <w:spacing w:val="-2"/>
                          </w:rPr>
                        </m:ctrlPr>
                      </m:dPr>
                      <m:e>
                        <m:sSub>
                          <m:sSubPr>
                            <m:ctrlPr>
                              <w:rPr>
                                <w:rFonts w:ascii="Cambria Math" w:hAnsi="Cambria Math"/>
                                <w:i/>
                              </w:rPr>
                            </m:ctrlPr>
                          </m:sSubPr>
                          <m:e>
                            <m:r>
                              <m:rPr>
                                <m:sty m:val="bi"/>
                              </m:rPr>
                              <w:rPr>
                                <w:rFonts w:ascii="Cambria Math" w:hAnsi="Cambria Math"/>
                              </w:rPr>
                              <m:t>α</m:t>
                            </m:r>
                          </m:e>
                          <m:sub>
                            <m:r>
                              <w:rPr>
                                <w:rFonts w:ascii="Cambria Math" w:hAnsi="Cambria Math"/>
                              </w:rPr>
                              <m:t>i</m:t>
                            </m:r>
                          </m:sub>
                        </m:sSub>
                        <m:r>
                          <m:rPr>
                            <m:sty m:val="p"/>
                          </m:rPr>
                          <w:rPr>
                            <w:rFonts w:ascii="Cambria Math" w:hAnsi="Cambria Math"/>
                          </w:rPr>
                          <m:t>,</m:t>
                        </m:r>
                        <m:sSub>
                          <m:sSubPr>
                            <m:ctrlPr>
                              <w:rPr>
                                <w:rFonts w:ascii="Cambria Math" w:hAnsi="Cambria Math"/>
                                <w:i/>
                              </w:rPr>
                            </m:ctrlPr>
                          </m:sSubPr>
                          <m:e>
                            <m:r>
                              <m:rPr>
                                <m:sty m:val="bi"/>
                              </m:rPr>
                              <w:rPr>
                                <w:rFonts w:ascii="Cambria Math" w:hAnsi="Cambria Math"/>
                              </w:rPr>
                              <m:t>γ</m:t>
                            </m:r>
                          </m:e>
                          <m:sub>
                            <m:r>
                              <w:rPr>
                                <w:rFonts w:ascii="Cambria Math" w:hAnsi="Cambria Math"/>
                              </w:rPr>
                              <m:t>ij</m:t>
                            </m:r>
                          </m:sub>
                        </m:sSub>
                      </m:e>
                    </m:d>
                    <m:r>
                      <m:rPr>
                        <m:sty m:val="bi"/>
                      </m:rPr>
                      <w:rPr>
                        <w:rFonts w:ascii="Cambria Math" w:hAnsi="Cambria Math"/>
                        <w:spacing w:val="-2"/>
                      </w:rPr>
                      <m:t>d(</m:t>
                    </m:r>
                    <m:sSub>
                      <m:sSubPr>
                        <m:ctrlPr>
                          <w:rPr>
                            <w:rFonts w:ascii="Cambria Math" w:hAnsi="Cambria Math"/>
                            <w:i/>
                          </w:rPr>
                        </m:ctrlPr>
                      </m:sSubPr>
                      <m:e>
                        <m:r>
                          <m:rPr>
                            <m:sty m:val="bi"/>
                          </m:rPr>
                          <w:rPr>
                            <w:rFonts w:ascii="Cambria Math" w:hAnsi="Cambria Math"/>
                          </w:rPr>
                          <m:t>α</m:t>
                        </m:r>
                      </m:e>
                      <m:sub>
                        <m:r>
                          <w:rPr>
                            <w:rFonts w:ascii="Cambria Math" w:hAnsi="Cambria Math"/>
                          </w:rPr>
                          <m:t>i</m:t>
                        </m:r>
                      </m:sub>
                    </m:sSub>
                    <m:r>
                      <m:rPr>
                        <m:sty m:val="p"/>
                      </m:rPr>
                      <w:rPr>
                        <w:rFonts w:ascii="Cambria Math" w:hAnsi="Cambria Math"/>
                      </w:rPr>
                      <m:t>,</m:t>
                    </m:r>
                    <m:sSub>
                      <m:sSubPr>
                        <m:ctrlPr>
                          <w:rPr>
                            <w:rFonts w:ascii="Cambria Math" w:hAnsi="Cambria Math"/>
                            <w:i/>
                          </w:rPr>
                        </m:ctrlPr>
                      </m:sSubPr>
                      <m:e>
                        <m:r>
                          <m:rPr>
                            <m:sty m:val="bi"/>
                          </m:rPr>
                          <w:rPr>
                            <w:rFonts w:ascii="Cambria Math" w:hAnsi="Cambria Math"/>
                          </w:rPr>
                          <m:t>γ</m:t>
                        </m:r>
                      </m:e>
                      <m:sub>
                        <m:r>
                          <w:rPr>
                            <w:rFonts w:ascii="Cambria Math" w:hAnsi="Cambria Math"/>
                          </w:rPr>
                          <m:t>ij</m:t>
                        </m:r>
                      </m:sub>
                    </m:sSub>
                    <m:r>
                      <m:rPr>
                        <m:sty m:val="bi"/>
                      </m:rPr>
                      <w:rPr>
                        <w:rFonts w:ascii="Cambria Math" w:hAnsi="Cambria Math"/>
                        <w:spacing w:val="-2"/>
                      </w:rPr>
                      <m:t>)</m:t>
                    </m:r>
                  </m:e>
                </m:nary>
              </m:oMath>
            </m:oMathPara>
          </w:p>
        </w:tc>
        <w:tc>
          <w:tcPr>
            <w:tcW w:w="750" w:type="pct"/>
            <w:vAlign w:val="center"/>
          </w:tcPr>
          <w:p w14:paraId="5354AEAD" w14:textId="77777777" w:rsidR="00106CF6" w:rsidRPr="00780D5F" w:rsidRDefault="00106CF6" w:rsidP="008A17D3">
            <w:pPr>
              <w:pStyle w:val="ListParagraph"/>
              <w:numPr>
                <w:ilvl w:val="0"/>
                <w:numId w:val="22"/>
              </w:numPr>
              <w:spacing w:before="200" w:after="200" w:line="276" w:lineRule="auto"/>
              <w:jc w:val="center"/>
            </w:pPr>
          </w:p>
        </w:tc>
      </w:tr>
    </w:tbl>
    <w:p w14:paraId="1EE164E2" w14:textId="527A24FF" w:rsidR="00106CF6" w:rsidRDefault="00106CF6" w:rsidP="008A17D3">
      <w:pPr>
        <w:spacing w:line="276" w:lineRule="auto"/>
        <w:jc w:val="both"/>
      </w:pPr>
      <w:r>
        <w:t>The log-likelihood function is computed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4"/>
        <w:gridCol w:w="1296"/>
      </w:tblGrid>
      <w:tr w:rsidR="00106CF6" w14:paraId="45DAB180" w14:textId="77777777" w:rsidTr="00D55CE6">
        <w:tc>
          <w:tcPr>
            <w:tcW w:w="4250" w:type="pct"/>
            <w:vAlign w:val="center"/>
          </w:tcPr>
          <w:p w14:paraId="2A78613C" w14:textId="32EA34BC" w:rsidR="00106CF6" w:rsidRPr="00D675C5" w:rsidRDefault="00106CF6" w:rsidP="008A17D3">
            <w:pPr>
              <w:spacing w:line="276" w:lineRule="auto"/>
              <w:ind w:firstLine="720"/>
              <w:jc w:val="both"/>
              <w:rPr>
                <w:i/>
              </w:rPr>
            </w:pPr>
            <m:oMathPara>
              <m:oMathParaPr>
                <m:jc m:val="left"/>
              </m:oMathParaPr>
              <m:oMath>
                <m:r>
                  <m:rPr>
                    <m:scr m:val="script"/>
                  </m:rPr>
                  <w:rPr>
                    <w:rFonts w:ascii="Cambria Math" w:hAnsi="Cambria Math"/>
                  </w:rPr>
                  <m:t>L=</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spacing w:val="-2"/>
                          </w:rPr>
                        </m:ctrlPr>
                      </m:sSubPr>
                      <m:e>
                        <m:r>
                          <w:rPr>
                            <w:rFonts w:ascii="Cambria Math" w:hAnsi="Cambria Math"/>
                            <w:spacing w:val="-2"/>
                          </w:rPr>
                          <m:t>L</m:t>
                        </m:r>
                      </m:e>
                      <m:sub>
                        <m:r>
                          <w:rPr>
                            <w:rFonts w:ascii="Cambria Math" w:hAnsi="Cambria Math"/>
                            <w:spacing w:val="-2"/>
                          </w:rPr>
                          <m:t>n</m:t>
                        </m:r>
                      </m:sub>
                    </m:sSub>
                  </m:e>
                </m:nary>
              </m:oMath>
            </m:oMathPara>
          </w:p>
        </w:tc>
        <w:tc>
          <w:tcPr>
            <w:tcW w:w="750" w:type="pct"/>
            <w:vAlign w:val="center"/>
          </w:tcPr>
          <w:p w14:paraId="67370C2B" w14:textId="77777777" w:rsidR="00106CF6" w:rsidRPr="00780D5F" w:rsidRDefault="00106CF6" w:rsidP="008A17D3">
            <w:pPr>
              <w:pStyle w:val="ListParagraph"/>
              <w:numPr>
                <w:ilvl w:val="0"/>
                <w:numId w:val="22"/>
              </w:numPr>
              <w:spacing w:before="200" w:after="200" w:line="276" w:lineRule="auto"/>
              <w:jc w:val="center"/>
            </w:pPr>
          </w:p>
        </w:tc>
      </w:tr>
    </w:tbl>
    <w:p w14:paraId="66578DD0" w14:textId="02642ACF" w:rsidR="0092371F" w:rsidRDefault="00106CF6" w:rsidP="008A17D3">
      <w:pPr>
        <w:spacing w:line="276" w:lineRule="auto"/>
        <w:ind w:firstLine="720"/>
        <w:jc w:val="both"/>
      </w:pPr>
      <w:r w:rsidRPr="008967A0">
        <w:t xml:space="preserve">In this study, we use a quasi-Monte Carlo (QMC) method proposed by </w:t>
      </w:r>
      <w:r>
        <w:t>Bhat (</w:t>
      </w:r>
      <w:r w:rsidR="005E0B01">
        <w:t>2001</w:t>
      </w:r>
      <w:r>
        <w:t>) to draw realization from population multivariate distribution. Within the broad framework of QMC sequences, we specifically use the Halton sequence (250 Halton draws) in the current analysis.</w:t>
      </w:r>
      <w:r w:rsidRPr="008967A0">
        <w:t xml:space="preserve"> </w:t>
      </w:r>
      <w:r w:rsidR="00386FC6" w:rsidRPr="00386FC6">
        <w:t xml:space="preserve">The code was programmed in Gauss matrix programming </w:t>
      </w:r>
      <w:r w:rsidR="00802BEB">
        <w:t>software</w:t>
      </w:r>
      <w:r w:rsidR="00386FC6" w:rsidRPr="00386FC6">
        <w:t>.</w:t>
      </w:r>
    </w:p>
    <w:p w14:paraId="0DB2E2B2" w14:textId="77777777" w:rsidR="00311887" w:rsidRDefault="00311887" w:rsidP="008A17D3">
      <w:pPr>
        <w:spacing w:line="276" w:lineRule="auto"/>
        <w:ind w:firstLine="720"/>
        <w:jc w:val="both"/>
      </w:pPr>
    </w:p>
    <w:p w14:paraId="3614D69C" w14:textId="35C0C3E4" w:rsidR="007A2429" w:rsidRPr="004904E5" w:rsidRDefault="008215E4" w:rsidP="00A43BE5">
      <w:pPr>
        <w:pStyle w:val="Heading1"/>
        <w:spacing w:line="276" w:lineRule="auto"/>
        <w:ind w:left="357" w:hanging="357"/>
      </w:pPr>
      <w:r w:rsidRPr="004904E5">
        <w:t xml:space="preserve">ESTIMATION </w:t>
      </w:r>
      <w:r w:rsidR="00CB1086" w:rsidRPr="004904E5">
        <w:t>RESULTS</w:t>
      </w:r>
    </w:p>
    <w:p w14:paraId="241CABB0" w14:textId="3949074E" w:rsidR="00E24931" w:rsidRDefault="00E24931" w:rsidP="00A43BE5">
      <w:pPr>
        <w:spacing w:line="276" w:lineRule="auto"/>
        <w:jc w:val="both"/>
      </w:pPr>
      <w:r>
        <w:t>The empirical analysis involves the estimation of three models: (</w:t>
      </w:r>
      <w:r w:rsidRPr="003752D8">
        <w:t xml:space="preserve">1) </w:t>
      </w:r>
      <w:r>
        <w:t xml:space="preserve">the </w:t>
      </w:r>
      <w:r w:rsidRPr="003752D8">
        <w:t>ordered logit (OL</w:t>
      </w:r>
      <w:r w:rsidRPr="00DF453B">
        <w:t>)</w:t>
      </w:r>
      <w:r>
        <w:t xml:space="preserve"> model</w:t>
      </w:r>
      <w:r w:rsidRPr="00DF453B">
        <w:t xml:space="preserve">, </w:t>
      </w:r>
      <w:r>
        <w:t>(</w:t>
      </w:r>
      <w:r w:rsidRPr="00DF453B">
        <w:t xml:space="preserve">2) </w:t>
      </w:r>
      <w:r>
        <w:t xml:space="preserve">the </w:t>
      </w:r>
      <w:r w:rsidRPr="00DF453B">
        <w:t>generalized ordered logit (GOL)</w:t>
      </w:r>
      <w:r>
        <w:t xml:space="preserve"> model</w:t>
      </w:r>
      <w:r w:rsidRPr="00DF453B">
        <w:t>,</w:t>
      </w:r>
      <w:r w:rsidRPr="003752D8">
        <w:t xml:space="preserve"> </w:t>
      </w:r>
      <w:r>
        <w:t xml:space="preserve">and (3) panel mixed generalized ordered logit model (PMGOL). </w:t>
      </w:r>
      <w:r w:rsidRPr="003752D8">
        <w:t>Prior to discussing the estimation results, we compare the performance of these</w:t>
      </w:r>
      <w:r>
        <w:t xml:space="preserve"> </w:t>
      </w:r>
      <w:r w:rsidRPr="003752D8">
        <w:t>models in this section</w:t>
      </w:r>
      <w:r w:rsidR="006C53A1">
        <w:t xml:space="preserve"> </w:t>
      </w:r>
      <w:r w:rsidR="00984FF2">
        <w:t xml:space="preserve">based on </w:t>
      </w:r>
      <w:r>
        <w:t>the Bayesian Information Criterion</w:t>
      </w:r>
      <w:r w:rsidR="006C53A1">
        <w:t xml:space="preserve"> (BIC)</w:t>
      </w:r>
      <w:r>
        <w:t xml:space="preserve"> metric. </w:t>
      </w:r>
      <w:r w:rsidR="006C53A1" w:rsidRPr="00E24931">
        <w:t>The BIC for a given empirical model is equal to BIC= - 2</w:t>
      </w:r>
      <w:r w:rsidR="006C53A1" w:rsidRPr="00E24931">
        <w:rPr>
          <w:i/>
        </w:rPr>
        <w:t>LL</w:t>
      </w:r>
      <w:r w:rsidR="006C53A1" w:rsidRPr="00E24931">
        <w:t xml:space="preserve"> + </w:t>
      </w:r>
      <w:r w:rsidR="006C53A1" w:rsidRPr="00E24931">
        <w:rPr>
          <w:i/>
        </w:rPr>
        <w:t xml:space="preserve">K </w:t>
      </w:r>
      <w:r w:rsidR="006C53A1" w:rsidRPr="00E24931">
        <w:t>ln(</w:t>
      </w:r>
      <w:r w:rsidR="006C53A1" w:rsidRPr="00E24931">
        <w:rPr>
          <w:i/>
        </w:rPr>
        <w:t>Q</w:t>
      </w:r>
      <w:r w:rsidR="006C53A1" w:rsidRPr="00E24931">
        <w:t>)</w:t>
      </w:r>
      <w:r w:rsidR="006C53A1">
        <w:t xml:space="preserve"> </w:t>
      </w:r>
      <w:r w:rsidR="006C53A1" w:rsidRPr="00E87457">
        <w:t>where</w:t>
      </w:r>
      <w:r w:rsidR="006C53A1">
        <w:rPr>
          <w:rFonts w:eastAsia="Calibri"/>
          <w:color w:val="000000"/>
          <w:lang w:val="en-US"/>
        </w:rPr>
        <w:t xml:space="preserve"> </w:t>
      </w:r>
      <m:oMath>
        <m:r>
          <w:rPr>
            <w:rFonts w:ascii="Cambria Math" w:eastAsia="Calibri" w:hAnsi="Cambria Math"/>
            <w:color w:val="000000"/>
          </w:rPr>
          <m:t>LL</m:t>
        </m:r>
      </m:oMath>
      <w:r w:rsidR="006C53A1" w:rsidRPr="003752D8">
        <w:rPr>
          <w:rFonts w:eastAsia="Calibri"/>
          <w:color w:val="000000"/>
          <w:lang w:val="en-US"/>
        </w:rPr>
        <w:t xml:space="preserve"> is the log</w:t>
      </w:r>
      <w:r w:rsidR="006C53A1" w:rsidRPr="003752D8">
        <w:rPr>
          <w:rFonts w:eastAsia="Calibri"/>
          <w:color w:val="000000"/>
          <w:lang w:val="en-US"/>
        </w:rPr>
        <w:noBreakHyphen/>
        <w:t xml:space="preserve">likelihood value at convergence, </w:t>
      </w:r>
      <m:oMath>
        <m:r>
          <w:rPr>
            <w:rFonts w:ascii="Cambria Math" w:eastAsia="Calibri" w:hAnsi="Cambria Math"/>
            <w:color w:val="000000"/>
          </w:rPr>
          <m:t>K</m:t>
        </m:r>
      </m:oMath>
      <w:r w:rsidR="006C53A1" w:rsidRPr="003752D8">
        <w:rPr>
          <w:rFonts w:eastAsia="Calibri"/>
          <w:color w:val="000000"/>
          <w:lang w:val="en-US"/>
        </w:rPr>
        <w:t xml:space="preserve"> is the number of parameters, and </w:t>
      </w:r>
      <m:oMath>
        <m:r>
          <w:rPr>
            <w:rFonts w:ascii="Cambria Math" w:eastAsia="Calibri" w:hAnsi="Cambria Math"/>
            <w:color w:val="000000"/>
          </w:rPr>
          <m:t>Q</m:t>
        </m:r>
      </m:oMath>
      <w:r w:rsidR="006C53A1" w:rsidRPr="003752D8">
        <w:rPr>
          <w:rFonts w:eastAsia="Calibri"/>
          <w:color w:val="000000"/>
          <w:lang w:val="en-US"/>
        </w:rPr>
        <w:t xml:space="preserve"> is the number of observations.</w:t>
      </w:r>
      <w:r w:rsidR="006C53A1">
        <w:rPr>
          <w:rFonts w:eastAsia="Calibri"/>
          <w:color w:val="000000"/>
          <w:lang w:val="en-US"/>
        </w:rPr>
        <w:t xml:space="preserve"> The model with the lowest BIC value is the superior model. It is shown in the literature that a reduction of 10 units in BIC is a conclusive improvement in a model for any sample size and number of parameters (</w:t>
      </w:r>
      <w:r w:rsidR="006C53A1">
        <w:t>Kass and Raftery, 1995)</w:t>
      </w:r>
      <w:r w:rsidR="006C53A1">
        <w:rPr>
          <w:rFonts w:eastAsia="Calibri"/>
          <w:color w:val="000000"/>
          <w:lang w:val="en-US"/>
        </w:rPr>
        <w:t xml:space="preserve">. </w:t>
      </w:r>
      <w:r>
        <w:t xml:space="preserve">The corresponding values of BIC for the three model frameworks are: </w:t>
      </w:r>
      <w:r w:rsidRPr="00B90699">
        <w:t xml:space="preserve">(1) </w:t>
      </w:r>
      <w:r w:rsidRPr="003955DF">
        <w:t>OL</w:t>
      </w:r>
      <w:r w:rsidR="008C1D45" w:rsidRPr="003955DF">
        <w:t xml:space="preserve">: </w:t>
      </w:r>
      <w:r w:rsidR="000D3133" w:rsidRPr="003955DF">
        <w:t>21</w:t>
      </w:r>
      <w:r w:rsidR="000D3133">
        <w:t>1</w:t>
      </w:r>
      <w:r w:rsidR="003955DF" w:rsidRPr="003955DF">
        <w:t>,</w:t>
      </w:r>
      <w:r w:rsidR="000D3133">
        <w:t>4</w:t>
      </w:r>
      <w:r w:rsidR="00087343">
        <w:t>03</w:t>
      </w:r>
      <w:r w:rsidR="00B90699" w:rsidRPr="003955DF">
        <w:t>;</w:t>
      </w:r>
      <w:r w:rsidRPr="003955DF">
        <w:t xml:space="preserve"> (2)</w:t>
      </w:r>
      <w:r w:rsidRPr="00B90699">
        <w:t xml:space="preserve"> GOL</w:t>
      </w:r>
      <w:r w:rsidR="008C1D45">
        <w:t xml:space="preserve">: </w:t>
      </w:r>
      <w:r w:rsidR="00EE7295" w:rsidRPr="00EE7295">
        <w:t>21</w:t>
      </w:r>
      <w:r w:rsidR="000D3133">
        <w:t>1</w:t>
      </w:r>
      <w:r w:rsidR="008C1D45" w:rsidRPr="00EE7295">
        <w:t>,</w:t>
      </w:r>
      <w:r w:rsidR="000D3133">
        <w:t>0</w:t>
      </w:r>
      <w:r w:rsidR="00F431D3">
        <w:t>3</w:t>
      </w:r>
      <w:r w:rsidR="000D3133">
        <w:t>9</w:t>
      </w:r>
      <w:r w:rsidR="00EE7295" w:rsidRPr="00B90699">
        <w:t xml:space="preserve"> </w:t>
      </w:r>
      <w:r w:rsidRPr="00B90699">
        <w:t>and (3) PMGOL</w:t>
      </w:r>
      <w:r w:rsidR="00B90699" w:rsidRPr="00B90699">
        <w:t xml:space="preserve">: </w:t>
      </w:r>
      <w:r w:rsidR="000D3133">
        <w:t>198</w:t>
      </w:r>
      <w:r w:rsidR="0057020F">
        <w:t>,</w:t>
      </w:r>
      <w:r w:rsidR="00043370">
        <w:t>001</w:t>
      </w:r>
      <w:r w:rsidRPr="00B90699">
        <w:t>.</w:t>
      </w:r>
      <w:r>
        <w:t xml:space="preserve"> From the BIC value, it is evident that the </w:t>
      </w:r>
      <w:r>
        <w:lastRenderedPageBreak/>
        <w:t>PMGOL</w:t>
      </w:r>
      <w:r w:rsidR="00984FF2">
        <w:t xml:space="preserve"> with the lowest </w:t>
      </w:r>
      <w:r w:rsidR="008C1D45">
        <w:t xml:space="preserve">BIC </w:t>
      </w:r>
      <w:r w:rsidR="00984FF2">
        <w:t>value</w:t>
      </w:r>
      <w:r>
        <w:t xml:space="preserve"> substantially outperforms the other variants. </w:t>
      </w:r>
      <w:r w:rsidR="00212701">
        <w:t>This indicate</w:t>
      </w:r>
      <w:r w:rsidR="003F2D93">
        <w:t>s</w:t>
      </w:r>
      <w:r w:rsidR="00212701">
        <w:t xml:space="preserve"> the superiority of considering panel structure and recognizing multiple repetition</w:t>
      </w:r>
      <w:r w:rsidR="003F2D93">
        <w:t>s</w:t>
      </w:r>
      <w:r w:rsidR="00212701">
        <w:t xml:space="preserve"> of records in model estimation. The better performance of GOL model compare</w:t>
      </w:r>
      <w:r w:rsidR="003F2D93">
        <w:t>d</w:t>
      </w:r>
      <w:r w:rsidR="00212701">
        <w:t xml:space="preserve"> to OL model</w:t>
      </w:r>
      <w:r w:rsidR="0079447B">
        <w:t xml:space="preserve"> highlight</w:t>
      </w:r>
      <w:r w:rsidR="003F2D93">
        <w:t>s</w:t>
      </w:r>
      <w:r w:rsidR="0079447B">
        <w:t xml:space="preserve"> the positive impact of allowing flexibility in identifying ordinal categories.</w:t>
      </w:r>
    </w:p>
    <w:p w14:paraId="557D3DFB" w14:textId="5CACACC1" w:rsidR="00D675C5" w:rsidRDefault="00E24931" w:rsidP="00E202B6">
      <w:pPr>
        <w:spacing w:line="276" w:lineRule="auto"/>
        <w:ind w:firstLine="720"/>
        <w:jc w:val="both"/>
      </w:pPr>
      <w:r>
        <w:t>The model estimation process was guided by statistical significance (at 90% level), parameter interpretability and parsimony considerations. The panel mixed generalized ordered logit model was estimated by building on the results of the simpler models</w:t>
      </w:r>
      <w:r w:rsidR="00234269">
        <w:t>.</w:t>
      </w:r>
      <w:r>
        <w:t xml:space="preserve"> The results of the exogenous variable impacts for the PMGOL are presented in Table 1 and are discussed subsequently by variable category.</w:t>
      </w:r>
      <w:r w:rsidR="00016233">
        <w:t xml:space="preserve"> The reader would note that a positive (negative) coefficient value in the propensity equation represents an increase (decrease) in probability of higher level of availability. Similarly, a positive (negative) coefficient value in the threshold equation indicates a shift of the threshold rightward (leftward). </w:t>
      </w:r>
    </w:p>
    <w:p w14:paraId="40BFBB5F" w14:textId="77777777" w:rsidR="00D675C5" w:rsidRDefault="00D675C5" w:rsidP="008A17D3">
      <w:pPr>
        <w:spacing w:line="276" w:lineRule="auto"/>
        <w:ind w:firstLine="720"/>
        <w:jc w:val="both"/>
      </w:pPr>
    </w:p>
    <w:p w14:paraId="261FC867" w14:textId="2CC296AC" w:rsidR="00B7532F" w:rsidRPr="00A43BE5" w:rsidRDefault="00B7532F" w:rsidP="005C0035">
      <w:pPr>
        <w:pStyle w:val="Heading1"/>
        <w:numPr>
          <w:ilvl w:val="1"/>
          <w:numId w:val="30"/>
        </w:numPr>
        <w:spacing w:line="276" w:lineRule="auto"/>
        <w:ind w:left="418" w:hanging="418"/>
      </w:pPr>
      <w:r w:rsidRPr="00212701">
        <w:t xml:space="preserve">Constant and Preference </w:t>
      </w:r>
      <w:r w:rsidRPr="00A43BE5">
        <w:t>Heterogeneity</w:t>
      </w:r>
    </w:p>
    <w:p w14:paraId="633CA64F" w14:textId="41A9FEB2" w:rsidR="007D28F6" w:rsidRDefault="00B7532F" w:rsidP="008A17D3">
      <w:pPr>
        <w:spacing w:line="276" w:lineRule="auto"/>
        <w:jc w:val="both"/>
      </w:pPr>
      <w:r>
        <w:t>T</w:t>
      </w:r>
      <w:r w:rsidRPr="00BE4C13">
        <w:t>he</w:t>
      </w:r>
      <w:r>
        <w:t xml:space="preserve"> </w:t>
      </w:r>
      <w:r w:rsidR="005322E7">
        <w:t>c</w:t>
      </w:r>
      <w:r w:rsidR="0090582A">
        <w:t>onstant</w:t>
      </w:r>
      <w:r>
        <w:t xml:space="preserve"> does not have any substantive interpretation in the model. However, the presence of statistically significant standard deviation on the constant highlights the presence of station specific unobserved effects that influence the availability levels for all records for the station. These </w:t>
      </w:r>
      <w:r w:rsidR="006229D9">
        <w:t>common unobserved</w:t>
      </w:r>
      <w:r>
        <w:t xml:space="preserve"> effects have a standard deviation of 0.</w:t>
      </w:r>
      <w:r w:rsidR="00D92059">
        <w:t>4</w:t>
      </w:r>
      <w:r w:rsidR="00043370">
        <w:t>184</w:t>
      </w:r>
      <w:r>
        <w:t>.</w:t>
      </w:r>
    </w:p>
    <w:p w14:paraId="435F53A0" w14:textId="77777777" w:rsidR="00B7532F" w:rsidRPr="00B7532F" w:rsidRDefault="00B7532F" w:rsidP="008A17D3">
      <w:pPr>
        <w:spacing w:line="276" w:lineRule="auto"/>
        <w:jc w:val="both"/>
      </w:pPr>
    </w:p>
    <w:p w14:paraId="28C504C2" w14:textId="5923D076" w:rsidR="00AB27EE" w:rsidRPr="00A43BE5" w:rsidRDefault="0090582A" w:rsidP="005C0035">
      <w:pPr>
        <w:pStyle w:val="Heading1"/>
        <w:numPr>
          <w:ilvl w:val="1"/>
          <w:numId w:val="30"/>
        </w:numPr>
        <w:spacing w:line="276" w:lineRule="auto"/>
        <w:ind w:left="418" w:hanging="418"/>
      </w:pPr>
      <w:r w:rsidRPr="00A43BE5">
        <w:t>Weather</w:t>
      </w:r>
      <w:r w:rsidR="007D28F6" w:rsidRPr="00A43BE5">
        <w:t xml:space="preserve">, </w:t>
      </w:r>
      <w:r w:rsidRPr="00A43BE5">
        <w:t xml:space="preserve">Geography and </w:t>
      </w:r>
      <w:r w:rsidR="00F91776" w:rsidRPr="00A43BE5">
        <w:t>T</w:t>
      </w:r>
      <w:r w:rsidR="007D28F6" w:rsidRPr="00A43BE5">
        <w:t>emporal</w:t>
      </w:r>
      <w:r w:rsidR="001B440D" w:rsidRPr="00A43BE5">
        <w:t xml:space="preserve"> </w:t>
      </w:r>
      <w:r w:rsidR="00F91776" w:rsidRPr="00A43BE5">
        <w:t>V</w:t>
      </w:r>
      <w:r w:rsidR="001B440D" w:rsidRPr="00A43BE5">
        <w:t>ariables</w:t>
      </w:r>
    </w:p>
    <w:p w14:paraId="070E557C" w14:textId="713E9CDF" w:rsidR="0090582A" w:rsidRDefault="0090582A" w:rsidP="008A17D3">
      <w:pPr>
        <w:spacing w:line="276" w:lineRule="auto"/>
        <w:jc w:val="both"/>
      </w:pPr>
      <w:r>
        <w:t xml:space="preserve">The impact of temperature on latent propensity is negative indicating that with increase </w:t>
      </w:r>
      <w:r w:rsidR="006229D9">
        <w:t xml:space="preserve">in </w:t>
      </w:r>
      <w:r>
        <w:t xml:space="preserve">temperature, BIXI availability is likely to reduce. This is expected, as in Montreal, with higher temperatures BIXI usage is expected to increase. </w:t>
      </w:r>
      <w:r w:rsidRPr="006A4C6F">
        <w:t>The coefficient for the elevation variable in the propensity is negative</w:t>
      </w:r>
      <w:r>
        <w:t xml:space="preserve"> and the coefficient in the third threshold is positive</w:t>
      </w:r>
      <w:r w:rsidRPr="006A4C6F">
        <w:t xml:space="preserve">, indicating that stations with a greater elevation are less likely to be full than their counterparts located at lower </w:t>
      </w:r>
      <w:r>
        <w:t>elevations</w:t>
      </w:r>
      <w:r w:rsidRPr="006A4C6F">
        <w:t xml:space="preserve">. </w:t>
      </w:r>
      <w:r>
        <w:t xml:space="preserve">As it is easier to bicycle downhill compared to uphill, stations at an elevation are more likely to experience asymmetry in travel to and from such stations. </w:t>
      </w:r>
    </w:p>
    <w:p w14:paraId="29545B13" w14:textId="75640784" w:rsidR="00136416" w:rsidRPr="006A4C6F" w:rsidRDefault="008C719F" w:rsidP="008A17D3">
      <w:pPr>
        <w:spacing w:line="276" w:lineRule="auto"/>
        <w:ind w:firstLine="720"/>
        <w:jc w:val="both"/>
      </w:pPr>
      <w:r>
        <w:t xml:space="preserve">The results for </w:t>
      </w:r>
      <w:r w:rsidR="00AB27EE" w:rsidRPr="006A4C6F">
        <w:t>temporal variables</w:t>
      </w:r>
      <w:r>
        <w:t xml:space="preserve"> follow expected trends</w:t>
      </w:r>
      <w:r w:rsidR="00AB27EE" w:rsidRPr="006A4C6F">
        <w:t xml:space="preserve">. For instance, the </w:t>
      </w:r>
      <w:r w:rsidR="003616B0">
        <w:t>P</w:t>
      </w:r>
      <w:r w:rsidR="003616B0" w:rsidRPr="006A4C6F">
        <w:t xml:space="preserve">M </w:t>
      </w:r>
      <w:r w:rsidR="00AB27EE" w:rsidRPr="006A4C6F">
        <w:t xml:space="preserve">coefficient </w:t>
      </w:r>
      <w:r w:rsidR="00E62927" w:rsidRPr="006A4C6F">
        <w:t xml:space="preserve">in the propensity function </w:t>
      </w:r>
      <w:r w:rsidR="00AB27EE" w:rsidRPr="006A4C6F">
        <w:t xml:space="preserve">is </w:t>
      </w:r>
      <w:r w:rsidR="00491FF0" w:rsidRPr="006A4C6F">
        <w:t>negative, implying</w:t>
      </w:r>
      <w:r w:rsidR="00AB27EE" w:rsidRPr="006A4C6F">
        <w:t xml:space="preserve"> the system is used more in the afternoon than </w:t>
      </w:r>
      <w:r w:rsidR="003616B0">
        <w:t>any other time</w:t>
      </w:r>
      <w:r w:rsidR="00AB27EE" w:rsidRPr="006A4C6F">
        <w:t xml:space="preserve">. </w:t>
      </w:r>
      <w:r w:rsidR="00472098" w:rsidRPr="006A4C6F">
        <w:t xml:space="preserve">These results are in line with the findings of </w:t>
      </w:r>
      <w:r w:rsidR="00C95EBA" w:rsidRPr="006A4C6F">
        <w:t>Faghih-Imani et al. (</w:t>
      </w:r>
      <w:r w:rsidR="005E0B01">
        <w:t>2014</w:t>
      </w:r>
      <w:r w:rsidR="00472098" w:rsidRPr="006A4C6F">
        <w:t>)</w:t>
      </w:r>
      <w:r w:rsidR="00491FF0" w:rsidRPr="006A4C6F">
        <w:t>.</w:t>
      </w:r>
      <w:r w:rsidR="00472098" w:rsidRPr="006A4C6F">
        <w:t xml:space="preserve"> </w:t>
      </w:r>
      <w:r w:rsidR="00E62927" w:rsidRPr="006A4C6F">
        <w:t>It is noteworthy that the coefficients of AM</w:t>
      </w:r>
      <w:r w:rsidR="00472098" w:rsidRPr="006A4C6F">
        <w:t xml:space="preserve"> (6-10am)</w:t>
      </w:r>
      <w:r w:rsidR="00E62927" w:rsidRPr="006A4C6F">
        <w:t xml:space="preserve"> and PM</w:t>
      </w:r>
      <w:r w:rsidR="00472098" w:rsidRPr="006A4C6F">
        <w:t xml:space="preserve"> (3-7pm)</w:t>
      </w:r>
      <w:r w:rsidR="00E62927" w:rsidRPr="006A4C6F">
        <w:t xml:space="preserve"> are both positive in the second threshold</w:t>
      </w:r>
      <w:r w:rsidR="00491FF0" w:rsidRPr="006A4C6F">
        <w:t xml:space="preserve">, indicating that stations </w:t>
      </w:r>
      <w:r w:rsidR="007E13CA" w:rsidRPr="006A4C6F">
        <w:t>are more likely to have low availability than to be balanced during those time frames</w:t>
      </w:r>
      <w:r w:rsidR="00491FF0" w:rsidRPr="006A4C6F">
        <w:t>.</w:t>
      </w:r>
      <w:r w:rsidR="00472098" w:rsidRPr="006A4C6F">
        <w:t xml:space="preserve"> Overall, since the AM and PM periods are w</w:t>
      </w:r>
      <w:r w:rsidR="007E13CA" w:rsidRPr="006A4C6F">
        <w:t>hen the system is used most, and the flows are most imbalanced, a concentration of availability ar</w:t>
      </w:r>
      <w:r w:rsidR="00472098" w:rsidRPr="006A4C6F">
        <w:t xml:space="preserve">ound the extremes </w:t>
      </w:r>
      <w:r w:rsidR="007E13CA" w:rsidRPr="006A4C6F">
        <w:t xml:space="preserve">is expected to occur </w:t>
      </w:r>
      <w:r w:rsidR="00472098" w:rsidRPr="006A4C6F">
        <w:t>duri</w:t>
      </w:r>
      <w:r w:rsidR="007E13CA" w:rsidRPr="006A4C6F">
        <w:t>ng those period</w:t>
      </w:r>
      <w:r w:rsidR="00243562" w:rsidRPr="006A4C6F">
        <w:t>s</w:t>
      </w:r>
      <w:r w:rsidR="00472098" w:rsidRPr="006A4C6F">
        <w:t>.</w:t>
      </w:r>
      <w:r w:rsidR="003831E3" w:rsidRPr="006A4C6F">
        <w:t xml:space="preserve"> </w:t>
      </w:r>
      <w:r w:rsidR="00507B87" w:rsidRPr="00507B87">
        <w:t xml:space="preserve">The weekend variable has a positive coefficient, indicating that the system has more availability during the weekdays, due to reduced BIXI usage. To further investigate the </w:t>
      </w:r>
      <w:r w:rsidR="00507B87" w:rsidRPr="00507B87">
        <w:lastRenderedPageBreak/>
        <w:t>differences in weekdays and weekends, we have tested the interaction of weekend variable with other independent variables to see if their impacts are significantly different during weekends</w:t>
      </w:r>
      <w:r w:rsidR="00744218">
        <w:rPr>
          <w:rStyle w:val="FootnoteReference"/>
        </w:rPr>
        <w:footnoteReference w:id="2"/>
      </w:r>
      <w:r w:rsidR="00507B87" w:rsidRPr="00507B87">
        <w:t>.</w:t>
      </w:r>
      <w:r w:rsidR="00744218">
        <w:t xml:space="preserve"> </w:t>
      </w:r>
      <w:r w:rsidR="00507B87" w:rsidRPr="00507B87">
        <w:t>These estimates are explained where each interacted parameter is discussed in the following sections.</w:t>
      </w:r>
    </w:p>
    <w:p w14:paraId="2E4C7383" w14:textId="77777777" w:rsidR="00AA5613" w:rsidRPr="006A4C6F" w:rsidRDefault="00AA5613" w:rsidP="008A17D3">
      <w:pPr>
        <w:spacing w:line="276" w:lineRule="auto"/>
      </w:pPr>
    </w:p>
    <w:p w14:paraId="5E5E0520" w14:textId="4A1F15B9" w:rsidR="00076BDE" w:rsidRPr="00A43BE5" w:rsidRDefault="001B440D" w:rsidP="005C0035">
      <w:pPr>
        <w:pStyle w:val="Heading1"/>
        <w:numPr>
          <w:ilvl w:val="1"/>
          <w:numId w:val="30"/>
        </w:numPr>
        <w:spacing w:line="276" w:lineRule="auto"/>
        <w:ind w:left="418" w:hanging="418"/>
      </w:pPr>
      <w:r w:rsidRPr="00A43BE5">
        <w:t xml:space="preserve">Bicycle </w:t>
      </w:r>
      <w:r w:rsidR="00F91776" w:rsidRPr="00A43BE5">
        <w:t>I</w:t>
      </w:r>
      <w:r w:rsidRPr="00A43BE5">
        <w:t xml:space="preserve">nfrastructure </w:t>
      </w:r>
      <w:r w:rsidR="00F91776" w:rsidRPr="00A43BE5">
        <w:t>V</w:t>
      </w:r>
      <w:r w:rsidRPr="00A43BE5">
        <w:t>ariables</w:t>
      </w:r>
    </w:p>
    <w:p w14:paraId="41E1EAA4" w14:textId="0B0B639B" w:rsidR="00F616FF" w:rsidRDefault="003831E3" w:rsidP="00212701">
      <w:pPr>
        <w:keepNext/>
        <w:keepLines/>
        <w:spacing w:line="276" w:lineRule="auto"/>
        <w:jc w:val="both"/>
      </w:pPr>
      <w:r w:rsidRPr="000A14A9">
        <w:t>T</w:t>
      </w:r>
      <w:r w:rsidR="001535FC" w:rsidRPr="000A14A9">
        <w:t xml:space="preserve">he number of </w:t>
      </w:r>
      <w:r w:rsidR="00C160A5">
        <w:t>BIXI stations</w:t>
      </w:r>
      <w:r w:rsidR="00163FF3" w:rsidRPr="000A14A9">
        <w:t xml:space="preserve"> in a </w:t>
      </w:r>
      <w:r w:rsidR="00BD7A54" w:rsidRPr="000A14A9">
        <w:t>250</w:t>
      </w:r>
      <w:r w:rsidR="00BD7A54">
        <w:t>-</w:t>
      </w:r>
      <w:r w:rsidR="00163FF3" w:rsidRPr="000A14A9">
        <w:t>meter buffer</w:t>
      </w:r>
      <w:r w:rsidR="001535FC" w:rsidRPr="000A14A9">
        <w:t xml:space="preserve"> </w:t>
      </w:r>
      <w:r w:rsidR="00D55CE6" w:rsidRPr="000A14A9">
        <w:t xml:space="preserve">offer interesting results. </w:t>
      </w:r>
      <w:r w:rsidR="00150EB4">
        <w:t>The presence of multiple stations in the 250m buffer is likely to reduce the availability at the station of interest</w:t>
      </w:r>
      <w:r w:rsidR="00E17D5C">
        <w:t>,</w:t>
      </w:r>
      <w:r w:rsidR="00150EB4">
        <w:t xml:space="preserve"> possibly indicating that these locations are trip generators. On the other hand, in the downtown region, the impact on availability of neighboring stations is compensated by the interaction term</w:t>
      </w:r>
      <w:r w:rsidR="003922C4">
        <w:t>,</w:t>
      </w:r>
      <w:r w:rsidR="00150EB4">
        <w:t xml:space="preserve"> thus indicating that availability is marginally influenced by neighboring stations in the downtown region. </w:t>
      </w:r>
      <w:r w:rsidR="00F62A9B" w:rsidRPr="006A4C6F">
        <w:t>T</w:t>
      </w:r>
      <w:r w:rsidR="001535FC" w:rsidRPr="006A4C6F">
        <w:t xml:space="preserve">he variable </w:t>
      </w:r>
      <w:r w:rsidR="00EE5D34" w:rsidRPr="006A4C6F">
        <w:t xml:space="preserve">interacted with the downtown variable </w:t>
      </w:r>
      <w:r w:rsidR="00F62A9B" w:rsidRPr="006A4C6F">
        <w:t xml:space="preserve">also </w:t>
      </w:r>
      <w:r w:rsidR="003922C4">
        <w:t>affects</w:t>
      </w:r>
      <w:r w:rsidR="003922C4" w:rsidRPr="006A4C6F">
        <w:t xml:space="preserve"> </w:t>
      </w:r>
      <w:r w:rsidR="001535FC" w:rsidRPr="006A4C6F">
        <w:t>the second threshold</w:t>
      </w:r>
      <w:r w:rsidR="00F62A9B" w:rsidRPr="006A4C6F">
        <w:t>,</w:t>
      </w:r>
      <w:r w:rsidR="001535FC" w:rsidRPr="006A4C6F">
        <w:t xml:space="preserve"> with a negative sign</w:t>
      </w:r>
      <w:r w:rsidR="002601E5" w:rsidRPr="006A4C6F">
        <w:t xml:space="preserve"> </w:t>
      </w:r>
      <w:r w:rsidR="00150EB4">
        <w:t>indicat</w:t>
      </w:r>
      <w:r w:rsidR="003922C4">
        <w:t xml:space="preserve">ing </w:t>
      </w:r>
      <w:r w:rsidR="00150EB4">
        <w:t>that</w:t>
      </w:r>
      <w:r w:rsidR="002601E5" w:rsidRPr="006A4C6F">
        <w:t xml:space="preserve"> stations located downtown are more likely to be balanced than low.</w:t>
      </w:r>
      <w:r w:rsidR="00F91776">
        <w:t xml:space="preserve"> </w:t>
      </w:r>
      <w:r w:rsidR="008C719F" w:rsidRPr="006A4C6F">
        <w:t xml:space="preserve">As expected, </w:t>
      </w:r>
      <w:r w:rsidR="00D55CE6">
        <w:t xml:space="preserve">a </w:t>
      </w:r>
      <w:r w:rsidR="000A14A9">
        <w:t xml:space="preserve">refill </w:t>
      </w:r>
      <w:r w:rsidR="00D55CE6">
        <w:t xml:space="preserve">rebalancing operation </w:t>
      </w:r>
      <w:r w:rsidR="008C719F" w:rsidRPr="006A4C6F">
        <w:t>increase</w:t>
      </w:r>
      <w:r w:rsidR="000A14A9">
        <w:t>s</w:t>
      </w:r>
      <w:r w:rsidR="008C719F" w:rsidRPr="006A4C6F">
        <w:t xml:space="preserve"> availability, while </w:t>
      </w:r>
      <w:r w:rsidR="000A14A9">
        <w:t xml:space="preserve">a removal </w:t>
      </w:r>
      <w:r w:rsidR="00D55CE6">
        <w:t xml:space="preserve">rebalancing operation </w:t>
      </w:r>
      <w:r w:rsidR="008C719F" w:rsidRPr="006A4C6F">
        <w:t>decrease</w:t>
      </w:r>
      <w:r w:rsidR="00D55CE6">
        <w:t>s</w:t>
      </w:r>
      <w:r w:rsidR="008C719F" w:rsidRPr="006A4C6F">
        <w:t xml:space="preserve"> availability.</w:t>
      </w:r>
      <w:r w:rsidR="00F616FF">
        <w:t xml:space="preserve"> </w:t>
      </w:r>
      <w:r w:rsidR="00507B87" w:rsidRPr="00507B87">
        <w:t>Further, the estimated coefficient for the influence of availability at neighboring stations in the previous hour is significantly positive as expected; indicating a positive spatial dependency for bicycle availability in a BSS. This result is in agreement with the findings of previous studies on the BSS usage associated spatial correlation (Faghih-Imani and Eluru, 2016a).</w:t>
      </w:r>
    </w:p>
    <w:p w14:paraId="78EC73DA" w14:textId="0E366B66" w:rsidR="008C719F" w:rsidRPr="006A4C6F" w:rsidRDefault="008C719F" w:rsidP="008A17D3">
      <w:pPr>
        <w:spacing w:line="276" w:lineRule="auto"/>
      </w:pPr>
      <w:r>
        <w:tab/>
      </w:r>
      <w:r>
        <w:tab/>
      </w:r>
      <w:r>
        <w:tab/>
      </w:r>
    </w:p>
    <w:p w14:paraId="534C508B" w14:textId="6B240F5B" w:rsidR="00EE5D34" w:rsidRPr="00A43BE5" w:rsidRDefault="001B440D" w:rsidP="005C0035">
      <w:pPr>
        <w:pStyle w:val="Heading1"/>
        <w:numPr>
          <w:ilvl w:val="1"/>
          <w:numId w:val="30"/>
        </w:numPr>
        <w:spacing w:line="276" w:lineRule="auto"/>
        <w:ind w:left="418" w:hanging="418"/>
      </w:pPr>
      <w:r w:rsidRPr="00A43BE5">
        <w:t xml:space="preserve">Location, Land Use, and Built </w:t>
      </w:r>
      <w:r w:rsidR="00F91776" w:rsidRPr="00A43BE5">
        <w:t>E</w:t>
      </w:r>
      <w:r w:rsidRPr="00A43BE5">
        <w:t xml:space="preserve">nvironment </w:t>
      </w:r>
      <w:r w:rsidR="00F91776" w:rsidRPr="00A43BE5">
        <w:t>V</w:t>
      </w:r>
      <w:r w:rsidR="006229D9" w:rsidRPr="00A43BE5">
        <w:t>ariables</w:t>
      </w:r>
    </w:p>
    <w:p w14:paraId="31BAB558" w14:textId="589A1A48" w:rsidR="00EE5D34" w:rsidRDefault="00F62A9B" w:rsidP="008A17D3">
      <w:pPr>
        <w:spacing w:line="276" w:lineRule="auto"/>
        <w:jc w:val="both"/>
      </w:pPr>
      <w:r w:rsidRPr="006A4C6F">
        <w:t>The model indicates that s</w:t>
      </w:r>
      <w:r w:rsidR="009803B0" w:rsidRPr="006A4C6F">
        <w:t>tations located in t</w:t>
      </w:r>
      <w:r w:rsidR="000C275D" w:rsidRPr="006A4C6F">
        <w:t>he old</w:t>
      </w:r>
      <w:r w:rsidR="00881DE2" w:rsidRPr="006A4C6F">
        <w:t xml:space="preserve"> </w:t>
      </w:r>
      <w:r w:rsidR="000C275D" w:rsidRPr="006A4C6F">
        <w:t>port or</w:t>
      </w:r>
      <w:r w:rsidR="009803B0" w:rsidRPr="006A4C6F">
        <w:t xml:space="preserve"> downtown </w:t>
      </w:r>
      <w:r w:rsidR="000C275D" w:rsidRPr="006A4C6F">
        <w:t>areas have</w:t>
      </w:r>
      <w:r w:rsidR="008719F8" w:rsidRPr="006A4C6F">
        <w:t xml:space="preserve"> lower availability levels</w:t>
      </w:r>
      <w:r w:rsidR="009803B0" w:rsidRPr="006A4C6F">
        <w:t xml:space="preserve"> overall</w:t>
      </w:r>
      <w:r w:rsidR="009E18C6" w:rsidRPr="006A4C6F">
        <w:t xml:space="preserve">, which was expected </w:t>
      </w:r>
      <w:r w:rsidR="008719F8" w:rsidRPr="006A4C6F">
        <w:t xml:space="preserve">since </w:t>
      </w:r>
      <w:r w:rsidR="009803B0" w:rsidRPr="006A4C6F">
        <w:t xml:space="preserve">those are </w:t>
      </w:r>
      <w:r w:rsidR="000C275D" w:rsidRPr="006A4C6F">
        <w:t>mostly departure areas</w:t>
      </w:r>
      <w:r w:rsidR="009803B0" w:rsidRPr="006A4C6F">
        <w:t>.</w:t>
      </w:r>
      <w:r w:rsidR="002C1869">
        <w:t xml:space="preserve"> During weekends, however, the situation improves slightly in these areas as indicated by positive sign of the interactions with </w:t>
      </w:r>
      <w:r w:rsidR="000043F5">
        <w:t xml:space="preserve">the </w:t>
      </w:r>
      <w:r w:rsidR="002C1869">
        <w:t xml:space="preserve">weekend variable (the overall impact of </w:t>
      </w:r>
      <w:r w:rsidR="002C1869" w:rsidRPr="006A4C6F">
        <w:t>old port or downtown</w:t>
      </w:r>
      <w:r w:rsidR="002C1869">
        <w:t xml:space="preserve"> variables are still negative).</w:t>
      </w:r>
      <w:r w:rsidR="008719F8" w:rsidRPr="006A4C6F">
        <w:t xml:space="preserve"> Furthermore,</w:t>
      </w:r>
      <w:r w:rsidR="00937C56" w:rsidRPr="006A4C6F">
        <w:t xml:space="preserve"> </w:t>
      </w:r>
      <w:r w:rsidR="000A14A9">
        <w:t>these areas are likely to have</w:t>
      </w:r>
      <w:r w:rsidR="00D55CE6">
        <w:t xml:space="preserve"> higher </w:t>
      </w:r>
      <w:r w:rsidR="00937C56" w:rsidRPr="006A4C6F">
        <w:t xml:space="preserve">job concentrations </w:t>
      </w:r>
      <w:r w:rsidR="00D55CE6">
        <w:t xml:space="preserve">and are conducive to PM travel </w:t>
      </w:r>
      <w:r w:rsidR="006229D9">
        <w:t>(</w:t>
      </w:r>
      <w:r w:rsidR="008A08E9" w:rsidRPr="006A4C6F">
        <w:t xml:space="preserve">consistent with </w:t>
      </w:r>
      <w:r w:rsidR="00F91776">
        <w:t>finding</w:t>
      </w:r>
      <w:r w:rsidR="00E17D5C">
        <w:t>s</w:t>
      </w:r>
      <w:r w:rsidR="00F91776">
        <w:t xml:space="preserve"> of </w:t>
      </w:r>
      <w:r w:rsidR="00130768" w:rsidRPr="006A4C6F">
        <w:t>Faghih-Imani et al</w:t>
      </w:r>
      <w:r w:rsidR="006B4E0F">
        <w:t>. (</w:t>
      </w:r>
      <w:r w:rsidR="005E0B01">
        <w:t>2014</w:t>
      </w:r>
      <w:r w:rsidR="009E18C6" w:rsidRPr="006A4C6F">
        <w:t>)</w:t>
      </w:r>
      <w:r w:rsidR="006229D9">
        <w:t>)</w:t>
      </w:r>
      <w:r w:rsidR="009E18C6" w:rsidRPr="006A4C6F">
        <w:t>.</w:t>
      </w:r>
      <w:r w:rsidR="00A05F64" w:rsidRPr="006A4C6F">
        <w:t xml:space="preserve"> </w:t>
      </w:r>
      <w:r w:rsidR="003E1EB1" w:rsidRPr="006A4C6F">
        <w:t xml:space="preserve">Street length around the station is associated </w:t>
      </w:r>
      <w:r w:rsidR="006229D9">
        <w:t>with</w:t>
      </w:r>
      <w:r w:rsidR="003E1EB1" w:rsidRPr="006A4C6F">
        <w:t xml:space="preserve"> a positive coefficient in the propensity, which is counterintuitive since one would expect a denser road network in downtown areas.</w:t>
      </w:r>
      <w:r w:rsidR="003E1EB1">
        <w:t xml:space="preserve"> It is important to note that the downtown and old port dummies interact with this variable. </w:t>
      </w:r>
      <w:r w:rsidR="003E1EB1" w:rsidRPr="006A4C6F">
        <w:t xml:space="preserve">Street length is also associated </w:t>
      </w:r>
      <w:r w:rsidR="006229D9">
        <w:t>with</w:t>
      </w:r>
      <w:r w:rsidR="003E1EB1" w:rsidRPr="006A4C6F">
        <w:t xml:space="preserve"> a negative coefficient in the fourth threshold, indicating that areas with high street length values are more likely to be associated </w:t>
      </w:r>
      <w:r w:rsidR="003E1EB1">
        <w:t>with</w:t>
      </w:r>
      <w:r w:rsidR="003E1EB1" w:rsidRPr="006A4C6F">
        <w:t xml:space="preserve"> very high availability. </w:t>
      </w:r>
    </w:p>
    <w:p w14:paraId="3F21D985" w14:textId="468DE2BF" w:rsidR="00A50B2C" w:rsidRDefault="000A14A9" w:rsidP="008A17D3">
      <w:pPr>
        <w:spacing w:line="276" w:lineRule="auto"/>
        <w:ind w:firstLine="720"/>
        <w:jc w:val="both"/>
      </w:pPr>
      <w:r w:rsidRPr="006A4C6F">
        <w:t>Walkscore in the vicinity of the station has a negative coefficient</w:t>
      </w:r>
      <w:r>
        <w:t xml:space="preserve"> indicating highly walkable neighborhoods are bicycle friendly as well.</w:t>
      </w:r>
      <w:r w:rsidR="00B61348">
        <w:t xml:space="preserve"> This impact is higher in weekends as highlighted by the coefficient of the interaction with </w:t>
      </w:r>
      <w:r w:rsidR="000043F5">
        <w:t xml:space="preserve">the </w:t>
      </w:r>
      <w:r w:rsidR="00B61348">
        <w:t>weekend variable.</w:t>
      </w:r>
      <w:r>
        <w:t xml:space="preserve"> In addition to </w:t>
      </w:r>
      <w:r>
        <w:lastRenderedPageBreak/>
        <w:t>the positive mean effect, the Walkscore variable also has a standard deviation indicating that the impact of walkability varies across stations.</w:t>
      </w:r>
      <w:r w:rsidR="00F91776">
        <w:t xml:space="preserve"> Further, t</w:t>
      </w:r>
      <w:r w:rsidR="00A50B2C" w:rsidRPr="006A4C6F">
        <w:t xml:space="preserve">he propensity function indicates that </w:t>
      </w:r>
      <w:r w:rsidR="00857EA3" w:rsidRPr="006A4C6F">
        <w:t xml:space="preserve">restaurants </w:t>
      </w:r>
      <w:r w:rsidR="003E1EB1">
        <w:t xml:space="preserve">affect availability based on time of day. </w:t>
      </w:r>
      <w:r w:rsidR="00F3698D">
        <w:t xml:space="preserve">The estimated positive coefficient in the third threshold indicates the lower probability of availability in the AM period in areas with </w:t>
      </w:r>
      <w:r w:rsidR="000043F5">
        <w:t xml:space="preserve">a </w:t>
      </w:r>
      <w:r w:rsidR="00F3698D">
        <w:t xml:space="preserve">high number of </w:t>
      </w:r>
      <w:r w:rsidR="00F3698D" w:rsidRPr="006A4C6F">
        <w:t>restaurants</w:t>
      </w:r>
      <w:r w:rsidR="00F3698D">
        <w:t>.</w:t>
      </w:r>
      <w:r w:rsidR="00F3698D" w:rsidRPr="006A4C6F">
        <w:t xml:space="preserve"> </w:t>
      </w:r>
      <w:r w:rsidR="00F3698D">
        <w:t xml:space="preserve">The impact is positive </w:t>
      </w:r>
      <w:r w:rsidR="003E1EB1">
        <w:t xml:space="preserve">in the PM period </w:t>
      </w:r>
      <w:r w:rsidR="00F3698D">
        <w:t xml:space="preserve">showing the presence of </w:t>
      </w:r>
      <w:r w:rsidR="00F3698D" w:rsidRPr="006A4C6F">
        <w:t xml:space="preserve">restaurants </w:t>
      </w:r>
      <w:r w:rsidR="003E1EB1">
        <w:t xml:space="preserve">increases availability. </w:t>
      </w:r>
      <w:r w:rsidR="00A50B2C" w:rsidRPr="006A4C6F">
        <w:t xml:space="preserve">This is likely </w:t>
      </w:r>
      <w:r w:rsidR="003E1EB1">
        <w:t>because</w:t>
      </w:r>
      <w:r w:rsidR="00A50B2C" w:rsidRPr="006A4C6F">
        <w:t xml:space="preserve"> people usually go to restaurants more in the late afternoon than </w:t>
      </w:r>
      <w:r w:rsidR="007C7BEF">
        <w:t>any other time.</w:t>
      </w:r>
      <w:r w:rsidR="00857EA3" w:rsidRPr="006A4C6F">
        <w:t xml:space="preserve"> </w:t>
      </w:r>
      <w:r w:rsidR="00E82F6E" w:rsidRPr="006A4C6F">
        <w:t>Other commercial sites (</w:t>
      </w:r>
      <w:r w:rsidR="003E1EB1">
        <w:t xml:space="preserve">such as </w:t>
      </w:r>
      <w:r w:rsidR="00E82F6E" w:rsidRPr="006A4C6F">
        <w:t xml:space="preserve">stores, </w:t>
      </w:r>
      <w:r w:rsidR="003E1EB1">
        <w:t xml:space="preserve">and </w:t>
      </w:r>
      <w:r w:rsidR="00E82F6E" w:rsidRPr="006A4C6F">
        <w:t xml:space="preserve">libraries) </w:t>
      </w:r>
      <w:r w:rsidR="003E1EB1">
        <w:t xml:space="preserve">exhibit the </w:t>
      </w:r>
      <w:r w:rsidR="00E82F6E" w:rsidRPr="006A4C6F">
        <w:t xml:space="preserve">opposite effect, with a positive </w:t>
      </w:r>
      <w:r w:rsidR="003E1EB1">
        <w:t>impact on propensity in</w:t>
      </w:r>
      <w:r w:rsidR="00E82F6E" w:rsidRPr="006A4C6F">
        <w:t xml:space="preserve"> the </w:t>
      </w:r>
      <w:r w:rsidR="003E1EB1">
        <w:t>AM</w:t>
      </w:r>
      <w:r w:rsidR="003E1EB1" w:rsidRPr="006A4C6F">
        <w:t xml:space="preserve"> </w:t>
      </w:r>
      <w:r w:rsidR="00E82F6E" w:rsidRPr="006A4C6F">
        <w:t xml:space="preserve">period and negative </w:t>
      </w:r>
      <w:r w:rsidR="003E1EB1">
        <w:t xml:space="preserve">impact on propensity in </w:t>
      </w:r>
      <w:r w:rsidR="00E82F6E" w:rsidRPr="006A4C6F">
        <w:t xml:space="preserve">the </w:t>
      </w:r>
      <w:r w:rsidR="003E1EB1">
        <w:t>PM</w:t>
      </w:r>
      <w:r w:rsidR="003E1EB1" w:rsidRPr="006A4C6F">
        <w:t xml:space="preserve"> </w:t>
      </w:r>
      <w:r w:rsidR="00E82F6E" w:rsidRPr="006A4C6F">
        <w:t>period.</w:t>
      </w:r>
      <w:r w:rsidR="00857EA3" w:rsidRPr="006A4C6F">
        <w:t xml:space="preserve"> </w:t>
      </w:r>
      <w:r w:rsidR="00A50B2C" w:rsidRPr="006A4C6F">
        <w:t xml:space="preserve">This suggests BIXI users shop more in the morning than the afternoon. </w:t>
      </w:r>
      <w:r w:rsidR="003E1EB1">
        <w:t xml:space="preserve">The parameters in the threshold also support </w:t>
      </w:r>
      <w:r w:rsidR="00BD2AFF">
        <w:t>the hypothese</w:t>
      </w:r>
      <w:r w:rsidR="003E1EB1">
        <w:t>s for these variables.</w:t>
      </w:r>
      <w:r w:rsidR="00E82F6E" w:rsidRPr="006A4C6F">
        <w:t xml:space="preserve"> </w:t>
      </w:r>
    </w:p>
    <w:p w14:paraId="54CD04F9" w14:textId="77777777" w:rsidR="006229D9" w:rsidRPr="006A4C6F" w:rsidRDefault="006229D9" w:rsidP="008A17D3">
      <w:pPr>
        <w:spacing w:line="276" w:lineRule="auto"/>
      </w:pPr>
    </w:p>
    <w:p w14:paraId="10A28AF3" w14:textId="48731888" w:rsidR="00213BD9" w:rsidRPr="00A43BE5" w:rsidRDefault="001B440D" w:rsidP="005C0035">
      <w:pPr>
        <w:pStyle w:val="Heading1"/>
        <w:numPr>
          <w:ilvl w:val="1"/>
          <w:numId w:val="30"/>
        </w:numPr>
        <w:spacing w:line="276" w:lineRule="auto"/>
        <w:ind w:left="418" w:hanging="418"/>
      </w:pPr>
      <w:r w:rsidRPr="00A43BE5">
        <w:t xml:space="preserve">TAZ </w:t>
      </w:r>
      <w:r w:rsidR="006C6349" w:rsidRPr="00A43BE5">
        <w:t>L</w:t>
      </w:r>
      <w:r w:rsidRPr="00A43BE5">
        <w:t xml:space="preserve">evel </w:t>
      </w:r>
      <w:r w:rsidR="006C6349" w:rsidRPr="00A43BE5">
        <w:t>V</w:t>
      </w:r>
      <w:r w:rsidRPr="00A43BE5">
        <w:t>ariables</w:t>
      </w:r>
    </w:p>
    <w:p w14:paraId="50A545B0" w14:textId="042F5EC3" w:rsidR="005A28BC" w:rsidRDefault="00A50B2C" w:rsidP="008A17D3">
      <w:pPr>
        <w:spacing w:line="276" w:lineRule="auto"/>
        <w:jc w:val="both"/>
      </w:pPr>
      <w:r w:rsidRPr="006A4C6F">
        <w:t>TAZ</w:t>
      </w:r>
      <w:r w:rsidR="003F2D93">
        <w:t>s</w:t>
      </w:r>
      <w:r w:rsidRPr="006A4C6F">
        <w:t xml:space="preserve"> with large industrial areas </w:t>
      </w:r>
      <w:r w:rsidR="0058678B" w:rsidRPr="006A4C6F">
        <w:t xml:space="preserve">are associated </w:t>
      </w:r>
      <w:r w:rsidR="003E1EB1">
        <w:t>with</w:t>
      </w:r>
      <w:r w:rsidR="003E1EB1" w:rsidRPr="006A4C6F">
        <w:t xml:space="preserve"> </w:t>
      </w:r>
      <w:r w:rsidR="0058678B" w:rsidRPr="006A4C6F">
        <w:t>lower availability levels.</w:t>
      </w:r>
      <w:r w:rsidRPr="006A4C6F">
        <w:t xml:space="preserve"> </w:t>
      </w:r>
      <w:r w:rsidR="000C275D" w:rsidRPr="006A4C6F">
        <w:t>This result</w:t>
      </w:r>
      <w:r w:rsidR="0058678B" w:rsidRPr="006A4C6F">
        <w:t xml:space="preserve"> seem</w:t>
      </w:r>
      <w:r w:rsidR="000C275D" w:rsidRPr="006A4C6F">
        <w:t>s</w:t>
      </w:r>
      <w:r w:rsidR="0058678B" w:rsidRPr="006A4C6F">
        <w:t xml:space="preserve"> intuitive s</w:t>
      </w:r>
      <w:r w:rsidR="000C275D" w:rsidRPr="006A4C6F">
        <w:t>ince</w:t>
      </w:r>
      <w:r w:rsidR="0058678B" w:rsidRPr="006A4C6F">
        <w:t xml:space="preserve"> industrial parts of town are less likely to be destinations for BIXI users</w:t>
      </w:r>
      <w:r w:rsidR="000C275D" w:rsidRPr="006A4C6F">
        <w:t xml:space="preserve">, and </w:t>
      </w:r>
      <w:r w:rsidR="003E1EB1">
        <w:t xml:space="preserve">unlikely to be refilled. </w:t>
      </w:r>
      <w:r w:rsidR="00005B95">
        <w:t xml:space="preserve">Further, the variable also has a significant standard deviation indicating the impact of the variable varies across stations. </w:t>
      </w:r>
      <w:r w:rsidR="008B6F0E" w:rsidRPr="006A4C6F">
        <w:t xml:space="preserve">In the second threshold, TAZ </w:t>
      </w:r>
      <w:r w:rsidR="000A14A9">
        <w:t>P</w:t>
      </w:r>
      <w:r w:rsidR="001E24F3" w:rsidRPr="006A4C6F">
        <w:t>ark</w:t>
      </w:r>
      <w:r w:rsidR="000A14A9">
        <w:t>s</w:t>
      </w:r>
      <w:r w:rsidR="001E24F3" w:rsidRPr="006A4C6F">
        <w:t xml:space="preserve"> and </w:t>
      </w:r>
      <w:r w:rsidR="000A14A9">
        <w:t>R</w:t>
      </w:r>
      <w:r w:rsidR="001E24F3" w:rsidRPr="006A4C6F">
        <w:t xml:space="preserve">ecreational </w:t>
      </w:r>
      <w:r w:rsidR="000A14A9">
        <w:t>Areas</w:t>
      </w:r>
      <w:r w:rsidR="001E24F3" w:rsidRPr="006A4C6F">
        <w:t xml:space="preserve"> </w:t>
      </w:r>
      <w:r w:rsidR="008B6F0E" w:rsidRPr="006A4C6F">
        <w:t xml:space="preserve">are associated </w:t>
      </w:r>
      <w:r w:rsidR="006229D9">
        <w:t>with</w:t>
      </w:r>
      <w:r w:rsidR="008B6F0E" w:rsidRPr="006A4C6F">
        <w:t xml:space="preserve"> a positive sign, </w:t>
      </w:r>
      <w:r w:rsidR="001E24F3" w:rsidRPr="006A4C6F">
        <w:t xml:space="preserve">indicating that stations are more likely to be </w:t>
      </w:r>
      <w:r w:rsidR="0058678B" w:rsidRPr="006A4C6F">
        <w:t xml:space="preserve">empty than balanced </w:t>
      </w:r>
      <w:r w:rsidR="001E24F3" w:rsidRPr="006A4C6F">
        <w:t xml:space="preserve">when they are located in a TAZ with lots of parks and recreational activities. </w:t>
      </w:r>
      <w:r w:rsidR="00AD76B0" w:rsidRPr="006A4C6F">
        <w:t>Finally, in the fourth threshold, TAZ</w:t>
      </w:r>
      <w:r w:rsidR="00243702">
        <w:t>s</w:t>
      </w:r>
      <w:r w:rsidR="00AD76B0" w:rsidRPr="006A4C6F">
        <w:t xml:space="preserve"> </w:t>
      </w:r>
      <w:r w:rsidR="0058678B" w:rsidRPr="006A4C6F">
        <w:t>with large c</w:t>
      </w:r>
      <w:r w:rsidR="00AD76B0" w:rsidRPr="006A4C6F">
        <w:t>ommercial</w:t>
      </w:r>
      <w:r w:rsidR="0058678B" w:rsidRPr="006A4C6F">
        <w:t xml:space="preserve"> areas </w:t>
      </w:r>
      <w:r w:rsidR="00AD76B0" w:rsidRPr="006A4C6F">
        <w:t>are more likely to have stations with high availability than stations with</w:t>
      </w:r>
      <w:r w:rsidR="003E1EB1">
        <w:t xml:space="preserve"> very</w:t>
      </w:r>
      <w:r w:rsidR="00AD76B0" w:rsidRPr="006A4C6F">
        <w:t xml:space="preserve"> high availabili</w:t>
      </w:r>
      <w:r w:rsidR="00A43769" w:rsidRPr="006A4C6F">
        <w:t>ty</w:t>
      </w:r>
      <w:r w:rsidR="0058678B" w:rsidRPr="006A4C6F">
        <w:t xml:space="preserve">. </w:t>
      </w:r>
      <w:r w:rsidR="00742658">
        <w:t xml:space="preserve">The reasons for this impact are not immediately apparent and warrant </w:t>
      </w:r>
      <w:r w:rsidR="003E1EB1">
        <w:t>further investigation.</w:t>
      </w:r>
    </w:p>
    <w:p w14:paraId="154E7F5B" w14:textId="77777777" w:rsidR="008A60E2" w:rsidRDefault="008A60E2" w:rsidP="008A17D3">
      <w:pPr>
        <w:spacing w:line="276" w:lineRule="auto"/>
        <w:jc w:val="both"/>
      </w:pPr>
    </w:p>
    <w:p w14:paraId="21E54586" w14:textId="027B6D73" w:rsidR="005C53EF" w:rsidRDefault="005C53EF" w:rsidP="00A43BE5">
      <w:pPr>
        <w:pStyle w:val="Heading1"/>
        <w:spacing w:line="276" w:lineRule="auto"/>
        <w:ind w:left="357" w:hanging="357"/>
      </w:pPr>
      <w:r w:rsidRPr="006A4C6F">
        <w:t xml:space="preserve">VALIDATION </w:t>
      </w:r>
      <w:r w:rsidR="0020037F">
        <w:t>AND SYSTEM STATE PREDICTION</w:t>
      </w:r>
    </w:p>
    <w:p w14:paraId="3BBFA8DB" w14:textId="24529F28" w:rsidR="00005B95" w:rsidRDefault="00610C06" w:rsidP="008A17D3">
      <w:pPr>
        <w:spacing w:line="276" w:lineRule="auto"/>
        <w:jc w:val="both"/>
      </w:pPr>
      <w:r w:rsidRPr="006A4C6F">
        <w:t>T</w:t>
      </w:r>
      <w:r w:rsidR="00005B95">
        <w:t xml:space="preserve">o evaluate the performance of the </w:t>
      </w:r>
      <w:r w:rsidR="00344E5A">
        <w:t>P</w:t>
      </w:r>
      <w:r w:rsidR="00005B95">
        <w:t xml:space="preserve">MGOL model, we undertake </w:t>
      </w:r>
      <w:r w:rsidR="00234269">
        <w:t>a validation exercise on a hold-</w:t>
      </w:r>
      <w:r w:rsidR="00005B95">
        <w:t xml:space="preserve">out sample. The same data processing approach is employed for the validation sample preparation. The validation exercise is undertaken at disaggregate and aggregate level. At the disaggregate level, the predictive log-likelihood of the proposed model is estimated. The predictive </w:t>
      </w:r>
      <w:r w:rsidR="00005B95" w:rsidRPr="006A4C6F">
        <w:t>log-likelihood</w:t>
      </w:r>
      <w:r w:rsidR="00005B95">
        <w:t xml:space="preserve"> is compared to the log-likelihood at 0 and log-likelihood at sample shares. The model with 32 parameters show substantial improvements relative to the log-likelihood at 0 and log-likelihood at sample shares. Specifically, the </w:t>
      </w:r>
      <w:r w:rsidR="00005B95" w:rsidRPr="006A4C6F">
        <w:t>predi</w:t>
      </w:r>
      <w:r w:rsidR="00344E5A">
        <w:t>ctive log-likelihood of the PMGO</w:t>
      </w:r>
      <w:r w:rsidR="00005B95" w:rsidRPr="006A4C6F">
        <w:t xml:space="preserve">L model </w:t>
      </w:r>
      <w:r w:rsidR="00CE492B">
        <w:t xml:space="preserve">is </w:t>
      </w:r>
      <w:r w:rsidR="0017258E">
        <w:t>-</w:t>
      </w:r>
      <w:r w:rsidR="000242EC">
        <w:t>99</w:t>
      </w:r>
      <w:r w:rsidR="0017258E">
        <w:t>,</w:t>
      </w:r>
      <w:r w:rsidR="00767260">
        <w:t>312</w:t>
      </w:r>
      <w:r w:rsidR="0017258E">
        <w:t xml:space="preserve"> </w:t>
      </w:r>
      <w:r w:rsidR="00CE492B">
        <w:t xml:space="preserve">while the corresponding numbers for </w:t>
      </w:r>
      <w:r w:rsidR="00005B95" w:rsidRPr="006A4C6F">
        <w:t>log-likelihood at 0 and at sample shares</w:t>
      </w:r>
      <w:r w:rsidR="00F62980">
        <w:t xml:space="preserve"> are -110,858</w:t>
      </w:r>
      <w:r w:rsidR="00CE492B" w:rsidRPr="006A4C6F">
        <w:t xml:space="preserve"> </w:t>
      </w:r>
      <w:r w:rsidR="00CE492B">
        <w:t>and</w:t>
      </w:r>
      <w:r w:rsidR="00F62980">
        <w:t xml:space="preserve"> -110,088</w:t>
      </w:r>
      <w:r w:rsidR="00CE492B">
        <w:t xml:space="preserve"> respectively. The log-likelihood </w:t>
      </w:r>
      <w:r w:rsidR="00653424">
        <w:t xml:space="preserve">ratio </w:t>
      </w:r>
      <w:r w:rsidR="00CE492B">
        <w:t>test statistic</w:t>
      </w:r>
      <w:r w:rsidR="00653424">
        <w:t xml:space="preserve"> defined as (2 </w:t>
      </w:r>
      <w:r w:rsidR="00EE7295">
        <w:t>×</w:t>
      </w:r>
      <w:r w:rsidR="00653424">
        <w:t xml:space="preserve"> LL</w:t>
      </w:r>
      <w:r w:rsidR="00653424" w:rsidRPr="00E17D5C">
        <w:rPr>
          <w:vertAlign w:val="subscript"/>
        </w:rPr>
        <w:t>UR</w:t>
      </w:r>
      <w:r w:rsidR="00653424">
        <w:t xml:space="preserve"> – LL</w:t>
      </w:r>
      <w:r w:rsidR="00653424" w:rsidRPr="00E17D5C">
        <w:rPr>
          <w:vertAlign w:val="subscript"/>
        </w:rPr>
        <w:t>R</w:t>
      </w:r>
      <w:r w:rsidR="00653424">
        <w:t>) is computed to evaluate the model fit improvement where LL</w:t>
      </w:r>
      <w:r w:rsidR="00653424" w:rsidRPr="005B773E">
        <w:rPr>
          <w:vertAlign w:val="subscript"/>
        </w:rPr>
        <w:t>UR</w:t>
      </w:r>
      <w:r w:rsidR="00653424">
        <w:t xml:space="preserve"> corresponds to </w:t>
      </w:r>
      <w:r w:rsidR="00E17D5C">
        <w:t xml:space="preserve">the </w:t>
      </w:r>
      <w:r w:rsidR="00653424">
        <w:t xml:space="preserve">log-likelihood of </w:t>
      </w:r>
      <w:r w:rsidR="00E17D5C">
        <w:t xml:space="preserve">the </w:t>
      </w:r>
      <w:r w:rsidR="00344E5A">
        <w:t>unrestricted model (PMGO</w:t>
      </w:r>
      <w:r w:rsidR="00653424">
        <w:t>L model) and LL</w:t>
      </w:r>
      <w:r w:rsidR="00653424" w:rsidRPr="005B773E">
        <w:rPr>
          <w:vertAlign w:val="subscript"/>
        </w:rPr>
        <w:t>R</w:t>
      </w:r>
      <w:r w:rsidR="00653424">
        <w:rPr>
          <w:vertAlign w:val="subscript"/>
        </w:rPr>
        <w:t xml:space="preserve"> </w:t>
      </w:r>
      <w:r w:rsidR="00653424" w:rsidRPr="00E17D5C">
        <w:t>corresponds</w:t>
      </w:r>
      <w:r w:rsidR="00653424">
        <w:t xml:space="preserve"> to the log-likelihood of </w:t>
      </w:r>
      <w:r w:rsidR="00E17D5C">
        <w:t xml:space="preserve">the </w:t>
      </w:r>
      <w:r w:rsidR="00653424">
        <w:t>restricted model (Model at 0 or Model with constants). The log-likelihood ratio test statistic for</w:t>
      </w:r>
      <w:r w:rsidR="00CE492B">
        <w:t xml:space="preserve"> our model relative to </w:t>
      </w:r>
      <w:r w:rsidR="00653424">
        <w:t>model at 0 and model with constants</w:t>
      </w:r>
      <w:r w:rsidR="00F62980">
        <w:t xml:space="preserve"> are</w:t>
      </w:r>
      <w:r w:rsidR="00CE492B">
        <w:t xml:space="preserve"> </w:t>
      </w:r>
      <w:r w:rsidR="000242EC">
        <w:t>23</w:t>
      </w:r>
      <w:r w:rsidR="0017258E">
        <w:t>,</w:t>
      </w:r>
      <w:r w:rsidR="00767260">
        <w:t>093</w:t>
      </w:r>
      <w:r w:rsidR="0017258E">
        <w:t xml:space="preserve"> </w:t>
      </w:r>
      <w:r w:rsidR="00CE492B">
        <w:t xml:space="preserve">and </w:t>
      </w:r>
      <w:r w:rsidR="000242EC">
        <w:t>21</w:t>
      </w:r>
      <w:r w:rsidR="0017258E">
        <w:t>,</w:t>
      </w:r>
      <w:r w:rsidR="00767260">
        <w:t>553</w:t>
      </w:r>
      <w:r w:rsidR="0017258E">
        <w:t xml:space="preserve"> </w:t>
      </w:r>
      <w:r w:rsidR="00F62980">
        <w:t>respectively. This</w:t>
      </w:r>
      <w:r w:rsidR="00CE492B">
        <w:t xml:space="preserve"> improvement in predictive log-likelihood is clearly much larger than the </w:t>
      </w:r>
      <w:r w:rsidR="00CE492B">
        <w:lastRenderedPageBreak/>
        <w:t xml:space="preserve">corresponding test statistic for chi-square distribution at any level of significance. Thus, we clearly see that the model predicts the station availability levels adequately.  </w:t>
      </w:r>
    </w:p>
    <w:p w14:paraId="1E9FAFF9" w14:textId="2254179D" w:rsidR="00260CCC" w:rsidRDefault="00CE492B" w:rsidP="008A17D3">
      <w:pPr>
        <w:spacing w:line="276" w:lineRule="auto"/>
        <w:ind w:firstLine="720"/>
        <w:jc w:val="both"/>
      </w:pPr>
      <w:r>
        <w:t xml:space="preserve">To undertake comparison at an aggregate level, we compare the predicted aggregate shares with observed aggregate shares. Specifically, we compute the </w:t>
      </w:r>
      <w:r w:rsidRPr="006A4C6F">
        <w:t>mean absolute percent error (MAPE) value</w:t>
      </w:r>
      <w:r>
        <w:t xml:space="preserve"> and </w:t>
      </w:r>
      <w:r w:rsidRPr="006A4C6F">
        <w:t>root mean square error (RMSE)</w:t>
      </w:r>
      <w:r>
        <w:t xml:space="preserve"> of the predicted shares relative to observed shares. In addition to the full sample comparison, we also examine model performance for two spatial categories: (1) Downtown and Old port and (2) &gt; 5kms from Downtown. The results for the comparison are presented in Table </w:t>
      </w:r>
      <w:r w:rsidR="00453E43">
        <w:t>2</w:t>
      </w:r>
      <w:r>
        <w:t xml:space="preserve">. Across all three categories, we observe that the aggregate model performance is very reasonable with MAPE ranging from </w:t>
      </w:r>
      <w:r w:rsidR="00662188">
        <w:t>2.8</w:t>
      </w:r>
      <w:r>
        <w:t xml:space="preserve">% to </w:t>
      </w:r>
      <w:r w:rsidR="00662188">
        <w:t>7.1</w:t>
      </w:r>
      <w:r>
        <w:t xml:space="preserve">%. </w:t>
      </w:r>
      <w:r w:rsidR="00260CCC">
        <w:t xml:space="preserve">The RMSE values range from </w:t>
      </w:r>
      <w:r w:rsidR="00662188">
        <w:t>0.76</w:t>
      </w:r>
      <w:r w:rsidR="00F62980">
        <w:t xml:space="preserve"> to </w:t>
      </w:r>
      <w:r w:rsidR="00662188">
        <w:t>1.86</w:t>
      </w:r>
      <w:r w:rsidR="00260CCC">
        <w:t xml:space="preserve">. Overall, the results indicate high prediction accuracy </w:t>
      </w:r>
      <w:r w:rsidR="00662188">
        <w:t xml:space="preserve">around the city with slightly lower prediction accuracy near </w:t>
      </w:r>
      <w:r w:rsidR="00260CCC">
        <w:t>downtown. Even at the</w:t>
      </w:r>
      <w:r w:rsidR="00662188">
        <w:t xml:space="preserve"> downtown with higher usage</w:t>
      </w:r>
      <w:r w:rsidR="00260CCC">
        <w:t xml:space="preserve">, the errors are quite satisfactory. </w:t>
      </w:r>
      <w:r w:rsidR="00BD2AFF">
        <w:t xml:space="preserve">Further, we </w:t>
      </w:r>
      <w:r w:rsidR="00260CCC">
        <w:t xml:space="preserve">observe a slight over prediction in the </w:t>
      </w:r>
      <w:r w:rsidR="00662188">
        <w:t xml:space="preserve">very low availability especially in the downtown area </w:t>
      </w:r>
      <w:r w:rsidR="00260CCC">
        <w:t xml:space="preserve">based on our model results. </w:t>
      </w:r>
    </w:p>
    <w:p w14:paraId="3EBDA913" w14:textId="59C01ED3" w:rsidR="00736F2E" w:rsidRDefault="00182985" w:rsidP="00965F9E">
      <w:pPr>
        <w:spacing w:line="276" w:lineRule="auto"/>
        <w:ind w:firstLine="720"/>
        <w:jc w:val="both"/>
      </w:pPr>
      <w:r>
        <w:t xml:space="preserve">The main strength of the model framework developed is the ability to predict the future availability levels in the bike sharing system. To illustrate </w:t>
      </w:r>
      <w:r w:rsidR="0079447B">
        <w:t>this,</w:t>
      </w:r>
      <w:r>
        <w:t xml:space="preserve"> we provide snapshots of BIXI system availability at 4 instances of the day</w:t>
      </w:r>
      <w:r w:rsidR="00634943" w:rsidRPr="00634943">
        <w:t xml:space="preserve"> </w:t>
      </w:r>
      <w:r w:rsidR="00634943">
        <w:t>for a Wednesday in the validation sample</w:t>
      </w:r>
      <w:r>
        <w:t xml:space="preserve">. </w:t>
      </w:r>
      <w:r w:rsidR="003C5A58">
        <w:t xml:space="preserve">To be sure, the model developed is a probabilistic model and thus only provides the probability of an availability level. To </w:t>
      </w:r>
      <w:r w:rsidR="000043F5">
        <w:t xml:space="preserve">assign </w:t>
      </w:r>
      <w:r w:rsidR="003C5A58">
        <w:t>the actual availability</w:t>
      </w:r>
      <w:r w:rsidR="000043F5">
        <w:t xml:space="preserve">, we label the alternative with the highest predicted probability as the chosen alternative. </w:t>
      </w:r>
      <w:r w:rsidR="003C5A58">
        <w:t xml:space="preserve">A system state prediction based on </w:t>
      </w:r>
      <w:r w:rsidR="000043F5">
        <w:t>this approach</w:t>
      </w:r>
      <w:r w:rsidR="00634943">
        <w:t xml:space="preserve"> is presented</w:t>
      </w:r>
      <w:r w:rsidR="003C5A58">
        <w:t xml:space="preserve"> in Figure</w:t>
      </w:r>
      <w:r w:rsidR="002F4018">
        <w:t>s</w:t>
      </w:r>
      <w:r w:rsidR="003C5A58">
        <w:t xml:space="preserve"> 2</w:t>
      </w:r>
      <w:r w:rsidR="00634943">
        <w:t xml:space="preserve"> and 3</w:t>
      </w:r>
      <w:r w:rsidR="003C5A58">
        <w:t xml:space="preserve">. </w:t>
      </w:r>
      <w:r w:rsidR="00393CC6">
        <w:t>The figure</w:t>
      </w:r>
      <w:r w:rsidR="00634943">
        <w:t>s</w:t>
      </w:r>
      <w:r w:rsidR="00393CC6">
        <w:t xml:space="preserve"> provide evidence of the model</w:t>
      </w:r>
      <w:r w:rsidR="00F62980">
        <w:t>’</w:t>
      </w:r>
      <w:r w:rsidR="00393CC6">
        <w:t xml:space="preserve">s applicability for system state prediction. </w:t>
      </w:r>
      <w:r w:rsidR="00234269">
        <w:t>The figure</w:t>
      </w:r>
      <w:r w:rsidR="00634943">
        <w:t>s</w:t>
      </w:r>
      <w:r w:rsidR="00234269">
        <w:t xml:space="preserve"> illustrate the applicability of the proposed model for real-time BSS availability prediction. </w:t>
      </w:r>
    </w:p>
    <w:p w14:paraId="2F37746C" w14:textId="77777777" w:rsidR="00BF5974" w:rsidRDefault="00342734" w:rsidP="00A52101">
      <w:pPr>
        <w:spacing w:line="276" w:lineRule="auto"/>
        <w:ind w:firstLine="720"/>
        <w:jc w:val="both"/>
      </w:pPr>
      <w:r w:rsidRPr="00342734">
        <w:t>BSS operators can plan their rebalancing operations in advance based on expected trends of availability generated by the model. Having a good estimate of BSS’s problematic stations and the availability state at each station can help the BSS operators to efficiently preplan their refill and removal operations. If the stations that are most likely to be full or empty in each period are known to the operators, incentive programs can be designed to encourage users to contribute to the system redistribution. In the long term, the model can be re-estimated at regular intervals to allow for the additional feedback associated with the changes in demand and users’ behaviour.</w:t>
      </w:r>
    </w:p>
    <w:p w14:paraId="7F78709D" w14:textId="77777777" w:rsidR="008A60E2" w:rsidRPr="006A4C6F" w:rsidRDefault="008A60E2" w:rsidP="008A17D3">
      <w:pPr>
        <w:spacing w:line="276" w:lineRule="auto"/>
      </w:pPr>
    </w:p>
    <w:p w14:paraId="34768D77" w14:textId="259C881E" w:rsidR="005A28BC" w:rsidRPr="006A4C6F" w:rsidRDefault="005A28BC" w:rsidP="00A43BE5">
      <w:pPr>
        <w:pStyle w:val="Heading1"/>
        <w:spacing w:line="276" w:lineRule="auto"/>
        <w:ind w:left="357" w:hanging="357"/>
      </w:pPr>
      <w:r w:rsidRPr="006A4C6F">
        <w:t>CONCLUSIONS</w:t>
      </w:r>
      <w:r w:rsidR="0095000F">
        <w:t xml:space="preserve"> AND </w:t>
      </w:r>
      <w:r w:rsidR="0095000F" w:rsidRPr="006A4C6F">
        <w:t>FUTURE WORK</w:t>
      </w:r>
    </w:p>
    <w:p w14:paraId="183532B6" w14:textId="6EE25B5E" w:rsidR="00BE01D0" w:rsidRPr="006A4C6F" w:rsidRDefault="00BE01D0" w:rsidP="008A17D3">
      <w:pPr>
        <w:keepNext/>
        <w:spacing w:line="276" w:lineRule="auto"/>
        <w:jc w:val="both"/>
      </w:pPr>
      <w:r w:rsidRPr="006A4C6F">
        <w:t>Bicycle sharing systems (BSS) have been receiving increasing attention in recent years as complementary modes of transportation in urban areas around the world.</w:t>
      </w:r>
      <w:r>
        <w:t xml:space="preserve"> </w:t>
      </w:r>
      <w:r w:rsidRPr="006A4C6F">
        <w:t>Earlier research exploring BSS has mainly focused on arrivals and departures from a station. The current study addresses this research gap</w:t>
      </w:r>
      <w:r>
        <w:t xml:space="preserve"> </w:t>
      </w:r>
      <w:r w:rsidRPr="006A4C6F">
        <w:t xml:space="preserve">by examining bicycle availability at a station as a direct metric of analysis.  </w:t>
      </w:r>
      <w:r>
        <w:t>Specifically, we estimate an</w:t>
      </w:r>
      <w:r w:rsidRPr="006A4C6F">
        <w:t xml:space="preserve"> </w:t>
      </w:r>
      <w:r>
        <w:t xml:space="preserve">ordered regression model - </w:t>
      </w:r>
      <w:r w:rsidRPr="006A4C6F">
        <w:t xml:space="preserve">panel </w:t>
      </w:r>
      <w:r>
        <w:t xml:space="preserve">mixed </w:t>
      </w:r>
      <w:r w:rsidRPr="006A4C6F">
        <w:t>generalized ordered logit model</w:t>
      </w:r>
      <w:r>
        <w:t xml:space="preserve"> -</w:t>
      </w:r>
      <w:r w:rsidRPr="006A4C6F">
        <w:t xml:space="preserve"> to accommodate for </w:t>
      </w:r>
      <w:r>
        <w:t xml:space="preserve">exogenous variables and station level </w:t>
      </w:r>
      <w:r w:rsidRPr="006A4C6F">
        <w:t xml:space="preserve">unobserved factors. </w:t>
      </w:r>
      <w:r w:rsidR="00E17D5C">
        <w:t>D</w:t>
      </w:r>
      <w:r>
        <w:t xml:space="preserve">ata from </w:t>
      </w:r>
      <w:r w:rsidR="00E17D5C">
        <w:t>Montreal’s BIXI system</w:t>
      </w:r>
      <w:r>
        <w:t xml:space="preserve"> for the summer of 2012 is </w:t>
      </w:r>
      <w:r>
        <w:lastRenderedPageBreak/>
        <w:t xml:space="preserve">employed for model estimation. The model estimation results are intuitive and along expected lines. Specifically, we observe that BIXI is used more in the afternoon than in the morning, </w:t>
      </w:r>
      <w:r w:rsidRPr="006A4C6F">
        <w:t xml:space="preserve">dense areas tend to be associated </w:t>
      </w:r>
      <w:r>
        <w:t>with</w:t>
      </w:r>
      <w:r w:rsidRPr="006A4C6F">
        <w:t xml:space="preserve"> lower availability levels</w:t>
      </w:r>
      <w:r>
        <w:t xml:space="preserve">, and interactions of time of day with land use impact availability. </w:t>
      </w:r>
      <w:r w:rsidRPr="006A4C6F">
        <w:t xml:space="preserve">The </w:t>
      </w:r>
      <w:r>
        <w:t>estimated</w:t>
      </w:r>
      <w:r w:rsidRPr="006A4C6F">
        <w:t xml:space="preserve"> model is validated using a hold-out sample of data from the summer of 2013. </w:t>
      </w:r>
      <w:r>
        <w:t xml:space="preserve">The model validation results clearly highlight the predictive capability of the proposed model. </w:t>
      </w:r>
      <w:r w:rsidRPr="006A4C6F">
        <w:t xml:space="preserve">Finally, to illustrate its applicability, </w:t>
      </w:r>
      <w:r>
        <w:t xml:space="preserve">we provide system state snapshots for the BIXI system at 4 instances of the day. </w:t>
      </w:r>
      <w:r w:rsidR="00883D04">
        <w:t xml:space="preserve">Such system state prediction </w:t>
      </w:r>
      <w:r w:rsidR="0079447B">
        <w:t>serves</w:t>
      </w:r>
      <w:r w:rsidR="00883D04">
        <w:t xml:space="preserve"> as useful inputs for undertaking rebalancing exercises.</w:t>
      </w:r>
    </w:p>
    <w:p w14:paraId="03DE2459" w14:textId="7424CB36" w:rsidR="005A28BC" w:rsidRPr="006A4C6F" w:rsidRDefault="00A82C23" w:rsidP="008A17D3">
      <w:pPr>
        <w:keepNext/>
        <w:spacing w:line="276" w:lineRule="auto"/>
        <w:ind w:firstLine="720"/>
        <w:jc w:val="both"/>
      </w:pPr>
      <w:r w:rsidRPr="006A4C6F">
        <w:t>Future work sh</w:t>
      </w:r>
      <w:r w:rsidR="004A560C" w:rsidRPr="006A4C6F">
        <w:t>ould investigate</w:t>
      </w:r>
      <w:r w:rsidR="005A28BC" w:rsidRPr="006A4C6F">
        <w:t xml:space="preserve"> the level of data aggregation. The original data was collected on a minute-per-minute basis. This is too fine a resolution for most practical purposes, but whether the data should be aggregated at a 5 minute, 15 minute, half hour, or as we did before at the hourly level, is open to debate and s</w:t>
      </w:r>
      <w:r w:rsidR="004A560C" w:rsidRPr="006A4C6F">
        <w:t xml:space="preserve">hould be investigated further. </w:t>
      </w:r>
      <w:r w:rsidR="00016233">
        <w:t xml:space="preserve">With the emergence of dockless bikeshare systems with embedded GPS, it might be possible to consider real-time data for rebalancing. </w:t>
      </w:r>
      <w:r w:rsidR="00883D04">
        <w:t>Another aspect of interest is the influence of spatial spillover effects from neighboring stations in the system.</w:t>
      </w:r>
      <w:r w:rsidR="00567000">
        <w:t xml:space="preserve"> </w:t>
      </w:r>
      <w:r w:rsidR="005E000C">
        <w:t xml:space="preserve">The models should also consider qualitative indicators such as quality of bicycling and transportation infrastructure in future </w:t>
      </w:r>
      <w:r w:rsidR="00CD50EA">
        <w:t xml:space="preserve">study </w:t>
      </w:r>
      <w:r w:rsidR="005E000C">
        <w:t xml:space="preserve">efforts. </w:t>
      </w:r>
      <w:r w:rsidR="00567000">
        <w:t>Finally, the predictive models need to be tied to optimization routines to improve routing decision for rebalancing trucks.</w:t>
      </w:r>
    </w:p>
    <w:p w14:paraId="7AFB56AA" w14:textId="77777777" w:rsidR="005A28BC" w:rsidRDefault="005A28BC" w:rsidP="008A17D3">
      <w:pPr>
        <w:spacing w:line="276" w:lineRule="auto"/>
      </w:pPr>
    </w:p>
    <w:p w14:paraId="64171291" w14:textId="1DE1E60D" w:rsidR="00A82C23" w:rsidRDefault="00551BDA" w:rsidP="008A17D3">
      <w:pPr>
        <w:spacing w:line="276" w:lineRule="auto"/>
        <w:rPr>
          <w:b/>
        </w:rPr>
      </w:pPr>
      <w:r>
        <w:rPr>
          <w:b/>
        </w:rPr>
        <w:t>A</w:t>
      </w:r>
      <w:r w:rsidR="00B827B2">
        <w:rPr>
          <w:b/>
        </w:rPr>
        <w:t>CKNOWLEDGMENTS</w:t>
      </w:r>
    </w:p>
    <w:p w14:paraId="4E29E56B" w14:textId="576F7204" w:rsidR="00234269" w:rsidRDefault="005A28BC" w:rsidP="008A17D3">
      <w:pPr>
        <w:spacing w:line="276" w:lineRule="auto"/>
        <w:jc w:val="both"/>
      </w:pPr>
      <w:r w:rsidRPr="006A4C6F">
        <w:t xml:space="preserve">The research presented in this report would not have come to fruition without the gracious help of Sabreena Anowar and Shamsunnahar Yasmin. </w:t>
      </w:r>
      <w:r w:rsidR="0049055B" w:rsidRPr="006A4C6F">
        <w:t>Funding from the National Sciences and Engineering Research Council (NSERC) and the Fonds Québécois de Recherche Nature et Technologies is also acknowledged.</w:t>
      </w:r>
      <w:r w:rsidR="00B725E0">
        <w:t xml:space="preserve"> </w:t>
      </w:r>
      <w:r w:rsidR="00B725E0" w:rsidRPr="00B725E0">
        <w:t xml:space="preserve">The authors would like to acknowledge insightful feedback on an earlier version of the manuscript from </w:t>
      </w:r>
      <w:r w:rsidR="00B725E0">
        <w:t>three</w:t>
      </w:r>
      <w:r w:rsidR="00B725E0" w:rsidRPr="00B725E0">
        <w:t xml:space="preserve"> anonymous reviewers and the editor.</w:t>
      </w:r>
    </w:p>
    <w:p w14:paraId="1701D7CA" w14:textId="77777777" w:rsidR="00234269" w:rsidRDefault="00234269" w:rsidP="008A17D3">
      <w:pPr>
        <w:spacing w:line="276" w:lineRule="auto"/>
        <w:jc w:val="both"/>
        <w:rPr>
          <w:b/>
        </w:rPr>
      </w:pPr>
    </w:p>
    <w:p w14:paraId="133AD8F3" w14:textId="152244AA" w:rsidR="005E0B01" w:rsidRDefault="005A28BC" w:rsidP="008A17D3">
      <w:pPr>
        <w:spacing w:line="276" w:lineRule="auto"/>
        <w:jc w:val="both"/>
        <w:rPr>
          <w:b/>
        </w:rPr>
      </w:pPr>
      <w:r w:rsidRPr="009B1A2A">
        <w:rPr>
          <w:b/>
        </w:rPr>
        <w:t>R</w:t>
      </w:r>
      <w:r w:rsidR="00F64AE3" w:rsidRPr="009B1A2A">
        <w:rPr>
          <w:b/>
        </w:rPr>
        <w:t>EFERENCES</w:t>
      </w:r>
    </w:p>
    <w:p w14:paraId="05BCC2EF" w14:textId="77777777" w:rsidR="009A5211" w:rsidRDefault="009A5211" w:rsidP="009A5211">
      <w:pPr>
        <w:spacing w:line="276" w:lineRule="auto"/>
        <w:ind w:left="432" w:hanging="432"/>
        <w:jc w:val="both"/>
      </w:pPr>
      <w:r>
        <w:t>Ahmed, F., Rose, G., Figliozzi, M., Jakob, C., 2012. Commuter cyclist's sensitivity to changes in weather: insight from two cities with different climatic conditions. Transportation Research Board Annual Meeting, 91st,2012, Washington, DC, USA.</w:t>
      </w:r>
    </w:p>
    <w:p w14:paraId="7F43B222" w14:textId="517E2546" w:rsidR="005E0B01" w:rsidRPr="00AA5613" w:rsidRDefault="005E0B01" w:rsidP="008A17D3">
      <w:pPr>
        <w:spacing w:line="276" w:lineRule="auto"/>
        <w:ind w:left="432" w:hanging="432"/>
        <w:jc w:val="both"/>
      </w:pPr>
      <w:r w:rsidRPr="00AA5613">
        <w:t>Bachand-Marleau, J., Lee, B. H. Y., &amp; El-Geneidy, A. M. (2012). Better Understanding of Factors Influencing Likelihood of Using Shared Bicycle Systems and Frequency of Use. Transportation Research Record: Journal of the Transportation Research Board, 2314(-1), 66–71. doi:10.3141/2314-09</w:t>
      </w:r>
    </w:p>
    <w:p w14:paraId="56D838F6" w14:textId="6F68C558" w:rsidR="005E0B01" w:rsidRPr="00AA5613" w:rsidRDefault="005E0B01" w:rsidP="008A17D3">
      <w:pPr>
        <w:spacing w:line="276" w:lineRule="auto"/>
        <w:ind w:left="432" w:hanging="432"/>
        <w:jc w:val="both"/>
      </w:pPr>
      <w:r w:rsidRPr="00AA5613">
        <w:t>Bhat, C.R. (2001). "Quasi-Random Maximum Simulated Likelihood Estimation of the Mixed Multinomial Logit Model", Transportation Resea</w:t>
      </w:r>
      <w:r w:rsidR="009F799F">
        <w:t xml:space="preserve">rch Part B, Vol. 35, No. 7, pp. </w:t>
      </w:r>
      <w:r w:rsidRPr="00AA5613">
        <w:t>677-693.</w:t>
      </w:r>
    </w:p>
    <w:p w14:paraId="6853340D" w14:textId="1AE5ECF2" w:rsidR="0014138A" w:rsidRPr="0014138A" w:rsidRDefault="0014138A" w:rsidP="00212701">
      <w:pPr>
        <w:spacing w:line="276" w:lineRule="auto"/>
        <w:ind w:left="432" w:hanging="432"/>
        <w:jc w:val="both"/>
        <w:rPr>
          <w:iCs/>
        </w:rPr>
      </w:pPr>
      <w:r w:rsidRPr="0014138A">
        <w:rPr>
          <w:iCs/>
        </w:rPr>
        <w:lastRenderedPageBreak/>
        <w:t>Bouveyron, C</w:t>
      </w:r>
      <w:r>
        <w:rPr>
          <w:iCs/>
        </w:rPr>
        <w:t>.,</w:t>
      </w:r>
      <w:r w:rsidRPr="0014138A">
        <w:rPr>
          <w:iCs/>
        </w:rPr>
        <w:t xml:space="preserve"> Côme, E</w:t>
      </w:r>
      <w:r>
        <w:rPr>
          <w:iCs/>
        </w:rPr>
        <w:t>.,</w:t>
      </w:r>
      <w:r w:rsidRPr="0014138A">
        <w:rPr>
          <w:iCs/>
        </w:rPr>
        <w:t xml:space="preserve"> Jacques, J</w:t>
      </w:r>
      <w:r>
        <w:rPr>
          <w:iCs/>
        </w:rPr>
        <w:t>. (2015)</w:t>
      </w:r>
      <w:r w:rsidRPr="0014138A">
        <w:rPr>
          <w:iCs/>
        </w:rPr>
        <w:t>. The discriminative functional mixture model for a comparative analysis of bike sharing systems. Ann</w:t>
      </w:r>
      <w:r>
        <w:rPr>
          <w:iCs/>
        </w:rPr>
        <w:t xml:space="preserve">als of </w:t>
      </w:r>
      <w:r w:rsidRPr="0014138A">
        <w:rPr>
          <w:iCs/>
        </w:rPr>
        <w:t>Appl</w:t>
      </w:r>
      <w:r>
        <w:rPr>
          <w:iCs/>
        </w:rPr>
        <w:t>ied</w:t>
      </w:r>
      <w:r w:rsidRPr="0014138A">
        <w:rPr>
          <w:iCs/>
        </w:rPr>
        <w:t xml:space="preserve"> Stat</w:t>
      </w:r>
      <w:r>
        <w:rPr>
          <w:iCs/>
        </w:rPr>
        <w:t>istics, Vol. 9</w:t>
      </w:r>
      <w:r w:rsidRPr="0014138A">
        <w:rPr>
          <w:iCs/>
        </w:rPr>
        <w:t>,</w:t>
      </w:r>
      <w:r>
        <w:rPr>
          <w:iCs/>
        </w:rPr>
        <w:t xml:space="preserve"> pp.</w:t>
      </w:r>
      <w:r w:rsidRPr="0014138A">
        <w:rPr>
          <w:iCs/>
        </w:rPr>
        <w:t xml:space="preserve"> 1726--1760. </w:t>
      </w:r>
    </w:p>
    <w:p w14:paraId="6318B84F" w14:textId="77777777" w:rsidR="003E13EA" w:rsidRPr="004D1942" w:rsidRDefault="003E13EA" w:rsidP="00965F9E">
      <w:pPr>
        <w:spacing w:line="276" w:lineRule="auto"/>
        <w:ind w:left="432" w:hanging="432"/>
        <w:jc w:val="both"/>
        <w:rPr>
          <w:iCs/>
        </w:rPr>
      </w:pPr>
      <w:r w:rsidRPr="00700095">
        <w:rPr>
          <w:iCs/>
        </w:rPr>
        <w:t xml:space="preserve">Buck, D., Buehler, R., 2012. Bike lanes and other determinants of capital bikeshare trips. Paper presented at the 91st Transportation Research Board Annual Meeting 2012, Washington, DC. </w:t>
      </w:r>
    </w:p>
    <w:p w14:paraId="3E3485DD" w14:textId="7E173853" w:rsidR="009F799F" w:rsidRPr="00AA5613" w:rsidRDefault="009F799F" w:rsidP="008A17D3">
      <w:pPr>
        <w:spacing w:line="276" w:lineRule="auto"/>
        <w:ind w:left="432" w:hanging="432"/>
        <w:jc w:val="both"/>
      </w:pPr>
      <w:r w:rsidRPr="00AA5613">
        <w:t>Buck, D., Buehler, R., Happ, P., Rawls, B., Chung, P., &amp; Borecki, N. (2013). Are Bikeshare Users Different from Regular Cyclists?: A First Look at Short-Term Users, Annual Members, and Area Cyclists in the Washington, D.C., Region. Transportation Research Record: Journal of the Transportation Research Board, 2387(-1), 112–119. doi:10.3141/2387-13</w:t>
      </w:r>
    </w:p>
    <w:p w14:paraId="477E8FAF" w14:textId="6E9DC45F" w:rsidR="0023237C" w:rsidRDefault="0023237C" w:rsidP="008A17D3">
      <w:pPr>
        <w:spacing w:line="276" w:lineRule="auto"/>
        <w:ind w:left="432" w:hanging="432"/>
        <w:jc w:val="both"/>
      </w:pPr>
      <w:r w:rsidRPr="0023237C">
        <w:t>Bullock, C., Brereton, F. and Bailey, S., 2017. The economic contribution of public bike-share to the sustainability and efficient functioning of cities. Sustainable cities and society, 28, pp.76-87</w:t>
      </w:r>
    </w:p>
    <w:p w14:paraId="51A817DB" w14:textId="37DD7FDA" w:rsidR="005E0B01" w:rsidRPr="00AA5613" w:rsidRDefault="005E0B01" w:rsidP="008A17D3">
      <w:pPr>
        <w:spacing w:line="276" w:lineRule="auto"/>
        <w:ind w:left="432" w:hanging="432"/>
        <w:jc w:val="both"/>
      </w:pPr>
      <w:r w:rsidRPr="00AA5613">
        <w:t>Cervero, R., Caldwell, B., &amp; Cuellar, J. (2013). Bike-and-ride: build it and they will come. </w:t>
      </w:r>
      <w:r w:rsidRPr="005E0B01">
        <w:rPr>
          <w:iCs/>
        </w:rPr>
        <w:t>Journal of Public Transportation,</w:t>
      </w:r>
      <w:r w:rsidRPr="00AA5613">
        <w:t> 16.4, 83-105.</w:t>
      </w:r>
    </w:p>
    <w:p w14:paraId="4EE3080D" w14:textId="3D2E60B5" w:rsidR="005E0B01" w:rsidRPr="00AA5613" w:rsidRDefault="005E0B01" w:rsidP="008A17D3">
      <w:pPr>
        <w:spacing w:line="276" w:lineRule="auto"/>
        <w:ind w:left="432" w:hanging="432"/>
        <w:jc w:val="both"/>
      </w:pPr>
      <w:r w:rsidRPr="00AA5613">
        <w:t xml:space="preserve">Dutzik, T., and Baxandall, P. (2013). A new direction: Our changing relationship with driving and the implications for America’s future. U.S. PIRG </w:t>
      </w:r>
    </w:p>
    <w:p w14:paraId="386EA75D" w14:textId="7A057EBB" w:rsidR="009F799F" w:rsidRDefault="009F799F" w:rsidP="00212701">
      <w:pPr>
        <w:spacing w:line="276" w:lineRule="auto"/>
        <w:ind w:left="432" w:hanging="432"/>
        <w:jc w:val="both"/>
      </w:pPr>
      <w:r w:rsidRPr="00AA5613">
        <w:t xml:space="preserve">Eluru N. (2013). Evaluating Alternate Discrete Choice Frameworks for Modeling Ordinal Discrete Variables, Accident Analysis &amp; Prevention, 55 (1), pp. 1-11 </w:t>
      </w:r>
    </w:p>
    <w:p w14:paraId="790ACBF5" w14:textId="5130BF84" w:rsidR="00965F9E" w:rsidRPr="00AA5613" w:rsidRDefault="00965F9E" w:rsidP="00212701">
      <w:pPr>
        <w:spacing w:line="276" w:lineRule="auto"/>
        <w:ind w:left="432" w:hanging="432"/>
        <w:jc w:val="both"/>
      </w:pPr>
      <w:r w:rsidRPr="00965F9E">
        <w:t>Eluru N., and S. Yasmin (2015)A note on Generalized Ordered Outcome Models, Analytic Methods in Accident Research Vol 8, pp. 1-6</w:t>
      </w:r>
    </w:p>
    <w:p w14:paraId="58A8A995" w14:textId="6D27D890" w:rsidR="009F799F" w:rsidRPr="00AA5613" w:rsidRDefault="009F799F" w:rsidP="00A43BE5">
      <w:pPr>
        <w:spacing w:line="276" w:lineRule="auto"/>
        <w:ind w:left="432" w:hanging="432"/>
        <w:jc w:val="both"/>
      </w:pPr>
      <w:r w:rsidRPr="00AA5613">
        <w:t xml:space="preserve">Eluru, N., C.R. Bhat, and D.A. Hensher (2008). A Mixed Generalized Ordered Response Model for Examining Pedestrian and Bicyclist Injury Severity Level in Traffic Crashes, Accident Analysis &amp; Prevention, Vol. 40, No.3, pp. 1033-1054 </w:t>
      </w:r>
    </w:p>
    <w:p w14:paraId="76B8A858" w14:textId="2CABF344" w:rsidR="005E0B01" w:rsidRPr="005E0B01" w:rsidRDefault="005E0B01" w:rsidP="00EC0263">
      <w:pPr>
        <w:spacing w:line="276" w:lineRule="auto"/>
        <w:ind w:left="432" w:hanging="432"/>
        <w:jc w:val="both"/>
        <w:rPr>
          <w:bCs/>
        </w:rPr>
      </w:pPr>
      <w:r w:rsidRPr="00AA5613">
        <w:t>Faghih</w:t>
      </w:r>
      <w:r w:rsidRPr="005E0B01">
        <w:rPr>
          <w:bCs/>
        </w:rPr>
        <w:t xml:space="preserve">-Imani A., N. Eluru, A. El-Geneidy, M. Rabbat, and U. Haq, (2014). How land-use and urban form impact bicycle flows: Evidence from the bicycle-sharing system (BIXI) in Montreal, </w:t>
      </w:r>
      <w:r w:rsidRPr="005E0B01">
        <w:rPr>
          <w:bCs/>
          <w:iCs/>
        </w:rPr>
        <w:t>Journal of Transport Geography</w:t>
      </w:r>
      <w:r w:rsidRPr="005E0B01">
        <w:rPr>
          <w:bCs/>
        </w:rPr>
        <w:t xml:space="preserve">, Vol. 41, pp. 306-314. </w:t>
      </w:r>
    </w:p>
    <w:p w14:paraId="65279BC0" w14:textId="77B27728" w:rsidR="00AA5BCF" w:rsidRDefault="00AA5BCF" w:rsidP="008A17D3">
      <w:pPr>
        <w:spacing w:line="276" w:lineRule="auto"/>
        <w:ind w:left="432" w:hanging="432"/>
        <w:jc w:val="both"/>
      </w:pPr>
      <w:r w:rsidRPr="00700095">
        <w:t>Faghih-Imani A., and N. Eluru, 2015. Analyzing Bicycle Sharing System User Destination Choice Preferences: An Investigation of Chicago's Divvy System, Journal of Transport Geography, Vol. 44, pp. 53-64.</w:t>
      </w:r>
    </w:p>
    <w:p w14:paraId="1492358A" w14:textId="681763CB" w:rsidR="00935974" w:rsidRDefault="00935974" w:rsidP="008A17D3">
      <w:pPr>
        <w:spacing w:line="276" w:lineRule="auto"/>
        <w:ind w:left="432" w:hanging="432"/>
        <w:jc w:val="both"/>
      </w:pPr>
      <w:r w:rsidRPr="00935974">
        <w:t>Faghih-Imani, A., and N. Eluru (2016</w:t>
      </w:r>
      <w:r>
        <w:t>a</w:t>
      </w:r>
      <w:r w:rsidRPr="00935974">
        <w:t>), "Incorporating the Impact of Spatio-Temporal Interactions on Bicycle Sharing System Demand: A Case Study of New York CitiBike System," Journal of Transport Geography, Vol 54, June 2016, pp. 218-227</w:t>
      </w:r>
    </w:p>
    <w:p w14:paraId="54ED3C43" w14:textId="77DF1D68" w:rsidR="00935974" w:rsidRDefault="00935974" w:rsidP="00935974">
      <w:pPr>
        <w:autoSpaceDE w:val="0"/>
        <w:autoSpaceDN w:val="0"/>
        <w:adjustRightInd w:val="0"/>
        <w:ind w:left="576" w:hanging="576"/>
        <w:jc w:val="both"/>
      </w:pPr>
      <w:r w:rsidRPr="00935974">
        <w:t>Faghih-Imani, A., and N. Eluru (2016</w:t>
      </w:r>
      <w:r>
        <w:t>b</w:t>
      </w:r>
      <w:r w:rsidRPr="00935974">
        <w:t>), "Determining the Role of Bicycle Sharing System Infrastructure Installation Decision on Usage: Case Study of Montreal BIXI System," Transportation Research Part A 94C pp. 685-698</w:t>
      </w:r>
    </w:p>
    <w:p w14:paraId="57C02508" w14:textId="51115562" w:rsidR="00935974" w:rsidRDefault="00935974" w:rsidP="00935974">
      <w:pPr>
        <w:autoSpaceDE w:val="0"/>
        <w:autoSpaceDN w:val="0"/>
        <w:adjustRightInd w:val="0"/>
        <w:ind w:left="576" w:hanging="576"/>
        <w:jc w:val="both"/>
      </w:pPr>
      <w:r w:rsidRPr="00AA5BCF">
        <w:t>Faghih-Imani, A., Hampshire</w:t>
      </w:r>
      <w:r>
        <w:t>, R.C., Marla, L. and Eluru, N.</w:t>
      </w:r>
      <w:r w:rsidRPr="00AA5BCF">
        <w:t xml:space="preserve"> </w:t>
      </w:r>
      <w:r>
        <w:t>(</w:t>
      </w:r>
      <w:r w:rsidR="00B20179" w:rsidRPr="00AA5BCF">
        <w:t>201</w:t>
      </w:r>
      <w:r w:rsidR="00B20179">
        <w:t>7</w:t>
      </w:r>
      <w:r>
        <w:t>)</w:t>
      </w:r>
      <w:r w:rsidRPr="00AA5BCF">
        <w:t xml:space="preserve">. An Empirical Analysis of Bike Sharing Usage and Rebalancing: Evidence from Barcelona and Seville. </w:t>
      </w:r>
      <w:r>
        <w:t>T</w:t>
      </w:r>
      <w:r w:rsidRPr="00935974">
        <w:t>ransportation Research Part A: Policy and Practice Volume 97, Pages 177-191</w:t>
      </w:r>
      <w:r w:rsidRPr="00AA5BCF">
        <w:t>.</w:t>
      </w:r>
    </w:p>
    <w:p w14:paraId="678825C0" w14:textId="165DA731" w:rsidR="009F799F" w:rsidRPr="00AA5613" w:rsidRDefault="009F799F" w:rsidP="008A17D3">
      <w:pPr>
        <w:spacing w:line="276" w:lineRule="auto"/>
        <w:ind w:left="432" w:hanging="432"/>
        <w:jc w:val="both"/>
      </w:pPr>
      <w:r w:rsidRPr="00AA5613">
        <w:lastRenderedPageBreak/>
        <w:t>Fishman, E., Washington, S., Haworth, N. (2014). Bike share’s impact on car use: Evidence from the United States, Great Britain, and Australia, Transportation Research Part D: Transport and Environment, Volume 31, August 2014, Pages 13-20, ISSN 1361-9209</w:t>
      </w:r>
    </w:p>
    <w:p w14:paraId="3B798AD5" w14:textId="57EC5A8A" w:rsidR="009F799F" w:rsidRDefault="009F799F" w:rsidP="008A17D3">
      <w:pPr>
        <w:spacing w:line="276" w:lineRule="auto"/>
        <w:ind w:left="432" w:hanging="432"/>
        <w:jc w:val="both"/>
      </w:pPr>
      <w:r w:rsidRPr="00AA5613">
        <w:t>Fricker, C., &amp; Gast, N. (2014). Incentives and redistribut</w:t>
      </w:r>
      <w:r>
        <w:t>ion in homogeneous bike-sharing</w:t>
      </w:r>
      <w:r w:rsidRPr="00AA5613">
        <w:t>systems with stations of finite capacity. EURO Journal on Transportation and Logistics, 1–31. doi:10.1007/s13676-014-0053-5</w:t>
      </w:r>
    </w:p>
    <w:p w14:paraId="1FF7AB2E" w14:textId="77777777" w:rsidR="00AA5BCF" w:rsidRPr="00700095" w:rsidRDefault="00AA5BCF" w:rsidP="00965F9E">
      <w:pPr>
        <w:spacing w:line="276" w:lineRule="auto"/>
        <w:ind w:left="432" w:hanging="432"/>
        <w:jc w:val="both"/>
      </w:pPr>
      <w:r w:rsidRPr="00700095">
        <w:t xml:space="preserve">Fuller, D., L. Gauvin, Y. Kestens, M. Daniel, M. Fournier, P. Morency, and L. Drouin, 2011. Use of a new public bicycle share program in Montreal, Canada. </w:t>
      </w:r>
      <w:r w:rsidRPr="00965F9E">
        <w:t>American journal of preventive medicine,</w:t>
      </w:r>
      <w:r w:rsidRPr="00700095">
        <w:t xml:space="preserve"> Vol. 41, No. 1, pp. 80-83.</w:t>
      </w:r>
    </w:p>
    <w:p w14:paraId="4AF3517A" w14:textId="013B31C3" w:rsidR="00763ADA" w:rsidRDefault="00763ADA" w:rsidP="00965F9E">
      <w:pPr>
        <w:autoSpaceDE w:val="0"/>
        <w:autoSpaceDN w:val="0"/>
        <w:adjustRightInd w:val="0"/>
        <w:ind w:left="576" w:hanging="576"/>
        <w:jc w:val="both"/>
      </w:pPr>
      <w:r w:rsidRPr="00763ADA">
        <w:t xml:space="preserve">Forma, I.A., Raviv, T. and Tzur, M. </w:t>
      </w:r>
      <w:r>
        <w:t>(</w:t>
      </w:r>
      <w:r w:rsidRPr="00763ADA">
        <w:t>2015</w:t>
      </w:r>
      <w:r>
        <w:t>)</w:t>
      </w:r>
      <w:r w:rsidRPr="00763ADA">
        <w:t>. A 3-step math heuristic for the static repositioning problem in bike-sharing systems. </w:t>
      </w:r>
      <w:r w:rsidRPr="00763ADA">
        <w:rPr>
          <w:i/>
          <w:iCs/>
        </w:rPr>
        <w:t>Transportation research part B: methodological</w:t>
      </w:r>
      <w:r w:rsidRPr="00763ADA">
        <w:t>, </w:t>
      </w:r>
      <w:r w:rsidRPr="00763ADA">
        <w:rPr>
          <w:i/>
          <w:iCs/>
        </w:rPr>
        <w:t>71</w:t>
      </w:r>
      <w:r w:rsidRPr="00763ADA">
        <w:t>, pp.230-247.</w:t>
      </w:r>
      <w:r w:rsidRPr="00763ADA" w:rsidDel="00AA5BCF">
        <w:t xml:space="preserve"> </w:t>
      </w:r>
    </w:p>
    <w:p w14:paraId="16FDDA6E" w14:textId="1A995032" w:rsidR="0023237C" w:rsidRDefault="0023237C" w:rsidP="00965F9E">
      <w:pPr>
        <w:autoSpaceDE w:val="0"/>
        <w:autoSpaceDN w:val="0"/>
        <w:adjustRightInd w:val="0"/>
        <w:ind w:left="576" w:hanging="576"/>
        <w:jc w:val="both"/>
        <w:rPr>
          <w:bCs/>
        </w:rPr>
      </w:pPr>
      <w:r w:rsidRPr="0023237C">
        <w:rPr>
          <w:bCs/>
        </w:rPr>
        <w:t>Godavarthy, R.P. and Taleqani, A.R., 2017. Winter bikesharing in US: User willingness, and operator’s challenges and best practices. Sustainable cities and society, 30, pp.254-262.</w:t>
      </w:r>
    </w:p>
    <w:p w14:paraId="166EF177" w14:textId="5A7A0AD1" w:rsidR="00EC0263" w:rsidRPr="00A1743C" w:rsidRDefault="00EC0263" w:rsidP="00965F9E">
      <w:pPr>
        <w:autoSpaceDE w:val="0"/>
        <w:autoSpaceDN w:val="0"/>
        <w:adjustRightInd w:val="0"/>
        <w:ind w:left="576" w:hanging="576"/>
        <w:jc w:val="both"/>
        <w:rPr>
          <w:bCs/>
        </w:rPr>
      </w:pPr>
      <w:r w:rsidRPr="00A1743C">
        <w:rPr>
          <w:bCs/>
        </w:rPr>
        <w:t>Jäppinen, S., Toivonen,</w:t>
      </w:r>
      <w:r>
        <w:rPr>
          <w:bCs/>
        </w:rPr>
        <w:t xml:space="preserve"> T.,</w:t>
      </w:r>
      <w:r w:rsidRPr="00A1743C">
        <w:rPr>
          <w:bCs/>
        </w:rPr>
        <w:t xml:space="preserve"> </w:t>
      </w:r>
      <w:r>
        <w:rPr>
          <w:bCs/>
        </w:rPr>
        <w:t>&amp;</w:t>
      </w:r>
      <w:r w:rsidRPr="00A1743C">
        <w:rPr>
          <w:bCs/>
        </w:rPr>
        <w:t xml:space="preserve"> Salonen, M. </w:t>
      </w:r>
      <w:r>
        <w:rPr>
          <w:bCs/>
        </w:rPr>
        <w:t>(</w:t>
      </w:r>
      <w:r w:rsidRPr="00A1743C">
        <w:rPr>
          <w:bCs/>
        </w:rPr>
        <w:t>2013</w:t>
      </w:r>
      <w:r>
        <w:rPr>
          <w:bCs/>
        </w:rPr>
        <w:t>)</w:t>
      </w:r>
      <w:r w:rsidRPr="00A1743C">
        <w:rPr>
          <w:bCs/>
        </w:rPr>
        <w:t xml:space="preserve">. Modelling the potential effect of shared bicycles on public transport travel times in Greater Helsinki: An open data approach. </w:t>
      </w:r>
      <w:r w:rsidRPr="00965F9E">
        <w:rPr>
          <w:bCs/>
        </w:rPr>
        <w:t>Applied Geography</w:t>
      </w:r>
      <w:r w:rsidRPr="00EC0263">
        <w:rPr>
          <w:bCs/>
        </w:rPr>
        <w:t>,</w:t>
      </w:r>
      <w:r w:rsidRPr="00A1743C">
        <w:rPr>
          <w:bCs/>
        </w:rPr>
        <w:t xml:space="preserve"> Vol</w:t>
      </w:r>
      <w:r>
        <w:rPr>
          <w:bCs/>
        </w:rPr>
        <w:t>ume</w:t>
      </w:r>
      <w:r w:rsidRPr="00A1743C">
        <w:rPr>
          <w:bCs/>
        </w:rPr>
        <w:t xml:space="preserve"> 43, </w:t>
      </w:r>
      <w:r>
        <w:rPr>
          <w:bCs/>
        </w:rPr>
        <w:t>Pages</w:t>
      </w:r>
      <w:r w:rsidRPr="00A1743C">
        <w:rPr>
          <w:bCs/>
        </w:rPr>
        <w:t xml:space="preserve"> 13-24.</w:t>
      </w:r>
    </w:p>
    <w:p w14:paraId="71CFF11F" w14:textId="3C3473A3" w:rsidR="009A5211" w:rsidRDefault="009A5211" w:rsidP="009A5211">
      <w:pPr>
        <w:spacing w:line="276" w:lineRule="auto"/>
        <w:ind w:left="432" w:hanging="432"/>
        <w:jc w:val="both"/>
      </w:pPr>
      <w:r>
        <w:t>Kashfi, S.A., Bunker, J.M., Yigitcanlar , T., 2016.  Modelling and analysing effects of complex seasonality and weather on an area's daily transit ridership rate. Journal of Transport Geography, 54, 310–324.</w:t>
      </w:r>
    </w:p>
    <w:p w14:paraId="5371A690" w14:textId="77777777" w:rsidR="006C53A1" w:rsidRDefault="006C53A1" w:rsidP="009A5211">
      <w:pPr>
        <w:spacing w:line="276" w:lineRule="auto"/>
        <w:ind w:left="432" w:hanging="432"/>
        <w:jc w:val="both"/>
      </w:pPr>
      <w:r w:rsidRPr="006C53A1">
        <w:t>Kass, R.E. and Raftery, A.E. (1995) Bayes Factors, Journal of the American Statistical Association, 90:430, 773-795</w:t>
      </w:r>
    </w:p>
    <w:p w14:paraId="7E4E66F1" w14:textId="4A0FB4CF" w:rsidR="00D632CB" w:rsidRDefault="00D632CB" w:rsidP="009A5211">
      <w:pPr>
        <w:spacing w:line="276" w:lineRule="auto"/>
        <w:ind w:left="432" w:hanging="432"/>
        <w:jc w:val="both"/>
      </w:pPr>
      <w:r w:rsidRPr="00D632CB">
        <w:t xml:space="preserve">Kloimüllner, C., Papazek, P., Hu, B. and Raidl, G.R., </w:t>
      </w:r>
      <w:r w:rsidR="00885F87">
        <w:t>(</w:t>
      </w:r>
      <w:r w:rsidRPr="00D632CB">
        <w:t>2014</w:t>
      </w:r>
      <w:r w:rsidR="00885F87">
        <w:t>)</w:t>
      </w:r>
      <w:r w:rsidRPr="00D632CB">
        <w:t>. Balancing bicycle sharing systems: an approach for the dynamic case. In </w:t>
      </w:r>
      <w:r w:rsidRPr="00D632CB">
        <w:rPr>
          <w:i/>
          <w:iCs/>
        </w:rPr>
        <w:t>Evolutionary Computation in Combinatorial Optimisation</w:t>
      </w:r>
      <w:r w:rsidRPr="00D632CB">
        <w:t> (pp. 73-84). Springer Berlin Heidelberg.</w:t>
      </w:r>
      <w:r w:rsidRPr="00D632CB" w:rsidDel="00D632CB">
        <w:t xml:space="preserve"> </w:t>
      </w:r>
    </w:p>
    <w:p w14:paraId="2053FC63" w14:textId="11334634" w:rsidR="005E0B01" w:rsidRPr="00AA5613" w:rsidRDefault="005E0B01" w:rsidP="00D632CB">
      <w:pPr>
        <w:spacing w:line="276" w:lineRule="auto"/>
        <w:ind w:left="432" w:hanging="432"/>
        <w:jc w:val="both"/>
      </w:pPr>
      <w:r w:rsidRPr="00AA5613">
        <w:t>Krykewycz, G. R., Puchalsky, C. M., Rocks, J., Bonnette, B., &amp; Jaskiewicz, F. (2010). Defining a Primary Market and Estimating Demand for Major Bicycle-Sharing Program in Philadelphia, Pennsylvania. Transportation Research Record: Journal of the Transportation Research Board, 2143(-1), 117–124. doi:10.3141/2143-15</w:t>
      </w:r>
    </w:p>
    <w:p w14:paraId="22D1FF0E" w14:textId="77777777" w:rsidR="00AA5BCF" w:rsidRPr="00700095" w:rsidRDefault="00AA5BCF" w:rsidP="00965F9E">
      <w:pPr>
        <w:spacing w:line="276" w:lineRule="auto"/>
        <w:ind w:left="432" w:hanging="432"/>
        <w:jc w:val="both"/>
      </w:pPr>
      <w:r w:rsidRPr="00700095">
        <w:t xml:space="preserve">Lathia, N., S., Ahmed, and L., Capra. Measuring the impact of opening the London shared bicycle scheme to casual users. </w:t>
      </w:r>
      <w:r w:rsidRPr="00965F9E">
        <w:t>Transportation Research Part C: Emerging Technologies</w:t>
      </w:r>
      <w:r w:rsidRPr="00700095">
        <w:t>, Vol. 22, 2012, pp. 88-102.</w:t>
      </w:r>
    </w:p>
    <w:p w14:paraId="7A1E9A47" w14:textId="08305844" w:rsidR="0023237C" w:rsidRDefault="0023237C" w:rsidP="008A17D3">
      <w:pPr>
        <w:spacing w:line="276" w:lineRule="auto"/>
        <w:ind w:left="432" w:hanging="432"/>
        <w:jc w:val="both"/>
      </w:pPr>
      <w:r w:rsidRPr="0023237C">
        <w:t>Mattson, J. and Godavarthy, R., 2017. Bike share in Fargo, North Dakota: Keys to success and factors affecting ridership. Sustainable cities and society, 34, pp.174-182.</w:t>
      </w:r>
    </w:p>
    <w:p w14:paraId="4CF104F3" w14:textId="63E6AD88" w:rsidR="000E2E83" w:rsidRDefault="000E2E83" w:rsidP="008A17D3">
      <w:pPr>
        <w:spacing w:line="276" w:lineRule="auto"/>
        <w:ind w:left="432" w:hanging="432"/>
        <w:jc w:val="both"/>
      </w:pPr>
      <w:r w:rsidRPr="000E2E83">
        <w:t>McBain, C. and Caulfield, B., 2017. An analysis of the factors influencing journey time variation in the cork public bike system. Sustainable Cities and Society.</w:t>
      </w:r>
    </w:p>
    <w:p w14:paraId="3E06CD72" w14:textId="61747D1F" w:rsidR="006B4E0F" w:rsidRPr="008A60E2" w:rsidRDefault="006B4E0F" w:rsidP="008A17D3">
      <w:pPr>
        <w:spacing w:line="276" w:lineRule="auto"/>
        <w:ind w:left="432" w:hanging="432"/>
        <w:jc w:val="both"/>
      </w:pPr>
      <w:r w:rsidRPr="00AA5613">
        <w:t>Meddin, R. and DeMaio, P., 2015. The Bike-Sharing World Map. Retrieved 13th July, 2015 from http://www.bikesharingworld.com</w:t>
      </w:r>
    </w:p>
    <w:p w14:paraId="7B39199E" w14:textId="12BD947D" w:rsidR="005E0B01" w:rsidRDefault="005E0B01" w:rsidP="008A17D3">
      <w:pPr>
        <w:spacing w:line="276" w:lineRule="auto"/>
        <w:ind w:left="432" w:hanging="432"/>
        <w:jc w:val="both"/>
      </w:pPr>
      <w:r w:rsidRPr="007A4BD6">
        <w:lastRenderedPageBreak/>
        <w:t xml:space="preserve">Nair, R., Miller-Hooks, E., Hampshire, R. C., &amp; Bušić, A. (2013). </w:t>
      </w:r>
      <w:r w:rsidRPr="00AA5613">
        <w:t xml:space="preserve">Large-Scale Vehicle Sharing Systems: Analysis of Vélib’. International Journal of Sustainable Transportation, 7(1), 85–106. doi:10.1080/15568318.2012.660115 </w:t>
      </w:r>
    </w:p>
    <w:p w14:paraId="315AAA6F" w14:textId="77777777" w:rsidR="00B20179" w:rsidRDefault="00B20179" w:rsidP="0014138A">
      <w:pPr>
        <w:spacing w:line="276" w:lineRule="auto"/>
        <w:ind w:left="432" w:hanging="432"/>
        <w:jc w:val="both"/>
      </w:pPr>
      <w:r w:rsidRPr="00B20179">
        <w:t>Parkes, S. D., Marsden, G., Shaheen, S. A., &amp; Cohen, A. P. (2013). Understanding the diffusion of public bikesharing systems: evidence from Europe and North America. </w:t>
      </w:r>
      <w:r w:rsidRPr="00B20179">
        <w:rPr>
          <w:i/>
          <w:iCs/>
        </w:rPr>
        <w:t>Journal of Transport Geography</w:t>
      </w:r>
      <w:r w:rsidRPr="00B20179">
        <w:t>, </w:t>
      </w:r>
      <w:r w:rsidRPr="00B20179">
        <w:rPr>
          <w:i/>
          <w:iCs/>
        </w:rPr>
        <w:t>31</w:t>
      </w:r>
      <w:r w:rsidRPr="00B20179">
        <w:t xml:space="preserve">, 94-103. </w:t>
      </w:r>
    </w:p>
    <w:p w14:paraId="7DE01602" w14:textId="7E492210" w:rsidR="0014138A" w:rsidRDefault="0014138A" w:rsidP="0014138A">
      <w:pPr>
        <w:spacing w:line="276" w:lineRule="auto"/>
        <w:ind w:left="432" w:hanging="432"/>
        <w:jc w:val="both"/>
      </w:pPr>
      <w:r w:rsidRPr="0014138A">
        <w:t xml:space="preserve">Pfrommer, J., Warrington, J., Schildbach, G. and Morari, M., </w:t>
      </w:r>
      <w:r>
        <w:t>(</w:t>
      </w:r>
      <w:r w:rsidRPr="0014138A">
        <w:t>2014</w:t>
      </w:r>
      <w:r>
        <w:t>)</w:t>
      </w:r>
      <w:r w:rsidRPr="0014138A">
        <w:t>. Dynamic vehicle redistribution and online price incentives in shared mobility systems.</w:t>
      </w:r>
      <w:r w:rsidRPr="0014138A">
        <w:rPr>
          <w:i/>
          <w:iCs/>
        </w:rPr>
        <w:t>Intelligent Transportation Systems, IEEE Transactions on</w:t>
      </w:r>
      <w:r w:rsidRPr="0014138A">
        <w:t>, </w:t>
      </w:r>
      <w:r w:rsidRPr="0014138A">
        <w:rPr>
          <w:i/>
          <w:iCs/>
        </w:rPr>
        <w:t>15</w:t>
      </w:r>
      <w:r w:rsidRPr="0014138A">
        <w:t>(4), pp.1567-1578.</w:t>
      </w:r>
    </w:p>
    <w:p w14:paraId="346602DF" w14:textId="57F21A19" w:rsidR="00755044" w:rsidRDefault="00755044" w:rsidP="0014138A">
      <w:pPr>
        <w:spacing w:line="276" w:lineRule="auto"/>
        <w:ind w:left="432" w:hanging="432"/>
        <w:jc w:val="both"/>
      </w:pPr>
      <w:r w:rsidRPr="00755044">
        <w:t xml:space="preserve">Raviv, T., Tzur, M. and Forma, I.A., </w:t>
      </w:r>
      <w:r>
        <w:t>(</w:t>
      </w:r>
      <w:r w:rsidRPr="00755044">
        <w:t>2013</w:t>
      </w:r>
      <w:r>
        <w:t>)</w:t>
      </w:r>
      <w:r w:rsidRPr="00755044">
        <w:t>. Static repositioning in a bike-sharing system: models and solution approaches. </w:t>
      </w:r>
      <w:r w:rsidRPr="00755044">
        <w:rPr>
          <w:i/>
          <w:iCs/>
        </w:rPr>
        <w:t>EURO Journal on Transportation and Logistics</w:t>
      </w:r>
      <w:r w:rsidRPr="00755044">
        <w:t>, </w:t>
      </w:r>
      <w:r w:rsidRPr="00755044">
        <w:rPr>
          <w:i/>
          <w:iCs/>
        </w:rPr>
        <w:t>2</w:t>
      </w:r>
      <w:r w:rsidRPr="00755044">
        <w:t xml:space="preserve">(3), pp.187-229. </w:t>
      </w:r>
    </w:p>
    <w:p w14:paraId="235908C7" w14:textId="6F413A49" w:rsidR="005E0B01" w:rsidRDefault="005E0B01" w:rsidP="00755044">
      <w:pPr>
        <w:spacing w:line="276" w:lineRule="auto"/>
        <w:ind w:left="432" w:hanging="432"/>
        <w:jc w:val="both"/>
      </w:pPr>
      <w:r w:rsidRPr="00AA5613">
        <w:t>Rixey, R. A. (2013). Station-Level Forecasting of Bikesharing Ridership: Station Network Effects in Three U.S. Systems. Transportation Research Record: Journal of the Transportation Research Board, 2387(-1), 46–55. doi:10.3141/2387-06</w:t>
      </w:r>
    </w:p>
    <w:p w14:paraId="42CA4ADE" w14:textId="77777777" w:rsidR="003E13EA" w:rsidRPr="004D1942" w:rsidRDefault="003E13EA" w:rsidP="00965F9E">
      <w:pPr>
        <w:spacing w:line="276" w:lineRule="auto"/>
        <w:ind w:left="432" w:hanging="432"/>
        <w:jc w:val="both"/>
      </w:pPr>
      <w:r w:rsidRPr="00700095">
        <w:t xml:space="preserve">Rudloff, C. and Lackner, B., 2014. Modeling Demand for BikeSharing Systems: Neighboring Stations as Source for Demand and Reason for Structural Breaks. </w:t>
      </w:r>
      <w:r w:rsidRPr="00965F9E">
        <w:t>Transportation Research Record: Journal of the Transportation Research Board,</w:t>
      </w:r>
      <w:r w:rsidRPr="00700095">
        <w:t xml:space="preserve"> No. 2430, pp. 1-11.</w:t>
      </w:r>
    </w:p>
    <w:p w14:paraId="48D2B91C" w14:textId="0E929757" w:rsidR="005E0B01" w:rsidRPr="00AA5613" w:rsidRDefault="005E0B01" w:rsidP="008A17D3">
      <w:pPr>
        <w:spacing w:line="276" w:lineRule="auto"/>
        <w:ind w:left="432" w:hanging="432"/>
        <w:jc w:val="both"/>
      </w:pPr>
      <w:r w:rsidRPr="00AA5613">
        <w:t>Shaheen, S. A., Guzman, S., &amp; Zhang, H. (2010). Bikesharing in Europe, the Americas, and Asia: Past, Present, and Future. Transportation Research Record: Journal of the Transportation Research Board, 2143(-1), 159–167. doi:10.3141/2143-20</w:t>
      </w:r>
    </w:p>
    <w:p w14:paraId="4604E2D8" w14:textId="4E878DEE" w:rsidR="009F799F" w:rsidRDefault="006B4E0F" w:rsidP="008A17D3">
      <w:pPr>
        <w:spacing w:line="276" w:lineRule="auto"/>
        <w:ind w:left="432" w:hanging="432"/>
        <w:jc w:val="both"/>
      </w:pPr>
      <w:r w:rsidRPr="00AA5613">
        <w:t>Van Lierop, D., Grimsrud, M., &amp; El-Geneidy, A. (2013). Breaking into bicycle theft: Insights from Montreal, Canada. Forthcoming International Journal of Sustainable Transportation</w:t>
      </w:r>
    </w:p>
    <w:p w14:paraId="415CCDC9" w14:textId="7D628FAA" w:rsidR="00D632CB" w:rsidRDefault="00D632CB" w:rsidP="00D632CB">
      <w:pPr>
        <w:spacing w:line="276" w:lineRule="auto"/>
        <w:ind w:left="432" w:hanging="432"/>
        <w:jc w:val="both"/>
      </w:pPr>
      <w:r w:rsidRPr="00D632CB">
        <w:t xml:space="preserve">Vogel, P. and Mattfeld, D.C., </w:t>
      </w:r>
      <w:r>
        <w:t>(</w:t>
      </w:r>
      <w:r w:rsidRPr="00D632CB">
        <w:t>2011</w:t>
      </w:r>
      <w:r>
        <w:t>)</w:t>
      </w:r>
      <w:r w:rsidRPr="00D632CB">
        <w:t>. Strategic and operational planning of bike-sharing systems by data mining–a case study. In </w:t>
      </w:r>
      <w:r w:rsidRPr="00D632CB">
        <w:rPr>
          <w:i/>
          <w:iCs/>
        </w:rPr>
        <w:t>Computational Logistics</w:t>
      </w:r>
      <w:r>
        <w:rPr>
          <w:i/>
          <w:iCs/>
        </w:rPr>
        <w:t xml:space="preserve"> </w:t>
      </w:r>
      <w:r w:rsidRPr="00D632CB">
        <w:t>(pp. 127-141). Springer Berlin Heidelberg.</w:t>
      </w:r>
    </w:p>
    <w:p w14:paraId="2E09D75B" w14:textId="1A2D823E" w:rsidR="009F799F" w:rsidRDefault="009F799F" w:rsidP="008A17D3">
      <w:pPr>
        <w:spacing w:line="276" w:lineRule="auto"/>
        <w:ind w:left="432" w:hanging="432"/>
        <w:jc w:val="both"/>
      </w:pPr>
      <w:r>
        <w:t>W</w:t>
      </w:r>
      <w:r w:rsidRPr="00AA5613">
        <w:t>ang, X., Lindsey, G., Schoner, J., Harrison, A. (2012). Modeling bike share station activity: the effects of nearby businesses and jobs on trips to and from stations. Paper presented at the 92nd Transportation Research Board Annual Meeting 2012, Washington, DC</w:t>
      </w:r>
    </w:p>
    <w:p w14:paraId="05EF9C79" w14:textId="380F9C08" w:rsidR="009F799F" w:rsidRDefault="009F799F" w:rsidP="00AA5BCF">
      <w:pPr>
        <w:spacing w:line="276" w:lineRule="auto"/>
        <w:ind w:left="432" w:hanging="432"/>
        <w:jc w:val="both"/>
      </w:pPr>
      <w:r>
        <w:t xml:space="preserve">Yasmin, S. </w:t>
      </w:r>
      <w:r w:rsidRPr="009F799F">
        <w:t>and N. Eluru (2013), Evaluating Alternate Discrete Outcome Frameworks for Modeling Crash Injury Severity, Accident Analysis &amp; Prevention, 59 (1), pp. 506-52</w:t>
      </w:r>
      <w:r w:rsidR="008A60E2">
        <w:t>1</w:t>
      </w:r>
    </w:p>
    <w:p w14:paraId="6C87A81E" w14:textId="77777777" w:rsidR="00F01FC5" w:rsidRDefault="00F01FC5" w:rsidP="00965F9E">
      <w:pPr>
        <w:spacing w:line="276" w:lineRule="auto"/>
        <w:ind w:left="432" w:hanging="432"/>
        <w:jc w:val="both"/>
      </w:pPr>
      <w:r w:rsidRPr="00F01FC5">
        <w:t>Zhao, J., Wang, J., &amp; Deng, W. (2015). Exploring bikesharing travel time and trip chain by gender and day of the week. </w:t>
      </w:r>
      <w:r w:rsidRPr="00F01FC5">
        <w:rPr>
          <w:i/>
          <w:iCs/>
        </w:rPr>
        <w:t>Transportation Research Part C: Emerging Technologies</w:t>
      </w:r>
      <w:r w:rsidRPr="00F01FC5">
        <w:t>, </w:t>
      </w:r>
      <w:r w:rsidRPr="00F01FC5">
        <w:rPr>
          <w:i/>
          <w:iCs/>
        </w:rPr>
        <w:t>58</w:t>
      </w:r>
      <w:r w:rsidRPr="00F01FC5">
        <w:t xml:space="preserve">, 251-264. </w:t>
      </w:r>
    </w:p>
    <w:p w14:paraId="7496DFBB" w14:textId="2B496F20" w:rsidR="003E13EA" w:rsidRPr="009B1A2A" w:rsidRDefault="003E13EA" w:rsidP="00965F9E">
      <w:pPr>
        <w:spacing w:line="276" w:lineRule="auto"/>
        <w:ind w:left="432" w:hanging="432"/>
        <w:jc w:val="both"/>
        <w:sectPr w:rsidR="003E13EA" w:rsidRPr="009B1A2A" w:rsidSect="008A17D3">
          <w:headerReference w:type="default" r:id="rId9"/>
          <w:footerReference w:type="default" r:id="rId10"/>
          <w:pgSz w:w="12240" w:h="15840"/>
          <w:pgMar w:top="1440" w:right="1800" w:bottom="1440" w:left="1800" w:header="708" w:footer="708" w:gutter="0"/>
          <w:pgNumType w:start="1"/>
          <w:cols w:space="708"/>
          <w:docGrid w:linePitch="360"/>
        </w:sectPr>
      </w:pPr>
      <w:r w:rsidRPr="003E13EA">
        <w:t>Zhao, J., W. Deng and Y. Song, 2014. Ridership and effectiveness of bikesharing: The effects of urban features and system characteristics on daily use and turnover rate of public bikes in China. Transport Policy, Vol. 35, pp. 253-264.</w:t>
      </w:r>
    </w:p>
    <w:p w14:paraId="75B83D1E" w14:textId="5ADAAFD7" w:rsidR="007F54D5" w:rsidRPr="006A4C6F" w:rsidRDefault="001F10B0" w:rsidP="00605FCA">
      <w:pPr>
        <w:keepNext/>
        <w:jc w:val="center"/>
      </w:pPr>
      <w:r w:rsidRPr="001F10B0">
        <w:rPr>
          <w:noProof/>
          <w:lang w:val="en-US"/>
        </w:rPr>
        <w:lastRenderedPageBreak/>
        <w:drawing>
          <wp:inline distT="0" distB="0" distL="0" distR="0" wp14:anchorId="3B0D3FED" wp14:editId="1298BDAD">
            <wp:extent cx="7362825" cy="56864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9479"/>
                    <a:stretch/>
                  </pic:blipFill>
                  <pic:spPr bwMode="auto">
                    <a:xfrm>
                      <a:off x="0" y="0"/>
                      <a:ext cx="7362825" cy="5686425"/>
                    </a:xfrm>
                    <a:prstGeom prst="rect">
                      <a:avLst/>
                    </a:prstGeom>
                    <a:noFill/>
                    <a:ln>
                      <a:noFill/>
                    </a:ln>
                    <a:extLst>
                      <a:ext uri="{53640926-AAD7-44D8-BBD7-CCE9431645EC}">
                        <a14:shadowObscured xmlns:a14="http://schemas.microsoft.com/office/drawing/2010/main"/>
                      </a:ext>
                    </a:extLst>
                  </pic:spPr>
                </pic:pic>
              </a:graphicData>
            </a:graphic>
          </wp:inline>
        </w:drawing>
      </w:r>
    </w:p>
    <w:p w14:paraId="3E1BA161" w14:textId="4121D8A8" w:rsidR="001F10B0" w:rsidRDefault="00787F56" w:rsidP="00605FCA">
      <w:pPr>
        <w:pStyle w:val="Caption"/>
        <w:jc w:val="center"/>
        <w:rPr>
          <w:color w:val="auto"/>
        </w:rPr>
      </w:pPr>
      <w:r>
        <w:rPr>
          <w:color w:val="auto"/>
        </w:rPr>
        <w:t>FIGURE</w:t>
      </w:r>
      <w:r w:rsidR="007F54D5" w:rsidRPr="00922330">
        <w:rPr>
          <w:color w:val="auto"/>
        </w:rPr>
        <w:t xml:space="preserve"> </w:t>
      </w:r>
      <w:r w:rsidR="00B81173" w:rsidRPr="00922330">
        <w:rPr>
          <w:color w:val="auto"/>
        </w:rPr>
        <w:fldChar w:fldCharType="begin"/>
      </w:r>
      <w:r w:rsidR="00B81173" w:rsidRPr="00922330">
        <w:rPr>
          <w:color w:val="auto"/>
        </w:rPr>
        <w:instrText xml:space="preserve"> SEQ Figure \* ARABIC </w:instrText>
      </w:r>
      <w:r w:rsidR="00B81173" w:rsidRPr="00922330">
        <w:rPr>
          <w:color w:val="auto"/>
        </w:rPr>
        <w:fldChar w:fldCharType="separate"/>
      </w:r>
      <w:r w:rsidR="00D23C38">
        <w:rPr>
          <w:noProof/>
          <w:color w:val="auto"/>
        </w:rPr>
        <w:t>1</w:t>
      </w:r>
      <w:r w:rsidR="00B81173" w:rsidRPr="00922330">
        <w:rPr>
          <w:noProof/>
          <w:color w:val="auto"/>
        </w:rPr>
        <w:fldChar w:fldCharType="end"/>
      </w:r>
      <w:r w:rsidR="007F54D5" w:rsidRPr="00922330">
        <w:rPr>
          <w:color w:val="auto"/>
        </w:rPr>
        <w:t xml:space="preserve"> </w:t>
      </w:r>
      <w:r w:rsidR="007931A9">
        <w:rPr>
          <w:color w:val="auto"/>
        </w:rPr>
        <w:t xml:space="preserve"> </w:t>
      </w:r>
      <w:r w:rsidR="007F54D5" w:rsidRPr="00922330">
        <w:rPr>
          <w:color w:val="auto"/>
        </w:rPr>
        <w:t>Va</w:t>
      </w:r>
      <w:r w:rsidR="001E270E">
        <w:rPr>
          <w:color w:val="auto"/>
        </w:rPr>
        <w:t xml:space="preserve">riation of </w:t>
      </w:r>
      <w:r w:rsidR="00C902BE">
        <w:rPr>
          <w:color w:val="auto"/>
        </w:rPr>
        <w:t>a</w:t>
      </w:r>
      <w:r w:rsidR="001E270E">
        <w:rPr>
          <w:color w:val="auto"/>
        </w:rPr>
        <w:t xml:space="preserve">vailability during the </w:t>
      </w:r>
      <w:r w:rsidR="00C902BE">
        <w:rPr>
          <w:color w:val="auto"/>
        </w:rPr>
        <w:t>d</w:t>
      </w:r>
      <w:r w:rsidR="007F54D5" w:rsidRPr="00922330">
        <w:rPr>
          <w:color w:val="auto"/>
        </w:rPr>
        <w:t xml:space="preserve">ay around BIXI </w:t>
      </w:r>
      <w:r w:rsidR="00C902BE">
        <w:rPr>
          <w:color w:val="auto"/>
        </w:rPr>
        <w:t>s</w:t>
      </w:r>
      <w:r w:rsidR="007F54D5" w:rsidRPr="00922330">
        <w:rPr>
          <w:color w:val="auto"/>
        </w:rPr>
        <w:t>tations (estimation sample).</w:t>
      </w:r>
    </w:p>
    <w:p w14:paraId="72547A18" w14:textId="77777777" w:rsidR="001F10B0" w:rsidRDefault="001F10B0">
      <w:pPr>
        <w:spacing w:after="200" w:line="276" w:lineRule="auto"/>
        <w:rPr>
          <w:b/>
          <w:bCs/>
          <w:sz w:val="18"/>
          <w:szCs w:val="18"/>
        </w:rPr>
      </w:pPr>
      <w:r>
        <w:br w:type="page"/>
      </w:r>
    </w:p>
    <w:p w14:paraId="6F8E10CB" w14:textId="77777777" w:rsidR="00634943" w:rsidRDefault="00634943" w:rsidP="00605FCA">
      <w:pPr>
        <w:keepNext/>
        <w:spacing w:line="276" w:lineRule="auto"/>
        <w:jc w:val="center"/>
      </w:pPr>
      <w:r w:rsidRPr="00634943">
        <w:rPr>
          <w:noProof/>
          <w:lang w:val="en-US"/>
        </w:rPr>
        <w:lastRenderedPageBreak/>
        <w:drawing>
          <wp:inline distT="0" distB="0" distL="0" distR="0" wp14:anchorId="6EEA4A2D" wp14:editId="7A1E632C">
            <wp:extent cx="7362825" cy="5691505"/>
            <wp:effectExtent l="0" t="0" r="9525"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0532"/>
                    <a:stretch/>
                  </pic:blipFill>
                  <pic:spPr bwMode="auto">
                    <a:xfrm>
                      <a:off x="0" y="0"/>
                      <a:ext cx="7362825" cy="5691505"/>
                    </a:xfrm>
                    <a:prstGeom prst="rect">
                      <a:avLst/>
                    </a:prstGeom>
                    <a:noFill/>
                    <a:ln>
                      <a:noFill/>
                    </a:ln>
                    <a:extLst>
                      <a:ext uri="{53640926-AAD7-44D8-BBD7-CCE9431645EC}">
                        <a14:shadowObscured xmlns:a14="http://schemas.microsoft.com/office/drawing/2010/main"/>
                      </a:ext>
                    </a:extLst>
                  </pic:spPr>
                </pic:pic>
              </a:graphicData>
            </a:graphic>
          </wp:inline>
        </w:drawing>
      </w:r>
    </w:p>
    <w:p w14:paraId="7F95C8F2" w14:textId="522B83CC" w:rsidR="00634943" w:rsidRPr="00634943" w:rsidRDefault="00634943" w:rsidP="00605FCA">
      <w:pPr>
        <w:pStyle w:val="Caption"/>
        <w:jc w:val="center"/>
        <w:rPr>
          <w:b w:val="0"/>
          <w:bCs w:val="0"/>
          <w:color w:val="auto"/>
        </w:rPr>
      </w:pPr>
      <w:r w:rsidRPr="00634943">
        <w:rPr>
          <w:color w:val="auto"/>
        </w:rPr>
        <w:t xml:space="preserve">Figure </w:t>
      </w:r>
      <w:r w:rsidRPr="00634943">
        <w:rPr>
          <w:color w:val="auto"/>
        </w:rPr>
        <w:fldChar w:fldCharType="begin"/>
      </w:r>
      <w:r w:rsidRPr="00634943">
        <w:rPr>
          <w:color w:val="auto"/>
        </w:rPr>
        <w:instrText xml:space="preserve"> SEQ Figure \* ARABIC </w:instrText>
      </w:r>
      <w:r w:rsidRPr="00634943">
        <w:rPr>
          <w:color w:val="auto"/>
        </w:rPr>
        <w:fldChar w:fldCharType="separate"/>
      </w:r>
      <w:r w:rsidR="00D23C38">
        <w:rPr>
          <w:noProof/>
          <w:color w:val="auto"/>
        </w:rPr>
        <w:t>2</w:t>
      </w:r>
      <w:r w:rsidRPr="00634943">
        <w:rPr>
          <w:color w:val="auto"/>
        </w:rPr>
        <w:fldChar w:fldCharType="end"/>
      </w:r>
      <w:r w:rsidRPr="00634943">
        <w:rPr>
          <w:color w:val="auto"/>
        </w:rPr>
        <w:t xml:space="preserve"> Left: Observed</w:t>
      </w:r>
      <w:r>
        <w:rPr>
          <w:color w:val="auto"/>
        </w:rPr>
        <w:t xml:space="preserve"> Status</w:t>
      </w:r>
      <w:r w:rsidRPr="00634943">
        <w:rPr>
          <w:color w:val="auto"/>
        </w:rPr>
        <w:t xml:space="preserve">, Right: </w:t>
      </w:r>
      <w:r>
        <w:rPr>
          <w:color w:val="auto"/>
        </w:rPr>
        <w:t xml:space="preserve">Predicted Status </w:t>
      </w:r>
      <w:r w:rsidRPr="00634943">
        <w:rPr>
          <w:color w:val="auto"/>
        </w:rPr>
        <w:t>(both on a Wednesday of the validation sample)</w:t>
      </w:r>
    </w:p>
    <w:p w14:paraId="0047CFC6" w14:textId="57992D53" w:rsidR="00634943" w:rsidRDefault="00196050" w:rsidP="00605FCA">
      <w:pPr>
        <w:keepNext/>
        <w:jc w:val="center"/>
      </w:pPr>
      <w:r w:rsidRPr="00D4500A">
        <w:rPr>
          <w:noProof/>
          <w:lang w:val="en-US"/>
        </w:rPr>
        <w:lastRenderedPageBreak/>
        <w:drawing>
          <wp:inline distT="0" distB="0" distL="0" distR="0" wp14:anchorId="2CC07B00" wp14:editId="6F3B78E0">
            <wp:extent cx="7362825" cy="5686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0532"/>
                    <a:stretch/>
                  </pic:blipFill>
                  <pic:spPr bwMode="auto">
                    <a:xfrm>
                      <a:off x="0" y="0"/>
                      <a:ext cx="7362825" cy="5686425"/>
                    </a:xfrm>
                    <a:prstGeom prst="rect">
                      <a:avLst/>
                    </a:prstGeom>
                    <a:noFill/>
                    <a:ln>
                      <a:noFill/>
                    </a:ln>
                    <a:extLst>
                      <a:ext uri="{53640926-AAD7-44D8-BBD7-CCE9431645EC}">
                        <a14:shadowObscured xmlns:a14="http://schemas.microsoft.com/office/drawing/2010/main"/>
                      </a:ext>
                    </a:extLst>
                  </pic:spPr>
                </pic:pic>
              </a:graphicData>
            </a:graphic>
          </wp:inline>
        </w:drawing>
      </w:r>
    </w:p>
    <w:p w14:paraId="3DF6BAF5" w14:textId="4050439E" w:rsidR="001F10B0" w:rsidRPr="00634943" w:rsidRDefault="00634943" w:rsidP="00605FCA">
      <w:pPr>
        <w:pStyle w:val="Caption"/>
        <w:jc w:val="center"/>
        <w:rPr>
          <w:b w:val="0"/>
          <w:bCs w:val="0"/>
          <w:color w:val="auto"/>
        </w:rPr>
      </w:pPr>
      <w:r w:rsidRPr="00634943">
        <w:rPr>
          <w:color w:val="auto"/>
        </w:rPr>
        <w:t xml:space="preserve">Figure </w:t>
      </w:r>
      <w:r w:rsidRPr="00634943">
        <w:rPr>
          <w:color w:val="auto"/>
        </w:rPr>
        <w:fldChar w:fldCharType="begin"/>
      </w:r>
      <w:r w:rsidRPr="00634943">
        <w:rPr>
          <w:color w:val="auto"/>
        </w:rPr>
        <w:instrText xml:space="preserve"> SEQ Figure \* ARABIC </w:instrText>
      </w:r>
      <w:r w:rsidRPr="00634943">
        <w:rPr>
          <w:color w:val="auto"/>
        </w:rPr>
        <w:fldChar w:fldCharType="separate"/>
      </w:r>
      <w:r w:rsidR="00D23C38">
        <w:rPr>
          <w:noProof/>
          <w:color w:val="auto"/>
        </w:rPr>
        <w:t>3</w:t>
      </w:r>
      <w:r w:rsidRPr="00634943">
        <w:rPr>
          <w:color w:val="auto"/>
        </w:rPr>
        <w:fldChar w:fldCharType="end"/>
      </w:r>
      <w:r w:rsidRPr="00634943">
        <w:rPr>
          <w:color w:val="auto"/>
        </w:rPr>
        <w:t xml:space="preserve"> Left: Observed</w:t>
      </w:r>
      <w:r>
        <w:rPr>
          <w:color w:val="auto"/>
        </w:rPr>
        <w:t xml:space="preserve"> Status</w:t>
      </w:r>
      <w:r w:rsidRPr="00634943">
        <w:rPr>
          <w:color w:val="auto"/>
        </w:rPr>
        <w:t xml:space="preserve">, Right: </w:t>
      </w:r>
      <w:r>
        <w:rPr>
          <w:color w:val="auto"/>
        </w:rPr>
        <w:t>Predicted Status</w:t>
      </w:r>
      <w:r w:rsidRPr="00634943">
        <w:rPr>
          <w:color w:val="auto"/>
        </w:rPr>
        <w:t xml:space="preserve"> (both on a Wednesday of the validation sample)</w:t>
      </w:r>
      <w:r w:rsidR="001F10B0" w:rsidRPr="00634943">
        <w:rPr>
          <w:b w:val="0"/>
          <w:bCs w:val="0"/>
          <w:color w:val="auto"/>
        </w:rPr>
        <w:br w:type="page"/>
      </w:r>
    </w:p>
    <w:p w14:paraId="48616D67" w14:textId="77777777" w:rsidR="009D2CAB" w:rsidRDefault="009D2CAB" w:rsidP="009D2CAB">
      <w:pPr>
        <w:rPr>
          <w:b/>
          <w:bCs/>
          <w:sz w:val="18"/>
          <w:szCs w:val="18"/>
        </w:rPr>
      </w:pPr>
    </w:p>
    <w:p w14:paraId="5CED865B" w14:textId="0E168CA8" w:rsidR="008F372B" w:rsidRPr="00405CE1" w:rsidRDefault="00787F56" w:rsidP="006612A6">
      <w:pPr>
        <w:pStyle w:val="Caption"/>
        <w:keepNext/>
        <w:jc w:val="center"/>
        <w:rPr>
          <w:color w:val="auto"/>
          <w:sz w:val="20"/>
          <w:szCs w:val="20"/>
        </w:rPr>
      </w:pPr>
      <w:r w:rsidRPr="00405CE1">
        <w:rPr>
          <w:color w:val="auto"/>
          <w:sz w:val="20"/>
          <w:szCs w:val="20"/>
        </w:rPr>
        <w:t>TABLE</w:t>
      </w:r>
      <w:r w:rsidR="008F372B" w:rsidRPr="00405CE1">
        <w:rPr>
          <w:color w:val="auto"/>
          <w:sz w:val="20"/>
          <w:szCs w:val="20"/>
        </w:rPr>
        <w:t xml:space="preserve"> </w:t>
      </w:r>
      <w:r w:rsidR="008F372B" w:rsidRPr="00405CE1">
        <w:rPr>
          <w:color w:val="auto"/>
          <w:sz w:val="20"/>
          <w:szCs w:val="20"/>
        </w:rPr>
        <w:fldChar w:fldCharType="begin"/>
      </w:r>
      <w:r w:rsidR="008F372B" w:rsidRPr="00405CE1">
        <w:rPr>
          <w:color w:val="auto"/>
          <w:sz w:val="20"/>
          <w:szCs w:val="20"/>
        </w:rPr>
        <w:instrText xml:space="preserve"> SEQ Table \* ARABIC </w:instrText>
      </w:r>
      <w:r w:rsidR="008F372B" w:rsidRPr="00405CE1">
        <w:rPr>
          <w:color w:val="auto"/>
          <w:sz w:val="20"/>
          <w:szCs w:val="20"/>
        </w:rPr>
        <w:fldChar w:fldCharType="separate"/>
      </w:r>
      <w:r w:rsidR="00D23C38">
        <w:rPr>
          <w:noProof/>
          <w:color w:val="auto"/>
          <w:sz w:val="20"/>
          <w:szCs w:val="20"/>
        </w:rPr>
        <w:t>1</w:t>
      </w:r>
      <w:r w:rsidR="008F372B" w:rsidRPr="00405CE1">
        <w:rPr>
          <w:color w:val="auto"/>
          <w:sz w:val="20"/>
          <w:szCs w:val="20"/>
        </w:rPr>
        <w:fldChar w:fldCharType="end"/>
      </w:r>
      <w:r w:rsidR="008F372B" w:rsidRPr="00405CE1">
        <w:rPr>
          <w:color w:val="auto"/>
          <w:sz w:val="20"/>
          <w:szCs w:val="20"/>
        </w:rPr>
        <w:t xml:space="preserve"> </w:t>
      </w:r>
      <w:r w:rsidR="002C424F">
        <w:rPr>
          <w:color w:val="auto"/>
          <w:sz w:val="20"/>
          <w:szCs w:val="20"/>
        </w:rPr>
        <w:t xml:space="preserve"> </w:t>
      </w:r>
      <w:r w:rsidR="008F372B" w:rsidRPr="00405CE1">
        <w:rPr>
          <w:color w:val="auto"/>
          <w:sz w:val="20"/>
          <w:szCs w:val="20"/>
        </w:rPr>
        <w:t>Estimation Results</w:t>
      </w:r>
    </w:p>
    <w:tbl>
      <w:tblPr>
        <w:tblW w:w="13336" w:type="dxa"/>
        <w:tblLayout w:type="fixed"/>
        <w:tblLook w:val="04A0" w:firstRow="1" w:lastRow="0" w:firstColumn="1" w:lastColumn="0" w:noHBand="0" w:noVBand="1"/>
      </w:tblPr>
      <w:tblGrid>
        <w:gridCol w:w="5301"/>
        <w:gridCol w:w="984"/>
        <w:gridCol w:w="890"/>
        <w:gridCol w:w="890"/>
        <w:gridCol w:w="1156"/>
        <w:gridCol w:w="890"/>
        <w:gridCol w:w="1094"/>
        <w:gridCol w:w="890"/>
        <w:gridCol w:w="1241"/>
      </w:tblGrid>
      <w:tr w:rsidR="002761FB" w:rsidRPr="006A4C6F" w14:paraId="07E48EEC" w14:textId="77777777" w:rsidTr="001C2D0B">
        <w:trPr>
          <w:trHeight w:val="454"/>
        </w:trPr>
        <w:tc>
          <w:tcPr>
            <w:tcW w:w="530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2589899" w14:textId="77777777" w:rsidR="00922330" w:rsidRPr="006A4C6F" w:rsidRDefault="00922330" w:rsidP="009C5B8A">
            <w:pPr>
              <w:jc w:val="center"/>
              <w:rPr>
                <w:rFonts w:eastAsia="Times New Roman"/>
                <w:b/>
                <w:bCs/>
                <w:color w:val="000000"/>
                <w:sz w:val="20"/>
                <w:szCs w:val="20"/>
                <w:lang w:eastAsia="en-CA"/>
              </w:rPr>
            </w:pPr>
            <w:r w:rsidRPr="006A4C6F">
              <w:rPr>
                <w:rFonts w:eastAsia="Calibri"/>
                <w:b/>
                <w:bCs/>
                <w:color w:val="000000"/>
                <w:sz w:val="20"/>
                <w:szCs w:val="20"/>
                <w:lang w:eastAsia="en-CA"/>
              </w:rPr>
              <w:t>Variables</w:t>
            </w:r>
          </w:p>
        </w:tc>
        <w:tc>
          <w:tcPr>
            <w:tcW w:w="1874"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5BE2FED2" w14:textId="77777777" w:rsidR="00922330" w:rsidRPr="006A4C6F" w:rsidRDefault="00922330" w:rsidP="009C5B8A">
            <w:pPr>
              <w:jc w:val="center"/>
              <w:rPr>
                <w:rFonts w:eastAsia="Times New Roman"/>
                <w:b/>
                <w:bCs/>
                <w:color w:val="000000"/>
                <w:sz w:val="20"/>
                <w:szCs w:val="20"/>
                <w:lang w:eastAsia="en-CA"/>
              </w:rPr>
            </w:pPr>
            <w:r w:rsidRPr="006A4C6F">
              <w:rPr>
                <w:rFonts w:eastAsia="Calibri"/>
                <w:b/>
                <w:bCs/>
                <w:color w:val="000000"/>
                <w:sz w:val="20"/>
                <w:szCs w:val="20"/>
                <w:lang w:eastAsia="en-CA"/>
              </w:rPr>
              <w:t>Propensity</w:t>
            </w:r>
          </w:p>
        </w:tc>
        <w:tc>
          <w:tcPr>
            <w:tcW w:w="2046"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E56A4F1" w14:textId="77777777" w:rsidR="00922330" w:rsidRPr="006A4C6F" w:rsidRDefault="00922330" w:rsidP="009C5B8A">
            <w:pPr>
              <w:jc w:val="center"/>
              <w:rPr>
                <w:rFonts w:eastAsia="Times New Roman"/>
                <w:b/>
                <w:bCs/>
                <w:color w:val="000000"/>
                <w:sz w:val="20"/>
                <w:szCs w:val="20"/>
                <w:lang w:eastAsia="en-CA"/>
              </w:rPr>
            </w:pPr>
            <w:r w:rsidRPr="006A4C6F">
              <w:rPr>
                <w:rFonts w:eastAsia="Calibri"/>
                <w:b/>
                <w:bCs/>
                <w:color w:val="000000"/>
                <w:sz w:val="20"/>
                <w:szCs w:val="20"/>
                <w:lang w:eastAsia="en-CA"/>
              </w:rPr>
              <w:t>Threshold b/w Low and Balanced</w:t>
            </w:r>
          </w:p>
        </w:tc>
        <w:tc>
          <w:tcPr>
            <w:tcW w:w="1984"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D02858C" w14:textId="77777777" w:rsidR="00922330" w:rsidRPr="006A4C6F" w:rsidRDefault="00922330" w:rsidP="009C5B8A">
            <w:pPr>
              <w:jc w:val="center"/>
              <w:rPr>
                <w:rFonts w:eastAsia="Times New Roman"/>
                <w:b/>
                <w:bCs/>
                <w:color w:val="000000"/>
                <w:sz w:val="20"/>
                <w:szCs w:val="20"/>
                <w:lang w:eastAsia="en-CA"/>
              </w:rPr>
            </w:pPr>
            <w:r w:rsidRPr="006A4C6F">
              <w:rPr>
                <w:rFonts w:eastAsia="Calibri"/>
                <w:b/>
                <w:bCs/>
                <w:color w:val="000000"/>
                <w:sz w:val="20"/>
                <w:szCs w:val="20"/>
                <w:lang w:eastAsia="en-CA"/>
              </w:rPr>
              <w:t>Threshold b/w Balanced and High</w:t>
            </w:r>
          </w:p>
        </w:tc>
        <w:tc>
          <w:tcPr>
            <w:tcW w:w="213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74CA1716" w14:textId="77777777" w:rsidR="00922330" w:rsidRPr="006A4C6F" w:rsidRDefault="00922330" w:rsidP="009C5B8A">
            <w:pPr>
              <w:jc w:val="center"/>
              <w:rPr>
                <w:rFonts w:eastAsia="Times New Roman"/>
                <w:b/>
                <w:bCs/>
                <w:color w:val="000000"/>
                <w:sz w:val="20"/>
                <w:szCs w:val="20"/>
                <w:lang w:eastAsia="en-CA"/>
              </w:rPr>
            </w:pPr>
            <w:r w:rsidRPr="006A4C6F">
              <w:rPr>
                <w:rFonts w:eastAsia="Calibri"/>
                <w:b/>
                <w:bCs/>
                <w:color w:val="000000"/>
                <w:sz w:val="20"/>
                <w:szCs w:val="20"/>
                <w:lang w:eastAsia="en-CA"/>
              </w:rPr>
              <w:t>Threshold b/w High and Very High</w:t>
            </w:r>
          </w:p>
        </w:tc>
      </w:tr>
      <w:tr w:rsidR="00F616FF" w:rsidRPr="006A4C6F" w14:paraId="29C43AFC" w14:textId="77777777" w:rsidTr="001C2D0B">
        <w:trPr>
          <w:trHeight w:val="266"/>
        </w:trPr>
        <w:tc>
          <w:tcPr>
            <w:tcW w:w="530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4BA4CF" w14:textId="77777777" w:rsidR="00922330" w:rsidRPr="006A4C6F" w:rsidRDefault="00922330" w:rsidP="009C5B8A">
            <w:pPr>
              <w:jc w:val="center"/>
              <w:rPr>
                <w:rFonts w:ascii="Calibri" w:eastAsia="Times New Roman" w:hAnsi="Calibri"/>
                <w:color w:val="000000"/>
                <w:lang w:eastAsia="en-CA"/>
              </w:rPr>
            </w:pPr>
            <w:r w:rsidRPr="006A4C6F">
              <w:rPr>
                <w:rFonts w:ascii="Calibri" w:eastAsia="Times New Roman" w:hAnsi="Calibri"/>
                <w:color w:val="000000"/>
                <w:lang w:eastAsia="en-CA"/>
              </w:rPr>
              <w:t> </w:t>
            </w:r>
          </w:p>
        </w:tc>
        <w:tc>
          <w:tcPr>
            <w:tcW w:w="984"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7EFE986D" w14:textId="77777777" w:rsidR="00922330" w:rsidRPr="006A4C6F" w:rsidRDefault="00922330" w:rsidP="009C5B8A">
            <w:pPr>
              <w:jc w:val="center"/>
              <w:rPr>
                <w:rFonts w:eastAsia="Times New Roman"/>
                <w:color w:val="000000"/>
                <w:sz w:val="20"/>
                <w:szCs w:val="20"/>
                <w:lang w:eastAsia="en-CA"/>
              </w:rPr>
            </w:pPr>
            <w:r w:rsidRPr="006A4C6F">
              <w:rPr>
                <w:rFonts w:eastAsia="Calibri"/>
                <w:color w:val="000000"/>
                <w:sz w:val="20"/>
                <w:szCs w:val="20"/>
                <w:lang w:eastAsia="en-CA"/>
              </w:rPr>
              <w:t xml:space="preserve">Coef. </w:t>
            </w:r>
          </w:p>
        </w:tc>
        <w:tc>
          <w:tcPr>
            <w:tcW w:w="890" w:type="dxa"/>
            <w:tcBorders>
              <w:top w:val="single" w:sz="12" w:space="0" w:color="auto"/>
              <w:left w:val="nil"/>
              <w:bottom w:val="single" w:sz="12" w:space="0" w:color="auto"/>
              <w:right w:val="single" w:sz="12" w:space="0" w:color="auto"/>
            </w:tcBorders>
            <w:shd w:val="clear" w:color="auto" w:fill="auto"/>
            <w:vAlign w:val="center"/>
            <w:hideMark/>
          </w:tcPr>
          <w:p w14:paraId="082A77C6" w14:textId="77777777" w:rsidR="00922330" w:rsidRPr="006A4C6F" w:rsidRDefault="00922330" w:rsidP="009C5B8A">
            <w:pPr>
              <w:jc w:val="center"/>
              <w:rPr>
                <w:rFonts w:eastAsia="Times New Roman"/>
                <w:color w:val="000000"/>
                <w:sz w:val="20"/>
                <w:szCs w:val="20"/>
                <w:lang w:eastAsia="en-CA"/>
              </w:rPr>
            </w:pPr>
            <w:r w:rsidRPr="006A4C6F">
              <w:rPr>
                <w:rFonts w:eastAsia="Times New Roman"/>
                <w:color w:val="000000"/>
                <w:sz w:val="20"/>
                <w:szCs w:val="20"/>
                <w:lang w:eastAsia="en-CA"/>
              </w:rPr>
              <w:t>t-stat</w:t>
            </w:r>
          </w:p>
        </w:tc>
        <w:tc>
          <w:tcPr>
            <w:tcW w:w="890"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6041A93D" w14:textId="77777777" w:rsidR="00922330" w:rsidRPr="006A4C6F" w:rsidRDefault="00922330" w:rsidP="009C5B8A">
            <w:pPr>
              <w:jc w:val="center"/>
              <w:rPr>
                <w:rFonts w:eastAsia="Times New Roman"/>
                <w:color w:val="000000"/>
                <w:sz w:val="20"/>
                <w:szCs w:val="20"/>
                <w:lang w:eastAsia="en-CA"/>
              </w:rPr>
            </w:pPr>
            <w:r w:rsidRPr="006A4C6F">
              <w:rPr>
                <w:rFonts w:eastAsia="Calibri"/>
                <w:color w:val="000000"/>
                <w:sz w:val="20"/>
                <w:szCs w:val="20"/>
                <w:lang w:eastAsia="en-CA"/>
              </w:rPr>
              <w:t xml:space="preserve">Coef. </w:t>
            </w:r>
          </w:p>
        </w:tc>
        <w:tc>
          <w:tcPr>
            <w:tcW w:w="1156" w:type="dxa"/>
            <w:tcBorders>
              <w:top w:val="single" w:sz="12" w:space="0" w:color="auto"/>
              <w:left w:val="nil"/>
              <w:bottom w:val="single" w:sz="12" w:space="0" w:color="auto"/>
              <w:right w:val="single" w:sz="12" w:space="0" w:color="auto"/>
            </w:tcBorders>
            <w:shd w:val="clear" w:color="auto" w:fill="auto"/>
            <w:vAlign w:val="center"/>
            <w:hideMark/>
          </w:tcPr>
          <w:p w14:paraId="52067FD9" w14:textId="77777777" w:rsidR="00922330" w:rsidRPr="006A4C6F" w:rsidRDefault="00922330" w:rsidP="009C5B8A">
            <w:pPr>
              <w:jc w:val="center"/>
              <w:rPr>
                <w:rFonts w:eastAsia="Times New Roman"/>
                <w:color w:val="000000"/>
                <w:sz w:val="20"/>
                <w:szCs w:val="20"/>
                <w:lang w:eastAsia="en-CA"/>
              </w:rPr>
            </w:pPr>
            <w:r w:rsidRPr="006A4C6F">
              <w:rPr>
                <w:rFonts w:eastAsia="Times New Roman"/>
                <w:color w:val="000000"/>
                <w:sz w:val="20"/>
                <w:szCs w:val="20"/>
                <w:lang w:eastAsia="en-CA"/>
              </w:rPr>
              <w:t>t-stat</w:t>
            </w:r>
          </w:p>
        </w:tc>
        <w:tc>
          <w:tcPr>
            <w:tcW w:w="890"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5E6376E1" w14:textId="77777777" w:rsidR="00922330" w:rsidRPr="006A4C6F" w:rsidRDefault="00922330" w:rsidP="009C5B8A">
            <w:pPr>
              <w:jc w:val="center"/>
              <w:rPr>
                <w:rFonts w:eastAsia="Times New Roman"/>
                <w:color w:val="000000"/>
                <w:sz w:val="20"/>
                <w:szCs w:val="20"/>
                <w:lang w:eastAsia="en-CA"/>
              </w:rPr>
            </w:pPr>
            <w:r w:rsidRPr="006A4C6F">
              <w:rPr>
                <w:rFonts w:eastAsia="Calibri"/>
                <w:color w:val="000000"/>
                <w:sz w:val="20"/>
                <w:szCs w:val="20"/>
                <w:lang w:eastAsia="en-CA"/>
              </w:rPr>
              <w:t xml:space="preserve">Coef. </w:t>
            </w:r>
          </w:p>
        </w:tc>
        <w:tc>
          <w:tcPr>
            <w:tcW w:w="1094" w:type="dxa"/>
            <w:tcBorders>
              <w:top w:val="single" w:sz="12" w:space="0" w:color="auto"/>
              <w:left w:val="nil"/>
              <w:bottom w:val="single" w:sz="12" w:space="0" w:color="auto"/>
              <w:right w:val="single" w:sz="12" w:space="0" w:color="auto"/>
            </w:tcBorders>
            <w:shd w:val="clear" w:color="auto" w:fill="auto"/>
            <w:vAlign w:val="center"/>
            <w:hideMark/>
          </w:tcPr>
          <w:p w14:paraId="28D487C8" w14:textId="77777777" w:rsidR="00922330" w:rsidRPr="006A4C6F" w:rsidRDefault="00922330" w:rsidP="009C5B8A">
            <w:pPr>
              <w:jc w:val="center"/>
              <w:rPr>
                <w:rFonts w:eastAsia="Times New Roman"/>
                <w:color w:val="000000"/>
                <w:sz w:val="20"/>
                <w:szCs w:val="20"/>
                <w:lang w:eastAsia="en-CA"/>
              </w:rPr>
            </w:pPr>
            <w:r w:rsidRPr="006A4C6F">
              <w:rPr>
                <w:rFonts w:eastAsia="Times New Roman"/>
                <w:color w:val="000000"/>
                <w:sz w:val="20"/>
                <w:szCs w:val="20"/>
                <w:lang w:eastAsia="en-CA"/>
              </w:rPr>
              <w:t>t-stat</w:t>
            </w:r>
          </w:p>
        </w:tc>
        <w:tc>
          <w:tcPr>
            <w:tcW w:w="890"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7C69C8A9" w14:textId="77777777" w:rsidR="00922330" w:rsidRPr="006A4C6F" w:rsidRDefault="00922330" w:rsidP="009C5B8A">
            <w:pPr>
              <w:jc w:val="center"/>
              <w:rPr>
                <w:rFonts w:eastAsia="Times New Roman"/>
                <w:color w:val="000000"/>
                <w:sz w:val="20"/>
                <w:szCs w:val="20"/>
                <w:lang w:eastAsia="en-CA"/>
              </w:rPr>
            </w:pPr>
            <w:r w:rsidRPr="006A4C6F">
              <w:rPr>
                <w:rFonts w:eastAsia="Calibri"/>
                <w:color w:val="000000"/>
                <w:sz w:val="20"/>
                <w:szCs w:val="20"/>
                <w:lang w:eastAsia="en-CA"/>
              </w:rPr>
              <w:t xml:space="preserve">Coef. </w:t>
            </w:r>
          </w:p>
        </w:tc>
        <w:tc>
          <w:tcPr>
            <w:tcW w:w="1241" w:type="dxa"/>
            <w:tcBorders>
              <w:top w:val="single" w:sz="12" w:space="0" w:color="auto"/>
              <w:left w:val="nil"/>
              <w:bottom w:val="single" w:sz="12" w:space="0" w:color="auto"/>
              <w:right w:val="single" w:sz="12" w:space="0" w:color="auto"/>
            </w:tcBorders>
            <w:shd w:val="clear" w:color="auto" w:fill="auto"/>
            <w:vAlign w:val="center"/>
            <w:hideMark/>
          </w:tcPr>
          <w:p w14:paraId="014406C4" w14:textId="77777777" w:rsidR="00922330" w:rsidRPr="006A4C6F" w:rsidRDefault="00922330" w:rsidP="009C5B8A">
            <w:pPr>
              <w:jc w:val="center"/>
              <w:rPr>
                <w:rFonts w:eastAsia="Times New Roman"/>
                <w:color w:val="000000"/>
                <w:sz w:val="20"/>
                <w:szCs w:val="20"/>
                <w:lang w:eastAsia="en-CA"/>
              </w:rPr>
            </w:pPr>
            <w:r w:rsidRPr="006A4C6F">
              <w:rPr>
                <w:rFonts w:eastAsia="Times New Roman"/>
                <w:color w:val="000000"/>
                <w:sz w:val="20"/>
                <w:szCs w:val="20"/>
                <w:lang w:eastAsia="en-CA"/>
              </w:rPr>
              <w:t>t-stat</w:t>
            </w:r>
          </w:p>
        </w:tc>
      </w:tr>
      <w:tr w:rsidR="00C03963" w:rsidRPr="006A4C6F" w14:paraId="6F96674D" w14:textId="77777777" w:rsidTr="001C2D0B">
        <w:trPr>
          <w:trHeight w:val="266"/>
        </w:trPr>
        <w:tc>
          <w:tcPr>
            <w:tcW w:w="13336" w:type="dxa"/>
            <w:gridSpan w:val="9"/>
            <w:tcBorders>
              <w:top w:val="single" w:sz="12" w:space="0" w:color="auto"/>
              <w:left w:val="single" w:sz="12" w:space="0" w:color="auto"/>
              <w:bottom w:val="single" w:sz="12" w:space="0" w:color="auto"/>
              <w:right w:val="single" w:sz="12" w:space="0" w:color="auto"/>
            </w:tcBorders>
            <w:shd w:val="clear" w:color="auto" w:fill="auto"/>
            <w:vAlign w:val="center"/>
            <w:hideMark/>
          </w:tcPr>
          <w:p w14:paraId="6817AEB6" w14:textId="77777777" w:rsidR="00922330" w:rsidRPr="006A4C6F" w:rsidRDefault="00922330" w:rsidP="009C5B8A">
            <w:pPr>
              <w:rPr>
                <w:rFonts w:eastAsia="Times New Roman"/>
                <w:b/>
                <w:bCs/>
                <w:color w:val="000000"/>
                <w:sz w:val="20"/>
                <w:szCs w:val="20"/>
                <w:lang w:eastAsia="en-CA"/>
              </w:rPr>
            </w:pPr>
            <w:r w:rsidRPr="006A4C6F">
              <w:rPr>
                <w:rFonts w:eastAsia="Calibri"/>
                <w:b/>
                <w:bCs/>
                <w:color w:val="000000"/>
                <w:sz w:val="20"/>
                <w:szCs w:val="20"/>
                <w:lang w:eastAsia="en-CA"/>
              </w:rPr>
              <w:t>Latent propensity component</w:t>
            </w:r>
          </w:p>
        </w:tc>
      </w:tr>
      <w:tr w:rsidR="001C2D0B" w:rsidRPr="006A4C6F" w14:paraId="1148C26A" w14:textId="77777777" w:rsidTr="001C2D0B">
        <w:trPr>
          <w:trHeight w:val="266"/>
        </w:trPr>
        <w:tc>
          <w:tcPr>
            <w:tcW w:w="5301"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7805DBC5" w14:textId="77777777" w:rsidR="001C2D0B" w:rsidRPr="006A4C6F" w:rsidRDefault="001C2D0B" w:rsidP="001C2D0B">
            <w:pPr>
              <w:rPr>
                <w:rFonts w:eastAsia="Times New Roman"/>
                <w:color w:val="000000"/>
                <w:sz w:val="20"/>
                <w:szCs w:val="20"/>
                <w:lang w:eastAsia="en-CA"/>
              </w:rPr>
            </w:pPr>
            <w:r w:rsidRPr="006A4C6F">
              <w:rPr>
                <w:rFonts w:eastAsia="Calibri"/>
                <w:color w:val="000000"/>
                <w:sz w:val="20"/>
                <w:szCs w:val="20"/>
                <w:lang w:eastAsia="en-CA"/>
              </w:rPr>
              <w:t>Constant</w:t>
            </w:r>
          </w:p>
        </w:tc>
        <w:tc>
          <w:tcPr>
            <w:tcW w:w="984" w:type="dxa"/>
            <w:tcBorders>
              <w:top w:val="single" w:sz="12" w:space="0" w:color="auto"/>
              <w:left w:val="single" w:sz="12" w:space="0" w:color="auto"/>
              <w:bottom w:val="single" w:sz="4" w:space="0" w:color="auto"/>
              <w:right w:val="single" w:sz="4" w:space="0" w:color="auto"/>
            </w:tcBorders>
            <w:shd w:val="clear" w:color="auto" w:fill="auto"/>
            <w:vAlign w:val="bottom"/>
            <w:hideMark/>
          </w:tcPr>
          <w:p w14:paraId="13CD1CDD" w14:textId="3D6F1B33" w:rsidR="001C2D0B" w:rsidRPr="001C2D0B" w:rsidRDefault="001C2D0B" w:rsidP="001C2D0B">
            <w:pPr>
              <w:jc w:val="center"/>
              <w:rPr>
                <w:color w:val="000000"/>
                <w:sz w:val="20"/>
                <w:szCs w:val="20"/>
              </w:rPr>
            </w:pPr>
            <w:r w:rsidRPr="001C2D0B">
              <w:rPr>
                <w:color w:val="000000"/>
                <w:sz w:val="20"/>
                <w:szCs w:val="20"/>
              </w:rPr>
              <w:t>3.170</w:t>
            </w:r>
          </w:p>
        </w:tc>
        <w:tc>
          <w:tcPr>
            <w:tcW w:w="890" w:type="dxa"/>
            <w:tcBorders>
              <w:top w:val="single" w:sz="12" w:space="0" w:color="auto"/>
              <w:left w:val="nil"/>
              <w:bottom w:val="single" w:sz="4" w:space="0" w:color="auto"/>
              <w:right w:val="single" w:sz="12" w:space="0" w:color="auto"/>
            </w:tcBorders>
            <w:shd w:val="clear" w:color="auto" w:fill="auto"/>
            <w:vAlign w:val="bottom"/>
            <w:hideMark/>
          </w:tcPr>
          <w:p w14:paraId="3ED90D59" w14:textId="6A735754" w:rsidR="001C2D0B" w:rsidRPr="001C2D0B" w:rsidRDefault="001C2D0B" w:rsidP="001C2D0B">
            <w:pPr>
              <w:jc w:val="center"/>
              <w:rPr>
                <w:color w:val="000000"/>
                <w:sz w:val="20"/>
                <w:szCs w:val="20"/>
              </w:rPr>
            </w:pPr>
            <w:r w:rsidRPr="001C2D0B">
              <w:rPr>
                <w:color w:val="000000"/>
                <w:sz w:val="20"/>
                <w:szCs w:val="20"/>
              </w:rPr>
              <w:t>51.96</w:t>
            </w:r>
          </w:p>
        </w:tc>
        <w:tc>
          <w:tcPr>
            <w:tcW w:w="890" w:type="dxa"/>
            <w:tcBorders>
              <w:top w:val="single" w:sz="12" w:space="0" w:color="auto"/>
              <w:left w:val="single" w:sz="12" w:space="0" w:color="auto"/>
              <w:bottom w:val="single" w:sz="4" w:space="0" w:color="auto"/>
              <w:right w:val="single" w:sz="4" w:space="0" w:color="auto"/>
            </w:tcBorders>
            <w:shd w:val="clear" w:color="auto" w:fill="auto"/>
            <w:vAlign w:val="bottom"/>
            <w:hideMark/>
          </w:tcPr>
          <w:p w14:paraId="27E1D89D" w14:textId="76108EE4" w:rsidR="001C2D0B" w:rsidRPr="001C2D0B" w:rsidRDefault="001C2D0B" w:rsidP="001C2D0B">
            <w:pPr>
              <w:jc w:val="center"/>
              <w:rPr>
                <w:color w:val="000000"/>
                <w:sz w:val="20"/>
                <w:szCs w:val="20"/>
              </w:rPr>
            </w:pPr>
            <w:r w:rsidRPr="001C2D0B">
              <w:rPr>
                <w:color w:val="000000"/>
                <w:sz w:val="20"/>
                <w:szCs w:val="20"/>
              </w:rPr>
              <w:t>0.006</w:t>
            </w:r>
          </w:p>
        </w:tc>
        <w:tc>
          <w:tcPr>
            <w:tcW w:w="1156" w:type="dxa"/>
            <w:tcBorders>
              <w:top w:val="single" w:sz="12" w:space="0" w:color="auto"/>
              <w:left w:val="nil"/>
              <w:bottom w:val="single" w:sz="4" w:space="0" w:color="auto"/>
              <w:right w:val="single" w:sz="12" w:space="0" w:color="auto"/>
            </w:tcBorders>
            <w:shd w:val="clear" w:color="auto" w:fill="auto"/>
            <w:vAlign w:val="bottom"/>
            <w:hideMark/>
          </w:tcPr>
          <w:p w14:paraId="1E3FCB3D" w14:textId="7446C9A5" w:rsidR="001C2D0B" w:rsidRPr="001C2D0B" w:rsidRDefault="001C2D0B" w:rsidP="001C2D0B">
            <w:pPr>
              <w:jc w:val="center"/>
              <w:rPr>
                <w:color w:val="000000"/>
                <w:sz w:val="20"/>
                <w:szCs w:val="20"/>
              </w:rPr>
            </w:pPr>
            <w:r w:rsidRPr="001C2D0B">
              <w:rPr>
                <w:color w:val="000000"/>
                <w:sz w:val="20"/>
                <w:szCs w:val="20"/>
              </w:rPr>
              <w:t>1.11</w:t>
            </w:r>
          </w:p>
        </w:tc>
        <w:tc>
          <w:tcPr>
            <w:tcW w:w="890" w:type="dxa"/>
            <w:tcBorders>
              <w:top w:val="single" w:sz="12" w:space="0" w:color="auto"/>
              <w:left w:val="single" w:sz="12" w:space="0" w:color="auto"/>
              <w:bottom w:val="single" w:sz="4" w:space="0" w:color="auto"/>
              <w:right w:val="single" w:sz="4" w:space="0" w:color="auto"/>
            </w:tcBorders>
            <w:shd w:val="clear" w:color="auto" w:fill="auto"/>
            <w:vAlign w:val="bottom"/>
            <w:hideMark/>
          </w:tcPr>
          <w:p w14:paraId="1064B296" w14:textId="5AB2B2DB" w:rsidR="001C2D0B" w:rsidRPr="001C2D0B" w:rsidRDefault="001C2D0B" w:rsidP="001C2D0B">
            <w:pPr>
              <w:jc w:val="center"/>
              <w:rPr>
                <w:color w:val="000000"/>
                <w:sz w:val="20"/>
                <w:szCs w:val="20"/>
              </w:rPr>
            </w:pPr>
            <w:r w:rsidRPr="001C2D0B">
              <w:rPr>
                <w:color w:val="000000"/>
                <w:sz w:val="20"/>
                <w:szCs w:val="20"/>
              </w:rPr>
              <w:t>-0.114</w:t>
            </w:r>
          </w:p>
        </w:tc>
        <w:tc>
          <w:tcPr>
            <w:tcW w:w="1094" w:type="dxa"/>
            <w:tcBorders>
              <w:top w:val="single" w:sz="12" w:space="0" w:color="auto"/>
              <w:left w:val="nil"/>
              <w:bottom w:val="single" w:sz="4" w:space="0" w:color="auto"/>
              <w:right w:val="single" w:sz="12" w:space="0" w:color="auto"/>
            </w:tcBorders>
            <w:shd w:val="clear" w:color="auto" w:fill="auto"/>
            <w:vAlign w:val="bottom"/>
            <w:hideMark/>
          </w:tcPr>
          <w:p w14:paraId="0223ECA7" w14:textId="14845567" w:rsidR="001C2D0B" w:rsidRPr="001C2D0B" w:rsidRDefault="001C2D0B" w:rsidP="001C2D0B">
            <w:pPr>
              <w:jc w:val="center"/>
              <w:rPr>
                <w:color w:val="000000"/>
                <w:sz w:val="20"/>
                <w:szCs w:val="20"/>
              </w:rPr>
            </w:pPr>
            <w:r w:rsidRPr="001C2D0B">
              <w:rPr>
                <w:color w:val="000000"/>
                <w:sz w:val="20"/>
                <w:szCs w:val="20"/>
              </w:rPr>
              <w:t>-18.91</w:t>
            </w:r>
          </w:p>
        </w:tc>
        <w:tc>
          <w:tcPr>
            <w:tcW w:w="890" w:type="dxa"/>
            <w:tcBorders>
              <w:top w:val="single" w:sz="12" w:space="0" w:color="auto"/>
              <w:left w:val="single" w:sz="12" w:space="0" w:color="auto"/>
              <w:bottom w:val="single" w:sz="4" w:space="0" w:color="auto"/>
              <w:right w:val="single" w:sz="4" w:space="0" w:color="auto"/>
            </w:tcBorders>
            <w:shd w:val="clear" w:color="auto" w:fill="auto"/>
            <w:vAlign w:val="bottom"/>
            <w:hideMark/>
          </w:tcPr>
          <w:p w14:paraId="373A7313" w14:textId="33CCFBBA" w:rsidR="001C2D0B" w:rsidRPr="001C2D0B" w:rsidRDefault="001C2D0B" w:rsidP="001C2D0B">
            <w:pPr>
              <w:jc w:val="center"/>
              <w:rPr>
                <w:color w:val="000000"/>
                <w:sz w:val="20"/>
                <w:szCs w:val="20"/>
              </w:rPr>
            </w:pPr>
            <w:r w:rsidRPr="001C2D0B">
              <w:rPr>
                <w:color w:val="000000"/>
                <w:sz w:val="20"/>
                <w:szCs w:val="20"/>
              </w:rPr>
              <w:t>0.334</w:t>
            </w:r>
          </w:p>
        </w:tc>
        <w:tc>
          <w:tcPr>
            <w:tcW w:w="1241" w:type="dxa"/>
            <w:tcBorders>
              <w:top w:val="single" w:sz="12" w:space="0" w:color="auto"/>
              <w:left w:val="nil"/>
              <w:bottom w:val="single" w:sz="4" w:space="0" w:color="auto"/>
              <w:right w:val="single" w:sz="12" w:space="0" w:color="auto"/>
            </w:tcBorders>
            <w:shd w:val="clear" w:color="auto" w:fill="auto"/>
            <w:vAlign w:val="bottom"/>
            <w:hideMark/>
          </w:tcPr>
          <w:p w14:paraId="585D606B" w14:textId="59E1E7F5" w:rsidR="001C2D0B" w:rsidRPr="001C2D0B" w:rsidRDefault="001C2D0B" w:rsidP="001C2D0B">
            <w:pPr>
              <w:jc w:val="center"/>
              <w:rPr>
                <w:color w:val="000000"/>
                <w:sz w:val="20"/>
                <w:szCs w:val="20"/>
              </w:rPr>
            </w:pPr>
            <w:r w:rsidRPr="001C2D0B">
              <w:rPr>
                <w:color w:val="000000"/>
                <w:sz w:val="20"/>
                <w:szCs w:val="20"/>
              </w:rPr>
              <w:t>20.68</w:t>
            </w:r>
          </w:p>
        </w:tc>
      </w:tr>
      <w:tr w:rsidR="00FE0DFA" w:rsidRPr="006A4C6F" w14:paraId="65F6C85D" w14:textId="77777777" w:rsidTr="001C2D0B">
        <w:trPr>
          <w:trHeight w:val="266"/>
        </w:trPr>
        <w:tc>
          <w:tcPr>
            <w:tcW w:w="5301" w:type="dxa"/>
            <w:tcBorders>
              <w:top w:val="single" w:sz="4" w:space="0" w:color="auto"/>
              <w:left w:val="single" w:sz="12" w:space="0" w:color="auto"/>
              <w:bottom w:val="single" w:sz="12" w:space="0" w:color="auto"/>
              <w:right w:val="single" w:sz="12" w:space="0" w:color="auto"/>
            </w:tcBorders>
            <w:shd w:val="clear" w:color="auto" w:fill="auto"/>
            <w:vAlign w:val="center"/>
          </w:tcPr>
          <w:p w14:paraId="2F57124F" w14:textId="7F47C032" w:rsidR="00FE0DFA" w:rsidRPr="00AD56E1" w:rsidRDefault="00FE0DFA" w:rsidP="00FE0DFA">
            <w:pPr>
              <w:rPr>
                <w:rFonts w:eastAsia="Calibri"/>
                <w:i/>
                <w:color w:val="000000"/>
                <w:sz w:val="20"/>
                <w:szCs w:val="20"/>
                <w:lang w:eastAsia="en-CA"/>
              </w:rPr>
            </w:pPr>
            <w:r w:rsidRPr="00AD56E1">
              <w:rPr>
                <w:rFonts w:eastAsia="Calibri"/>
                <w:i/>
                <w:color w:val="000000"/>
                <w:sz w:val="20"/>
                <w:szCs w:val="20"/>
                <w:lang w:eastAsia="en-CA"/>
              </w:rPr>
              <w:t xml:space="preserve">    Standard Deviation</w:t>
            </w:r>
          </w:p>
        </w:tc>
        <w:tc>
          <w:tcPr>
            <w:tcW w:w="984" w:type="dxa"/>
            <w:tcBorders>
              <w:top w:val="single" w:sz="4" w:space="0" w:color="auto"/>
              <w:left w:val="single" w:sz="12" w:space="0" w:color="auto"/>
              <w:bottom w:val="single" w:sz="12" w:space="0" w:color="auto"/>
              <w:right w:val="single" w:sz="4" w:space="0" w:color="auto"/>
            </w:tcBorders>
            <w:shd w:val="clear" w:color="auto" w:fill="auto"/>
            <w:vAlign w:val="bottom"/>
          </w:tcPr>
          <w:p w14:paraId="3A662436" w14:textId="4A8C9698" w:rsidR="00FE0DFA" w:rsidRPr="001C2D0B" w:rsidRDefault="00FE0DFA" w:rsidP="001C2D0B">
            <w:pPr>
              <w:jc w:val="center"/>
              <w:rPr>
                <w:color w:val="000000"/>
                <w:sz w:val="20"/>
                <w:szCs w:val="20"/>
              </w:rPr>
            </w:pPr>
            <w:r w:rsidRPr="001C2D0B">
              <w:rPr>
                <w:color w:val="000000"/>
                <w:sz w:val="20"/>
                <w:szCs w:val="20"/>
              </w:rPr>
              <w:t>0.418</w:t>
            </w:r>
          </w:p>
        </w:tc>
        <w:tc>
          <w:tcPr>
            <w:tcW w:w="890" w:type="dxa"/>
            <w:tcBorders>
              <w:top w:val="single" w:sz="4" w:space="0" w:color="auto"/>
              <w:left w:val="nil"/>
              <w:bottom w:val="single" w:sz="12" w:space="0" w:color="auto"/>
              <w:right w:val="single" w:sz="12" w:space="0" w:color="auto"/>
            </w:tcBorders>
            <w:shd w:val="clear" w:color="auto" w:fill="auto"/>
            <w:vAlign w:val="bottom"/>
          </w:tcPr>
          <w:p w14:paraId="7B87F857" w14:textId="0E7A10F9" w:rsidR="00FE0DFA" w:rsidRPr="001C2D0B" w:rsidRDefault="00FE0DFA" w:rsidP="001C2D0B">
            <w:pPr>
              <w:jc w:val="center"/>
              <w:rPr>
                <w:color w:val="000000"/>
                <w:sz w:val="20"/>
                <w:szCs w:val="20"/>
              </w:rPr>
            </w:pPr>
            <w:r w:rsidRPr="001C2D0B">
              <w:rPr>
                <w:color w:val="000000"/>
                <w:sz w:val="20"/>
                <w:szCs w:val="20"/>
              </w:rPr>
              <w:t>47.08</w:t>
            </w:r>
          </w:p>
        </w:tc>
        <w:tc>
          <w:tcPr>
            <w:tcW w:w="890" w:type="dxa"/>
            <w:tcBorders>
              <w:top w:val="single" w:sz="4" w:space="0" w:color="auto"/>
              <w:left w:val="single" w:sz="12" w:space="0" w:color="auto"/>
              <w:bottom w:val="single" w:sz="12" w:space="0" w:color="auto"/>
              <w:right w:val="single" w:sz="4" w:space="0" w:color="auto"/>
            </w:tcBorders>
            <w:shd w:val="clear" w:color="auto" w:fill="auto"/>
            <w:vAlign w:val="center"/>
          </w:tcPr>
          <w:p w14:paraId="2A4F21CF" w14:textId="7BE9EC6E" w:rsidR="00FE0DFA" w:rsidRPr="001C2D0B" w:rsidRDefault="00FE0DFA" w:rsidP="00FE0DFA">
            <w:pPr>
              <w:jc w:val="center"/>
              <w:rPr>
                <w:rFonts w:eastAsia="Times New Roman"/>
                <w:color w:val="000000"/>
                <w:sz w:val="20"/>
                <w:szCs w:val="20"/>
                <w:lang w:eastAsia="en-CA"/>
              </w:rPr>
            </w:pPr>
            <w:r>
              <w:rPr>
                <w:color w:val="000000"/>
                <w:sz w:val="20"/>
                <w:szCs w:val="20"/>
              </w:rPr>
              <w:t>-</w:t>
            </w:r>
          </w:p>
        </w:tc>
        <w:tc>
          <w:tcPr>
            <w:tcW w:w="1156" w:type="dxa"/>
            <w:tcBorders>
              <w:top w:val="single" w:sz="4" w:space="0" w:color="auto"/>
              <w:left w:val="nil"/>
              <w:bottom w:val="single" w:sz="12" w:space="0" w:color="auto"/>
              <w:right w:val="single" w:sz="12" w:space="0" w:color="auto"/>
            </w:tcBorders>
            <w:shd w:val="clear" w:color="auto" w:fill="auto"/>
            <w:vAlign w:val="center"/>
          </w:tcPr>
          <w:p w14:paraId="38D0D3F2" w14:textId="58203F35" w:rsidR="00FE0DFA" w:rsidRPr="006A4C6F" w:rsidRDefault="00FE0DFA" w:rsidP="00FE0DFA">
            <w:pPr>
              <w:jc w:val="center"/>
              <w:rPr>
                <w:rFonts w:eastAsia="Times New Roman"/>
                <w:color w:val="000000"/>
                <w:sz w:val="20"/>
                <w:szCs w:val="20"/>
                <w:lang w:eastAsia="en-CA"/>
              </w:rPr>
            </w:pPr>
            <w:r>
              <w:rPr>
                <w:color w:val="000000"/>
                <w:sz w:val="20"/>
                <w:szCs w:val="20"/>
              </w:rPr>
              <w:t>-</w:t>
            </w:r>
          </w:p>
        </w:tc>
        <w:tc>
          <w:tcPr>
            <w:tcW w:w="890" w:type="dxa"/>
            <w:tcBorders>
              <w:top w:val="single" w:sz="4" w:space="0" w:color="auto"/>
              <w:left w:val="single" w:sz="12" w:space="0" w:color="auto"/>
              <w:bottom w:val="single" w:sz="12" w:space="0" w:color="auto"/>
              <w:right w:val="single" w:sz="4" w:space="0" w:color="auto"/>
            </w:tcBorders>
            <w:shd w:val="clear" w:color="auto" w:fill="auto"/>
            <w:vAlign w:val="center"/>
          </w:tcPr>
          <w:p w14:paraId="3E5FCB46" w14:textId="6825A8D9" w:rsidR="00FE0DFA" w:rsidRPr="001C2D0B" w:rsidRDefault="00FE0DFA" w:rsidP="00FE0DFA">
            <w:pPr>
              <w:jc w:val="center"/>
              <w:rPr>
                <w:rFonts w:eastAsia="Times New Roman"/>
                <w:color w:val="000000"/>
                <w:sz w:val="20"/>
                <w:szCs w:val="20"/>
                <w:lang w:eastAsia="en-CA"/>
              </w:rPr>
            </w:pPr>
            <w:r>
              <w:rPr>
                <w:color w:val="000000"/>
                <w:sz w:val="20"/>
                <w:szCs w:val="20"/>
              </w:rPr>
              <w:t>-</w:t>
            </w:r>
          </w:p>
        </w:tc>
        <w:tc>
          <w:tcPr>
            <w:tcW w:w="1094" w:type="dxa"/>
            <w:tcBorders>
              <w:top w:val="single" w:sz="4" w:space="0" w:color="auto"/>
              <w:left w:val="nil"/>
              <w:bottom w:val="single" w:sz="12" w:space="0" w:color="auto"/>
              <w:right w:val="single" w:sz="12" w:space="0" w:color="auto"/>
            </w:tcBorders>
            <w:shd w:val="clear" w:color="auto" w:fill="auto"/>
            <w:vAlign w:val="center"/>
          </w:tcPr>
          <w:p w14:paraId="7C060688" w14:textId="07CB6972" w:rsidR="00FE0DFA" w:rsidRPr="006A4C6F" w:rsidRDefault="00FE0DFA" w:rsidP="00FE0DFA">
            <w:pPr>
              <w:jc w:val="center"/>
              <w:rPr>
                <w:rFonts w:eastAsia="Times New Roman"/>
                <w:color w:val="000000"/>
                <w:sz w:val="20"/>
                <w:szCs w:val="20"/>
                <w:lang w:eastAsia="en-CA"/>
              </w:rPr>
            </w:pPr>
            <w:r>
              <w:rPr>
                <w:color w:val="000000"/>
                <w:sz w:val="20"/>
                <w:szCs w:val="20"/>
              </w:rPr>
              <w:t>-</w:t>
            </w:r>
          </w:p>
        </w:tc>
        <w:tc>
          <w:tcPr>
            <w:tcW w:w="890" w:type="dxa"/>
            <w:tcBorders>
              <w:top w:val="single" w:sz="4" w:space="0" w:color="auto"/>
              <w:left w:val="single" w:sz="12" w:space="0" w:color="auto"/>
              <w:bottom w:val="single" w:sz="12" w:space="0" w:color="auto"/>
              <w:right w:val="single" w:sz="4" w:space="0" w:color="auto"/>
            </w:tcBorders>
            <w:shd w:val="clear" w:color="auto" w:fill="auto"/>
            <w:vAlign w:val="center"/>
          </w:tcPr>
          <w:p w14:paraId="0E3581E6" w14:textId="21990160" w:rsidR="00FE0DFA" w:rsidRPr="001C2D0B" w:rsidRDefault="00FE0DFA" w:rsidP="00FE0DFA">
            <w:pPr>
              <w:jc w:val="center"/>
              <w:rPr>
                <w:rFonts w:eastAsia="Times New Roman"/>
                <w:color w:val="000000"/>
                <w:sz w:val="20"/>
                <w:szCs w:val="20"/>
                <w:lang w:eastAsia="en-CA"/>
              </w:rPr>
            </w:pPr>
            <w:r>
              <w:rPr>
                <w:color w:val="000000"/>
                <w:sz w:val="20"/>
                <w:szCs w:val="20"/>
              </w:rPr>
              <w:t>-</w:t>
            </w:r>
          </w:p>
        </w:tc>
        <w:tc>
          <w:tcPr>
            <w:tcW w:w="1241" w:type="dxa"/>
            <w:tcBorders>
              <w:top w:val="single" w:sz="4" w:space="0" w:color="auto"/>
              <w:left w:val="nil"/>
              <w:bottom w:val="single" w:sz="12" w:space="0" w:color="auto"/>
              <w:right w:val="single" w:sz="12" w:space="0" w:color="auto"/>
            </w:tcBorders>
            <w:shd w:val="clear" w:color="auto" w:fill="auto"/>
            <w:vAlign w:val="center"/>
          </w:tcPr>
          <w:p w14:paraId="35C51D03" w14:textId="05D673E1" w:rsidR="00FE0DFA" w:rsidRPr="006A4C6F" w:rsidRDefault="00FE0DFA" w:rsidP="00FE0DFA">
            <w:pPr>
              <w:jc w:val="center"/>
              <w:rPr>
                <w:rFonts w:eastAsia="Times New Roman"/>
                <w:color w:val="000000"/>
                <w:sz w:val="20"/>
                <w:szCs w:val="20"/>
                <w:lang w:eastAsia="en-CA"/>
              </w:rPr>
            </w:pPr>
            <w:r>
              <w:rPr>
                <w:color w:val="000000"/>
                <w:sz w:val="20"/>
                <w:szCs w:val="20"/>
              </w:rPr>
              <w:t>-</w:t>
            </w:r>
          </w:p>
        </w:tc>
      </w:tr>
      <w:tr w:rsidR="00F616FF" w:rsidRPr="006A4C6F" w14:paraId="6B5C5C87" w14:textId="77777777" w:rsidTr="001C2D0B">
        <w:trPr>
          <w:trHeight w:val="266"/>
        </w:trPr>
        <w:tc>
          <w:tcPr>
            <w:tcW w:w="13336" w:type="dxa"/>
            <w:gridSpan w:val="9"/>
            <w:tcBorders>
              <w:top w:val="single" w:sz="12" w:space="0" w:color="auto"/>
              <w:left w:val="single" w:sz="12" w:space="0" w:color="auto"/>
              <w:bottom w:val="single" w:sz="12" w:space="0" w:color="auto"/>
              <w:right w:val="single" w:sz="12" w:space="0" w:color="auto"/>
            </w:tcBorders>
            <w:shd w:val="clear" w:color="auto" w:fill="auto"/>
            <w:vAlign w:val="center"/>
            <w:hideMark/>
          </w:tcPr>
          <w:p w14:paraId="4771948A" w14:textId="43155A89" w:rsidR="00152535" w:rsidRPr="006A4C6F" w:rsidRDefault="00152535" w:rsidP="00152535">
            <w:pPr>
              <w:rPr>
                <w:rFonts w:eastAsia="Times New Roman"/>
                <w:b/>
                <w:bCs/>
                <w:color w:val="000000"/>
                <w:sz w:val="20"/>
                <w:szCs w:val="20"/>
                <w:lang w:eastAsia="en-CA"/>
              </w:rPr>
            </w:pPr>
            <w:r w:rsidRPr="006A4C6F">
              <w:rPr>
                <w:rFonts w:eastAsia="Calibri"/>
                <w:b/>
                <w:bCs/>
                <w:color w:val="000000"/>
                <w:sz w:val="20"/>
                <w:szCs w:val="20"/>
                <w:lang w:eastAsia="en-CA"/>
              </w:rPr>
              <w:t>Weather, Geography, Temporal</w:t>
            </w:r>
          </w:p>
        </w:tc>
      </w:tr>
      <w:tr w:rsidR="00D25963" w:rsidRPr="006A4C6F" w14:paraId="0C248B20" w14:textId="77777777" w:rsidTr="001C2D0B">
        <w:trPr>
          <w:trHeight w:val="266"/>
        </w:trPr>
        <w:tc>
          <w:tcPr>
            <w:tcW w:w="5301"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5156A48C" w14:textId="5B0D5DFD" w:rsidR="00D25963" w:rsidRPr="006A4C6F" w:rsidRDefault="00D25963" w:rsidP="00D25963">
            <w:pPr>
              <w:rPr>
                <w:rFonts w:eastAsia="Times New Roman"/>
                <w:color w:val="000000"/>
                <w:sz w:val="20"/>
                <w:szCs w:val="20"/>
                <w:lang w:eastAsia="en-CA"/>
              </w:rPr>
            </w:pPr>
            <w:r w:rsidRPr="006A4C6F">
              <w:rPr>
                <w:rFonts w:eastAsia="Calibri"/>
                <w:color w:val="000000"/>
                <w:sz w:val="20"/>
                <w:szCs w:val="20"/>
                <w:lang w:eastAsia="en-CA"/>
              </w:rPr>
              <w:t>Temperature (ºC)</w:t>
            </w:r>
          </w:p>
        </w:tc>
        <w:tc>
          <w:tcPr>
            <w:tcW w:w="984" w:type="dxa"/>
            <w:tcBorders>
              <w:top w:val="single" w:sz="12" w:space="0" w:color="auto"/>
              <w:left w:val="single" w:sz="12" w:space="0" w:color="auto"/>
              <w:bottom w:val="single" w:sz="4" w:space="0" w:color="auto"/>
              <w:right w:val="single" w:sz="4" w:space="0" w:color="auto"/>
            </w:tcBorders>
            <w:shd w:val="clear" w:color="auto" w:fill="auto"/>
            <w:vAlign w:val="bottom"/>
            <w:hideMark/>
          </w:tcPr>
          <w:p w14:paraId="03F3724B" w14:textId="147175C7" w:rsidR="00D25963" w:rsidRPr="001C2D0B" w:rsidRDefault="00D25963" w:rsidP="001C2D0B">
            <w:pPr>
              <w:jc w:val="center"/>
              <w:rPr>
                <w:color w:val="000000"/>
                <w:sz w:val="20"/>
                <w:szCs w:val="20"/>
              </w:rPr>
            </w:pPr>
            <w:r w:rsidRPr="001C2D0B">
              <w:rPr>
                <w:color w:val="000000"/>
                <w:sz w:val="20"/>
                <w:szCs w:val="20"/>
              </w:rPr>
              <w:t>-0.061</w:t>
            </w:r>
          </w:p>
        </w:tc>
        <w:tc>
          <w:tcPr>
            <w:tcW w:w="890" w:type="dxa"/>
            <w:tcBorders>
              <w:top w:val="single" w:sz="12" w:space="0" w:color="auto"/>
              <w:left w:val="nil"/>
              <w:bottom w:val="single" w:sz="4" w:space="0" w:color="auto"/>
              <w:right w:val="single" w:sz="12" w:space="0" w:color="auto"/>
            </w:tcBorders>
            <w:shd w:val="clear" w:color="auto" w:fill="auto"/>
            <w:vAlign w:val="bottom"/>
            <w:hideMark/>
          </w:tcPr>
          <w:p w14:paraId="2D745C26" w14:textId="5FBFFDC7" w:rsidR="00D25963" w:rsidRPr="001C2D0B" w:rsidRDefault="00D25963" w:rsidP="001C2D0B">
            <w:pPr>
              <w:jc w:val="center"/>
              <w:rPr>
                <w:color w:val="000000"/>
                <w:sz w:val="20"/>
                <w:szCs w:val="20"/>
              </w:rPr>
            </w:pPr>
            <w:r w:rsidRPr="001C2D0B">
              <w:rPr>
                <w:color w:val="000000"/>
                <w:sz w:val="20"/>
                <w:szCs w:val="20"/>
              </w:rPr>
              <w:t>-100.75</w:t>
            </w:r>
          </w:p>
        </w:tc>
        <w:tc>
          <w:tcPr>
            <w:tcW w:w="89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63FFDA6B" w14:textId="637794C1" w:rsidR="00D25963" w:rsidRPr="001C2D0B" w:rsidRDefault="00D25963" w:rsidP="00D25963">
            <w:pPr>
              <w:jc w:val="center"/>
              <w:rPr>
                <w:color w:val="000000"/>
                <w:sz w:val="20"/>
                <w:szCs w:val="20"/>
              </w:rPr>
            </w:pPr>
            <w:r>
              <w:rPr>
                <w:color w:val="000000"/>
                <w:sz w:val="20"/>
                <w:szCs w:val="20"/>
              </w:rPr>
              <w:t>-</w:t>
            </w:r>
          </w:p>
        </w:tc>
        <w:tc>
          <w:tcPr>
            <w:tcW w:w="1156" w:type="dxa"/>
            <w:tcBorders>
              <w:top w:val="single" w:sz="12" w:space="0" w:color="auto"/>
              <w:left w:val="nil"/>
              <w:bottom w:val="single" w:sz="4" w:space="0" w:color="auto"/>
              <w:right w:val="single" w:sz="12" w:space="0" w:color="auto"/>
            </w:tcBorders>
            <w:shd w:val="clear" w:color="auto" w:fill="auto"/>
            <w:vAlign w:val="center"/>
            <w:hideMark/>
          </w:tcPr>
          <w:p w14:paraId="696B390C" w14:textId="7D92ABAB" w:rsidR="00D25963" w:rsidRPr="001C2D0B" w:rsidRDefault="00D25963" w:rsidP="00D25963">
            <w:pPr>
              <w:jc w:val="center"/>
              <w:rPr>
                <w:color w:val="000000"/>
                <w:sz w:val="20"/>
                <w:szCs w:val="20"/>
              </w:rPr>
            </w:pPr>
            <w:r>
              <w:rPr>
                <w:color w:val="000000"/>
                <w:sz w:val="20"/>
                <w:szCs w:val="20"/>
              </w:rPr>
              <w:t>-</w:t>
            </w:r>
          </w:p>
        </w:tc>
        <w:tc>
          <w:tcPr>
            <w:tcW w:w="89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51787D11" w14:textId="7ED0AD1D" w:rsidR="00D25963" w:rsidRPr="001C2D0B" w:rsidRDefault="00D25963" w:rsidP="00D25963">
            <w:pPr>
              <w:jc w:val="center"/>
              <w:rPr>
                <w:color w:val="000000"/>
                <w:sz w:val="20"/>
                <w:szCs w:val="20"/>
              </w:rPr>
            </w:pPr>
            <w:r>
              <w:rPr>
                <w:color w:val="000000"/>
                <w:sz w:val="20"/>
                <w:szCs w:val="20"/>
              </w:rPr>
              <w:t>-</w:t>
            </w:r>
          </w:p>
        </w:tc>
        <w:tc>
          <w:tcPr>
            <w:tcW w:w="1094" w:type="dxa"/>
            <w:tcBorders>
              <w:top w:val="single" w:sz="12" w:space="0" w:color="auto"/>
              <w:left w:val="nil"/>
              <w:bottom w:val="single" w:sz="4" w:space="0" w:color="auto"/>
              <w:right w:val="single" w:sz="12" w:space="0" w:color="auto"/>
            </w:tcBorders>
            <w:shd w:val="clear" w:color="auto" w:fill="auto"/>
            <w:vAlign w:val="center"/>
            <w:hideMark/>
          </w:tcPr>
          <w:p w14:paraId="1662CABF" w14:textId="268E2441" w:rsidR="00D25963" w:rsidRPr="001C2D0B" w:rsidRDefault="00D25963" w:rsidP="00D25963">
            <w:pPr>
              <w:jc w:val="center"/>
              <w:rPr>
                <w:color w:val="000000"/>
                <w:sz w:val="20"/>
                <w:szCs w:val="20"/>
              </w:rPr>
            </w:pPr>
            <w:r>
              <w:rPr>
                <w:color w:val="000000"/>
                <w:sz w:val="20"/>
                <w:szCs w:val="20"/>
              </w:rPr>
              <w:t>-</w:t>
            </w:r>
          </w:p>
        </w:tc>
        <w:tc>
          <w:tcPr>
            <w:tcW w:w="89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6708C57F" w14:textId="361188B0" w:rsidR="00D25963" w:rsidRPr="001C2D0B" w:rsidRDefault="00D25963" w:rsidP="00D25963">
            <w:pPr>
              <w:jc w:val="center"/>
              <w:rPr>
                <w:color w:val="000000"/>
                <w:sz w:val="20"/>
                <w:szCs w:val="20"/>
              </w:rPr>
            </w:pPr>
            <w:r>
              <w:rPr>
                <w:color w:val="000000"/>
                <w:sz w:val="20"/>
                <w:szCs w:val="20"/>
              </w:rPr>
              <w:t>-</w:t>
            </w:r>
          </w:p>
        </w:tc>
        <w:tc>
          <w:tcPr>
            <w:tcW w:w="1241" w:type="dxa"/>
            <w:tcBorders>
              <w:top w:val="single" w:sz="12" w:space="0" w:color="auto"/>
              <w:left w:val="nil"/>
              <w:bottom w:val="single" w:sz="4" w:space="0" w:color="auto"/>
              <w:right w:val="single" w:sz="12" w:space="0" w:color="auto"/>
            </w:tcBorders>
            <w:shd w:val="clear" w:color="auto" w:fill="auto"/>
            <w:vAlign w:val="center"/>
            <w:hideMark/>
          </w:tcPr>
          <w:p w14:paraId="568D773F" w14:textId="59B58ED2" w:rsidR="00D25963" w:rsidRPr="001C2D0B" w:rsidRDefault="00D25963" w:rsidP="00D25963">
            <w:pPr>
              <w:jc w:val="center"/>
              <w:rPr>
                <w:color w:val="000000"/>
                <w:sz w:val="20"/>
                <w:szCs w:val="20"/>
              </w:rPr>
            </w:pPr>
            <w:r>
              <w:rPr>
                <w:color w:val="000000"/>
                <w:sz w:val="20"/>
                <w:szCs w:val="20"/>
              </w:rPr>
              <w:t>-</w:t>
            </w:r>
          </w:p>
        </w:tc>
      </w:tr>
      <w:tr w:rsidR="001C2D0B" w:rsidRPr="006A4C6F" w14:paraId="307E677E" w14:textId="77777777" w:rsidTr="001C2D0B">
        <w:trPr>
          <w:trHeight w:val="266"/>
        </w:trPr>
        <w:tc>
          <w:tcPr>
            <w:tcW w:w="5301" w:type="dxa"/>
            <w:tcBorders>
              <w:top w:val="nil"/>
              <w:left w:val="single" w:sz="12" w:space="0" w:color="auto"/>
              <w:bottom w:val="single" w:sz="4" w:space="0" w:color="auto"/>
              <w:right w:val="single" w:sz="12" w:space="0" w:color="auto"/>
            </w:tcBorders>
            <w:shd w:val="clear" w:color="auto" w:fill="auto"/>
            <w:vAlign w:val="center"/>
            <w:hideMark/>
          </w:tcPr>
          <w:p w14:paraId="70F9F8EE" w14:textId="2776D4E5" w:rsidR="001C2D0B" w:rsidRPr="006A4C6F" w:rsidRDefault="001C2D0B" w:rsidP="001C2D0B">
            <w:pPr>
              <w:rPr>
                <w:rFonts w:eastAsia="Times New Roman"/>
                <w:color w:val="000000"/>
                <w:sz w:val="20"/>
                <w:szCs w:val="20"/>
                <w:lang w:eastAsia="en-CA"/>
              </w:rPr>
            </w:pPr>
            <w:r w:rsidRPr="006A4C6F">
              <w:rPr>
                <w:rFonts w:eastAsia="Calibri"/>
                <w:color w:val="000000"/>
                <w:sz w:val="20"/>
                <w:szCs w:val="20"/>
                <w:lang w:eastAsia="en-CA"/>
              </w:rPr>
              <w:t>Elevation (*10</w:t>
            </w:r>
            <w:r w:rsidRPr="006A4C6F">
              <w:rPr>
                <w:rFonts w:eastAsia="Calibri"/>
                <w:color w:val="000000"/>
                <w:sz w:val="20"/>
                <w:szCs w:val="20"/>
                <w:vertAlign w:val="superscript"/>
                <w:lang w:eastAsia="en-CA"/>
              </w:rPr>
              <w:t>-1</w:t>
            </w:r>
            <w:r w:rsidRPr="006A4C6F">
              <w:rPr>
                <w:rFonts w:eastAsia="Calibri"/>
                <w:color w:val="000000"/>
                <w:sz w:val="20"/>
                <w:szCs w:val="20"/>
                <w:lang w:eastAsia="en-CA"/>
              </w:rPr>
              <w:t xml:space="preserve"> ; m)</w:t>
            </w:r>
          </w:p>
        </w:tc>
        <w:tc>
          <w:tcPr>
            <w:tcW w:w="984" w:type="dxa"/>
            <w:tcBorders>
              <w:top w:val="nil"/>
              <w:left w:val="single" w:sz="12" w:space="0" w:color="auto"/>
              <w:bottom w:val="single" w:sz="4" w:space="0" w:color="auto"/>
              <w:right w:val="single" w:sz="4" w:space="0" w:color="auto"/>
            </w:tcBorders>
            <w:shd w:val="clear" w:color="auto" w:fill="auto"/>
            <w:vAlign w:val="bottom"/>
            <w:hideMark/>
          </w:tcPr>
          <w:p w14:paraId="40CFA60A" w14:textId="2534E1B0" w:rsidR="001C2D0B" w:rsidRPr="001C2D0B" w:rsidRDefault="001C2D0B" w:rsidP="001C2D0B">
            <w:pPr>
              <w:jc w:val="center"/>
              <w:rPr>
                <w:color w:val="000000"/>
                <w:sz w:val="20"/>
                <w:szCs w:val="20"/>
              </w:rPr>
            </w:pPr>
            <w:r w:rsidRPr="001C2D0B">
              <w:rPr>
                <w:color w:val="000000"/>
                <w:sz w:val="20"/>
                <w:szCs w:val="20"/>
              </w:rPr>
              <w:t>-0.110</w:t>
            </w:r>
          </w:p>
        </w:tc>
        <w:tc>
          <w:tcPr>
            <w:tcW w:w="890" w:type="dxa"/>
            <w:tcBorders>
              <w:top w:val="nil"/>
              <w:left w:val="nil"/>
              <w:bottom w:val="single" w:sz="4" w:space="0" w:color="auto"/>
              <w:right w:val="single" w:sz="12" w:space="0" w:color="auto"/>
            </w:tcBorders>
            <w:shd w:val="clear" w:color="auto" w:fill="auto"/>
            <w:vAlign w:val="bottom"/>
            <w:hideMark/>
          </w:tcPr>
          <w:p w14:paraId="7921B6E7" w14:textId="78C2D6C7" w:rsidR="001C2D0B" w:rsidRPr="001C2D0B" w:rsidRDefault="001C2D0B" w:rsidP="001C2D0B">
            <w:pPr>
              <w:jc w:val="center"/>
              <w:rPr>
                <w:color w:val="000000"/>
                <w:sz w:val="20"/>
                <w:szCs w:val="20"/>
              </w:rPr>
            </w:pPr>
            <w:r w:rsidRPr="001C2D0B">
              <w:rPr>
                <w:color w:val="000000"/>
                <w:sz w:val="20"/>
                <w:szCs w:val="20"/>
              </w:rPr>
              <w:t>-20.68</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1D72C3FD" w14:textId="65B6992F" w:rsidR="001C2D0B" w:rsidRPr="001C2D0B" w:rsidRDefault="001C2D0B" w:rsidP="001C2D0B">
            <w:pPr>
              <w:jc w:val="center"/>
              <w:rPr>
                <w:color w:val="000000"/>
                <w:sz w:val="20"/>
                <w:szCs w:val="20"/>
              </w:rPr>
            </w:pPr>
            <w:r>
              <w:rPr>
                <w:color w:val="000000"/>
                <w:sz w:val="20"/>
                <w:szCs w:val="20"/>
              </w:rPr>
              <w:t>-</w:t>
            </w:r>
          </w:p>
        </w:tc>
        <w:tc>
          <w:tcPr>
            <w:tcW w:w="1156" w:type="dxa"/>
            <w:tcBorders>
              <w:top w:val="nil"/>
              <w:left w:val="nil"/>
              <w:bottom w:val="single" w:sz="4" w:space="0" w:color="auto"/>
              <w:right w:val="single" w:sz="12" w:space="0" w:color="auto"/>
            </w:tcBorders>
            <w:shd w:val="clear" w:color="auto" w:fill="auto"/>
            <w:vAlign w:val="center"/>
            <w:hideMark/>
          </w:tcPr>
          <w:p w14:paraId="56D5955A" w14:textId="291F9AE2" w:rsidR="001C2D0B" w:rsidRPr="001C2D0B" w:rsidRDefault="001C2D0B" w:rsidP="001C2D0B">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bottom"/>
            <w:hideMark/>
          </w:tcPr>
          <w:p w14:paraId="5ACF92BB" w14:textId="3C859EC7" w:rsidR="001C2D0B" w:rsidRPr="001C2D0B" w:rsidRDefault="001C2D0B" w:rsidP="001C2D0B">
            <w:pPr>
              <w:jc w:val="center"/>
              <w:rPr>
                <w:color w:val="000000"/>
                <w:sz w:val="20"/>
                <w:szCs w:val="20"/>
              </w:rPr>
            </w:pPr>
            <w:r w:rsidRPr="001C2D0B">
              <w:rPr>
                <w:color w:val="000000"/>
                <w:sz w:val="20"/>
                <w:szCs w:val="20"/>
              </w:rPr>
              <w:t>0.026</w:t>
            </w:r>
          </w:p>
        </w:tc>
        <w:tc>
          <w:tcPr>
            <w:tcW w:w="1094" w:type="dxa"/>
            <w:tcBorders>
              <w:top w:val="nil"/>
              <w:left w:val="nil"/>
              <w:bottom w:val="single" w:sz="4" w:space="0" w:color="auto"/>
              <w:right w:val="single" w:sz="12" w:space="0" w:color="auto"/>
            </w:tcBorders>
            <w:shd w:val="clear" w:color="auto" w:fill="auto"/>
            <w:vAlign w:val="bottom"/>
            <w:hideMark/>
          </w:tcPr>
          <w:p w14:paraId="683D057E" w14:textId="6D29077D" w:rsidR="001C2D0B" w:rsidRPr="001C2D0B" w:rsidRDefault="001C2D0B" w:rsidP="001C2D0B">
            <w:pPr>
              <w:jc w:val="center"/>
              <w:rPr>
                <w:color w:val="000000"/>
                <w:sz w:val="20"/>
                <w:szCs w:val="20"/>
              </w:rPr>
            </w:pPr>
            <w:r w:rsidRPr="001C2D0B">
              <w:rPr>
                <w:color w:val="000000"/>
                <w:sz w:val="20"/>
                <w:szCs w:val="20"/>
              </w:rPr>
              <w:t>26.54</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0808B2C1" w14:textId="5A114663" w:rsidR="001C2D0B" w:rsidRPr="001C2D0B" w:rsidRDefault="001C2D0B" w:rsidP="001C2D0B">
            <w:pPr>
              <w:jc w:val="center"/>
              <w:rPr>
                <w:color w:val="000000"/>
                <w:sz w:val="20"/>
                <w:szCs w:val="20"/>
              </w:rPr>
            </w:pPr>
            <w:r>
              <w:rPr>
                <w:color w:val="000000"/>
                <w:sz w:val="20"/>
                <w:szCs w:val="20"/>
              </w:rPr>
              <w:t>-</w:t>
            </w:r>
          </w:p>
        </w:tc>
        <w:tc>
          <w:tcPr>
            <w:tcW w:w="1241" w:type="dxa"/>
            <w:tcBorders>
              <w:top w:val="single" w:sz="4" w:space="0" w:color="auto"/>
              <w:left w:val="nil"/>
              <w:bottom w:val="single" w:sz="4" w:space="0" w:color="auto"/>
              <w:right w:val="single" w:sz="12" w:space="0" w:color="auto"/>
            </w:tcBorders>
            <w:shd w:val="clear" w:color="auto" w:fill="auto"/>
            <w:vAlign w:val="center"/>
            <w:hideMark/>
          </w:tcPr>
          <w:p w14:paraId="50BE52E1" w14:textId="63C62718" w:rsidR="001C2D0B" w:rsidRPr="001C2D0B" w:rsidRDefault="001C2D0B" w:rsidP="001C2D0B">
            <w:pPr>
              <w:jc w:val="center"/>
              <w:rPr>
                <w:color w:val="000000"/>
                <w:sz w:val="20"/>
                <w:szCs w:val="20"/>
              </w:rPr>
            </w:pPr>
            <w:r>
              <w:rPr>
                <w:color w:val="000000"/>
                <w:sz w:val="20"/>
                <w:szCs w:val="20"/>
              </w:rPr>
              <w:t>-</w:t>
            </w:r>
          </w:p>
        </w:tc>
      </w:tr>
      <w:tr w:rsidR="001C2D0B" w:rsidRPr="006A4C6F" w14:paraId="46F52467" w14:textId="77777777" w:rsidTr="001C2D0B">
        <w:trPr>
          <w:trHeight w:val="266"/>
        </w:trPr>
        <w:tc>
          <w:tcPr>
            <w:tcW w:w="5301" w:type="dxa"/>
            <w:tcBorders>
              <w:top w:val="nil"/>
              <w:left w:val="single" w:sz="12" w:space="0" w:color="auto"/>
              <w:bottom w:val="single" w:sz="4" w:space="0" w:color="auto"/>
              <w:right w:val="single" w:sz="12" w:space="0" w:color="auto"/>
            </w:tcBorders>
            <w:shd w:val="clear" w:color="auto" w:fill="auto"/>
            <w:vAlign w:val="center"/>
            <w:hideMark/>
          </w:tcPr>
          <w:p w14:paraId="7C5519DF" w14:textId="5C622EC7" w:rsidR="001C2D0B" w:rsidRPr="006A4C6F" w:rsidRDefault="001C2D0B" w:rsidP="001C2D0B">
            <w:pPr>
              <w:rPr>
                <w:rFonts w:eastAsia="Times New Roman"/>
                <w:color w:val="000000"/>
                <w:sz w:val="20"/>
                <w:szCs w:val="20"/>
                <w:lang w:eastAsia="en-CA"/>
              </w:rPr>
            </w:pPr>
            <w:r w:rsidRPr="006A4C6F">
              <w:rPr>
                <w:rFonts w:eastAsia="Calibri"/>
                <w:color w:val="000000"/>
                <w:sz w:val="20"/>
                <w:szCs w:val="20"/>
                <w:lang w:eastAsia="en-CA"/>
              </w:rPr>
              <w:t>AM period (6-10 am)</w:t>
            </w:r>
          </w:p>
        </w:tc>
        <w:tc>
          <w:tcPr>
            <w:tcW w:w="984" w:type="dxa"/>
            <w:tcBorders>
              <w:top w:val="nil"/>
              <w:left w:val="single" w:sz="12" w:space="0" w:color="auto"/>
              <w:bottom w:val="single" w:sz="4" w:space="0" w:color="auto"/>
              <w:right w:val="single" w:sz="4" w:space="0" w:color="auto"/>
            </w:tcBorders>
            <w:shd w:val="clear" w:color="auto" w:fill="auto"/>
            <w:vAlign w:val="center"/>
          </w:tcPr>
          <w:p w14:paraId="67CE7CB1" w14:textId="43D6A979" w:rsidR="001C2D0B" w:rsidRPr="001C2D0B" w:rsidRDefault="001C2D0B" w:rsidP="001C2D0B">
            <w:pPr>
              <w:jc w:val="center"/>
              <w:rPr>
                <w:color w:val="000000"/>
                <w:sz w:val="20"/>
                <w:szCs w:val="20"/>
              </w:rPr>
            </w:pPr>
            <w:r w:rsidRPr="001C2D0B">
              <w:rPr>
                <w:color w:val="000000"/>
                <w:sz w:val="20"/>
                <w:szCs w:val="20"/>
              </w:rPr>
              <w:t>-</w:t>
            </w:r>
          </w:p>
        </w:tc>
        <w:tc>
          <w:tcPr>
            <w:tcW w:w="890" w:type="dxa"/>
            <w:tcBorders>
              <w:top w:val="nil"/>
              <w:left w:val="nil"/>
              <w:bottom w:val="single" w:sz="4" w:space="0" w:color="auto"/>
              <w:right w:val="single" w:sz="12" w:space="0" w:color="auto"/>
            </w:tcBorders>
            <w:shd w:val="clear" w:color="auto" w:fill="auto"/>
            <w:vAlign w:val="center"/>
          </w:tcPr>
          <w:p w14:paraId="779275BA" w14:textId="1D305410" w:rsidR="001C2D0B" w:rsidRPr="001C2D0B" w:rsidRDefault="001C2D0B" w:rsidP="001C2D0B">
            <w:pPr>
              <w:jc w:val="center"/>
              <w:rPr>
                <w:color w:val="000000"/>
                <w:sz w:val="20"/>
                <w:szCs w:val="20"/>
              </w:rPr>
            </w:pPr>
            <w:r w:rsidRPr="001C2D0B">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bottom"/>
            <w:hideMark/>
          </w:tcPr>
          <w:p w14:paraId="48BB6232" w14:textId="621599C4" w:rsidR="001C2D0B" w:rsidRPr="001C2D0B" w:rsidRDefault="001C2D0B" w:rsidP="001C2D0B">
            <w:pPr>
              <w:jc w:val="center"/>
              <w:rPr>
                <w:color w:val="000000"/>
                <w:sz w:val="20"/>
                <w:szCs w:val="20"/>
              </w:rPr>
            </w:pPr>
            <w:r w:rsidRPr="001C2D0B">
              <w:rPr>
                <w:color w:val="000000"/>
                <w:sz w:val="20"/>
                <w:szCs w:val="20"/>
              </w:rPr>
              <w:t>0.098</w:t>
            </w:r>
          </w:p>
        </w:tc>
        <w:tc>
          <w:tcPr>
            <w:tcW w:w="1156" w:type="dxa"/>
            <w:tcBorders>
              <w:top w:val="nil"/>
              <w:left w:val="nil"/>
              <w:bottom w:val="single" w:sz="4" w:space="0" w:color="auto"/>
              <w:right w:val="single" w:sz="12" w:space="0" w:color="auto"/>
            </w:tcBorders>
            <w:shd w:val="clear" w:color="auto" w:fill="auto"/>
            <w:vAlign w:val="bottom"/>
            <w:hideMark/>
          </w:tcPr>
          <w:p w14:paraId="57B2FB4B" w14:textId="71B8D7A1" w:rsidR="001C2D0B" w:rsidRPr="001C2D0B" w:rsidRDefault="001C2D0B" w:rsidP="001C2D0B">
            <w:pPr>
              <w:jc w:val="center"/>
              <w:rPr>
                <w:color w:val="000000"/>
                <w:sz w:val="20"/>
                <w:szCs w:val="20"/>
              </w:rPr>
            </w:pPr>
            <w:r w:rsidRPr="001C2D0B">
              <w:rPr>
                <w:color w:val="000000"/>
                <w:sz w:val="20"/>
                <w:szCs w:val="20"/>
              </w:rPr>
              <w:t>6.59</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085F5201" w14:textId="5B353D1D" w:rsidR="001C2D0B" w:rsidRPr="001C2D0B" w:rsidRDefault="001C2D0B" w:rsidP="001C2D0B">
            <w:pPr>
              <w:jc w:val="center"/>
              <w:rPr>
                <w:color w:val="000000"/>
                <w:sz w:val="20"/>
                <w:szCs w:val="20"/>
              </w:rPr>
            </w:pPr>
            <w:r>
              <w:rPr>
                <w:color w:val="000000"/>
                <w:sz w:val="20"/>
                <w:szCs w:val="20"/>
              </w:rPr>
              <w:t>-</w:t>
            </w:r>
          </w:p>
        </w:tc>
        <w:tc>
          <w:tcPr>
            <w:tcW w:w="1094" w:type="dxa"/>
            <w:tcBorders>
              <w:top w:val="nil"/>
              <w:left w:val="nil"/>
              <w:bottom w:val="single" w:sz="4" w:space="0" w:color="auto"/>
              <w:right w:val="single" w:sz="12" w:space="0" w:color="auto"/>
            </w:tcBorders>
            <w:shd w:val="clear" w:color="auto" w:fill="auto"/>
            <w:vAlign w:val="center"/>
            <w:hideMark/>
          </w:tcPr>
          <w:p w14:paraId="4BD9971A" w14:textId="247664AB" w:rsidR="001C2D0B" w:rsidRPr="001C2D0B" w:rsidRDefault="001C2D0B" w:rsidP="001C2D0B">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758696C2" w14:textId="6D00B382" w:rsidR="001C2D0B" w:rsidRPr="001C2D0B" w:rsidRDefault="001C2D0B" w:rsidP="001C2D0B">
            <w:pPr>
              <w:jc w:val="center"/>
              <w:rPr>
                <w:color w:val="000000"/>
                <w:sz w:val="20"/>
                <w:szCs w:val="20"/>
              </w:rPr>
            </w:pPr>
            <w:r>
              <w:rPr>
                <w:color w:val="000000"/>
                <w:sz w:val="20"/>
                <w:szCs w:val="20"/>
              </w:rPr>
              <w:t>-</w:t>
            </w:r>
          </w:p>
        </w:tc>
        <w:tc>
          <w:tcPr>
            <w:tcW w:w="1241" w:type="dxa"/>
            <w:tcBorders>
              <w:top w:val="nil"/>
              <w:left w:val="nil"/>
              <w:bottom w:val="single" w:sz="4" w:space="0" w:color="auto"/>
              <w:right w:val="single" w:sz="12" w:space="0" w:color="auto"/>
            </w:tcBorders>
            <w:shd w:val="clear" w:color="auto" w:fill="auto"/>
            <w:vAlign w:val="center"/>
            <w:hideMark/>
          </w:tcPr>
          <w:p w14:paraId="47529A45" w14:textId="4EF375B1" w:rsidR="001C2D0B" w:rsidRPr="001C2D0B" w:rsidRDefault="001C2D0B" w:rsidP="001C2D0B">
            <w:pPr>
              <w:jc w:val="center"/>
              <w:rPr>
                <w:color w:val="000000"/>
                <w:sz w:val="20"/>
                <w:szCs w:val="20"/>
              </w:rPr>
            </w:pPr>
            <w:r>
              <w:rPr>
                <w:color w:val="000000"/>
                <w:sz w:val="20"/>
                <w:szCs w:val="20"/>
              </w:rPr>
              <w:t>-</w:t>
            </w:r>
          </w:p>
        </w:tc>
      </w:tr>
      <w:tr w:rsidR="001C2D0B" w:rsidRPr="006A4C6F" w14:paraId="4913C81E" w14:textId="77777777" w:rsidTr="001C2D0B">
        <w:trPr>
          <w:trHeight w:val="266"/>
        </w:trPr>
        <w:tc>
          <w:tcPr>
            <w:tcW w:w="5301" w:type="dxa"/>
            <w:tcBorders>
              <w:top w:val="nil"/>
              <w:left w:val="single" w:sz="12" w:space="0" w:color="auto"/>
              <w:bottom w:val="single" w:sz="4" w:space="0" w:color="auto"/>
              <w:right w:val="single" w:sz="12" w:space="0" w:color="auto"/>
            </w:tcBorders>
            <w:shd w:val="clear" w:color="auto" w:fill="auto"/>
            <w:vAlign w:val="center"/>
            <w:hideMark/>
          </w:tcPr>
          <w:p w14:paraId="45826D5E" w14:textId="7344D6DF" w:rsidR="001C2D0B" w:rsidRPr="006A4C6F" w:rsidRDefault="001C2D0B" w:rsidP="001C2D0B">
            <w:pPr>
              <w:rPr>
                <w:rFonts w:eastAsia="Times New Roman"/>
                <w:color w:val="000000"/>
                <w:sz w:val="20"/>
                <w:szCs w:val="20"/>
                <w:lang w:eastAsia="en-CA"/>
              </w:rPr>
            </w:pPr>
            <w:r w:rsidRPr="006A4C6F">
              <w:rPr>
                <w:rFonts w:eastAsia="Calibri"/>
                <w:color w:val="000000"/>
                <w:sz w:val="20"/>
                <w:szCs w:val="20"/>
                <w:lang w:eastAsia="en-CA"/>
              </w:rPr>
              <w:t>PM period (3-7 pm)</w:t>
            </w:r>
          </w:p>
        </w:tc>
        <w:tc>
          <w:tcPr>
            <w:tcW w:w="984" w:type="dxa"/>
            <w:tcBorders>
              <w:top w:val="nil"/>
              <w:left w:val="single" w:sz="12" w:space="0" w:color="auto"/>
              <w:bottom w:val="single" w:sz="4" w:space="0" w:color="auto"/>
              <w:right w:val="single" w:sz="4" w:space="0" w:color="auto"/>
            </w:tcBorders>
            <w:shd w:val="clear" w:color="auto" w:fill="auto"/>
            <w:vAlign w:val="bottom"/>
            <w:hideMark/>
          </w:tcPr>
          <w:p w14:paraId="37AA82D8" w14:textId="6CF6DDB1" w:rsidR="001C2D0B" w:rsidRPr="001C2D0B" w:rsidRDefault="001C2D0B" w:rsidP="001C2D0B">
            <w:pPr>
              <w:jc w:val="center"/>
              <w:rPr>
                <w:color w:val="000000"/>
                <w:sz w:val="20"/>
                <w:szCs w:val="20"/>
              </w:rPr>
            </w:pPr>
            <w:r w:rsidRPr="001C2D0B">
              <w:rPr>
                <w:color w:val="000000"/>
                <w:sz w:val="20"/>
                <w:szCs w:val="20"/>
              </w:rPr>
              <w:t>-0.055</w:t>
            </w:r>
          </w:p>
        </w:tc>
        <w:tc>
          <w:tcPr>
            <w:tcW w:w="890" w:type="dxa"/>
            <w:tcBorders>
              <w:top w:val="nil"/>
              <w:left w:val="nil"/>
              <w:bottom w:val="single" w:sz="4" w:space="0" w:color="auto"/>
              <w:right w:val="single" w:sz="12" w:space="0" w:color="auto"/>
            </w:tcBorders>
            <w:shd w:val="clear" w:color="auto" w:fill="auto"/>
            <w:vAlign w:val="bottom"/>
            <w:hideMark/>
          </w:tcPr>
          <w:p w14:paraId="236A6E30" w14:textId="55A3B9B3" w:rsidR="001C2D0B" w:rsidRPr="001C2D0B" w:rsidRDefault="001C2D0B" w:rsidP="001C2D0B">
            <w:pPr>
              <w:jc w:val="center"/>
              <w:rPr>
                <w:color w:val="000000"/>
                <w:sz w:val="20"/>
                <w:szCs w:val="20"/>
              </w:rPr>
            </w:pPr>
            <w:r w:rsidRPr="001C2D0B">
              <w:rPr>
                <w:color w:val="000000"/>
                <w:sz w:val="20"/>
                <w:szCs w:val="20"/>
              </w:rPr>
              <w:t>-3.10</w:t>
            </w:r>
          </w:p>
        </w:tc>
        <w:tc>
          <w:tcPr>
            <w:tcW w:w="890" w:type="dxa"/>
            <w:tcBorders>
              <w:top w:val="nil"/>
              <w:left w:val="single" w:sz="12" w:space="0" w:color="auto"/>
              <w:bottom w:val="single" w:sz="4" w:space="0" w:color="auto"/>
              <w:right w:val="single" w:sz="4" w:space="0" w:color="auto"/>
            </w:tcBorders>
            <w:shd w:val="clear" w:color="auto" w:fill="auto"/>
            <w:vAlign w:val="bottom"/>
            <w:hideMark/>
          </w:tcPr>
          <w:p w14:paraId="4511F97C" w14:textId="0517DF2C" w:rsidR="001C2D0B" w:rsidRPr="001C2D0B" w:rsidRDefault="001C2D0B" w:rsidP="001C2D0B">
            <w:pPr>
              <w:jc w:val="center"/>
              <w:rPr>
                <w:color w:val="000000"/>
                <w:sz w:val="20"/>
                <w:szCs w:val="20"/>
              </w:rPr>
            </w:pPr>
            <w:r w:rsidRPr="001C2D0B">
              <w:rPr>
                <w:color w:val="000000"/>
                <w:sz w:val="20"/>
                <w:szCs w:val="20"/>
              </w:rPr>
              <w:t>0.078</w:t>
            </w:r>
          </w:p>
        </w:tc>
        <w:tc>
          <w:tcPr>
            <w:tcW w:w="1156" w:type="dxa"/>
            <w:tcBorders>
              <w:top w:val="nil"/>
              <w:left w:val="nil"/>
              <w:bottom w:val="single" w:sz="4" w:space="0" w:color="auto"/>
              <w:right w:val="single" w:sz="12" w:space="0" w:color="auto"/>
            </w:tcBorders>
            <w:shd w:val="clear" w:color="auto" w:fill="auto"/>
            <w:vAlign w:val="bottom"/>
            <w:hideMark/>
          </w:tcPr>
          <w:p w14:paraId="5D9CDFEA" w14:textId="7FD957F9" w:rsidR="001C2D0B" w:rsidRPr="001C2D0B" w:rsidRDefault="001C2D0B" w:rsidP="001C2D0B">
            <w:pPr>
              <w:jc w:val="center"/>
              <w:rPr>
                <w:color w:val="000000"/>
                <w:sz w:val="20"/>
                <w:szCs w:val="20"/>
              </w:rPr>
            </w:pPr>
            <w:r w:rsidRPr="001C2D0B">
              <w:rPr>
                <w:color w:val="000000"/>
                <w:sz w:val="20"/>
                <w:szCs w:val="20"/>
              </w:rPr>
              <w:t>4.97</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6646F3FD" w14:textId="5010E61D" w:rsidR="001C2D0B" w:rsidRPr="001C2D0B" w:rsidRDefault="001C2D0B" w:rsidP="001C2D0B">
            <w:pPr>
              <w:jc w:val="center"/>
              <w:rPr>
                <w:color w:val="000000"/>
                <w:sz w:val="20"/>
                <w:szCs w:val="20"/>
              </w:rPr>
            </w:pPr>
            <w:r>
              <w:rPr>
                <w:color w:val="000000"/>
                <w:sz w:val="20"/>
                <w:szCs w:val="20"/>
              </w:rPr>
              <w:t>-</w:t>
            </w:r>
          </w:p>
        </w:tc>
        <w:tc>
          <w:tcPr>
            <w:tcW w:w="1094" w:type="dxa"/>
            <w:tcBorders>
              <w:top w:val="nil"/>
              <w:left w:val="nil"/>
              <w:bottom w:val="single" w:sz="4" w:space="0" w:color="auto"/>
              <w:right w:val="single" w:sz="12" w:space="0" w:color="auto"/>
            </w:tcBorders>
            <w:shd w:val="clear" w:color="auto" w:fill="auto"/>
            <w:vAlign w:val="center"/>
            <w:hideMark/>
          </w:tcPr>
          <w:p w14:paraId="4B0B24E6" w14:textId="3358CDB6" w:rsidR="001C2D0B" w:rsidRPr="001C2D0B" w:rsidRDefault="001C2D0B" w:rsidP="001C2D0B">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05936C4A" w14:textId="70D89D86" w:rsidR="001C2D0B" w:rsidRPr="001C2D0B" w:rsidRDefault="001C2D0B" w:rsidP="001C2D0B">
            <w:pPr>
              <w:jc w:val="center"/>
              <w:rPr>
                <w:color w:val="000000"/>
                <w:sz w:val="20"/>
                <w:szCs w:val="20"/>
              </w:rPr>
            </w:pPr>
            <w:r>
              <w:rPr>
                <w:color w:val="000000"/>
                <w:sz w:val="20"/>
                <w:szCs w:val="20"/>
              </w:rPr>
              <w:t>-</w:t>
            </w:r>
          </w:p>
        </w:tc>
        <w:tc>
          <w:tcPr>
            <w:tcW w:w="1241" w:type="dxa"/>
            <w:tcBorders>
              <w:top w:val="nil"/>
              <w:left w:val="nil"/>
              <w:bottom w:val="single" w:sz="4" w:space="0" w:color="auto"/>
              <w:right w:val="single" w:sz="12" w:space="0" w:color="auto"/>
            </w:tcBorders>
            <w:shd w:val="clear" w:color="auto" w:fill="auto"/>
            <w:vAlign w:val="center"/>
            <w:hideMark/>
          </w:tcPr>
          <w:p w14:paraId="03AE1978" w14:textId="412018CA" w:rsidR="001C2D0B" w:rsidRPr="001C2D0B" w:rsidRDefault="001C2D0B" w:rsidP="001C2D0B">
            <w:pPr>
              <w:jc w:val="center"/>
              <w:rPr>
                <w:color w:val="000000"/>
                <w:sz w:val="20"/>
                <w:szCs w:val="20"/>
              </w:rPr>
            </w:pPr>
            <w:r>
              <w:rPr>
                <w:color w:val="000000"/>
                <w:sz w:val="20"/>
                <w:szCs w:val="20"/>
              </w:rPr>
              <w:t>-</w:t>
            </w:r>
          </w:p>
        </w:tc>
      </w:tr>
      <w:tr w:rsidR="00D25963" w:rsidRPr="006A4C6F" w14:paraId="2660928E" w14:textId="77777777" w:rsidTr="001C2D0B">
        <w:trPr>
          <w:trHeight w:val="266"/>
        </w:trPr>
        <w:tc>
          <w:tcPr>
            <w:tcW w:w="5301" w:type="dxa"/>
            <w:tcBorders>
              <w:top w:val="nil"/>
              <w:left w:val="single" w:sz="12" w:space="0" w:color="auto"/>
              <w:bottom w:val="single" w:sz="12" w:space="0" w:color="auto"/>
              <w:right w:val="single" w:sz="12" w:space="0" w:color="auto"/>
            </w:tcBorders>
            <w:shd w:val="clear" w:color="auto" w:fill="auto"/>
            <w:vAlign w:val="center"/>
            <w:hideMark/>
          </w:tcPr>
          <w:p w14:paraId="16F0F13B" w14:textId="18750BD6" w:rsidR="00D25963" w:rsidRPr="006A4C6F" w:rsidRDefault="00D25963" w:rsidP="00D25963">
            <w:pPr>
              <w:rPr>
                <w:rFonts w:eastAsia="Times New Roman"/>
                <w:color w:val="000000"/>
                <w:sz w:val="20"/>
                <w:szCs w:val="20"/>
                <w:lang w:eastAsia="en-CA"/>
              </w:rPr>
            </w:pPr>
            <w:r w:rsidRPr="006A4C6F">
              <w:rPr>
                <w:rFonts w:eastAsia="Calibri"/>
                <w:color w:val="000000"/>
                <w:sz w:val="20"/>
                <w:szCs w:val="20"/>
                <w:lang w:eastAsia="en-CA"/>
              </w:rPr>
              <w:t>Weekend</w:t>
            </w:r>
          </w:p>
        </w:tc>
        <w:tc>
          <w:tcPr>
            <w:tcW w:w="984" w:type="dxa"/>
            <w:tcBorders>
              <w:top w:val="nil"/>
              <w:left w:val="single" w:sz="12" w:space="0" w:color="auto"/>
              <w:bottom w:val="single" w:sz="12" w:space="0" w:color="auto"/>
              <w:right w:val="single" w:sz="4" w:space="0" w:color="auto"/>
            </w:tcBorders>
            <w:shd w:val="clear" w:color="auto" w:fill="auto"/>
            <w:vAlign w:val="bottom"/>
            <w:hideMark/>
          </w:tcPr>
          <w:p w14:paraId="34631F1A" w14:textId="0763C1A5" w:rsidR="00D25963" w:rsidRPr="001C2D0B" w:rsidRDefault="00D25963" w:rsidP="001C2D0B">
            <w:pPr>
              <w:jc w:val="center"/>
              <w:rPr>
                <w:color w:val="000000"/>
                <w:sz w:val="20"/>
                <w:szCs w:val="20"/>
              </w:rPr>
            </w:pPr>
            <w:r w:rsidRPr="001C2D0B">
              <w:rPr>
                <w:color w:val="000000"/>
                <w:sz w:val="20"/>
                <w:szCs w:val="20"/>
              </w:rPr>
              <w:t>0.050</w:t>
            </w:r>
          </w:p>
        </w:tc>
        <w:tc>
          <w:tcPr>
            <w:tcW w:w="890" w:type="dxa"/>
            <w:tcBorders>
              <w:top w:val="nil"/>
              <w:left w:val="nil"/>
              <w:bottom w:val="single" w:sz="12" w:space="0" w:color="auto"/>
              <w:right w:val="single" w:sz="12" w:space="0" w:color="auto"/>
            </w:tcBorders>
            <w:shd w:val="clear" w:color="auto" w:fill="auto"/>
            <w:vAlign w:val="bottom"/>
            <w:hideMark/>
          </w:tcPr>
          <w:p w14:paraId="59AD0AE6" w14:textId="19089CA1" w:rsidR="00D25963" w:rsidRPr="001C2D0B" w:rsidRDefault="00D25963" w:rsidP="001C2D0B">
            <w:pPr>
              <w:jc w:val="center"/>
              <w:rPr>
                <w:color w:val="000000"/>
                <w:sz w:val="20"/>
                <w:szCs w:val="20"/>
              </w:rPr>
            </w:pPr>
            <w:r w:rsidRPr="001C2D0B">
              <w:rPr>
                <w:color w:val="000000"/>
                <w:sz w:val="20"/>
                <w:szCs w:val="20"/>
              </w:rPr>
              <w:t>4.15</w:t>
            </w:r>
          </w:p>
        </w:tc>
        <w:tc>
          <w:tcPr>
            <w:tcW w:w="890" w:type="dxa"/>
            <w:tcBorders>
              <w:top w:val="nil"/>
              <w:left w:val="single" w:sz="12" w:space="0" w:color="auto"/>
              <w:bottom w:val="single" w:sz="12" w:space="0" w:color="auto"/>
              <w:right w:val="single" w:sz="4" w:space="0" w:color="auto"/>
            </w:tcBorders>
            <w:shd w:val="clear" w:color="auto" w:fill="auto"/>
            <w:vAlign w:val="center"/>
            <w:hideMark/>
          </w:tcPr>
          <w:p w14:paraId="5E880D51" w14:textId="7A6D7D1D" w:rsidR="00D25963" w:rsidRPr="001C2D0B" w:rsidRDefault="00D25963" w:rsidP="00D25963">
            <w:pPr>
              <w:jc w:val="center"/>
              <w:rPr>
                <w:color w:val="000000"/>
                <w:sz w:val="20"/>
                <w:szCs w:val="20"/>
              </w:rPr>
            </w:pPr>
            <w:r>
              <w:rPr>
                <w:color w:val="000000"/>
                <w:sz w:val="20"/>
                <w:szCs w:val="20"/>
              </w:rPr>
              <w:t>-</w:t>
            </w:r>
          </w:p>
        </w:tc>
        <w:tc>
          <w:tcPr>
            <w:tcW w:w="1156" w:type="dxa"/>
            <w:tcBorders>
              <w:top w:val="nil"/>
              <w:left w:val="nil"/>
              <w:bottom w:val="single" w:sz="12" w:space="0" w:color="auto"/>
              <w:right w:val="single" w:sz="12" w:space="0" w:color="auto"/>
            </w:tcBorders>
            <w:shd w:val="clear" w:color="auto" w:fill="auto"/>
            <w:vAlign w:val="center"/>
            <w:hideMark/>
          </w:tcPr>
          <w:p w14:paraId="2473CE9E" w14:textId="5565BD51" w:rsidR="00D25963" w:rsidRPr="001C2D0B" w:rsidRDefault="00D25963" w:rsidP="00D25963">
            <w:pPr>
              <w:jc w:val="center"/>
              <w:rPr>
                <w:color w:val="000000"/>
                <w:sz w:val="20"/>
                <w:szCs w:val="20"/>
              </w:rPr>
            </w:pPr>
            <w:r>
              <w:rPr>
                <w:color w:val="000000"/>
                <w:sz w:val="20"/>
                <w:szCs w:val="20"/>
              </w:rPr>
              <w:t>-</w:t>
            </w:r>
          </w:p>
        </w:tc>
        <w:tc>
          <w:tcPr>
            <w:tcW w:w="890" w:type="dxa"/>
            <w:tcBorders>
              <w:top w:val="nil"/>
              <w:left w:val="single" w:sz="12" w:space="0" w:color="auto"/>
              <w:bottom w:val="single" w:sz="12" w:space="0" w:color="auto"/>
              <w:right w:val="single" w:sz="4" w:space="0" w:color="auto"/>
            </w:tcBorders>
            <w:shd w:val="clear" w:color="auto" w:fill="auto"/>
            <w:vAlign w:val="center"/>
            <w:hideMark/>
          </w:tcPr>
          <w:p w14:paraId="09CA5659" w14:textId="3B1CA8F6" w:rsidR="00D25963" w:rsidRPr="001C2D0B" w:rsidRDefault="00D25963" w:rsidP="00D25963">
            <w:pPr>
              <w:jc w:val="center"/>
              <w:rPr>
                <w:color w:val="000000"/>
                <w:sz w:val="20"/>
                <w:szCs w:val="20"/>
              </w:rPr>
            </w:pPr>
            <w:r>
              <w:rPr>
                <w:color w:val="000000"/>
                <w:sz w:val="20"/>
                <w:szCs w:val="20"/>
              </w:rPr>
              <w:t>-</w:t>
            </w:r>
          </w:p>
        </w:tc>
        <w:tc>
          <w:tcPr>
            <w:tcW w:w="1094" w:type="dxa"/>
            <w:tcBorders>
              <w:top w:val="nil"/>
              <w:left w:val="nil"/>
              <w:bottom w:val="single" w:sz="12" w:space="0" w:color="auto"/>
              <w:right w:val="single" w:sz="12" w:space="0" w:color="auto"/>
            </w:tcBorders>
            <w:shd w:val="clear" w:color="auto" w:fill="auto"/>
            <w:vAlign w:val="center"/>
            <w:hideMark/>
          </w:tcPr>
          <w:p w14:paraId="325F4ABB" w14:textId="558ACBB8" w:rsidR="00D25963" w:rsidRPr="001C2D0B" w:rsidRDefault="00D25963" w:rsidP="00D25963">
            <w:pPr>
              <w:jc w:val="center"/>
              <w:rPr>
                <w:color w:val="000000"/>
                <w:sz w:val="20"/>
                <w:szCs w:val="20"/>
              </w:rPr>
            </w:pPr>
            <w:r>
              <w:rPr>
                <w:color w:val="000000"/>
                <w:sz w:val="20"/>
                <w:szCs w:val="20"/>
              </w:rPr>
              <w:t>-</w:t>
            </w:r>
          </w:p>
        </w:tc>
        <w:tc>
          <w:tcPr>
            <w:tcW w:w="890" w:type="dxa"/>
            <w:tcBorders>
              <w:top w:val="nil"/>
              <w:left w:val="single" w:sz="12" w:space="0" w:color="auto"/>
              <w:bottom w:val="single" w:sz="12" w:space="0" w:color="auto"/>
              <w:right w:val="single" w:sz="4" w:space="0" w:color="auto"/>
            </w:tcBorders>
            <w:shd w:val="clear" w:color="auto" w:fill="auto"/>
            <w:vAlign w:val="center"/>
            <w:hideMark/>
          </w:tcPr>
          <w:p w14:paraId="0CC2BCD5" w14:textId="48B63054" w:rsidR="00D25963" w:rsidRPr="001C2D0B" w:rsidRDefault="00D25963" w:rsidP="00D25963">
            <w:pPr>
              <w:jc w:val="center"/>
              <w:rPr>
                <w:color w:val="000000"/>
                <w:sz w:val="20"/>
                <w:szCs w:val="20"/>
              </w:rPr>
            </w:pPr>
            <w:r>
              <w:rPr>
                <w:color w:val="000000"/>
                <w:sz w:val="20"/>
                <w:szCs w:val="20"/>
              </w:rPr>
              <w:t>-</w:t>
            </w:r>
          </w:p>
        </w:tc>
        <w:tc>
          <w:tcPr>
            <w:tcW w:w="1241" w:type="dxa"/>
            <w:tcBorders>
              <w:top w:val="nil"/>
              <w:left w:val="nil"/>
              <w:bottom w:val="single" w:sz="12" w:space="0" w:color="auto"/>
              <w:right w:val="single" w:sz="12" w:space="0" w:color="auto"/>
            </w:tcBorders>
            <w:shd w:val="clear" w:color="auto" w:fill="auto"/>
            <w:vAlign w:val="center"/>
            <w:hideMark/>
          </w:tcPr>
          <w:p w14:paraId="25D2E324" w14:textId="1068E23B" w:rsidR="00D25963" w:rsidRPr="001C2D0B" w:rsidRDefault="00D25963" w:rsidP="00D25963">
            <w:pPr>
              <w:jc w:val="center"/>
              <w:rPr>
                <w:color w:val="000000"/>
                <w:sz w:val="20"/>
                <w:szCs w:val="20"/>
              </w:rPr>
            </w:pPr>
            <w:r>
              <w:rPr>
                <w:color w:val="000000"/>
                <w:sz w:val="20"/>
                <w:szCs w:val="20"/>
              </w:rPr>
              <w:t>-</w:t>
            </w:r>
          </w:p>
        </w:tc>
      </w:tr>
      <w:tr w:rsidR="00F616FF" w:rsidRPr="006A4C6F" w14:paraId="5D93A4FE" w14:textId="77777777" w:rsidTr="001C2D0B">
        <w:trPr>
          <w:trHeight w:val="266"/>
        </w:trPr>
        <w:tc>
          <w:tcPr>
            <w:tcW w:w="13336" w:type="dxa"/>
            <w:gridSpan w:val="9"/>
            <w:tcBorders>
              <w:top w:val="single" w:sz="12" w:space="0" w:color="auto"/>
              <w:left w:val="single" w:sz="12" w:space="0" w:color="auto"/>
              <w:bottom w:val="single" w:sz="12" w:space="0" w:color="auto"/>
              <w:right w:val="single" w:sz="12" w:space="0" w:color="auto"/>
            </w:tcBorders>
            <w:shd w:val="clear" w:color="auto" w:fill="auto"/>
            <w:vAlign w:val="center"/>
            <w:hideMark/>
          </w:tcPr>
          <w:p w14:paraId="61E30715" w14:textId="289C4CBF" w:rsidR="00152535" w:rsidRPr="006A4C6F" w:rsidRDefault="00152535" w:rsidP="00152535">
            <w:pPr>
              <w:rPr>
                <w:rFonts w:eastAsia="Times New Roman"/>
                <w:b/>
                <w:bCs/>
                <w:color w:val="000000"/>
                <w:sz w:val="20"/>
                <w:szCs w:val="20"/>
                <w:lang w:eastAsia="en-CA"/>
              </w:rPr>
            </w:pPr>
            <w:r w:rsidRPr="006A4C6F">
              <w:rPr>
                <w:rFonts w:eastAsia="Calibri"/>
                <w:b/>
                <w:bCs/>
                <w:color w:val="000000"/>
                <w:sz w:val="20"/>
                <w:szCs w:val="20"/>
                <w:lang w:eastAsia="en-CA"/>
              </w:rPr>
              <w:t>Bicycle Infrastructure</w:t>
            </w:r>
          </w:p>
        </w:tc>
      </w:tr>
      <w:tr w:rsidR="00D25963" w:rsidRPr="006A4C6F" w14:paraId="5B64E602" w14:textId="77777777" w:rsidTr="001C2D0B">
        <w:trPr>
          <w:trHeight w:val="266"/>
        </w:trPr>
        <w:tc>
          <w:tcPr>
            <w:tcW w:w="5301"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042D817D" w14:textId="56AA9DD0" w:rsidR="00D25963" w:rsidRPr="006A4C6F" w:rsidRDefault="00D25963" w:rsidP="00D25963">
            <w:pPr>
              <w:rPr>
                <w:rFonts w:eastAsia="Times New Roman"/>
                <w:color w:val="000000"/>
                <w:sz w:val="20"/>
                <w:szCs w:val="20"/>
                <w:lang w:eastAsia="en-CA"/>
              </w:rPr>
            </w:pPr>
            <w:r w:rsidRPr="006A4C6F">
              <w:rPr>
                <w:rFonts w:eastAsia="Calibri"/>
                <w:color w:val="000000"/>
                <w:sz w:val="20"/>
                <w:szCs w:val="20"/>
                <w:lang w:eastAsia="en-CA"/>
              </w:rPr>
              <w:t xml:space="preserve">Number of </w:t>
            </w:r>
            <w:r>
              <w:rPr>
                <w:rFonts w:eastAsia="Calibri"/>
                <w:color w:val="000000"/>
                <w:sz w:val="20"/>
                <w:szCs w:val="20"/>
                <w:lang w:eastAsia="en-CA"/>
              </w:rPr>
              <w:t>BIXI stations</w:t>
            </w:r>
            <w:r w:rsidRPr="006A4C6F">
              <w:rPr>
                <w:rFonts w:eastAsia="Calibri"/>
                <w:color w:val="000000"/>
                <w:sz w:val="20"/>
                <w:szCs w:val="20"/>
                <w:lang w:eastAsia="en-CA"/>
              </w:rPr>
              <w:t xml:space="preserve"> in 250m buffer</w:t>
            </w:r>
          </w:p>
        </w:tc>
        <w:tc>
          <w:tcPr>
            <w:tcW w:w="984" w:type="dxa"/>
            <w:tcBorders>
              <w:top w:val="single" w:sz="12" w:space="0" w:color="auto"/>
              <w:left w:val="single" w:sz="12" w:space="0" w:color="auto"/>
              <w:bottom w:val="single" w:sz="4" w:space="0" w:color="auto"/>
              <w:right w:val="single" w:sz="4" w:space="0" w:color="auto"/>
            </w:tcBorders>
            <w:shd w:val="clear" w:color="auto" w:fill="auto"/>
            <w:vAlign w:val="bottom"/>
            <w:hideMark/>
          </w:tcPr>
          <w:p w14:paraId="60CD4A63" w14:textId="22BBB180" w:rsidR="00D25963" w:rsidRPr="001C2D0B" w:rsidRDefault="00D25963" w:rsidP="001C2D0B">
            <w:pPr>
              <w:jc w:val="center"/>
              <w:rPr>
                <w:color w:val="000000"/>
                <w:sz w:val="20"/>
                <w:szCs w:val="20"/>
              </w:rPr>
            </w:pPr>
            <w:r w:rsidRPr="001C2D0B">
              <w:rPr>
                <w:color w:val="000000"/>
                <w:sz w:val="20"/>
                <w:szCs w:val="20"/>
              </w:rPr>
              <w:t>-1.066</w:t>
            </w:r>
          </w:p>
        </w:tc>
        <w:tc>
          <w:tcPr>
            <w:tcW w:w="890" w:type="dxa"/>
            <w:tcBorders>
              <w:top w:val="single" w:sz="12" w:space="0" w:color="auto"/>
              <w:left w:val="nil"/>
              <w:bottom w:val="single" w:sz="4" w:space="0" w:color="auto"/>
              <w:right w:val="single" w:sz="12" w:space="0" w:color="auto"/>
            </w:tcBorders>
            <w:shd w:val="clear" w:color="auto" w:fill="auto"/>
            <w:vAlign w:val="bottom"/>
            <w:hideMark/>
          </w:tcPr>
          <w:p w14:paraId="3EAB97B9" w14:textId="15953A98" w:rsidR="00D25963" w:rsidRPr="001C2D0B" w:rsidRDefault="00D25963" w:rsidP="001C2D0B">
            <w:pPr>
              <w:jc w:val="center"/>
              <w:rPr>
                <w:color w:val="000000"/>
                <w:sz w:val="20"/>
                <w:szCs w:val="20"/>
              </w:rPr>
            </w:pPr>
            <w:r w:rsidRPr="001C2D0B">
              <w:rPr>
                <w:color w:val="000000"/>
                <w:sz w:val="20"/>
                <w:szCs w:val="20"/>
              </w:rPr>
              <w:t>-82.65</w:t>
            </w:r>
          </w:p>
        </w:tc>
        <w:tc>
          <w:tcPr>
            <w:tcW w:w="89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57E8734A" w14:textId="18F58A73" w:rsidR="00D25963" w:rsidRPr="006A4C6F" w:rsidRDefault="00D25963" w:rsidP="00D25963">
            <w:pPr>
              <w:jc w:val="center"/>
              <w:rPr>
                <w:rFonts w:eastAsia="Times New Roman"/>
                <w:color w:val="000000"/>
                <w:sz w:val="20"/>
                <w:szCs w:val="20"/>
                <w:lang w:eastAsia="en-CA"/>
              </w:rPr>
            </w:pPr>
            <w:r>
              <w:rPr>
                <w:color w:val="000000"/>
                <w:sz w:val="20"/>
                <w:szCs w:val="20"/>
              </w:rPr>
              <w:t>-</w:t>
            </w:r>
          </w:p>
        </w:tc>
        <w:tc>
          <w:tcPr>
            <w:tcW w:w="1156" w:type="dxa"/>
            <w:tcBorders>
              <w:top w:val="single" w:sz="12" w:space="0" w:color="auto"/>
              <w:left w:val="nil"/>
              <w:bottom w:val="single" w:sz="4" w:space="0" w:color="auto"/>
              <w:right w:val="single" w:sz="12" w:space="0" w:color="auto"/>
            </w:tcBorders>
            <w:shd w:val="clear" w:color="auto" w:fill="auto"/>
            <w:vAlign w:val="center"/>
            <w:hideMark/>
          </w:tcPr>
          <w:p w14:paraId="0B9BCAFB" w14:textId="1ECD1E38" w:rsidR="00D25963" w:rsidRPr="006A4C6F" w:rsidRDefault="00D25963" w:rsidP="00D25963">
            <w:pPr>
              <w:jc w:val="center"/>
              <w:rPr>
                <w:rFonts w:eastAsia="Times New Roman"/>
                <w:color w:val="000000"/>
                <w:sz w:val="20"/>
                <w:szCs w:val="20"/>
                <w:lang w:eastAsia="en-CA"/>
              </w:rPr>
            </w:pPr>
            <w:r>
              <w:rPr>
                <w:color w:val="000000"/>
                <w:sz w:val="20"/>
                <w:szCs w:val="20"/>
              </w:rPr>
              <w:t>-</w:t>
            </w:r>
          </w:p>
        </w:tc>
        <w:tc>
          <w:tcPr>
            <w:tcW w:w="89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72C6C4A4" w14:textId="427B75BD" w:rsidR="00D25963" w:rsidRPr="006A4C6F" w:rsidRDefault="00D25963" w:rsidP="00D25963">
            <w:pPr>
              <w:jc w:val="center"/>
              <w:rPr>
                <w:rFonts w:eastAsia="Times New Roman"/>
                <w:color w:val="000000"/>
                <w:sz w:val="20"/>
                <w:szCs w:val="20"/>
                <w:lang w:eastAsia="en-CA"/>
              </w:rPr>
            </w:pPr>
            <w:r w:rsidRPr="001C2D0B">
              <w:rPr>
                <w:rFonts w:eastAsia="Times New Roman"/>
                <w:color w:val="000000"/>
                <w:sz w:val="20"/>
                <w:szCs w:val="20"/>
                <w:lang w:eastAsia="en-CA"/>
              </w:rPr>
              <w:t>-</w:t>
            </w:r>
          </w:p>
        </w:tc>
        <w:tc>
          <w:tcPr>
            <w:tcW w:w="1094" w:type="dxa"/>
            <w:tcBorders>
              <w:top w:val="single" w:sz="12" w:space="0" w:color="auto"/>
              <w:left w:val="nil"/>
              <w:bottom w:val="single" w:sz="4" w:space="0" w:color="auto"/>
              <w:right w:val="single" w:sz="12" w:space="0" w:color="auto"/>
            </w:tcBorders>
            <w:shd w:val="clear" w:color="auto" w:fill="auto"/>
            <w:vAlign w:val="center"/>
            <w:hideMark/>
          </w:tcPr>
          <w:p w14:paraId="4E72B007" w14:textId="3A8226F0" w:rsidR="00D25963" w:rsidRPr="006A4C6F" w:rsidRDefault="00D25963" w:rsidP="00D25963">
            <w:pPr>
              <w:jc w:val="center"/>
              <w:rPr>
                <w:rFonts w:eastAsia="Times New Roman"/>
                <w:color w:val="000000"/>
                <w:sz w:val="20"/>
                <w:szCs w:val="20"/>
                <w:lang w:eastAsia="en-CA"/>
              </w:rPr>
            </w:pPr>
            <w:r>
              <w:rPr>
                <w:rFonts w:eastAsia="Times New Roman"/>
                <w:color w:val="000000"/>
                <w:sz w:val="20"/>
                <w:szCs w:val="20"/>
                <w:lang w:eastAsia="en-CA"/>
              </w:rPr>
              <w:t>-</w:t>
            </w:r>
          </w:p>
        </w:tc>
        <w:tc>
          <w:tcPr>
            <w:tcW w:w="89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20D7DE7A" w14:textId="1A24CBB1" w:rsidR="00D25963" w:rsidRPr="006A4C6F" w:rsidRDefault="00D25963" w:rsidP="00D25963">
            <w:pPr>
              <w:jc w:val="center"/>
              <w:rPr>
                <w:rFonts w:eastAsia="Times New Roman"/>
                <w:color w:val="000000"/>
                <w:sz w:val="20"/>
                <w:szCs w:val="20"/>
                <w:lang w:eastAsia="en-CA"/>
              </w:rPr>
            </w:pPr>
            <w:r w:rsidRPr="001C2D0B">
              <w:rPr>
                <w:rFonts w:eastAsia="Times New Roman"/>
                <w:color w:val="000000"/>
                <w:sz w:val="20"/>
                <w:szCs w:val="20"/>
                <w:lang w:eastAsia="en-CA"/>
              </w:rPr>
              <w:t>-</w:t>
            </w:r>
          </w:p>
        </w:tc>
        <w:tc>
          <w:tcPr>
            <w:tcW w:w="1241" w:type="dxa"/>
            <w:tcBorders>
              <w:top w:val="single" w:sz="12" w:space="0" w:color="auto"/>
              <w:left w:val="nil"/>
              <w:bottom w:val="single" w:sz="4" w:space="0" w:color="auto"/>
              <w:right w:val="single" w:sz="12" w:space="0" w:color="auto"/>
            </w:tcBorders>
            <w:shd w:val="clear" w:color="auto" w:fill="auto"/>
            <w:vAlign w:val="center"/>
            <w:hideMark/>
          </w:tcPr>
          <w:p w14:paraId="147EB14F" w14:textId="2EFA62BC" w:rsidR="00D25963" w:rsidRPr="006A4C6F" w:rsidRDefault="00D25963" w:rsidP="00D25963">
            <w:pPr>
              <w:jc w:val="center"/>
              <w:rPr>
                <w:rFonts w:eastAsia="Times New Roman"/>
                <w:color w:val="000000"/>
                <w:sz w:val="20"/>
                <w:szCs w:val="20"/>
                <w:lang w:eastAsia="en-CA"/>
              </w:rPr>
            </w:pPr>
            <w:r>
              <w:rPr>
                <w:rFonts w:eastAsia="Times New Roman"/>
                <w:color w:val="000000"/>
                <w:sz w:val="20"/>
                <w:szCs w:val="20"/>
                <w:lang w:eastAsia="en-CA"/>
              </w:rPr>
              <w:t>-</w:t>
            </w:r>
          </w:p>
        </w:tc>
      </w:tr>
      <w:tr w:rsidR="00D25963" w:rsidRPr="006A4C6F" w14:paraId="50AE1A82" w14:textId="77777777" w:rsidTr="001C2D0B">
        <w:trPr>
          <w:trHeight w:val="266"/>
        </w:trPr>
        <w:tc>
          <w:tcPr>
            <w:tcW w:w="5301" w:type="dxa"/>
            <w:tcBorders>
              <w:top w:val="nil"/>
              <w:left w:val="single" w:sz="12" w:space="0" w:color="auto"/>
              <w:bottom w:val="single" w:sz="4" w:space="0" w:color="auto"/>
              <w:right w:val="single" w:sz="12" w:space="0" w:color="auto"/>
            </w:tcBorders>
            <w:shd w:val="clear" w:color="auto" w:fill="auto"/>
            <w:vAlign w:val="center"/>
            <w:hideMark/>
          </w:tcPr>
          <w:p w14:paraId="48D8D16A" w14:textId="688E1CF9" w:rsidR="00D25963" w:rsidRPr="006A4C6F" w:rsidRDefault="00D25963" w:rsidP="00D25963">
            <w:pPr>
              <w:rPr>
                <w:rFonts w:eastAsia="Times New Roman"/>
                <w:color w:val="000000"/>
                <w:sz w:val="20"/>
                <w:szCs w:val="20"/>
                <w:lang w:eastAsia="en-CA"/>
              </w:rPr>
            </w:pPr>
            <w:r w:rsidRPr="006A4C6F">
              <w:rPr>
                <w:rFonts w:eastAsia="Calibri"/>
                <w:color w:val="000000"/>
                <w:sz w:val="20"/>
                <w:szCs w:val="20"/>
                <w:lang w:eastAsia="en-CA"/>
              </w:rPr>
              <w:t xml:space="preserve">Number of </w:t>
            </w:r>
            <w:r>
              <w:rPr>
                <w:rFonts w:eastAsia="Calibri"/>
                <w:color w:val="000000"/>
                <w:sz w:val="20"/>
                <w:szCs w:val="20"/>
                <w:lang w:eastAsia="en-CA"/>
              </w:rPr>
              <w:t>BIXI stations</w:t>
            </w:r>
            <w:r w:rsidRPr="006A4C6F">
              <w:rPr>
                <w:rFonts w:eastAsia="Calibri"/>
                <w:color w:val="000000"/>
                <w:sz w:val="20"/>
                <w:szCs w:val="20"/>
                <w:lang w:eastAsia="en-CA"/>
              </w:rPr>
              <w:t xml:space="preserve"> in 250m buffer</w:t>
            </w:r>
            <w:r>
              <w:rPr>
                <w:rFonts w:eastAsia="Calibri"/>
                <w:color w:val="000000"/>
                <w:sz w:val="20"/>
                <w:szCs w:val="20"/>
                <w:lang w:eastAsia="en-CA"/>
              </w:rPr>
              <w:t xml:space="preserve"> *Downtown</w:t>
            </w:r>
          </w:p>
        </w:tc>
        <w:tc>
          <w:tcPr>
            <w:tcW w:w="984" w:type="dxa"/>
            <w:tcBorders>
              <w:top w:val="nil"/>
              <w:left w:val="single" w:sz="12" w:space="0" w:color="auto"/>
              <w:bottom w:val="single" w:sz="4" w:space="0" w:color="auto"/>
              <w:right w:val="single" w:sz="4" w:space="0" w:color="auto"/>
            </w:tcBorders>
            <w:shd w:val="clear" w:color="auto" w:fill="auto"/>
            <w:vAlign w:val="bottom"/>
            <w:hideMark/>
          </w:tcPr>
          <w:p w14:paraId="40E69E8F" w14:textId="3E0D05EA" w:rsidR="00D25963" w:rsidRPr="001C2D0B" w:rsidRDefault="00D25963" w:rsidP="001C2D0B">
            <w:pPr>
              <w:jc w:val="center"/>
              <w:rPr>
                <w:color w:val="000000"/>
                <w:sz w:val="20"/>
                <w:szCs w:val="20"/>
              </w:rPr>
            </w:pPr>
            <w:r w:rsidRPr="001C2D0B">
              <w:rPr>
                <w:color w:val="000000"/>
                <w:sz w:val="20"/>
                <w:szCs w:val="20"/>
              </w:rPr>
              <w:t>0.674</w:t>
            </w:r>
          </w:p>
        </w:tc>
        <w:tc>
          <w:tcPr>
            <w:tcW w:w="890" w:type="dxa"/>
            <w:tcBorders>
              <w:top w:val="nil"/>
              <w:left w:val="nil"/>
              <w:bottom w:val="single" w:sz="4" w:space="0" w:color="auto"/>
              <w:right w:val="single" w:sz="12" w:space="0" w:color="auto"/>
            </w:tcBorders>
            <w:shd w:val="clear" w:color="auto" w:fill="auto"/>
            <w:vAlign w:val="bottom"/>
            <w:hideMark/>
          </w:tcPr>
          <w:p w14:paraId="6A5D9FA0" w14:textId="14A8A4FF" w:rsidR="00D25963" w:rsidRPr="001C2D0B" w:rsidRDefault="00D25963" w:rsidP="001C2D0B">
            <w:pPr>
              <w:jc w:val="center"/>
              <w:rPr>
                <w:color w:val="000000"/>
                <w:sz w:val="20"/>
                <w:szCs w:val="20"/>
              </w:rPr>
            </w:pPr>
            <w:r w:rsidRPr="001C2D0B">
              <w:rPr>
                <w:color w:val="000000"/>
                <w:sz w:val="20"/>
                <w:szCs w:val="20"/>
              </w:rPr>
              <w:t>31.48</w:t>
            </w:r>
          </w:p>
        </w:tc>
        <w:tc>
          <w:tcPr>
            <w:tcW w:w="890" w:type="dxa"/>
            <w:tcBorders>
              <w:top w:val="nil"/>
              <w:left w:val="single" w:sz="12" w:space="0" w:color="auto"/>
              <w:bottom w:val="single" w:sz="4" w:space="0" w:color="auto"/>
              <w:right w:val="single" w:sz="4" w:space="0" w:color="auto"/>
            </w:tcBorders>
            <w:shd w:val="clear" w:color="auto" w:fill="auto"/>
            <w:vAlign w:val="center"/>
          </w:tcPr>
          <w:p w14:paraId="24C1A880" w14:textId="24CE8CF3" w:rsidR="00D25963" w:rsidRPr="006A4C6F" w:rsidRDefault="001C2D0B" w:rsidP="001C2D0B">
            <w:pPr>
              <w:jc w:val="center"/>
              <w:rPr>
                <w:rFonts w:eastAsia="Times New Roman"/>
                <w:color w:val="000000"/>
                <w:sz w:val="20"/>
                <w:szCs w:val="20"/>
                <w:lang w:eastAsia="en-CA"/>
              </w:rPr>
            </w:pPr>
            <w:r>
              <w:rPr>
                <w:rFonts w:eastAsia="Times New Roman"/>
                <w:color w:val="000000"/>
                <w:sz w:val="20"/>
                <w:szCs w:val="20"/>
                <w:lang w:eastAsia="en-CA"/>
              </w:rPr>
              <w:t>-</w:t>
            </w:r>
          </w:p>
        </w:tc>
        <w:tc>
          <w:tcPr>
            <w:tcW w:w="1156" w:type="dxa"/>
            <w:tcBorders>
              <w:top w:val="nil"/>
              <w:left w:val="nil"/>
              <w:bottom w:val="single" w:sz="4" w:space="0" w:color="auto"/>
              <w:right w:val="single" w:sz="12" w:space="0" w:color="auto"/>
            </w:tcBorders>
            <w:shd w:val="clear" w:color="auto" w:fill="auto"/>
            <w:vAlign w:val="center"/>
          </w:tcPr>
          <w:p w14:paraId="3469F524" w14:textId="2302169A" w:rsidR="00D25963" w:rsidRPr="006A4C6F" w:rsidRDefault="001C2D0B" w:rsidP="001C2D0B">
            <w:pPr>
              <w:jc w:val="center"/>
              <w:rPr>
                <w:rFonts w:eastAsia="Times New Roman"/>
                <w:color w:val="000000"/>
                <w:sz w:val="20"/>
                <w:szCs w:val="20"/>
                <w:lang w:eastAsia="en-CA"/>
              </w:rPr>
            </w:pPr>
            <w:r>
              <w:rPr>
                <w:rFonts w:eastAsia="Times New Roman"/>
                <w:color w:val="000000"/>
                <w:sz w:val="20"/>
                <w:szCs w:val="20"/>
                <w:lang w:eastAsia="en-CA"/>
              </w:rPr>
              <w:t>-</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5FEE3A39" w14:textId="080B2738" w:rsidR="00D25963" w:rsidRPr="006A4C6F" w:rsidRDefault="00D25963" w:rsidP="00D25963">
            <w:pPr>
              <w:jc w:val="center"/>
              <w:rPr>
                <w:rFonts w:eastAsia="Times New Roman"/>
                <w:color w:val="000000"/>
                <w:sz w:val="20"/>
                <w:szCs w:val="20"/>
                <w:lang w:eastAsia="en-CA"/>
              </w:rPr>
            </w:pPr>
            <w:r w:rsidRPr="001C2D0B">
              <w:rPr>
                <w:rFonts w:eastAsia="Times New Roman"/>
                <w:color w:val="000000"/>
                <w:sz w:val="20"/>
                <w:szCs w:val="20"/>
                <w:lang w:eastAsia="en-CA"/>
              </w:rPr>
              <w:t>-</w:t>
            </w:r>
          </w:p>
        </w:tc>
        <w:tc>
          <w:tcPr>
            <w:tcW w:w="1094" w:type="dxa"/>
            <w:tcBorders>
              <w:top w:val="nil"/>
              <w:left w:val="nil"/>
              <w:bottom w:val="single" w:sz="4" w:space="0" w:color="auto"/>
              <w:right w:val="single" w:sz="12" w:space="0" w:color="auto"/>
            </w:tcBorders>
            <w:shd w:val="clear" w:color="auto" w:fill="auto"/>
            <w:vAlign w:val="center"/>
            <w:hideMark/>
          </w:tcPr>
          <w:p w14:paraId="513C75DF" w14:textId="36737EFE" w:rsidR="00D25963" w:rsidRPr="006A4C6F" w:rsidRDefault="00D25963" w:rsidP="00D25963">
            <w:pPr>
              <w:jc w:val="center"/>
              <w:rPr>
                <w:rFonts w:eastAsia="Times New Roman"/>
                <w:color w:val="000000"/>
                <w:sz w:val="20"/>
                <w:szCs w:val="20"/>
                <w:lang w:eastAsia="en-CA"/>
              </w:rPr>
            </w:pPr>
            <w:r>
              <w:rPr>
                <w:rFonts w:eastAsia="Times New Roman"/>
                <w:color w:val="000000"/>
                <w:sz w:val="20"/>
                <w:szCs w:val="20"/>
                <w:lang w:eastAsia="en-CA"/>
              </w:rPr>
              <w:t>-</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1782CBB3" w14:textId="0EC71F54" w:rsidR="00D25963" w:rsidRPr="006A4C6F" w:rsidRDefault="00D25963" w:rsidP="00D25963">
            <w:pPr>
              <w:jc w:val="center"/>
              <w:rPr>
                <w:rFonts w:eastAsia="Times New Roman"/>
                <w:color w:val="000000"/>
                <w:sz w:val="20"/>
                <w:szCs w:val="20"/>
                <w:lang w:eastAsia="en-CA"/>
              </w:rPr>
            </w:pPr>
            <w:r w:rsidRPr="001C2D0B">
              <w:rPr>
                <w:rFonts w:eastAsia="Times New Roman"/>
                <w:color w:val="000000"/>
                <w:sz w:val="20"/>
                <w:szCs w:val="20"/>
                <w:lang w:eastAsia="en-CA"/>
              </w:rPr>
              <w:t>-</w:t>
            </w:r>
          </w:p>
        </w:tc>
        <w:tc>
          <w:tcPr>
            <w:tcW w:w="1241" w:type="dxa"/>
            <w:tcBorders>
              <w:top w:val="nil"/>
              <w:left w:val="nil"/>
              <w:bottom w:val="single" w:sz="4" w:space="0" w:color="auto"/>
              <w:right w:val="single" w:sz="12" w:space="0" w:color="auto"/>
            </w:tcBorders>
            <w:shd w:val="clear" w:color="auto" w:fill="auto"/>
            <w:vAlign w:val="center"/>
            <w:hideMark/>
          </w:tcPr>
          <w:p w14:paraId="0FCD43C8" w14:textId="10996A42" w:rsidR="00D25963" w:rsidRPr="006A4C6F" w:rsidRDefault="00D25963" w:rsidP="00D25963">
            <w:pPr>
              <w:jc w:val="center"/>
              <w:rPr>
                <w:rFonts w:eastAsia="Times New Roman"/>
                <w:color w:val="000000"/>
                <w:sz w:val="20"/>
                <w:szCs w:val="20"/>
                <w:lang w:eastAsia="en-CA"/>
              </w:rPr>
            </w:pPr>
            <w:r>
              <w:rPr>
                <w:rFonts w:eastAsia="Times New Roman"/>
                <w:color w:val="000000"/>
                <w:sz w:val="20"/>
                <w:szCs w:val="20"/>
                <w:lang w:eastAsia="en-CA"/>
              </w:rPr>
              <w:t>-</w:t>
            </w:r>
          </w:p>
        </w:tc>
      </w:tr>
      <w:tr w:rsidR="00D25963" w:rsidRPr="006A4C6F" w14:paraId="11C053B4" w14:textId="77777777" w:rsidTr="001C2D0B">
        <w:trPr>
          <w:trHeight w:val="266"/>
        </w:trPr>
        <w:tc>
          <w:tcPr>
            <w:tcW w:w="5301" w:type="dxa"/>
            <w:tcBorders>
              <w:top w:val="nil"/>
              <w:left w:val="single" w:sz="12" w:space="0" w:color="auto"/>
              <w:bottom w:val="single" w:sz="4" w:space="0" w:color="auto"/>
              <w:right w:val="single" w:sz="12" w:space="0" w:color="auto"/>
            </w:tcBorders>
            <w:shd w:val="clear" w:color="auto" w:fill="auto"/>
            <w:vAlign w:val="center"/>
            <w:hideMark/>
          </w:tcPr>
          <w:p w14:paraId="423BD8AD" w14:textId="10EA8913" w:rsidR="00D25963" w:rsidRPr="006A4C6F" w:rsidRDefault="00D25963" w:rsidP="00D25963">
            <w:pPr>
              <w:rPr>
                <w:rFonts w:eastAsia="Times New Roman"/>
                <w:color w:val="000000"/>
                <w:sz w:val="20"/>
                <w:szCs w:val="20"/>
                <w:lang w:eastAsia="en-CA"/>
              </w:rPr>
            </w:pPr>
            <w:r w:rsidRPr="006A4C6F">
              <w:rPr>
                <w:rFonts w:eastAsia="Calibri"/>
                <w:color w:val="000000"/>
                <w:sz w:val="20"/>
                <w:szCs w:val="20"/>
                <w:lang w:eastAsia="en-CA"/>
              </w:rPr>
              <w:t>Refill (6hr lag)</w:t>
            </w:r>
          </w:p>
        </w:tc>
        <w:tc>
          <w:tcPr>
            <w:tcW w:w="984" w:type="dxa"/>
            <w:tcBorders>
              <w:top w:val="nil"/>
              <w:left w:val="single" w:sz="12" w:space="0" w:color="auto"/>
              <w:bottom w:val="single" w:sz="4" w:space="0" w:color="auto"/>
              <w:right w:val="single" w:sz="4" w:space="0" w:color="auto"/>
            </w:tcBorders>
            <w:shd w:val="clear" w:color="auto" w:fill="auto"/>
            <w:vAlign w:val="bottom"/>
            <w:hideMark/>
          </w:tcPr>
          <w:p w14:paraId="0CF42A76" w14:textId="2229E0FF" w:rsidR="00D25963" w:rsidRPr="001C2D0B" w:rsidRDefault="00D25963" w:rsidP="001C2D0B">
            <w:pPr>
              <w:jc w:val="center"/>
              <w:rPr>
                <w:color w:val="000000"/>
                <w:sz w:val="20"/>
                <w:szCs w:val="20"/>
              </w:rPr>
            </w:pPr>
            <w:r w:rsidRPr="001C2D0B">
              <w:rPr>
                <w:color w:val="000000"/>
                <w:sz w:val="20"/>
                <w:szCs w:val="20"/>
              </w:rPr>
              <w:t>0.975</w:t>
            </w:r>
          </w:p>
        </w:tc>
        <w:tc>
          <w:tcPr>
            <w:tcW w:w="890" w:type="dxa"/>
            <w:tcBorders>
              <w:top w:val="nil"/>
              <w:left w:val="nil"/>
              <w:bottom w:val="single" w:sz="4" w:space="0" w:color="auto"/>
              <w:right w:val="single" w:sz="12" w:space="0" w:color="auto"/>
            </w:tcBorders>
            <w:shd w:val="clear" w:color="auto" w:fill="auto"/>
            <w:vAlign w:val="bottom"/>
            <w:hideMark/>
          </w:tcPr>
          <w:p w14:paraId="0E0D9A88" w14:textId="3BA96251" w:rsidR="00D25963" w:rsidRPr="001C2D0B" w:rsidRDefault="00D25963" w:rsidP="001C2D0B">
            <w:pPr>
              <w:jc w:val="center"/>
              <w:rPr>
                <w:color w:val="000000"/>
                <w:sz w:val="20"/>
                <w:szCs w:val="20"/>
              </w:rPr>
            </w:pPr>
            <w:r w:rsidRPr="001C2D0B">
              <w:rPr>
                <w:color w:val="000000"/>
                <w:sz w:val="20"/>
                <w:szCs w:val="20"/>
              </w:rPr>
              <w:t>20.30</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3AEE0695" w14:textId="6C2D826F" w:rsidR="00D25963" w:rsidRPr="006A4C6F" w:rsidRDefault="00D25963" w:rsidP="00D25963">
            <w:pPr>
              <w:jc w:val="center"/>
              <w:rPr>
                <w:rFonts w:eastAsia="Times New Roman"/>
                <w:color w:val="000000"/>
                <w:sz w:val="20"/>
                <w:szCs w:val="20"/>
                <w:lang w:eastAsia="en-CA"/>
              </w:rPr>
            </w:pPr>
            <w:r>
              <w:rPr>
                <w:color w:val="000000"/>
                <w:sz w:val="20"/>
                <w:szCs w:val="20"/>
              </w:rPr>
              <w:t>-</w:t>
            </w:r>
          </w:p>
        </w:tc>
        <w:tc>
          <w:tcPr>
            <w:tcW w:w="1156" w:type="dxa"/>
            <w:tcBorders>
              <w:top w:val="nil"/>
              <w:left w:val="nil"/>
              <w:bottom w:val="single" w:sz="4" w:space="0" w:color="auto"/>
              <w:right w:val="single" w:sz="12" w:space="0" w:color="auto"/>
            </w:tcBorders>
            <w:shd w:val="clear" w:color="auto" w:fill="auto"/>
            <w:vAlign w:val="center"/>
            <w:hideMark/>
          </w:tcPr>
          <w:p w14:paraId="587F5E4A" w14:textId="28F1C154" w:rsidR="00D25963" w:rsidRPr="006A4C6F" w:rsidRDefault="00D25963" w:rsidP="00D25963">
            <w:pPr>
              <w:jc w:val="center"/>
              <w:rPr>
                <w:rFonts w:eastAsia="Times New Roman"/>
                <w:color w:val="000000"/>
                <w:sz w:val="20"/>
                <w:szCs w:val="20"/>
                <w:lang w:eastAsia="en-CA"/>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295126C2" w14:textId="5F2449B4" w:rsidR="00D25963" w:rsidRPr="006A4C6F" w:rsidRDefault="00D25963" w:rsidP="00D25963">
            <w:pPr>
              <w:jc w:val="center"/>
              <w:rPr>
                <w:rFonts w:eastAsia="Times New Roman"/>
                <w:color w:val="000000"/>
                <w:sz w:val="20"/>
                <w:szCs w:val="20"/>
                <w:lang w:eastAsia="en-CA"/>
              </w:rPr>
            </w:pPr>
            <w:r w:rsidRPr="001C2D0B">
              <w:rPr>
                <w:rFonts w:eastAsia="Times New Roman"/>
                <w:color w:val="000000"/>
                <w:sz w:val="20"/>
                <w:szCs w:val="20"/>
                <w:lang w:eastAsia="en-CA"/>
              </w:rPr>
              <w:t>-</w:t>
            </w:r>
          </w:p>
        </w:tc>
        <w:tc>
          <w:tcPr>
            <w:tcW w:w="1094" w:type="dxa"/>
            <w:tcBorders>
              <w:top w:val="nil"/>
              <w:left w:val="nil"/>
              <w:bottom w:val="single" w:sz="4" w:space="0" w:color="auto"/>
              <w:right w:val="single" w:sz="12" w:space="0" w:color="auto"/>
            </w:tcBorders>
            <w:shd w:val="clear" w:color="auto" w:fill="auto"/>
            <w:vAlign w:val="center"/>
            <w:hideMark/>
          </w:tcPr>
          <w:p w14:paraId="2948AD34" w14:textId="573BB5DA" w:rsidR="00D25963" w:rsidRPr="006A4C6F" w:rsidRDefault="00D25963" w:rsidP="00D25963">
            <w:pPr>
              <w:jc w:val="center"/>
              <w:rPr>
                <w:rFonts w:eastAsia="Times New Roman"/>
                <w:color w:val="000000"/>
                <w:sz w:val="20"/>
                <w:szCs w:val="20"/>
                <w:lang w:eastAsia="en-CA"/>
              </w:rPr>
            </w:pPr>
            <w:r>
              <w:rPr>
                <w:rFonts w:eastAsia="Times New Roman"/>
                <w:color w:val="000000"/>
                <w:sz w:val="20"/>
                <w:szCs w:val="20"/>
                <w:lang w:eastAsia="en-CA"/>
              </w:rPr>
              <w:t>-</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64297DBA" w14:textId="5D894E64" w:rsidR="00D25963" w:rsidRPr="006A4C6F" w:rsidRDefault="00D25963" w:rsidP="00D25963">
            <w:pPr>
              <w:jc w:val="center"/>
              <w:rPr>
                <w:rFonts w:eastAsia="Times New Roman"/>
                <w:color w:val="000000"/>
                <w:sz w:val="20"/>
                <w:szCs w:val="20"/>
                <w:lang w:eastAsia="en-CA"/>
              </w:rPr>
            </w:pPr>
            <w:r w:rsidRPr="001C2D0B">
              <w:rPr>
                <w:rFonts w:eastAsia="Times New Roman"/>
                <w:color w:val="000000"/>
                <w:sz w:val="20"/>
                <w:szCs w:val="20"/>
                <w:lang w:eastAsia="en-CA"/>
              </w:rPr>
              <w:t>-</w:t>
            </w:r>
          </w:p>
        </w:tc>
        <w:tc>
          <w:tcPr>
            <w:tcW w:w="1241" w:type="dxa"/>
            <w:tcBorders>
              <w:top w:val="nil"/>
              <w:left w:val="nil"/>
              <w:bottom w:val="single" w:sz="4" w:space="0" w:color="auto"/>
              <w:right w:val="single" w:sz="12" w:space="0" w:color="auto"/>
            </w:tcBorders>
            <w:shd w:val="clear" w:color="auto" w:fill="auto"/>
            <w:vAlign w:val="center"/>
            <w:hideMark/>
          </w:tcPr>
          <w:p w14:paraId="26C9409B" w14:textId="6489AE24" w:rsidR="00D25963" w:rsidRPr="006A4C6F" w:rsidRDefault="00D25963" w:rsidP="00D25963">
            <w:pPr>
              <w:jc w:val="center"/>
              <w:rPr>
                <w:rFonts w:eastAsia="Times New Roman"/>
                <w:color w:val="000000"/>
                <w:sz w:val="20"/>
                <w:szCs w:val="20"/>
                <w:lang w:eastAsia="en-CA"/>
              </w:rPr>
            </w:pPr>
            <w:r>
              <w:rPr>
                <w:rFonts w:eastAsia="Times New Roman"/>
                <w:color w:val="000000"/>
                <w:sz w:val="20"/>
                <w:szCs w:val="20"/>
                <w:lang w:eastAsia="en-CA"/>
              </w:rPr>
              <w:t>-</w:t>
            </w:r>
          </w:p>
        </w:tc>
      </w:tr>
      <w:tr w:rsidR="00D25963" w:rsidRPr="006A4C6F" w14:paraId="46999438" w14:textId="77777777" w:rsidTr="001C2D0B">
        <w:trPr>
          <w:trHeight w:val="266"/>
        </w:trPr>
        <w:tc>
          <w:tcPr>
            <w:tcW w:w="5301" w:type="dxa"/>
            <w:tcBorders>
              <w:top w:val="nil"/>
              <w:left w:val="single" w:sz="12" w:space="0" w:color="auto"/>
              <w:bottom w:val="single" w:sz="4" w:space="0" w:color="auto"/>
              <w:right w:val="single" w:sz="12" w:space="0" w:color="auto"/>
            </w:tcBorders>
            <w:shd w:val="clear" w:color="auto" w:fill="auto"/>
            <w:vAlign w:val="center"/>
          </w:tcPr>
          <w:p w14:paraId="5788B0C9" w14:textId="7E225B98" w:rsidR="00D25963" w:rsidRPr="006A4C6F" w:rsidRDefault="00D25963" w:rsidP="00D25963">
            <w:pPr>
              <w:rPr>
                <w:rFonts w:eastAsia="Calibri"/>
                <w:color w:val="000000"/>
                <w:sz w:val="20"/>
                <w:szCs w:val="20"/>
                <w:lang w:eastAsia="en-CA"/>
              </w:rPr>
            </w:pPr>
            <w:r w:rsidRPr="006A4C6F">
              <w:rPr>
                <w:rFonts w:eastAsia="Calibri"/>
                <w:color w:val="000000"/>
                <w:sz w:val="20"/>
                <w:szCs w:val="20"/>
                <w:lang w:eastAsia="en-CA"/>
              </w:rPr>
              <w:t>Removal (6hr lag)</w:t>
            </w:r>
          </w:p>
        </w:tc>
        <w:tc>
          <w:tcPr>
            <w:tcW w:w="984" w:type="dxa"/>
            <w:tcBorders>
              <w:top w:val="nil"/>
              <w:left w:val="single" w:sz="12" w:space="0" w:color="auto"/>
              <w:bottom w:val="single" w:sz="4" w:space="0" w:color="auto"/>
              <w:right w:val="single" w:sz="4" w:space="0" w:color="auto"/>
            </w:tcBorders>
            <w:shd w:val="clear" w:color="auto" w:fill="auto"/>
            <w:vAlign w:val="bottom"/>
          </w:tcPr>
          <w:p w14:paraId="31F2E796" w14:textId="437F5F20" w:rsidR="00D25963" w:rsidRPr="001C2D0B" w:rsidRDefault="00D25963" w:rsidP="00D25963">
            <w:pPr>
              <w:jc w:val="center"/>
              <w:rPr>
                <w:color w:val="000000"/>
                <w:sz w:val="20"/>
                <w:szCs w:val="20"/>
              </w:rPr>
            </w:pPr>
            <w:r w:rsidRPr="001C2D0B">
              <w:rPr>
                <w:color w:val="000000"/>
                <w:sz w:val="20"/>
                <w:szCs w:val="20"/>
              </w:rPr>
              <w:t>-0.355</w:t>
            </w:r>
          </w:p>
        </w:tc>
        <w:tc>
          <w:tcPr>
            <w:tcW w:w="890" w:type="dxa"/>
            <w:tcBorders>
              <w:top w:val="nil"/>
              <w:left w:val="nil"/>
              <w:bottom w:val="single" w:sz="4" w:space="0" w:color="auto"/>
              <w:right w:val="single" w:sz="12" w:space="0" w:color="auto"/>
            </w:tcBorders>
            <w:shd w:val="clear" w:color="auto" w:fill="auto"/>
            <w:vAlign w:val="bottom"/>
          </w:tcPr>
          <w:p w14:paraId="4EAB33CB" w14:textId="7AD37040" w:rsidR="00D25963" w:rsidRPr="001C2D0B" w:rsidRDefault="00D25963" w:rsidP="00D25963">
            <w:pPr>
              <w:jc w:val="center"/>
              <w:rPr>
                <w:color w:val="000000"/>
                <w:sz w:val="20"/>
                <w:szCs w:val="20"/>
              </w:rPr>
            </w:pPr>
            <w:r w:rsidRPr="001C2D0B">
              <w:rPr>
                <w:color w:val="000000"/>
                <w:sz w:val="20"/>
                <w:szCs w:val="20"/>
              </w:rPr>
              <w:t>-6.43</w:t>
            </w:r>
          </w:p>
        </w:tc>
        <w:tc>
          <w:tcPr>
            <w:tcW w:w="890" w:type="dxa"/>
            <w:tcBorders>
              <w:top w:val="nil"/>
              <w:left w:val="single" w:sz="12" w:space="0" w:color="auto"/>
              <w:bottom w:val="single" w:sz="4" w:space="0" w:color="auto"/>
              <w:right w:val="single" w:sz="4" w:space="0" w:color="auto"/>
            </w:tcBorders>
            <w:shd w:val="clear" w:color="auto" w:fill="auto"/>
            <w:vAlign w:val="center"/>
          </w:tcPr>
          <w:p w14:paraId="18EEC578" w14:textId="248B07C8" w:rsidR="00D25963" w:rsidRPr="007C7BEF" w:rsidRDefault="00D25963" w:rsidP="00D25963">
            <w:pPr>
              <w:jc w:val="center"/>
              <w:rPr>
                <w:rFonts w:eastAsia="Times New Roman"/>
                <w:color w:val="000000"/>
                <w:sz w:val="20"/>
                <w:szCs w:val="20"/>
                <w:lang w:eastAsia="en-CA"/>
              </w:rPr>
            </w:pPr>
            <w:r>
              <w:rPr>
                <w:color w:val="000000"/>
                <w:sz w:val="20"/>
                <w:szCs w:val="20"/>
              </w:rPr>
              <w:t>-</w:t>
            </w:r>
          </w:p>
        </w:tc>
        <w:tc>
          <w:tcPr>
            <w:tcW w:w="1156" w:type="dxa"/>
            <w:tcBorders>
              <w:top w:val="nil"/>
              <w:left w:val="nil"/>
              <w:bottom w:val="single" w:sz="4" w:space="0" w:color="auto"/>
              <w:right w:val="single" w:sz="12" w:space="0" w:color="auto"/>
            </w:tcBorders>
            <w:shd w:val="clear" w:color="auto" w:fill="auto"/>
            <w:vAlign w:val="center"/>
          </w:tcPr>
          <w:p w14:paraId="1B1A5474" w14:textId="5DE0DFD9" w:rsidR="00D25963" w:rsidRDefault="00D25963" w:rsidP="00D25963">
            <w:pPr>
              <w:jc w:val="center"/>
              <w:rPr>
                <w:rFonts w:eastAsia="Times New Roman"/>
                <w:color w:val="000000"/>
                <w:sz w:val="20"/>
                <w:szCs w:val="20"/>
                <w:lang w:eastAsia="en-CA"/>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center"/>
          </w:tcPr>
          <w:p w14:paraId="5C26A108" w14:textId="57E5FC6F" w:rsidR="00D25963" w:rsidRPr="007C7BEF" w:rsidRDefault="00D25963" w:rsidP="00D25963">
            <w:pPr>
              <w:jc w:val="center"/>
              <w:rPr>
                <w:rFonts w:eastAsia="Times New Roman"/>
                <w:color w:val="000000"/>
                <w:sz w:val="20"/>
                <w:szCs w:val="20"/>
                <w:lang w:eastAsia="en-CA"/>
              </w:rPr>
            </w:pPr>
            <w:r w:rsidRPr="00645D59">
              <w:rPr>
                <w:rFonts w:eastAsia="Times New Roman"/>
                <w:color w:val="000000"/>
                <w:sz w:val="20"/>
                <w:szCs w:val="20"/>
                <w:lang w:eastAsia="en-CA"/>
              </w:rPr>
              <w:t>-</w:t>
            </w:r>
          </w:p>
        </w:tc>
        <w:tc>
          <w:tcPr>
            <w:tcW w:w="1094" w:type="dxa"/>
            <w:tcBorders>
              <w:top w:val="nil"/>
              <w:left w:val="nil"/>
              <w:bottom w:val="single" w:sz="4" w:space="0" w:color="auto"/>
              <w:right w:val="single" w:sz="12" w:space="0" w:color="auto"/>
            </w:tcBorders>
            <w:shd w:val="clear" w:color="auto" w:fill="auto"/>
            <w:vAlign w:val="center"/>
          </w:tcPr>
          <w:p w14:paraId="50FCA744" w14:textId="2D12010C" w:rsidR="00D25963" w:rsidRDefault="00D25963" w:rsidP="00D25963">
            <w:pPr>
              <w:jc w:val="center"/>
              <w:rPr>
                <w:rFonts w:eastAsia="Times New Roman"/>
                <w:color w:val="000000"/>
                <w:sz w:val="20"/>
                <w:szCs w:val="20"/>
                <w:lang w:eastAsia="en-CA"/>
              </w:rPr>
            </w:pPr>
            <w:r>
              <w:rPr>
                <w:rFonts w:eastAsia="Times New Roman"/>
                <w:color w:val="000000"/>
                <w:sz w:val="20"/>
                <w:szCs w:val="20"/>
                <w:lang w:eastAsia="en-CA"/>
              </w:rPr>
              <w:t>-</w:t>
            </w:r>
          </w:p>
        </w:tc>
        <w:tc>
          <w:tcPr>
            <w:tcW w:w="890" w:type="dxa"/>
            <w:tcBorders>
              <w:top w:val="nil"/>
              <w:left w:val="single" w:sz="12" w:space="0" w:color="auto"/>
              <w:bottom w:val="single" w:sz="4" w:space="0" w:color="auto"/>
              <w:right w:val="single" w:sz="4" w:space="0" w:color="auto"/>
            </w:tcBorders>
            <w:shd w:val="clear" w:color="auto" w:fill="auto"/>
            <w:vAlign w:val="center"/>
          </w:tcPr>
          <w:p w14:paraId="07A9C31C" w14:textId="26BEF138" w:rsidR="00D25963" w:rsidRPr="007C7BEF" w:rsidRDefault="00D25963" w:rsidP="00D25963">
            <w:pPr>
              <w:jc w:val="center"/>
              <w:rPr>
                <w:rFonts w:eastAsia="Times New Roman"/>
                <w:color w:val="000000"/>
                <w:sz w:val="20"/>
                <w:szCs w:val="20"/>
                <w:lang w:eastAsia="en-CA"/>
              </w:rPr>
            </w:pPr>
            <w:r w:rsidRPr="00645D59">
              <w:rPr>
                <w:rFonts w:eastAsia="Times New Roman"/>
                <w:color w:val="000000"/>
                <w:sz w:val="20"/>
                <w:szCs w:val="20"/>
                <w:lang w:eastAsia="en-CA"/>
              </w:rPr>
              <w:t>-</w:t>
            </w:r>
          </w:p>
        </w:tc>
        <w:tc>
          <w:tcPr>
            <w:tcW w:w="1241" w:type="dxa"/>
            <w:tcBorders>
              <w:top w:val="nil"/>
              <w:left w:val="nil"/>
              <w:bottom w:val="single" w:sz="4" w:space="0" w:color="auto"/>
              <w:right w:val="single" w:sz="12" w:space="0" w:color="auto"/>
            </w:tcBorders>
            <w:shd w:val="clear" w:color="auto" w:fill="auto"/>
            <w:vAlign w:val="center"/>
          </w:tcPr>
          <w:p w14:paraId="16AEAFC3" w14:textId="0638AC3E" w:rsidR="00D25963" w:rsidRDefault="00D25963" w:rsidP="00D25963">
            <w:pPr>
              <w:jc w:val="center"/>
              <w:rPr>
                <w:rFonts w:eastAsia="Times New Roman"/>
                <w:color w:val="000000"/>
                <w:sz w:val="20"/>
                <w:szCs w:val="20"/>
                <w:lang w:eastAsia="en-CA"/>
              </w:rPr>
            </w:pPr>
            <w:r>
              <w:rPr>
                <w:rFonts w:eastAsia="Times New Roman"/>
                <w:color w:val="000000"/>
                <w:sz w:val="20"/>
                <w:szCs w:val="20"/>
                <w:lang w:eastAsia="en-CA"/>
              </w:rPr>
              <w:t>-</w:t>
            </w:r>
          </w:p>
        </w:tc>
      </w:tr>
      <w:tr w:rsidR="00D25963" w:rsidRPr="006A4C6F" w14:paraId="16A3A76C" w14:textId="77777777" w:rsidTr="001C2D0B">
        <w:trPr>
          <w:trHeight w:val="266"/>
        </w:trPr>
        <w:tc>
          <w:tcPr>
            <w:tcW w:w="5301" w:type="dxa"/>
            <w:tcBorders>
              <w:top w:val="nil"/>
              <w:left w:val="single" w:sz="12" w:space="0" w:color="auto"/>
              <w:bottom w:val="single" w:sz="12" w:space="0" w:color="auto"/>
              <w:right w:val="single" w:sz="12" w:space="0" w:color="auto"/>
            </w:tcBorders>
            <w:shd w:val="clear" w:color="auto" w:fill="auto"/>
            <w:vAlign w:val="center"/>
          </w:tcPr>
          <w:p w14:paraId="1A57C841" w14:textId="5D9287A9" w:rsidR="00D25963" w:rsidRPr="006A4C6F" w:rsidRDefault="00D25963" w:rsidP="00D25963">
            <w:pPr>
              <w:rPr>
                <w:rFonts w:eastAsia="Times New Roman"/>
                <w:color w:val="000000"/>
                <w:sz w:val="20"/>
                <w:szCs w:val="20"/>
                <w:lang w:eastAsia="en-CA"/>
              </w:rPr>
            </w:pPr>
            <w:r>
              <w:rPr>
                <w:rFonts w:eastAsia="Calibri"/>
                <w:color w:val="000000"/>
                <w:sz w:val="20"/>
                <w:szCs w:val="20"/>
                <w:lang w:eastAsia="en-CA"/>
              </w:rPr>
              <w:t>Spatial lag availability (1hr lag)</w:t>
            </w:r>
          </w:p>
        </w:tc>
        <w:tc>
          <w:tcPr>
            <w:tcW w:w="984" w:type="dxa"/>
            <w:tcBorders>
              <w:top w:val="nil"/>
              <w:left w:val="single" w:sz="12" w:space="0" w:color="auto"/>
              <w:bottom w:val="single" w:sz="12" w:space="0" w:color="auto"/>
              <w:right w:val="single" w:sz="4" w:space="0" w:color="auto"/>
            </w:tcBorders>
            <w:shd w:val="clear" w:color="auto" w:fill="auto"/>
            <w:vAlign w:val="bottom"/>
          </w:tcPr>
          <w:p w14:paraId="34AA315E" w14:textId="596B378F" w:rsidR="00D25963" w:rsidRPr="001C2D0B" w:rsidRDefault="00D25963" w:rsidP="001C2D0B">
            <w:pPr>
              <w:jc w:val="center"/>
              <w:rPr>
                <w:color w:val="000000"/>
                <w:sz w:val="20"/>
                <w:szCs w:val="20"/>
              </w:rPr>
            </w:pPr>
            <w:r w:rsidRPr="001C2D0B">
              <w:rPr>
                <w:color w:val="000000"/>
                <w:sz w:val="20"/>
                <w:szCs w:val="20"/>
              </w:rPr>
              <w:t>6.150</w:t>
            </w:r>
          </w:p>
        </w:tc>
        <w:tc>
          <w:tcPr>
            <w:tcW w:w="890" w:type="dxa"/>
            <w:tcBorders>
              <w:top w:val="nil"/>
              <w:left w:val="nil"/>
              <w:bottom w:val="single" w:sz="12" w:space="0" w:color="auto"/>
              <w:right w:val="single" w:sz="12" w:space="0" w:color="auto"/>
            </w:tcBorders>
            <w:shd w:val="clear" w:color="auto" w:fill="auto"/>
            <w:vAlign w:val="bottom"/>
          </w:tcPr>
          <w:p w14:paraId="0034AF21" w14:textId="013F48A3" w:rsidR="00D25963" w:rsidRPr="001C2D0B" w:rsidRDefault="00D25963" w:rsidP="001C2D0B">
            <w:pPr>
              <w:jc w:val="center"/>
              <w:rPr>
                <w:color w:val="000000"/>
                <w:sz w:val="20"/>
                <w:szCs w:val="20"/>
              </w:rPr>
            </w:pPr>
            <w:r w:rsidRPr="001C2D0B">
              <w:rPr>
                <w:color w:val="000000"/>
                <w:sz w:val="20"/>
                <w:szCs w:val="20"/>
              </w:rPr>
              <w:t>313.51</w:t>
            </w:r>
          </w:p>
        </w:tc>
        <w:tc>
          <w:tcPr>
            <w:tcW w:w="890" w:type="dxa"/>
            <w:tcBorders>
              <w:top w:val="nil"/>
              <w:left w:val="single" w:sz="12" w:space="0" w:color="auto"/>
              <w:bottom w:val="single" w:sz="12" w:space="0" w:color="auto"/>
              <w:right w:val="single" w:sz="4" w:space="0" w:color="auto"/>
            </w:tcBorders>
            <w:shd w:val="clear" w:color="auto" w:fill="auto"/>
            <w:vAlign w:val="center"/>
          </w:tcPr>
          <w:p w14:paraId="002F3F83" w14:textId="73D246F7" w:rsidR="00D25963" w:rsidRPr="006A4C6F" w:rsidRDefault="00D25963" w:rsidP="00D25963">
            <w:pPr>
              <w:jc w:val="center"/>
              <w:rPr>
                <w:rFonts w:eastAsia="Times New Roman"/>
                <w:color w:val="000000"/>
                <w:sz w:val="20"/>
                <w:szCs w:val="20"/>
                <w:lang w:eastAsia="en-CA"/>
              </w:rPr>
            </w:pPr>
            <w:r>
              <w:rPr>
                <w:color w:val="000000"/>
                <w:sz w:val="20"/>
                <w:szCs w:val="20"/>
              </w:rPr>
              <w:t>-</w:t>
            </w:r>
          </w:p>
        </w:tc>
        <w:tc>
          <w:tcPr>
            <w:tcW w:w="1156" w:type="dxa"/>
            <w:tcBorders>
              <w:top w:val="nil"/>
              <w:left w:val="nil"/>
              <w:bottom w:val="single" w:sz="12" w:space="0" w:color="auto"/>
              <w:right w:val="single" w:sz="12" w:space="0" w:color="auto"/>
            </w:tcBorders>
            <w:shd w:val="clear" w:color="auto" w:fill="auto"/>
            <w:vAlign w:val="center"/>
          </w:tcPr>
          <w:p w14:paraId="2FA432C0" w14:textId="64F962F2" w:rsidR="00D25963" w:rsidRPr="006A4C6F" w:rsidRDefault="00D25963" w:rsidP="00D25963">
            <w:pPr>
              <w:jc w:val="center"/>
              <w:rPr>
                <w:rFonts w:eastAsia="Times New Roman"/>
                <w:color w:val="000000"/>
                <w:sz w:val="20"/>
                <w:szCs w:val="20"/>
                <w:lang w:eastAsia="en-CA"/>
              </w:rPr>
            </w:pPr>
            <w:r>
              <w:rPr>
                <w:color w:val="000000"/>
                <w:sz w:val="20"/>
                <w:szCs w:val="20"/>
              </w:rPr>
              <w:t>-</w:t>
            </w:r>
          </w:p>
        </w:tc>
        <w:tc>
          <w:tcPr>
            <w:tcW w:w="890" w:type="dxa"/>
            <w:tcBorders>
              <w:top w:val="nil"/>
              <w:left w:val="single" w:sz="12" w:space="0" w:color="auto"/>
              <w:bottom w:val="single" w:sz="12" w:space="0" w:color="auto"/>
              <w:right w:val="single" w:sz="4" w:space="0" w:color="auto"/>
            </w:tcBorders>
            <w:shd w:val="clear" w:color="auto" w:fill="auto"/>
            <w:vAlign w:val="center"/>
          </w:tcPr>
          <w:p w14:paraId="493BAD67" w14:textId="4E55D4F9" w:rsidR="00D25963" w:rsidRPr="006A4C6F" w:rsidRDefault="00D25963" w:rsidP="00D25963">
            <w:pPr>
              <w:jc w:val="center"/>
              <w:rPr>
                <w:rFonts w:eastAsia="Times New Roman"/>
                <w:color w:val="000000"/>
                <w:sz w:val="20"/>
                <w:szCs w:val="20"/>
                <w:lang w:eastAsia="en-CA"/>
              </w:rPr>
            </w:pPr>
            <w:r>
              <w:rPr>
                <w:rFonts w:eastAsia="Times New Roman"/>
                <w:color w:val="000000"/>
                <w:sz w:val="20"/>
                <w:szCs w:val="20"/>
                <w:lang w:eastAsia="en-CA"/>
              </w:rPr>
              <w:t>-</w:t>
            </w:r>
          </w:p>
        </w:tc>
        <w:tc>
          <w:tcPr>
            <w:tcW w:w="1094" w:type="dxa"/>
            <w:tcBorders>
              <w:top w:val="nil"/>
              <w:left w:val="nil"/>
              <w:bottom w:val="single" w:sz="12" w:space="0" w:color="auto"/>
              <w:right w:val="single" w:sz="12" w:space="0" w:color="auto"/>
            </w:tcBorders>
            <w:shd w:val="clear" w:color="auto" w:fill="auto"/>
            <w:vAlign w:val="center"/>
          </w:tcPr>
          <w:p w14:paraId="11782F69" w14:textId="4DD84659" w:rsidR="00D25963" w:rsidRPr="006A4C6F" w:rsidRDefault="00D25963" w:rsidP="00D25963">
            <w:pPr>
              <w:jc w:val="center"/>
              <w:rPr>
                <w:rFonts w:eastAsia="Times New Roman"/>
                <w:color w:val="000000"/>
                <w:sz w:val="20"/>
                <w:szCs w:val="20"/>
                <w:lang w:eastAsia="en-CA"/>
              </w:rPr>
            </w:pPr>
            <w:r>
              <w:rPr>
                <w:rFonts w:eastAsia="Times New Roman"/>
                <w:color w:val="000000"/>
                <w:sz w:val="20"/>
                <w:szCs w:val="20"/>
                <w:lang w:eastAsia="en-CA"/>
              </w:rPr>
              <w:t>-</w:t>
            </w:r>
          </w:p>
        </w:tc>
        <w:tc>
          <w:tcPr>
            <w:tcW w:w="890" w:type="dxa"/>
            <w:tcBorders>
              <w:top w:val="nil"/>
              <w:left w:val="single" w:sz="12" w:space="0" w:color="auto"/>
              <w:bottom w:val="single" w:sz="12" w:space="0" w:color="auto"/>
              <w:right w:val="single" w:sz="4" w:space="0" w:color="auto"/>
            </w:tcBorders>
            <w:shd w:val="clear" w:color="auto" w:fill="auto"/>
            <w:vAlign w:val="center"/>
          </w:tcPr>
          <w:p w14:paraId="4ABF88FD" w14:textId="7D0FA1C4" w:rsidR="00D25963" w:rsidRPr="006A4C6F" w:rsidRDefault="00D25963" w:rsidP="00D25963">
            <w:pPr>
              <w:jc w:val="center"/>
              <w:rPr>
                <w:rFonts w:eastAsia="Times New Roman"/>
                <w:color w:val="000000"/>
                <w:sz w:val="20"/>
                <w:szCs w:val="20"/>
                <w:lang w:eastAsia="en-CA"/>
              </w:rPr>
            </w:pPr>
            <w:r>
              <w:rPr>
                <w:rFonts w:eastAsia="Times New Roman"/>
                <w:color w:val="000000"/>
                <w:sz w:val="20"/>
                <w:szCs w:val="20"/>
                <w:lang w:eastAsia="en-CA"/>
              </w:rPr>
              <w:t>-</w:t>
            </w:r>
          </w:p>
        </w:tc>
        <w:tc>
          <w:tcPr>
            <w:tcW w:w="1241" w:type="dxa"/>
            <w:tcBorders>
              <w:top w:val="nil"/>
              <w:left w:val="nil"/>
              <w:bottom w:val="single" w:sz="12" w:space="0" w:color="auto"/>
              <w:right w:val="single" w:sz="12" w:space="0" w:color="auto"/>
            </w:tcBorders>
            <w:shd w:val="clear" w:color="auto" w:fill="auto"/>
            <w:vAlign w:val="center"/>
          </w:tcPr>
          <w:p w14:paraId="30F73471" w14:textId="5BBDC972" w:rsidR="00D25963" w:rsidRPr="006A4C6F" w:rsidRDefault="00D25963" w:rsidP="00D25963">
            <w:pPr>
              <w:jc w:val="center"/>
              <w:rPr>
                <w:rFonts w:eastAsia="Times New Roman"/>
                <w:color w:val="000000"/>
                <w:sz w:val="20"/>
                <w:szCs w:val="20"/>
                <w:lang w:eastAsia="en-CA"/>
              </w:rPr>
            </w:pPr>
            <w:r>
              <w:rPr>
                <w:rFonts w:eastAsia="Times New Roman"/>
                <w:color w:val="000000"/>
                <w:sz w:val="20"/>
                <w:szCs w:val="20"/>
                <w:lang w:eastAsia="en-CA"/>
              </w:rPr>
              <w:t>-</w:t>
            </w:r>
          </w:p>
        </w:tc>
      </w:tr>
      <w:tr w:rsidR="00E43FC2" w:rsidRPr="006A4C6F" w14:paraId="73036DDE" w14:textId="77777777" w:rsidTr="001C2D0B">
        <w:trPr>
          <w:trHeight w:val="266"/>
        </w:trPr>
        <w:tc>
          <w:tcPr>
            <w:tcW w:w="13336" w:type="dxa"/>
            <w:gridSpan w:val="9"/>
            <w:tcBorders>
              <w:top w:val="single" w:sz="12" w:space="0" w:color="auto"/>
              <w:left w:val="single" w:sz="12" w:space="0" w:color="auto"/>
              <w:bottom w:val="single" w:sz="12" w:space="0" w:color="auto"/>
              <w:right w:val="single" w:sz="12" w:space="0" w:color="auto"/>
            </w:tcBorders>
            <w:shd w:val="clear" w:color="auto" w:fill="auto"/>
            <w:vAlign w:val="center"/>
            <w:hideMark/>
          </w:tcPr>
          <w:p w14:paraId="1F5AA1F1" w14:textId="42DC14AB" w:rsidR="00E43FC2" w:rsidRPr="006A4C6F" w:rsidRDefault="00E43FC2" w:rsidP="00E43FC2">
            <w:pPr>
              <w:rPr>
                <w:rFonts w:eastAsia="Times New Roman"/>
                <w:b/>
                <w:bCs/>
                <w:color w:val="000000"/>
                <w:sz w:val="20"/>
                <w:szCs w:val="20"/>
                <w:lang w:eastAsia="en-CA"/>
              </w:rPr>
            </w:pPr>
            <w:r w:rsidRPr="006A4C6F">
              <w:rPr>
                <w:rFonts w:eastAsia="Calibri"/>
                <w:b/>
                <w:bCs/>
                <w:color w:val="000000"/>
                <w:sz w:val="20"/>
                <w:szCs w:val="20"/>
                <w:lang w:eastAsia="en-CA"/>
              </w:rPr>
              <w:t>Location, Land use, Built environment</w:t>
            </w:r>
          </w:p>
        </w:tc>
      </w:tr>
      <w:tr w:rsidR="00D25963" w:rsidRPr="006A4C6F" w14:paraId="72F096E0" w14:textId="77777777" w:rsidTr="001C2D0B">
        <w:trPr>
          <w:trHeight w:val="266"/>
        </w:trPr>
        <w:tc>
          <w:tcPr>
            <w:tcW w:w="5301"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59ADD40" w14:textId="66F8AA1D" w:rsidR="00D25963" w:rsidRPr="006A4C6F" w:rsidRDefault="00D25963" w:rsidP="00D25963">
            <w:pPr>
              <w:rPr>
                <w:rFonts w:eastAsia="Times New Roman"/>
                <w:color w:val="000000"/>
                <w:sz w:val="20"/>
                <w:szCs w:val="20"/>
                <w:lang w:eastAsia="en-CA"/>
              </w:rPr>
            </w:pPr>
            <w:r w:rsidRPr="006A4C6F">
              <w:rPr>
                <w:rFonts w:eastAsia="Calibri"/>
                <w:color w:val="000000"/>
                <w:sz w:val="20"/>
                <w:szCs w:val="20"/>
                <w:lang w:eastAsia="en-CA"/>
              </w:rPr>
              <w:t>Old port</w:t>
            </w:r>
          </w:p>
        </w:tc>
        <w:tc>
          <w:tcPr>
            <w:tcW w:w="984" w:type="dxa"/>
            <w:tcBorders>
              <w:top w:val="single" w:sz="12" w:space="0" w:color="auto"/>
              <w:left w:val="single" w:sz="12" w:space="0" w:color="auto"/>
              <w:bottom w:val="single" w:sz="4" w:space="0" w:color="auto"/>
              <w:right w:val="single" w:sz="4" w:space="0" w:color="auto"/>
            </w:tcBorders>
            <w:shd w:val="clear" w:color="auto" w:fill="auto"/>
            <w:vAlign w:val="bottom"/>
            <w:hideMark/>
          </w:tcPr>
          <w:p w14:paraId="0126C6FB" w14:textId="1AE61453" w:rsidR="00D25963" w:rsidRPr="001C2D0B" w:rsidRDefault="00D25963" w:rsidP="001C2D0B">
            <w:pPr>
              <w:jc w:val="center"/>
              <w:rPr>
                <w:color w:val="000000"/>
                <w:sz w:val="20"/>
                <w:szCs w:val="20"/>
              </w:rPr>
            </w:pPr>
            <w:r w:rsidRPr="001C2D0B">
              <w:rPr>
                <w:color w:val="000000"/>
                <w:sz w:val="20"/>
                <w:szCs w:val="20"/>
              </w:rPr>
              <w:t>-2.081</w:t>
            </w:r>
          </w:p>
        </w:tc>
        <w:tc>
          <w:tcPr>
            <w:tcW w:w="890" w:type="dxa"/>
            <w:tcBorders>
              <w:top w:val="single" w:sz="12" w:space="0" w:color="auto"/>
              <w:left w:val="nil"/>
              <w:bottom w:val="single" w:sz="4" w:space="0" w:color="auto"/>
              <w:right w:val="single" w:sz="12" w:space="0" w:color="auto"/>
            </w:tcBorders>
            <w:shd w:val="clear" w:color="auto" w:fill="auto"/>
            <w:vAlign w:val="bottom"/>
            <w:hideMark/>
          </w:tcPr>
          <w:p w14:paraId="47AC3FC8" w14:textId="07A67BF0" w:rsidR="00D25963" w:rsidRPr="001C2D0B" w:rsidRDefault="00D25963" w:rsidP="001C2D0B">
            <w:pPr>
              <w:jc w:val="center"/>
              <w:rPr>
                <w:color w:val="000000"/>
                <w:sz w:val="20"/>
                <w:szCs w:val="20"/>
              </w:rPr>
            </w:pPr>
            <w:r w:rsidRPr="001C2D0B">
              <w:rPr>
                <w:color w:val="000000"/>
                <w:sz w:val="20"/>
                <w:szCs w:val="20"/>
              </w:rPr>
              <w:t>-44.42</w:t>
            </w:r>
          </w:p>
        </w:tc>
        <w:tc>
          <w:tcPr>
            <w:tcW w:w="89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3617C921" w14:textId="18ED5A1E" w:rsidR="00D25963" w:rsidRPr="001C2D0B" w:rsidRDefault="00D25963" w:rsidP="00D25963">
            <w:pPr>
              <w:jc w:val="center"/>
              <w:rPr>
                <w:color w:val="000000"/>
                <w:sz w:val="20"/>
                <w:szCs w:val="20"/>
              </w:rPr>
            </w:pPr>
            <w:r>
              <w:rPr>
                <w:color w:val="000000"/>
                <w:sz w:val="20"/>
                <w:szCs w:val="20"/>
              </w:rPr>
              <w:t>-</w:t>
            </w:r>
          </w:p>
        </w:tc>
        <w:tc>
          <w:tcPr>
            <w:tcW w:w="1156" w:type="dxa"/>
            <w:tcBorders>
              <w:top w:val="single" w:sz="12" w:space="0" w:color="auto"/>
              <w:left w:val="nil"/>
              <w:bottom w:val="single" w:sz="4" w:space="0" w:color="auto"/>
              <w:right w:val="single" w:sz="12" w:space="0" w:color="auto"/>
            </w:tcBorders>
            <w:shd w:val="clear" w:color="auto" w:fill="auto"/>
            <w:vAlign w:val="center"/>
            <w:hideMark/>
          </w:tcPr>
          <w:p w14:paraId="498BC464" w14:textId="64A6DFA7" w:rsidR="00D25963" w:rsidRPr="001C2D0B" w:rsidRDefault="00D25963" w:rsidP="00D25963">
            <w:pPr>
              <w:jc w:val="center"/>
              <w:rPr>
                <w:color w:val="000000"/>
                <w:sz w:val="20"/>
                <w:szCs w:val="20"/>
              </w:rPr>
            </w:pPr>
            <w:r>
              <w:rPr>
                <w:color w:val="000000"/>
                <w:sz w:val="20"/>
                <w:szCs w:val="20"/>
              </w:rPr>
              <w:t>-</w:t>
            </w:r>
          </w:p>
        </w:tc>
        <w:tc>
          <w:tcPr>
            <w:tcW w:w="89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11F9FC29" w14:textId="70DEF0B1" w:rsidR="00D25963" w:rsidRPr="001C2D0B" w:rsidRDefault="00D25963" w:rsidP="00D25963">
            <w:pPr>
              <w:jc w:val="center"/>
              <w:rPr>
                <w:color w:val="000000"/>
                <w:sz w:val="20"/>
                <w:szCs w:val="20"/>
              </w:rPr>
            </w:pPr>
            <w:r>
              <w:rPr>
                <w:color w:val="000000"/>
                <w:sz w:val="20"/>
                <w:szCs w:val="20"/>
              </w:rPr>
              <w:t>-</w:t>
            </w:r>
          </w:p>
        </w:tc>
        <w:tc>
          <w:tcPr>
            <w:tcW w:w="1094" w:type="dxa"/>
            <w:tcBorders>
              <w:top w:val="single" w:sz="12" w:space="0" w:color="auto"/>
              <w:left w:val="nil"/>
              <w:bottom w:val="single" w:sz="4" w:space="0" w:color="auto"/>
              <w:right w:val="single" w:sz="12" w:space="0" w:color="auto"/>
            </w:tcBorders>
            <w:shd w:val="clear" w:color="auto" w:fill="auto"/>
            <w:vAlign w:val="center"/>
            <w:hideMark/>
          </w:tcPr>
          <w:p w14:paraId="3E4B5D7A" w14:textId="33C4AD23" w:rsidR="00D25963" w:rsidRPr="001C2D0B" w:rsidRDefault="00D25963" w:rsidP="00D25963">
            <w:pPr>
              <w:jc w:val="center"/>
              <w:rPr>
                <w:color w:val="000000"/>
                <w:sz w:val="20"/>
                <w:szCs w:val="20"/>
              </w:rPr>
            </w:pPr>
            <w:r>
              <w:rPr>
                <w:color w:val="000000"/>
                <w:sz w:val="20"/>
                <w:szCs w:val="20"/>
              </w:rPr>
              <w:t>-</w:t>
            </w:r>
          </w:p>
        </w:tc>
        <w:tc>
          <w:tcPr>
            <w:tcW w:w="890"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6C4DEE14" w14:textId="1B32F4DA" w:rsidR="00D25963" w:rsidRPr="001C2D0B" w:rsidRDefault="00D25963" w:rsidP="00D25963">
            <w:pPr>
              <w:jc w:val="center"/>
              <w:rPr>
                <w:color w:val="000000"/>
                <w:sz w:val="20"/>
                <w:szCs w:val="20"/>
              </w:rPr>
            </w:pPr>
            <w:r>
              <w:rPr>
                <w:color w:val="000000"/>
                <w:sz w:val="20"/>
                <w:szCs w:val="20"/>
              </w:rPr>
              <w:t>-</w:t>
            </w:r>
          </w:p>
        </w:tc>
        <w:tc>
          <w:tcPr>
            <w:tcW w:w="1241" w:type="dxa"/>
            <w:tcBorders>
              <w:top w:val="single" w:sz="12" w:space="0" w:color="auto"/>
              <w:left w:val="nil"/>
              <w:bottom w:val="single" w:sz="4" w:space="0" w:color="auto"/>
              <w:right w:val="single" w:sz="12" w:space="0" w:color="auto"/>
            </w:tcBorders>
            <w:shd w:val="clear" w:color="auto" w:fill="auto"/>
            <w:vAlign w:val="center"/>
            <w:hideMark/>
          </w:tcPr>
          <w:p w14:paraId="04B37087" w14:textId="0CE82092" w:rsidR="00D25963" w:rsidRPr="001C2D0B" w:rsidRDefault="00D25963" w:rsidP="00D25963">
            <w:pPr>
              <w:jc w:val="center"/>
              <w:rPr>
                <w:color w:val="000000"/>
                <w:sz w:val="20"/>
                <w:szCs w:val="20"/>
              </w:rPr>
            </w:pPr>
            <w:r>
              <w:rPr>
                <w:color w:val="000000"/>
                <w:sz w:val="20"/>
                <w:szCs w:val="20"/>
              </w:rPr>
              <w:t>-</w:t>
            </w:r>
          </w:p>
        </w:tc>
      </w:tr>
      <w:tr w:rsidR="00D25963" w:rsidRPr="006A4C6F" w14:paraId="1C81CA52" w14:textId="77777777" w:rsidTr="001C2D0B">
        <w:trPr>
          <w:trHeight w:val="266"/>
        </w:trPr>
        <w:tc>
          <w:tcPr>
            <w:tcW w:w="5301" w:type="dxa"/>
            <w:tcBorders>
              <w:top w:val="single" w:sz="4" w:space="0" w:color="auto"/>
              <w:left w:val="single" w:sz="12" w:space="0" w:color="auto"/>
              <w:bottom w:val="single" w:sz="4" w:space="0" w:color="auto"/>
              <w:right w:val="single" w:sz="12" w:space="0" w:color="auto"/>
            </w:tcBorders>
            <w:shd w:val="clear" w:color="auto" w:fill="auto"/>
            <w:vAlign w:val="center"/>
          </w:tcPr>
          <w:p w14:paraId="691A67E1" w14:textId="4E249DC6" w:rsidR="00D25963" w:rsidRPr="006A4C6F" w:rsidRDefault="00D25963" w:rsidP="00D25963">
            <w:pPr>
              <w:rPr>
                <w:rFonts w:eastAsia="Calibri"/>
                <w:color w:val="000000"/>
                <w:sz w:val="20"/>
                <w:szCs w:val="20"/>
                <w:lang w:eastAsia="en-CA"/>
              </w:rPr>
            </w:pPr>
            <w:r w:rsidRPr="006A4C6F">
              <w:rPr>
                <w:rFonts w:eastAsia="Calibri"/>
                <w:color w:val="000000"/>
                <w:sz w:val="20"/>
                <w:szCs w:val="20"/>
                <w:lang w:eastAsia="en-CA"/>
              </w:rPr>
              <w:t xml:space="preserve">Old port interacted with </w:t>
            </w:r>
            <w:r>
              <w:rPr>
                <w:rFonts w:eastAsia="Calibri"/>
                <w:color w:val="000000"/>
                <w:sz w:val="20"/>
                <w:szCs w:val="20"/>
                <w:lang w:eastAsia="en-CA"/>
              </w:rPr>
              <w:t>Weekend</w:t>
            </w:r>
            <w:r w:rsidRPr="006A4C6F">
              <w:rPr>
                <w:rFonts w:eastAsia="Calibri"/>
                <w:color w:val="000000"/>
                <w:sz w:val="20"/>
                <w:szCs w:val="20"/>
                <w:lang w:eastAsia="en-CA"/>
              </w:rPr>
              <w:t xml:space="preserve">  </w:t>
            </w:r>
          </w:p>
        </w:tc>
        <w:tc>
          <w:tcPr>
            <w:tcW w:w="984" w:type="dxa"/>
            <w:tcBorders>
              <w:top w:val="single" w:sz="4" w:space="0" w:color="auto"/>
              <w:left w:val="single" w:sz="12" w:space="0" w:color="auto"/>
              <w:bottom w:val="single" w:sz="4" w:space="0" w:color="auto"/>
              <w:right w:val="single" w:sz="4" w:space="0" w:color="auto"/>
            </w:tcBorders>
            <w:shd w:val="clear" w:color="auto" w:fill="auto"/>
            <w:vAlign w:val="bottom"/>
          </w:tcPr>
          <w:p w14:paraId="351002F2" w14:textId="5C0ED458" w:rsidR="00D25963" w:rsidRPr="001C2D0B" w:rsidRDefault="00D25963" w:rsidP="001C2D0B">
            <w:pPr>
              <w:jc w:val="center"/>
              <w:rPr>
                <w:color w:val="000000"/>
                <w:sz w:val="20"/>
                <w:szCs w:val="20"/>
              </w:rPr>
            </w:pPr>
            <w:r w:rsidRPr="001C2D0B">
              <w:rPr>
                <w:color w:val="000000"/>
                <w:sz w:val="20"/>
                <w:szCs w:val="20"/>
              </w:rPr>
              <w:t>0.211</w:t>
            </w:r>
          </w:p>
        </w:tc>
        <w:tc>
          <w:tcPr>
            <w:tcW w:w="890" w:type="dxa"/>
            <w:tcBorders>
              <w:top w:val="single" w:sz="4" w:space="0" w:color="auto"/>
              <w:left w:val="nil"/>
              <w:bottom w:val="single" w:sz="4" w:space="0" w:color="auto"/>
              <w:right w:val="single" w:sz="12" w:space="0" w:color="auto"/>
            </w:tcBorders>
            <w:shd w:val="clear" w:color="auto" w:fill="auto"/>
            <w:vAlign w:val="bottom"/>
          </w:tcPr>
          <w:p w14:paraId="424DE072" w14:textId="39F9AF06" w:rsidR="00D25963" w:rsidRPr="001C2D0B" w:rsidRDefault="00D25963" w:rsidP="001C2D0B">
            <w:pPr>
              <w:jc w:val="center"/>
              <w:rPr>
                <w:color w:val="000000"/>
                <w:sz w:val="20"/>
                <w:szCs w:val="20"/>
              </w:rPr>
            </w:pPr>
            <w:r w:rsidRPr="001C2D0B">
              <w:rPr>
                <w:color w:val="000000"/>
                <w:sz w:val="20"/>
                <w:szCs w:val="20"/>
              </w:rPr>
              <w:t>9.66</w:t>
            </w:r>
          </w:p>
        </w:tc>
        <w:tc>
          <w:tcPr>
            <w:tcW w:w="890" w:type="dxa"/>
            <w:tcBorders>
              <w:top w:val="single" w:sz="4" w:space="0" w:color="auto"/>
              <w:left w:val="single" w:sz="12" w:space="0" w:color="auto"/>
              <w:bottom w:val="single" w:sz="4" w:space="0" w:color="auto"/>
              <w:right w:val="single" w:sz="4" w:space="0" w:color="auto"/>
            </w:tcBorders>
            <w:shd w:val="clear" w:color="auto" w:fill="auto"/>
            <w:vAlign w:val="center"/>
          </w:tcPr>
          <w:p w14:paraId="40A849C9" w14:textId="1D07C389" w:rsidR="00D25963" w:rsidRPr="001C2D0B" w:rsidRDefault="00D25963" w:rsidP="00D25963">
            <w:pPr>
              <w:jc w:val="center"/>
              <w:rPr>
                <w:color w:val="000000"/>
                <w:sz w:val="20"/>
                <w:szCs w:val="20"/>
              </w:rPr>
            </w:pPr>
            <w:r>
              <w:rPr>
                <w:color w:val="000000"/>
                <w:sz w:val="20"/>
                <w:szCs w:val="20"/>
              </w:rPr>
              <w:t>-</w:t>
            </w:r>
          </w:p>
        </w:tc>
        <w:tc>
          <w:tcPr>
            <w:tcW w:w="1156" w:type="dxa"/>
            <w:tcBorders>
              <w:top w:val="single" w:sz="4" w:space="0" w:color="auto"/>
              <w:left w:val="nil"/>
              <w:bottom w:val="single" w:sz="4" w:space="0" w:color="auto"/>
              <w:right w:val="single" w:sz="12" w:space="0" w:color="auto"/>
            </w:tcBorders>
            <w:shd w:val="clear" w:color="auto" w:fill="auto"/>
            <w:vAlign w:val="center"/>
          </w:tcPr>
          <w:p w14:paraId="13236BBB" w14:textId="6C12FD5A" w:rsidR="00D25963" w:rsidRPr="001C2D0B" w:rsidRDefault="00D25963" w:rsidP="00D25963">
            <w:pPr>
              <w:jc w:val="center"/>
              <w:rPr>
                <w:color w:val="000000"/>
                <w:sz w:val="20"/>
                <w:szCs w:val="20"/>
              </w:rPr>
            </w:pPr>
            <w:r>
              <w:rPr>
                <w:color w:val="000000"/>
                <w:sz w:val="20"/>
                <w:szCs w:val="20"/>
              </w:rPr>
              <w:t>-</w:t>
            </w:r>
          </w:p>
        </w:tc>
        <w:tc>
          <w:tcPr>
            <w:tcW w:w="890" w:type="dxa"/>
            <w:tcBorders>
              <w:top w:val="single" w:sz="4" w:space="0" w:color="auto"/>
              <w:left w:val="single" w:sz="12" w:space="0" w:color="auto"/>
              <w:bottom w:val="single" w:sz="4" w:space="0" w:color="auto"/>
              <w:right w:val="single" w:sz="4" w:space="0" w:color="auto"/>
            </w:tcBorders>
            <w:shd w:val="clear" w:color="auto" w:fill="auto"/>
            <w:vAlign w:val="center"/>
          </w:tcPr>
          <w:p w14:paraId="50E891E4" w14:textId="03A328FF" w:rsidR="00D25963" w:rsidRPr="001C2D0B" w:rsidRDefault="00D25963" w:rsidP="00D25963">
            <w:pPr>
              <w:jc w:val="center"/>
              <w:rPr>
                <w:color w:val="000000"/>
                <w:sz w:val="20"/>
                <w:szCs w:val="20"/>
              </w:rPr>
            </w:pPr>
            <w:r>
              <w:rPr>
                <w:color w:val="000000"/>
                <w:sz w:val="20"/>
                <w:szCs w:val="20"/>
              </w:rPr>
              <w:t>-</w:t>
            </w:r>
          </w:p>
        </w:tc>
        <w:tc>
          <w:tcPr>
            <w:tcW w:w="1094" w:type="dxa"/>
            <w:tcBorders>
              <w:top w:val="single" w:sz="4" w:space="0" w:color="auto"/>
              <w:left w:val="nil"/>
              <w:bottom w:val="single" w:sz="4" w:space="0" w:color="auto"/>
              <w:right w:val="single" w:sz="12" w:space="0" w:color="auto"/>
            </w:tcBorders>
            <w:shd w:val="clear" w:color="auto" w:fill="auto"/>
            <w:vAlign w:val="center"/>
          </w:tcPr>
          <w:p w14:paraId="0531B112" w14:textId="300055F6" w:rsidR="00D25963" w:rsidRPr="001C2D0B" w:rsidRDefault="00D25963" w:rsidP="00D25963">
            <w:pPr>
              <w:jc w:val="center"/>
              <w:rPr>
                <w:color w:val="000000"/>
                <w:sz w:val="20"/>
                <w:szCs w:val="20"/>
              </w:rPr>
            </w:pPr>
            <w:r>
              <w:rPr>
                <w:color w:val="000000"/>
                <w:sz w:val="20"/>
                <w:szCs w:val="20"/>
              </w:rPr>
              <w:t>-</w:t>
            </w:r>
          </w:p>
        </w:tc>
        <w:tc>
          <w:tcPr>
            <w:tcW w:w="890" w:type="dxa"/>
            <w:tcBorders>
              <w:top w:val="single" w:sz="4" w:space="0" w:color="auto"/>
              <w:left w:val="single" w:sz="12" w:space="0" w:color="auto"/>
              <w:bottom w:val="single" w:sz="4" w:space="0" w:color="auto"/>
              <w:right w:val="single" w:sz="4" w:space="0" w:color="auto"/>
            </w:tcBorders>
            <w:shd w:val="clear" w:color="auto" w:fill="auto"/>
            <w:vAlign w:val="center"/>
          </w:tcPr>
          <w:p w14:paraId="5E62BFD3" w14:textId="3777593F" w:rsidR="00D25963" w:rsidRPr="001C2D0B" w:rsidRDefault="00D25963" w:rsidP="00D25963">
            <w:pPr>
              <w:jc w:val="center"/>
              <w:rPr>
                <w:color w:val="000000"/>
                <w:sz w:val="20"/>
                <w:szCs w:val="20"/>
              </w:rPr>
            </w:pPr>
            <w:r>
              <w:rPr>
                <w:color w:val="000000"/>
                <w:sz w:val="20"/>
                <w:szCs w:val="20"/>
              </w:rPr>
              <w:t>-</w:t>
            </w:r>
          </w:p>
        </w:tc>
        <w:tc>
          <w:tcPr>
            <w:tcW w:w="1241" w:type="dxa"/>
            <w:tcBorders>
              <w:top w:val="single" w:sz="4" w:space="0" w:color="auto"/>
              <w:left w:val="nil"/>
              <w:bottom w:val="single" w:sz="4" w:space="0" w:color="auto"/>
              <w:right w:val="single" w:sz="12" w:space="0" w:color="auto"/>
            </w:tcBorders>
            <w:shd w:val="clear" w:color="auto" w:fill="auto"/>
            <w:vAlign w:val="center"/>
          </w:tcPr>
          <w:p w14:paraId="0D65FC03" w14:textId="4F4EAF45" w:rsidR="00D25963" w:rsidRPr="001C2D0B" w:rsidRDefault="00D25963" w:rsidP="00D25963">
            <w:pPr>
              <w:jc w:val="center"/>
              <w:rPr>
                <w:color w:val="000000"/>
                <w:sz w:val="20"/>
                <w:szCs w:val="20"/>
              </w:rPr>
            </w:pPr>
            <w:r>
              <w:rPr>
                <w:color w:val="000000"/>
                <w:sz w:val="20"/>
                <w:szCs w:val="20"/>
              </w:rPr>
              <w:t>-</w:t>
            </w:r>
          </w:p>
        </w:tc>
      </w:tr>
      <w:tr w:rsidR="00D25963" w:rsidRPr="006A4C6F" w14:paraId="7B4F17C2" w14:textId="77777777" w:rsidTr="001C2D0B">
        <w:trPr>
          <w:trHeight w:val="266"/>
        </w:trPr>
        <w:tc>
          <w:tcPr>
            <w:tcW w:w="5301" w:type="dxa"/>
            <w:tcBorders>
              <w:top w:val="nil"/>
              <w:left w:val="single" w:sz="12" w:space="0" w:color="auto"/>
              <w:bottom w:val="single" w:sz="4" w:space="0" w:color="auto"/>
              <w:right w:val="single" w:sz="12" w:space="0" w:color="auto"/>
            </w:tcBorders>
            <w:shd w:val="clear" w:color="auto" w:fill="auto"/>
            <w:vAlign w:val="center"/>
            <w:hideMark/>
          </w:tcPr>
          <w:p w14:paraId="12D8F32F" w14:textId="4FC5BAD0" w:rsidR="00D25963" w:rsidRPr="006A4C6F" w:rsidRDefault="00D25963" w:rsidP="00D25963">
            <w:pPr>
              <w:rPr>
                <w:rFonts w:eastAsia="Times New Roman"/>
                <w:color w:val="000000"/>
                <w:sz w:val="20"/>
                <w:szCs w:val="20"/>
                <w:lang w:eastAsia="en-CA"/>
              </w:rPr>
            </w:pPr>
            <w:r w:rsidRPr="006A4C6F">
              <w:rPr>
                <w:rFonts w:eastAsia="Calibri"/>
                <w:color w:val="000000"/>
                <w:sz w:val="20"/>
                <w:szCs w:val="20"/>
                <w:lang w:eastAsia="en-CA"/>
              </w:rPr>
              <w:t>Downtown</w:t>
            </w:r>
          </w:p>
        </w:tc>
        <w:tc>
          <w:tcPr>
            <w:tcW w:w="984" w:type="dxa"/>
            <w:tcBorders>
              <w:top w:val="nil"/>
              <w:left w:val="single" w:sz="12" w:space="0" w:color="auto"/>
              <w:bottom w:val="single" w:sz="4" w:space="0" w:color="auto"/>
              <w:right w:val="single" w:sz="4" w:space="0" w:color="auto"/>
            </w:tcBorders>
            <w:shd w:val="clear" w:color="auto" w:fill="auto"/>
            <w:vAlign w:val="bottom"/>
            <w:hideMark/>
          </w:tcPr>
          <w:p w14:paraId="27F60374" w14:textId="40363E8E" w:rsidR="00D25963" w:rsidRPr="001C2D0B" w:rsidRDefault="00D25963" w:rsidP="001C2D0B">
            <w:pPr>
              <w:jc w:val="center"/>
              <w:rPr>
                <w:color w:val="000000"/>
                <w:sz w:val="20"/>
                <w:szCs w:val="20"/>
              </w:rPr>
            </w:pPr>
            <w:r w:rsidRPr="001C2D0B">
              <w:rPr>
                <w:color w:val="000000"/>
                <w:sz w:val="20"/>
                <w:szCs w:val="20"/>
              </w:rPr>
              <w:t>-2.644</w:t>
            </w:r>
          </w:p>
        </w:tc>
        <w:tc>
          <w:tcPr>
            <w:tcW w:w="890" w:type="dxa"/>
            <w:tcBorders>
              <w:top w:val="nil"/>
              <w:left w:val="nil"/>
              <w:bottom w:val="single" w:sz="4" w:space="0" w:color="auto"/>
              <w:right w:val="single" w:sz="12" w:space="0" w:color="auto"/>
            </w:tcBorders>
            <w:shd w:val="clear" w:color="auto" w:fill="auto"/>
            <w:vAlign w:val="bottom"/>
            <w:hideMark/>
          </w:tcPr>
          <w:p w14:paraId="23EF4785" w14:textId="7C0AAC4B" w:rsidR="00D25963" w:rsidRPr="001C2D0B" w:rsidRDefault="00D25963" w:rsidP="001C2D0B">
            <w:pPr>
              <w:jc w:val="center"/>
              <w:rPr>
                <w:color w:val="000000"/>
                <w:sz w:val="20"/>
                <w:szCs w:val="20"/>
              </w:rPr>
            </w:pPr>
            <w:r w:rsidRPr="001C2D0B">
              <w:rPr>
                <w:color w:val="000000"/>
                <w:sz w:val="20"/>
                <w:szCs w:val="20"/>
              </w:rPr>
              <w:t>-29.86</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2D976CA5" w14:textId="4080A9DD" w:rsidR="00D25963" w:rsidRPr="001C2D0B" w:rsidRDefault="00D25963" w:rsidP="00D25963">
            <w:pPr>
              <w:jc w:val="center"/>
              <w:rPr>
                <w:color w:val="000000"/>
                <w:sz w:val="20"/>
                <w:szCs w:val="20"/>
              </w:rPr>
            </w:pPr>
            <w:r>
              <w:rPr>
                <w:color w:val="000000"/>
                <w:sz w:val="20"/>
                <w:szCs w:val="20"/>
              </w:rPr>
              <w:t>-</w:t>
            </w:r>
          </w:p>
        </w:tc>
        <w:tc>
          <w:tcPr>
            <w:tcW w:w="1156" w:type="dxa"/>
            <w:tcBorders>
              <w:top w:val="nil"/>
              <w:left w:val="nil"/>
              <w:bottom w:val="single" w:sz="4" w:space="0" w:color="auto"/>
              <w:right w:val="single" w:sz="12" w:space="0" w:color="auto"/>
            </w:tcBorders>
            <w:shd w:val="clear" w:color="auto" w:fill="auto"/>
            <w:vAlign w:val="center"/>
            <w:hideMark/>
          </w:tcPr>
          <w:p w14:paraId="252FB9AE" w14:textId="23015D6D" w:rsidR="00D25963" w:rsidRPr="001C2D0B" w:rsidRDefault="00D25963" w:rsidP="00D25963">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32F3037B" w14:textId="0669E5C9" w:rsidR="00D25963" w:rsidRPr="001C2D0B" w:rsidRDefault="00D25963" w:rsidP="00D25963">
            <w:pPr>
              <w:jc w:val="center"/>
              <w:rPr>
                <w:color w:val="000000"/>
                <w:sz w:val="20"/>
                <w:szCs w:val="20"/>
              </w:rPr>
            </w:pPr>
            <w:r>
              <w:rPr>
                <w:color w:val="000000"/>
                <w:sz w:val="20"/>
                <w:szCs w:val="20"/>
              </w:rPr>
              <w:t>-</w:t>
            </w:r>
          </w:p>
        </w:tc>
        <w:tc>
          <w:tcPr>
            <w:tcW w:w="1094" w:type="dxa"/>
            <w:tcBorders>
              <w:top w:val="nil"/>
              <w:left w:val="nil"/>
              <w:bottom w:val="single" w:sz="4" w:space="0" w:color="auto"/>
              <w:right w:val="single" w:sz="12" w:space="0" w:color="auto"/>
            </w:tcBorders>
            <w:shd w:val="clear" w:color="auto" w:fill="auto"/>
            <w:vAlign w:val="center"/>
            <w:hideMark/>
          </w:tcPr>
          <w:p w14:paraId="2FD95329" w14:textId="27A0F290" w:rsidR="00D25963" w:rsidRPr="001C2D0B" w:rsidRDefault="00D25963" w:rsidP="00D25963">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3F581EB1" w14:textId="64864E09" w:rsidR="00D25963" w:rsidRPr="001C2D0B" w:rsidRDefault="00D25963" w:rsidP="00D25963">
            <w:pPr>
              <w:jc w:val="center"/>
              <w:rPr>
                <w:color w:val="000000"/>
                <w:sz w:val="20"/>
                <w:szCs w:val="20"/>
              </w:rPr>
            </w:pPr>
            <w:r>
              <w:rPr>
                <w:color w:val="000000"/>
                <w:sz w:val="20"/>
                <w:szCs w:val="20"/>
              </w:rPr>
              <w:t>-</w:t>
            </w:r>
          </w:p>
        </w:tc>
        <w:tc>
          <w:tcPr>
            <w:tcW w:w="1241" w:type="dxa"/>
            <w:tcBorders>
              <w:top w:val="nil"/>
              <w:left w:val="nil"/>
              <w:bottom w:val="single" w:sz="4" w:space="0" w:color="auto"/>
              <w:right w:val="single" w:sz="12" w:space="0" w:color="auto"/>
            </w:tcBorders>
            <w:shd w:val="clear" w:color="auto" w:fill="auto"/>
            <w:vAlign w:val="center"/>
            <w:hideMark/>
          </w:tcPr>
          <w:p w14:paraId="329E3B20" w14:textId="0F6C934D" w:rsidR="00D25963" w:rsidRPr="001C2D0B" w:rsidRDefault="00D25963" w:rsidP="00D25963">
            <w:pPr>
              <w:jc w:val="center"/>
              <w:rPr>
                <w:color w:val="000000"/>
                <w:sz w:val="20"/>
                <w:szCs w:val="20"/>
              </w:rPr>
            </w:pPr>
            <w:r>
              <w:rPr>
                <w:color w:val="000000"/>
                <w:sz w:val="20"/>
                <w:szCs w:val="20"/>
              </w:rPr>
              <w:t>-</w:t>
            </w:r>
          </w:p>
        </w:tc>
      </w:tr>
      <w:tr w:rsidR="00D25963" w:rsidRPr="006A4C6F" w14:paraId="6F2BFBC0" w14:textId="77777777" w:rsidTr="001C2D0B">
        <w:trPr>
          <w:trHeight w:val="266"/>
        </w:trPr>
        <w:tc>
          <w:tcPr>
            <w:tcW w:w="5301" w:type="dxa"/>
            <w:tcBorders>
              <w:top w:val="nil"/>
              <w:left w:val="single" w:sz="12" w:space="0" w:color="auto"/>
              <w:bottom w:val="single" w:sz="4" w:space="0" w:color="auto"/>
              <w:right w:val="single" w:sz="12" w:space="0" w:color="auto"/>
            </w:tcBorders>
            <w:shd w:val="clear" w:color="auto" w:fill="auto"/>
            <w:vAlign w:val="center"/>
          </w:tcPr>
          <w:p w14:paraId="68A3399F" w14:textId="78727D31" w:rsidR="00D25963" w:rsidRPr="006A4C6F" w:rsidRDefault="00D25963" w:rsidP="00D25963">
            <w:pPr>
              <w:rPr>
                <w:rFonts w:eastAsia="Calibri"/>
                <w:color w:val="000000"/>
                <w:sz w:val="20"/>
                <w:szCs w:val="20"/>
                <w:lang w:eastAsia="en-CA"/>
              </w:rPr>
            </w:pPr>
            <w:r w:rsidRPr="006A4C6F">
              <w:rPr>
                <w:rFonts w:eastAsia="Calibri"/>
                <w:color w:val="000000"/>
                <w:sz w:val="20"/>
                <w:szCs w:val="20"/>
                <w:lang w:eastAsia="en-CA"/>
              </w:rPr>
              <w:t xml:space="preserve">Downtown interacted with </w:t>
            </w:r>
            <w:r>
              <w:rPr>
                <w:rFonts w:eastAsia="Calibri"/>
                <w:color w:val="000000"/>
                <w:sz w:val="20"/>
                <w:szCs w:val="20"/>
                <w:lang w:eastAsia="en-CA"/>
              </w:rPr>
              <w:t>Weekend</w:t>
            </w:r>
            <w:r w:rsidRPr="006A4C6F">
              <w:rPr>
                <w:rFonts w:eastAsia="Calibri"/>
                <w:color w:val="000000"/>
                <w:sz w:val="20"/>
                <w:szCs w:val="20"/>
                <w:lang w:eastAsia="en-CA"/>
              </w:rPr>
              <w:t xml:space="preserve">  </w:t>
            </w:r>
          </w:p>
        </w:tc>
        <w:tc>
          <w:tcPr>
            <w:tcW w:w="984" w:type="dxa"/>
            <w:tcBorders>
              <w:top w:val="nil"/>
              <w:left w:val="single" w:sz="12" w:space="0" w:color="auto"/>
              <w:bottom w:val="single" w:sz="4" w:space="0" w:color="auto"/>
              <w:right w:val="single" w:sz="4" w:space="0" w:color="auto"/>
            </w:tcBorders>
            <w:shd w:val="clear" w:color="auto" w:fill="auto"/>
            <w:vAlign w:val="bottom"/>
          </w:tcPr>
          <w:p w14:paraId="58E689C9" w14:textId="6EDF5027" w:rsidR="00D25963" w:rsidRPr="001C2D0B" w:rsidRDefault="00D25963" w:rsidP="001C2D0B">
            <w:pPr>
              <w:jc w:val="center"/>
              <w:rPr>
                <w:color w:val="000000"/>
                <w:sz w:val="20"/>
                <w:szCs w:val="20"/>
              </w:rPr>
            </w:pPr>
            <w:r w:rsidRPr="001C2D0B">
              <w:rPr>
                <w:color w:val="000000"/>
                <w:sz w:val="20"/>
                <w:szCs w:val="20"/>
              </w:rPr>
              <w:t>0.148</w:t>
            </w:r>
          </w:p>
        </w:tc>
        <w:tc>
          <w:tcPr>
            <w:tcW w:w="890" w:type="dxa"/>
            <w:tcBorders>
              <w:top w:val="nil"/>
              <w:left w:val="nil"/>
              <w:bottom w:val="single" w:sz="4" w:space="0" w:color="auto"/>
              <w:right w:val="single" w:sz="12" w:space="0" w:color="auto"/>
            </w:tcBorders>
            <w:shd w:val="clear" w:color="auto" w:fill="auto"/>
            <w:vAlign w:val="bottom"/>
          </w:tcPr>
          <w:p w14:paraId="1F40DBFB" w14:textId="55B1B58E" w:rsidR="00D25963" w:rsidRPr="001C2D0B" w:rsidRDefault="00D25963" w:rsidP="001C2D0B">
            <w:pPr>
              <w:jc w:val="center"/>
              <w:rPr>
                <w:color w:val="000000"/>
                <w:sz w:val="20"/>
                <w:szCs w:val="20"/>
              </w:rPr>
            </w:pPr>
            <w:r w:rsidRPr="001C2D0B">
              <w:rPr>
                <w:color w:val="000000"/>
                <w:sz w:val="20"/>
                <w:szCs w:val="20"/>
              </w:rPr>
              <w:t>10.25</w:t>
            </w:r>
          </w:p>
        </w:tc>
        <w:tc>
          <w:tcPr>
            <w:tcW w:w="890" w:type="dxa"/>
            <w:tcBorders>
              <w:top w:val="nil"/>
              <w:left w:val="single" w:sz="12" w:space="0" w:color="auto"/>
              <w:bottom w:val="single" w:sz="4" w:space="0" w:color="auto"/>
              <w:right w:val="single" w:sz="4" w:space="0" w:color="auto"/>
            </w:tcBorders>
            <w:shd w:val="clear" w:color="auto" w:fill="auto"/>
            <w:vAlign w:val="center"/>
          </w:tcPr>
          <w:p w14:paraId="1643FE9C" w14:textId="7B74FA8E" w:rsidR="00D25963" w:rsidRPr="001C2D0B" w:rsidRDefault="00D25963" w:rsidP="00D25963">
            <w:pPr>
              <w:jc w:val="center"/>
              <w:rPr>
                <w:color w:val="000000"/>
                <w:sz w:val="20"/>
                <w:szCs w:val="20"/>
              </w:rPr>
            </w:pPr>
            <w:r>
              <w:rPr>
                <w:color w:val="000000"/>
                <w:sz w:val="20"/>
                <w:szCs w:val="20"/>
              </w:rPr>
              <w:t>-</w:t>
            </w:r>
          </w:p>
        </w:tc>
        <w:tc>
          <w:tcPr>
            <w:tcW w:w="1156" w:type="dxa"/>
            <w:tcBorders>
              <w:top w:val="nil"/>
              <w:left w:val="nil"/>
              <w:bottom w:val="single" w:sz="4" w:space="0" w:color="auto"/>
              <w:right w:val="single" w:sz="12" w:space="0" w:color="auto"/>
            </w:tcBorders>
            <w:shd w:val="clear" w:color="auto" w:fill="auto"/>
            <w:vAlign w:val="center"/>
          </w:tcPr>
          <w:p w14:paraId="498B52A8" w14:textId="5BB34D3C" w:rsidR="00D25963" w:rsidRPr="001C2D0B" w:rsidRDefault="00D25963" w:rsidP="00D25963">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center"/>
          </w:tcPr>
          <w:p w14:paraId="00EEC26A" w14:textId="0678C288" w:rsidR="00D25963" w:rsidRPr="001C2D0B" w:rsidRDefault="00D25963" w:rsidP="00D25963">
            <w:pPr>
              <w:jc w:val="center"/>
              <w:rPr>
                <w:color w:val="000000"/>
                <w:sz w:val="20"/>
                <w:szCs w:val="20"/>
              </w:rPr>
            </w:pPr>
            <w:r>
              <w:rPr>
                <w:color w:val="000000"/>
                <w:sz w:val="20"/>
                <w:szCs w:val="20"/>
              </w:rPr>
              <w:t>-</w:t>
            </w:r>
          </w:p>
        </w:tc>
        <w:tc>
          <w:tcPr>
            <w:tcW w:w="1094" w:type="dxa"/>
            <w:tcBorders>
              <w:top w:val="nil"/>
              <w:left w:val="nil"/>
              <w:bottom w:val="single" w:sz="4" w:space="0" w:color="auto"/>
              <w:right w:val="single" w:sz="12" w:space="0" w:color="auto"/>
            </w:tcBorders>
            <w:shd w:val="clear" w:color="auto" w:fill="auto"/>
            <w:vAlign w:val="center"/>
          </w:tcPr>
          <w:p w14:paraId="62A505A4" w14:textId="5A071C55" w:rsidR="00D25963" w:rsidRPr="001C2D0B" w:rsidRDefault="00D25963" w:rsidP="00D25963">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center"/>
          </w:tcPr>
          <w:p w14:paraId="6FD65A10" w14:textId="13D074D2" w:rsidR="00D25963" w:rsidRPr="001C2D0B" w:rsidRDefault="00D25963" w:rsidP="00D25963">
            <w:pPr>
              <w:jc w:val="center"/>
              <w:rPr>
                <w:color w:val="000000"/>
                <w:sz w:val="20"/>
                <w:szCs w:val="20"/>
              </w:rPr>
            </w:pPr>
            <w:r>
              <w:rPr>
                <w:color w:val="000000"/>
                <w:sz w:val="20"/>
                <w:szCs w:val="20"/>
              </w:rPr>
              <w:t>-</w:t>
            </w:r>
          </w:p>
        </w:tc>
        <w:tc>
          <w:tcPr>
            <w:tcW w:w="1241" w:type="dxa"/>
            <w:tcBorders>
              <w:top w:val="nil"/>
              <w:left w:val="nil"/>
              <w:bottom w:val="single" w:sz="4" w:space="0" w:color="auto"/>
              <w:right w:val="single" w:sz="12" w:space="0" w:color="auto"/>
            </w:tcBorders>
            <w:shd w:val="clear" w:color="auto" w:fill="auto"/>
            <w:vAlign w:val="center"/>
          </w:tcPr>
          <w:p w14:paraId="0D4A1C4A" w14:textId="08824868" w:rsidR="00D25963" w:rsidRPr="001C2D0B" w:rsidRDefault="00D25963" w:rsidP="00D25963">
            <w:pPr>
              <w:jc w:val="center"/>
              <w:rPr>
                <w:color w:val="000000"/>
                <w:sz w:val="20"/>
                <w:szCs w:val="20"/>
              </w:rPr>
            </w:pPr>
            <w:r>
              <w:rPr>
                <w:color w:val="000000"/>
                <w:sz w:val="20"/>
                <w:szCs w:val="20"/>
              </w:rPr>
              <w:t>-</w:t>
            </w:r>
          </w:p>
        </w:tc>
      </w:tr>
      <w:tr w:rsidR="001C2D0B" w:rsidRPr="006A4C6F" w14:paraId="25B4BC83" w14:textId="77777777" w:rsidTr="001C2D0B">
        <w:trPr>
          <w:trHeight w:val="266"/>
        </w:trPr>
        <w:tc>
          <w:tcPr>
            <w:tcW w:w="5301" w:type="dxa"/>
            <w:tcBorders>
              <w:top w:val="nil"/>
              <w:left w:val="single" w:sz="12" w:space="0" w:color="auto"/>
              <w:bottom w:val="single" w:sz="4" w:space="0" w:color="auto"/>
              <w:right w:val="single" w:sz="12" w:space="0" w:color="auto"/>
            </w:tcBorders>
            <w:shd w:val="clear" w:color="auto" w:fill="auto"/>
            <w:vAlign w:val="center"/>
            <w:hideMark/>
          </w:tcPr>
          <w:p w14:paraId="244F6537" w14:textId="084B10CE" w:rsidR="001C2D0B" w:rsidRPr="006A4C6F" w:rsidRDefault="001C2D0B" w:rsidP="001C2D0B">
            <w:pPr>
              <w:rPr>
                <w:rFonts w:eastAsia="Times New Roman"/>
                <w:color w:val="000000"/>
                <w:sz w:val="20"/>
                <w:szCs w:val="20"/>
                <w:lang w:eastAsia="en-CA"/>
              </w:rPr>
            </w:pPr>
            <w:r w:rsidRPr="006A4C6F">
              <w:rPr>
                <w:rFonts w:eastAsia="Calibri"/>
                <w:color w:val="000000"/>
                <w:sz w:val="20"/>
                <w:szCs w:val="20"/>
                <w:lang w:eastAsia="en-CA"/>
              </w:rPr>
              <w:t>Street length in 250m buffer (km)</w:t>
            </w:r>
          </w:p>
        </w:tc>
        <w:tc>
          <w:tcPr>
            <w:tcW w:w="984" w:type="dxa"/>
            <w:tcBorders>
              <w:top w:val="nil"/>
              <w:left w:val="single" w:sz="12" w:space="0" w:color="auto"/>
              <w:bottom w:val="single" w:sz="4" w:space="0" w:color="auto"/>
              <w:right w:val="single" w:sz="4" w:space="0" w:color="auto"/>
            </w:tcBorders>
            <w:shd w:val="clear" w:color="auto" w:fill="auto"/>
            <w:vAlign w:val="bottom"/>
            <w:hideMark/>
          </w:tcPr>
          <w:p w14:paraId="14EAACA6" w14:textId="535BB741" w:rsidR="001C2D0B" w:rsidRPr="001C2D0B" w:rsidRDefault="001C2D0B" w:rsidP="001C2D0B">
            <w:pPr>
              <w:jc w:val="center"/>
              <w:rPr>
                <w:color w:val="000000"/>
                <w:sz w:val="20"/>
                <w:szCs w:val="20"/>
              </w:rPr>
            </w:pPr>
            <w:r w:rsidRPr="001C2D0B">
              <w:rPr>
                <w:color w:val="000000"/>
                <w:sz w:val="20"/>
                <w:szCs w:val="20"/>
              </w:rPr>
              <w:t>0.479</w:t>
            </w:r>
          </w:p>
        </w:tc>
        <w:tc>
          <w:tcPr>
            <w:tcW w:w="890" w:type="dxa"/>
            <w:tcBorders>
              <w:top w:val="nil"/>
              <w:left w:val="nil"/>
              <w:bottom w:val="single" w:sz="4" w:space="0" w:color="auto"/>
              <w:right w:val="single" w:sz="12" w:space="0" w:color="auto"/>
            </w:tcBorders>
            <w:shd w:val="clear" w:color="auto" w:fill="auto"/>
            <w:vAlign w:val="bottom"/>
            <w:hideMark/>
          </w:tcPr>
          <w:p w14:paraId="09EE2297" w14:textId="009220FE" w:rsidR="001C2D0B" w:rsidRPr="001C2D0B" w:rsidRDefault="001C2D0B" w:rsidP="001C2D0B">
            <w:pPr>
              <w:jc w:val="center"/>
              <w:rPr>
                <w:color w:val="000000"/>
                <w:sz w:val="20"/>
                <w:szCs w:val="20"/>
              </w:rPr>
            </w:pPr>
            <w:r w:rsidRPr="001C2D0B">
              <w:rPr>
                <w:color w:val="000000"/>
                <w:sz w:val="20"/>
                <w:szCs w:val="20"/>
              </w:rPr>
              <w:t>36.11</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0FB1BCDF" w14:textId="010864BA" w:rsidR="001C2D0B" w:rsidRPr="001C2D0B" w:rsidRDefault="001C2D0B" w:rsidP="001C2D0B">
            <w:pPr>
              <w:jc w:val="center"/>
              <w:rPr>
                <w:color w:val="000000"/>
                <w:sz w:val="20"/>
                <w:szCs w:val="20"/>
              </w:rPr>
            </w:pPr>
            <w:r>
              <w:rPr>
                <w:color w:val="000000"/>
                <w:sz w:val="20"/>
                <w:szCs w:val="20"/>
              </w:rPr>
              <w:t>-</w:t>
            </w:r>
          </w:p>
        </w:tc>
        <w:tc>
          <w:tcPr>
            <w:tcW w:w="1156" w:type="dxa"/>
            <w:tcBorders>
              <w:top w:val="nil"/>
              <w:left w:val="nil"/>
              <w:bottom w:val="single" w:sz="4" w:space="0" w:color="auto"/>
              <w:right w:val="single" w:sz="12" w:space="0" w:color="auto"/>
            </w:tcBorders>
            <w:shd w:val="clear" w:color="auto" w:fill="auto"/>
            <w:vAlign w:val="center"/>
            <w:hideMark/>
          </w:tcPr>
          <w:p w14:paraId="30A76B76" w14:textId="3A0CECBE" w:rsidR="001C2D0B" w:rsidRPr="001C2D0B" w:rsidRDefault="001C2D0B" w:rsidP="001C2D0B">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21D26D67" w14:textId="1CE30AB4" w:rsidR="001C2D0B" w:rsidRPr="001C2D0B" w:rsidRDefault="001C2D0B" w:rsidP="001C2D0B">
            <w:pPr>
              <w:jc w:val="center"/>
              <w:rPr>
                <w:color w:val="000000"/>
                <w:sz w:val="20"/>
                <w:szCs w:val="20"/>
              </w:rPr>
            </w:pPr>
            <w:r>
              <w:rPr>
                <w:color w:val="000000"/>
                <w:sz w:val="20"/>
                <w:szCs w:val="20"/>
              </w:rPr>
              <w:t>-</w:t>
            </w:r>
          </w:p>
        </w:tc>
        <w:tc>
          <w:tcPr>
            <w:tcW w:w="1094" w:type="dxa"/>
            <w:tcBorders>
              <w:top w:val="nil"/>
              <w:left w:val="nil"/>
              <w:bottom w:val="single" w:sz="4" w:space="0" w:color="auto"/>
              <w:right w:val="single" w:sz="12" w:space="0" w:color="auto"/>
            </w:tcBorders>
            <w:shd w:val="clear" w:color="auto" w:fill="auto"/>
            <w:vAlign w:val="center"/>
            <w:hideMark/>
          </w:tcPr>
          <w:p w14:paraId="20BBD299" w14:textId="4D1E662B" w:rsidR="001C2D0B" w:rsidRPr="001C2D0B" w:rsidRDefault="001C2D0B" w:rsidP="001C2D0B">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bottom"/>
            <w:hideMark/>
          </w:tcPr>
          <w:p w14:paraId="608B0AAD" w14:textId="2242641A" w:rsidR="001C2D0B" w:rsidRPr="001C2D0B" w:rsidRDefault="001C2D0B" w:rsidP="001C2D0B">
            <w:pPr>
              <w:jc w:val="center"/>
              <w:rPr>
                <w:color w:val="000000"/>
                <w:sz w:val="20"/>
                <w:szCs w:val="20"/>
              </w:rPr>
            </w:pPr>
            <w:r w:rsidRPr="001C2D0B">
              <w:rPr>
                <w:color w:val="000000"/>
                <w:sz w:val="20"/>
                <w:szCs w:val="20"/>
              </w:rPr>
              <w:t>-0.094</w:t>
            </w:r>
          </w:p>
        </w:tc>
        <w:tc>
          <w:tcPr>
            <w:tcW w:w="1241" w:type="dxa"/>
            <w:tcBorders>
              <w:top w:val="nil"/>
              <w:left w:val="nil"/>
              <w:bottom w:val="single" w:sz="4" w:space="0" w:color="auto"/>
              <w:right w:val="single" w:sz="12" w:space="0" w:color="auto"/>
            </w:tcBorders>
            <w:shd w:val="clear" w:color="auto" w:fill="auto"/>
            <w:vAlign w:val="bottom"/>
            <w:hideMark/>
          </w:tcPr>
          <w:p w14:paraId="5125798B" w14:textId="6807032C" w:rsidR="001C2D0B" w:rsidRPr="001C2D0B" w:rsidRDefault="001C2D0B" w:rsidP="001C2D0B">
            <w:pPr>
              <w:jc w:val="center"/>
              <w:rPr>
                <w:color w:val="000000"/>
                <w:sz w:val="20"/>
                <w:szCs w:val="20"/>
              </w:rPr>
            </w:pPr>
            <w:r w:rsidRPr="001C2D0B">
              <w:rPr>
                <w:color w:val="000000"/>
                <w:sz w:val="20"/>
                <w:szCs w:val="20"/>
              </w:rPr>
              <w:t>-20.74</w:t>
            </w:r>
          </w:p>
        </w:tc>
      </w:tr>
      <w:tr w:rsidR="00D25963" w:rsidRPr="006A4C6F" w14:paraId="407B6BE9" w14:textId="77777777" w:rsidTr="001C2D0B">
        <w:trPr>
          <w:trHeight w:val="266"/>
        </w:trPr>
        <w:tc>
          <w:tcPr>
            <w:tcW w:w="5301" w:type="dxa"/>
            <w:tcBorders>
              <w:top w:val="nil"/>
              <w:left w:val="single" w:sz="12" w:space="0" w:color="auto"/>
              <w:bottom w:val="single" w:sz="4" w:space="0" w:color="auto"/>
              <w:right w:val="single" w:sz="12" w:space="0" w:color="auto"/>
            </w:tcBorders>
            <w:shd w:val="clear" w:color="auto" w:fill="auto"/>
            <w:vAlign w:val="center"/>
            <w:hideMark/>
          </w:tcPr>
          <w:p w14:paraId="21B0C076" w14:textId="1FC27D29" w:rsidR="00D25963" w:rsidRPr="006A4C6F" w:rsidRDefault="00D25963" w:rsidP="00D25963">
            <w:pPr>
              <w:rPr>
                <w:rFonts w:eastAsia="Times New Roman"/>
                <w:color w:val="000000"/>
                <w:sz w:val="20"/>
                <w:szCs w:val="20"/>
                <w:lang w:eastAsia="en-CA"/>
              </w:rPr>
            </w:pPr>
            <w:r w:rsidRPr="006A4C6F">
              <w:rPr>
                <w:rFonts w:eastAsia="Calibri"/>
                <w:color w:val="000000"/>
                <w:sz w:val="20"/>
                <w:szCs w:val="20"/>
                <w:lang w:eastAsia="en-CA"/>
              </w:rPr>
              <w:t>Walkscore (1: low - 7: high ; *10</w:t>
            </w:r>
            <w:r w:rsidRPr="006A4C6F">
              <w:rPr>
                <w:rFonts w:eastAsia="Calibri"/>
                <w:color w:val="000000"/>
                <w:sz w:val="20"/>
                <w:szCs w:val="20"/>
                <w:vertAlign w:val="superscript"/>
                <w:lang w:eastAsia="en-CA"/>
              </w:rPr>
              <w:t>-1</w:t>
            </w:r>
            <w:r w:rsidRPr="006A4C6F">
              <w:rPr>
                <w:rFonts w:eastAsia="Calibri"/>
                <w:color w:val="000000"/>
                <w:sz w:val="20"/>
                <w:szCs w:val="20"/>
                <w:lang w:eastAsia="en-CA"/>
              </w:rPr>
              <w:t>)</w:t>
            </w:r>
          </w:p>
        </w:tc>
        <w:tc>
          <w:tcPr>
            <w:tcW w:w="984" w:type="dxa"/>
            <w:tcBorders>
              <w:top w:val="nil"/>
              <w:left w:val="single" w:sz="12" w:space="0" w:color="auto"/>
              <w:bottom w:val="single" w:sz="4" w:space="0" w:color="auto"/>
              <w:right w:val="single" w:sz="4" w:space="0" w:color="auto"/>
            </w:tcBorders>
            <w:shd w:val="clear" w:color="auto" w:fill="auto"/>
            <w:vAlign w:val="bottom"/>
            <w:hideMark/>
          </w:tcPr>
          <w:p w14:paraId="14D444AA" w14:textId="7011A4FE" w:rsidR="00D25963" w:rsidRPr="001C2D0B" w:rsidRDefault="00D25963" w:rsidP="001C2D0B">
            <w:pPr>
              <w:jc w:val="center"/>
              <w:rPr>
                <w:color w:val="000000"/>
                <w:sz w:val="20"/>
                <w:szCs w:val="20"/>
              </w:rPr>
            </w:pPr>
            <w:r w:rsidRPr="001C2D0B">
              <w:rPr>
                <w:color w:val="000000"/>
                <w:sz w:val="20"/>
                <w:szCs w:val="20"/>
              </w:rPr>
              <w:t>-0.015</w:t>
            </w:r>
          </w:p>
        </w:tc>
        <w:tc>
          <w:tcPr>
            <w:tcW w:w="890" w:type="dxa"/>
            <w:tcBorders>
              <w:top w:val="nil"/>
              <w:left w:val="nil"/>
              <w:bottom w:val="single" w:sz="4" w:space="0" w:color="auto"/>
              <w:right w:val="single" w:sz="12" w:space="0" w:color="auto"/>
            </w:tcBorders>
            <w:shd w:val="clear" w:color="auto" w:fill="auto"/>
            <w:vAlign w:val="bottom"/>
            <w:hideMark/>
          </w:tcPr>
          <w:p w14:paraId="2E5AE069" w14:textId="6FF3A7B2" w:rsidR="00D25963" w:rsidRPr="001C2D0B" w:rsidRDefault="00D25963" w:rsidP="001C2D0B">
            <w:pPr>
              <w:jc w:val="center"/>
              <w:rPr>
                <w:color w:val="000000"/>
                <w:sz w:val="20"/>
                <w:szCs w:val="20"/>
              </w:rPr>
            </w:pPr>
            <w:r w:rsidRPr="001C2D0B">
              <w:rPr>
                <w:color w:val="000000"/>
                <w:sz w:val="20"/>
                <w:szCs w:val="20"/>
              </w:rPr>
              <w:t>-2.81</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6F5FEDE4" w14:textId="71754894" w:rsidR="00D25963" w:rsidRPr="001C2D0B" w:rsidRDefault="00D25963" w:rsidP="00D25963">
            <w:pPr>
              <w:jc w:val="center"/>
              <w:rPr>
                <w:color w:val="000000"/>
                <w:sz w:val="20"/>
                <w:szCs w:val="20"/>
              </w:rPr>
            </w:pPr>
            <w:r>
              <w:rPr>
                <w:color w:val="000000"/>
                <w:sz w:val="20"/>
                <w:szCs w:val="20"/>
              </w:rPr>
              <w:t>-</w:t>
            </w:r>
          </w:p>
        </w:tc>
        <w:tc>
          <w:tcPr>
            <w:tcW w:w="1156" w:type="dxa"/>
            <w:tcBorders>
              <w:top w:val="nil"/>
              <w:left w:val="nil"/>
              <w:bottom w:val="single" w:sz="4" w:space="0" w:color="auto"/>
              <w:right w:val="single" w:sz="12" w:space="0" w:color="auto"/>
            </w:tcBorders>
            <w:shd w:val="clear" w:color="auto" w:fill="auto"/>
            <w:vAlign w:val="center"/>
            <w:hideMark/>
          </w:tcPr>
          <w:p w14:paraId="4E36242F" w14:textId="3B6E4BC7" w:rsidR="00D25963" w:rsidRPr="001C2D0B" w:rsidRDefault="00D25963" w:rsidP="00D25963">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0E170FB2" w14:textId="115DEE6F" w:rsidR="00D25963" w:rsidRPr="001C2D0B" w:rsidRDefault="00D25963" w:rsidP="00D25963">
            <w:pPr>
              <w:jc w:val="center"/>
              <w:rPr>
                <w:color w:val="000000"/>
                <w:sz w:val="20"/>
                <w:szCs w:val="20"/>
              </w:rPr>
            </w:pPr>
            <w:r>
              <w:rPr>
                <w:color w:val="000000"/>
                <w:sz w:val="20"/>
                <w:szCs w:val="20"/>
              </w:rPr>
              <w:t>-</w:t>
            </w:r>
          </w:p>
        </w:tc>
        <w:tc>
          <w:tcPr>
            <w:tcW w:w="1094" w:type="dxa"/>
            <w:tcBorders>
              <w:top w:val="nil"/>
              <w:left w:val="nil"/>
              <w:bottom w:val="single" w:sz="4" w:space="0" w:color="auto"/>
              <w:right w:val="single" w:sz="12" w:space="0" w:color="auto"/>
            </w:tcBorders>
            <w:shd w:val="clear" w:color="auto" w:fill="auto"/>
            <w:vAlign w:val="center"/>
            <w:hideMark/>
          </w:tcPr>
          <w:p w14:paraId="25C1D35E" w14:textId="5B90C355" w:rsidR="00D25963" w:rsidRPr="001C2D0B" w:rsidRDefault="00D25963" w:rsidP="00D25963">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17D67D5D" w14:textId="5BA277C2" w:rsidR="00D25963" w:rsidRPr="001C2D0B" w:rsidRDefault="00D25963" w:rsidP="00D25963">
            <w:pPr>
              <w:jc w:val="center"/>
              <w:rPr>
                <w:color w:val="000000"/>
                <w:sz w:val="20"/>
                <w:szCs w:val="20"/>
              </w:rPr>
            </w:pPr>
            <w:r>
              <w:rPr>
                <w:color w:val="000000"/>
                <w:sz w:val="20"/>
                <w:szCs w:val="20"/>
              </w:rPr>
              <w:t>-</w:t>
            </w:r>
          </w:p>
        </w:tc>
        <w:tc>
          <w:tcPr>
            <w:tcW w:w="1241" w:type="dxa"/>
            <w:tcBorders>
              <w:top w:val="nil"/>
              <w:left w:val="nil"/>
              <w:bottom w:val="single" w:sz="4" w:space="0" w:color="auto"/>
              <w:right w:val="single" w:sz="12" w:space="0" w:color="auto"/>
            </w:tcBorders>
            <w:shd w:val="clear" w:color="auto" w:fill="auto"/>
            <w:vAlign w:val="center"/>
            <w:hideMark/>
          </w:tcPr>
          <w:p w14:paraId="1A9425D0" w14:textId="02D92C31" w:rsidR="00D25963" w:rsidRPr="001C2D0B" w:rsidRDefault="00D25963" w:rsidP="00D25963">
            <w:pPr>
              <w:jc w:val="center"/>
              <w:rPr>
                <w:color w:val="000000"/>
                <w:sz w:val="20"/>
                <w:szCs w:val="20"/>
              </w:rPr>
            </w:pPr>
            <w:r>
              <w:rPr>
                <w:color w:val="000000"/>
                <w:sz w:val="20"/>
                <w:szCs w:val="20"/>
              </w:rPr>
              <w:t>-</w:t>
            </w:r>
          </w:p>
        </w:tc>
      </w:tr>
      <w:tr w:rsidR="00D25963" w:rsidRPr="006A4C6F" w14:paraId="0BFFA1F7" w14:textId="77777777" w:rsidTr="001C2D0B">
        <w:trPr>
          <w:trHeight w:val="266"/>
        </w:trPr>
        <w:tc>
          <w:tcPr>
            <w:tcW w:w="5301" w:type="dxa"/>
            <w:tcBorders>
              <w:top w:val="nil"/>
              <w:left w:val="single" w:sz="12" w:space="0" w:color="auto"/>
              <w:bottom w:val="single" w:sz="4" w:space="0" w:color="auto"/>
              <w:right w:val="single" w:sz="12" w:space="0" w:color="auto"/>
            </w:tcBorders>
            <w:shd w:val="clear" w:color="auto" w:fill="auto"/>
            <w:vAlign w:val="center"/>
          </w:tcPr>
          <w:p w14:paraId="59E7B132" w14:textId="4580C560" w:rsidR="00D25963" w:rsidRPr="00AD56E1" w:rsidRDefault="00D25963" w:rsidP="00D25963">
            <w:pPr>
              <w:rPr>
                <w:rFonts w:eastAsia="Calibri"/>
                <w:i/>
                <w:color w:val="000000"/>
                <w:sz w:val="20"/>
                <w:szCs w:val="20"/>
                <w:lang w:eastAsia="en-CA"/>
              </w:rPr>
            </w:pPr>
            <w:r>
              <w:rPr>
                <w:rFonts w:eastAsia="Calibri"/>
                <w:color w:val="000000"/>
                <w:sz w:val="20"/>
                <w:szCs w:val="20"/>
                <w:lang w:eastAsia="en-CA"/>
              </w:rPr>
              <w:t xml:space="preserve">    </w:t>
            </w:r>
            <w:r w:rsidRPr="00AD56E1">
              <w:rPr>
                <w:rFonts w:eastAsia="Calibri"/>
                <w:i/>
                <w:color w:val="000000"/>
                <w:sz w:val="20"/>
                <w:szCs w:val="20"/>
                <w:lang w:eastAsia="en-CA"/>
              </w:rPr>
              <w:t>Standard Deviation</w:t>
            </w:r>
          </w:p>
        </w:tc>
        <w:tc>
          <w:tcPr>
            <w:tcW w:w="984" w:type="dxa"/>
            <w:tcBorders>
              <w:top w:val="nil"/>
              <w:left w:val="single" w:sz="12" w:space="0" w:color="auto"/>
              <w:bottom w:val="single" w:sz="4" w:space="0" w:color="auto"/>
              <w:right w:val="single" w:sz="4" w:space="0" w:color="auto"/>
            </w:tcBorders>
            <w:shd w:val="clear" w:color="auto" w:fill="auto"/>
            <w:vAlign w:val="bottom"/>
          </w:tcPr>
          <w:p w14:paraId="2885A60E" w14:textId="6080F7B1" w:rsidR="00D25963" w:rsidRPr="001C2D0B" w:rsidRDefault="00D25963" w:rsidP="001C2D0B">
            <w:pPr>
              <w:jc w:val="center"/>
              <w:rPr>
                <w:color w:val="000000"/>
                <w:sz w:val="20"/>
                <w:szCs w:val="20"/>
              </w:rPr>
            </w:pPr>
            <w:r w:rsidRPr="001C2D0B">
              <w:rPr>
                <w:color w:val="000000"/>
                <w:sz w:val="20"/>
                <w:szCs w:val="20"/>
              </w:rPr>
              <w:t>0.245</w:t>
            </w:r>
          </w:p>
        </w:tc>
        <w:tc>
          <w:tcPr>
            <w:tcW w:w="890" w:type="dxa"/>
            <w:tcBorders>
              <w:top w:val="nil"/>
              <w:left w:val="nil"/>
              <w:bottom w:val="single" w:sz="4" w:space="0" w:color="auto"/>
              <w:right w:val="single" w:sz="12" w:space="0" w:color="auto"/>
            </w:tcBorders>
            <w:shd w:val="clear" w:color="auto" w:fill="auto"/>
            <w:vAlign w:val="bottom"/>
          </w:tcPr>
          <w:p w14:paraId="2A40273A" w14:textId="4EAB1B5E" w:rsidR="00D25963" w:rsidRPr="001C2D0B" w:rsidRDefault="00D25963" w:rsidP="001C2D0B">
            <w:pPr>
              <w:jc w:val="center"/>
              <w:rPr>
                <w:color w:val="000000"/>
                <w:sz w:val="20"/>
                <w:szCs w:val="20"/>
              </w:rPr>
            </w:pPr>
            <w:r w:rsidRPr="001C2D0B">
              <w:rPr>
                <w:color w:val="000000"/>
                <w:sz w:val="20"/>
                <w:szCs w:val="20"/>
              </w:rPr>
              <w:t>79.55</w:t>
            </w:r>
          </w:p>
        </w:tc>
        <w:tc>
          <w:tcPr>
            <w:tcW w:w="890" w:type="dxa"/>
            <w:tcBorders>
              <w:top w:val="nil"/>
              <w:left w:val="single" w:sz="12" w:space="0" w:color="auto"/>
              <w:bottom w:val="single" w:sz="4" w:space="0" w:color="auto"/>
              <w:right w:val="single" w:sz="4" w:space="0" w:color="auto"/>
            </w:tcBorders>
            <w:shd w:val="clear" w:color="auto" w:fill="auto"/>
            <w:vAlign w:val="center"/>
          </w:tcPr>
          <w:p w14:paraId="7A2DA220" w14:textId="1545BC5E" w:rsidR="00D25963" w:rsidRPr="001C2D0B" w:rsidRDefault="00D25963" w:rsidP="00D25963">
            <w:pPr>
              <w:jc w:val="center"/>
              <w:rPr>
                <w:color w:val="000000"/>
                <w:sz w:val="20"/>
                <w:szCs w:val="20"/>
              </w:rPr>
            </w:pPr>
            <w:r>
              <w:rPr>
                <w:color w:val="000000"/>
                <w:sz w:val="20"/>
                <w:szCs w:val="20"/>
              </w:rPr>
              <w:t>-</w:t>
            </w:r>
          </w:p>
        </w:tc>
        <w:tc>
          <w:tcPr>
            <w:tcW w:w="1156" w:type="dxa"/>
            <w:tcBorders>
              <w:top w:val="nil"/>
              <w:left w:val="nil"/>
              <w:bottom w:val="single" w:sz="4" w:space="0" w:color="auto"/>
              <w:right w:val="single" w:sz="12" w:space="0" w:color="auto"/>
            </w:tcBorders>
            <w:shd w:val="clear" w:color="auto" w:fill="auto"/>
            <w:vAlign w:val="center"/>
          </w:tcPr>
          <w:p w14:paraId="43B19F75" w14:textId="2F58261C" w:rsidR="00D25963" w:rsidRPr="001C2D0B" w:rsidRDefault="00D25963" w:rsidP="00D25963">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center"/>
          </w:tcPr>
          <w:p w14:paraId="103F32D5" w14:textId="63BAD058" w:rsidR="00D25963" w:rsidRPr="001C2D0B" w:rsidRDefault="00D25963" w:rsidP="00D25963">
            <w:pPr>
              <w:jc w:val="center"/>
              <w:rPr>
                <w:color w:val="000000"/>
                <w:sz w:val="20"/>
                <w:szCs w:val="20"/>
              </w:rPr>
            </w:pPr>
            <w:r>
              <w:rPr>
                <w:color w:val="000000"/>
                <w:sz w:val="20"/>
                <w:szCs w:val="20"/>
              </w:rPr>
              <w:t>-</w:t>
            </w:r>
          </w:p>
        </w:tc>
        <w:tc>
          <w:tcPr>
            <w:tcW w:w="1094" w:type="dxa"/>
            <w:tcBorders>
              <w:top w:val="nil"/>
              <w:left w:val="nil"/>
              <w:bottom w:val="single" w:sz="4" w:space="0" w:color="auto"/>
              <w:right w:val="single" w:sz="12" w:space="0" w:color="auto"/>
            </w:tcBorders>
            <w:shd w:val="clear" w:color="auto" w:fill="auto"/>
            <w:vAlign w:val="center"/>
          </w:tcPr>
          <w:p w14:paraId="638DDB5C" w14:textId="10D7A773" w:rsidR="00D25963" w:rsidRPr="001C2D0B" w:rsidRDefault="00D25963" w:rsidP="00D25963">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center"/>
          </w:tcPr>
          <w:p w14:paraId="54254B49" w14:textId="3C3F9456" w:rsidR="00D25963" w:rsidRPr="001C2D0B" w:rsidRDefault="00D25963" w:rsidP="00D25963">
            <w:pPr>
              <w:jc w:val="center"/>
              <w:rPr>
                <w:color w:val="000000"/>
                <w:sz w:val="20"/>
                <w:szCs w:val="20"/>
              </w:rPr>
            </w:pPr>
            <w:r>
              <w:rPr>
                <w:color w:val="000000"/>
                <w:sz w:val="20"/>
                <w:szCs w:val="20"/>
              </w:rPr>
              <w:t>-</w:t>
            </w:r>
          </w:p>
        </w:tc>
        <w:tc>
          <w:tcPr>
            <w:tcW w:w="1241" w:type="dxa"/>
            <w:tcBorders>
              <w:top w:val="nil"/>
              <w:left w:val="nil"/>
              <w:bottom w:val="single" w:sz="4" w:space="0" w:color="auto"/>
              <w:right w:val="single" w:sz="12" w:space="0" w:color="auto"/>
            </w:tcBorders>
            <w:shd w:val="clear" w:color="auto" w:fill="auto"/>
            <w:vAlign w:val="center"/>
          </w:tcPr>
          <w:p w14:paraId="35C61AD1" w14:textId="6E2A6B80" w:rsidR="00D25963" w:rsidRPr="001C2D0B" w:rsidRDefault="00D25963" w:rsidP="00D25963">
            <w:pPr>
              <w:jc w:val="center"/>
              <w:rPr>
                <w:color w:val="000000"/>
                <w:sz w:val="20"/>
                <w:szCs w:val="20"/>
              </w:rPr>
            </w:pPr>
            <w:r>
              <w:rPr>
                <w:color w:val="000000"/>
                <w:sz w:val="20"/>
                <w:szCs w:val="20"/>
              </w:rPr>
              <w:t>-</w:t>
            </w:r>
          </w:p>
        </w:tc>
      </w:tr>
      <w:tr w:rsidR="00D25963" w:rsidRPr="006A4C6F" w14:paraId="0F2FE310" w14:textId="77777777" w:rsidTr="001C2D0B">
        <w:trPr>
          <w:trHeight w:val="266"/>
        </w:trPr>
        <w:tc>
          <w:tcPr>
            <w:tcW w:w="5301" w:type="dxa"/>
            <w:tcBorders>
              <w:top w:val="nil"/>
              <w:left w:val="single" w:sz="12" w:space="0" w:color="auto"/>
              <w:bottom w:val="single" w:sz="4" w:space="0" w:color="auto"/>
              <w:right w:val="single" w:sz="12" w:space="0" w:color="auto"/>
            </w:tcBorders>
            <w:shd w:val="clear" w:color="auto" w:fill="auto"/>
            <w:vAlign w:val="center"/>
          </w:tcPr>
          <w:p w14:paraId="724F7E9B" w14:textId="089F1113" w:rsidR="00D25963" w:rsidRDefault="00D25963" w:rsidP="00D25963">
            <w:pPr>
              <w:rPr>
                <w:rFonts w:eastAsia="Calibri"/>
                <w:color w:val="000000"/>
                <w:sz w:val="20"/>
                <w:szCs w:val="20"/>
                <w:lang w:eastAsia="en-CA"/>
              </w:rPr>
            </w:pPr>
            <w:r w:rsidRPr="006A4C6F">
              <w:rPr>
                <w:rFonts w:eastAsia="Calibri"/>
                <w:color w:val="000000"/>
                <w:sz w:val="20"/>
                <w:szCs w:val="20"/>
                <w:lang w:eastAsia="en-CA"/>
              </w:rPr>
              <w:t>Walkscore (1: low - 7: high ; *10</w:t>
            </w:r>
            <w:r w:rsidRPr="006A4C6F">
              <w:rPr>
                <w:rFonts w:eastAsia="Calibri"/>
                <w:color w:val="000000"/>
                <w:sz w:val="20"/>
                <w:szCs w:val="20"/>
                <w:vertAlign w:val="superscript"/>
                <w:lang w:eastAsia="en-CA"/>
              </w:rPr>
              <w:t>-1</w:t>
            </w:r>
            <w:r w:rsidRPr="006A4C6F">
              <w:rPr>
                <w:rFonts w:eastAsia="Calibri"/>
                <w:color w:val="000000"/>
                <w:sz w:val="20"/>
                <w:szCs w:val="20"/>
                <w:lang w:eastAsia="en-CA"/>
              </w:rPr>
              <w:t>)</w:t>
            </w:r>
            <w:r>
              <w:rPr>
                <w:rFonts w:eastAsia="Calibri"/>
                <w:color w:val="000000"/>
                <w:sz w:val="20"/>
                <w:szCs w:val="20"/>
                <w:lang w:eastAsia="en-CA"/>
              </w:rPr>
              <w:t xml:space="preserve"> </w:t>
            </w:r>
            <w:r w:rsidRPr="006A4C6F">
              <w:rPr>
                <w:rFonts w:eastAsia="Calibri"/>
                <w:color w:val="000000"/>
                <w:sz w:val="20"/>
                <w:szCs w:val="20"/>
                <w:lang w:eastAsia="en-CA"/>
              </w:rPr>
              <w:t xml:space="preserve">interacted with </w:t>
            </w:r>
            <w:r>
              <w:rPr>
                <w:rFonts w:eastAsia="Calibri"/>
                <w:color w:val="000000"/>
                <w:sz w:val="20"/>
                <w:szCs w:val="20"/>
                <w:lang w:eastAsia="en-CA"/>
              </w:rPr>
              <w:t>Weekend</w:t>
            </w:r>
            <w:r w:rsidRPr="006A4C6F">
              <w:rPr>
                <w:rFonts w:eastAsia="Calibri"/>
                <w:color w:val="000000"/>
                <w:sz w:val="20"/>
                <w:szCs w:val="20"/>
                <w:lang w:eastAsia="en-CA"/>
              </w:rPr>
              <w:t xml:space="preserve">  </w:t>
            </w:r>
          </w:p>
        </w:tc>
        <w:tc>
          <w:tcPr>
            <w:tcW w:w="984" w:type="dxa"/>
            <w:tcBorders>
              <w:top w:val="nil"/>
              <w:left w:val="single" w:sz="12" w:space="0" w:color="auto"/>
              <w:bottom w:val="single" w:sz="4" w:space="0" w:color="auto"/>
              <w:right w:val="single" w:sz="4" w:space="0" w:color="auto"/>
            </w:tcBorders>
            <w:shd w:val="clear" w:color="auto" w:fill="auto"/>
            <w:vAlign w:val="bottom"/>
          </w:tcPr>
          <w:p w14:paraId="6EB8FA70" w14:textId="7334D3A3" w:rsidR="00D25963" w:rsidRPr="001C2D0B" w:rsidRDefault="00D25963" w:rsidP="001C2D0B">
            <w:pPr>
              <w:jc w:val="center"/>
              <w:rPr>
                <w:color w:val="000000"/>
                <w:sz w:val="20"/>
                <w:szCs w:val="20"/>
              </w:rPr>
            </w:pPr>
            <w:r w:rsidRPr="001C2D0B">
              <w:rPr>
                <w:color w:val="000000"/>
                <w:sz w:val="20"/>
                <w:szCs w:val="20"/>
              </w:rPr>
              <w:t>-0.005</w:t>
            </w:r>
          </w:p>
        </w:tc>
        <w:tc>
          <w:tcPr>
            <w:tcW w:w="890" w:type="dxa"/>
            <w:tcBorders>
              <w:top w:val="nil"/>
              <w:left w:val="nil"/>
              <w:bottom w:val="single" w:sz="4" w:space="0" w:color="auto"/>
              <w:right w:val="single" w:sz="12" w:space="0" w:color="auto"/>
            </w:tcBorders>
            <w:shd w:val="clear" w:color="auto" w:fill="auto"/>
            <w:vAlign w:val="bottom"/>
          </w:tcPr>
          <w:p w14:paraId="496C9DE3" w14:textId="67C51760" w:rsidR="00D25963" w:rsidRPr="001C2D0B" w:rsidRDefault="00D25963" w:rsidP="001C2D0B">
            <w:pPr>
              <w:jc w:val="center"/>
              <w:rPr>
                <w:color w:val="000000"/>
                <w:sz w:val="20"/>
                <w:szCs w:val="20"/>
              </w:rPr>
            </w:pPr>
            <w:r w:rsidRPr="001C2D0B">
              <w:rPr>
                <w:color w:val="000000"/>
                <w:sz w:val="20"/>
                <w:szCs w:val="20"/>
              </w:rPr>
              <w:t>-2.39</w:t>
            </w:r>
          </w:p>
        </w:tc>
        <w:tc>
          <w:tcPr>
            <w:tcW w:w="890" w:type="dxa"/>
            <w:tcBorders>
              <w:top w:val="nil"/>
              <w:left w:val="single" w:sz="12" w:space="0" w:color="auto"/>
              <w:bottom w:val="single" w:sz="4" w:space="0" w:color="auto"/>
              <w:right w:val="single" w:sz="4" w:space="0" w:color="auto"/>
            </w:tcBorders>
            <w:shd w:val="clear" w:color="auto" w:fill="auto"/>
            <w:vAlign w:val="center"/>
          </w:tcPr>
          <w:p w14:paraId="66F1E966" w14:textId="535C8E0D" w:rsidR="00D25963" w:rsidRPr="001C2D0B" w:rsidRDefault="00D25963" w:rsidP="00D25963">
            <w:pPr>
              <w:jc w:val="center"/>
              <w:rPr>
                <w:color w:val="000000"/>
                <w:sz w:val="20"/>
                <w:szCs w:val="20"/>
              </w:rPr>
            </w:pPr>
            <w:r>
              <w:rPr>
                <w:color w:val="000000"/>
                <w:sz w:val="20"/>
                <w:szCs w:val="20"/>
              </w:rPr>
              <w:t>-</w:t>
            </w:r>
          </w:p>
        </w:tc>
        <w:tc>
          <w:tcPr>
            <w:tcW w:w="1156" w:type="dxa"/>
            <w:tcBorders>
              <w:top w:val="nil"/>
              <w:left w:val="nil"/>
              <w:bottom w:val="single" w:sz="4" w:space="0" w:color="auto"/>
              <w:right w:val="single" w:sz="12" w:space="0" w:color="auto"/>
            </w:tcBorders>
            <w:shd w:val="clear" w:color="auto" w:fill="auto"/>
            <w:vAlign w:val="center"/>
          </w:tcPr>
          <w:p w14:paraId="6993E962" w14:textId="5F8D9A7A" w:rsidR="00D25963" w:rsidRPr="001C2D0B" w:rsidRDefault="00D25963" w:rsidP="00D25963">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center"/>
          </w:tcPr>
          <w:p w14:paraId="6A6D540D" w14:textId="101C8338" w:rsidR="00D25963" w:rsidRPr="001C2D0B" w:rsidRDefault="00D25963" w:rsidP="00D25963">
            <w:pPr>
              <w:jc w:val="center"/>
              <w:rPr>
                <w:color w:val="000000"/>
                <w:sz w:val="20"/>
                <w:szCs w:val="20"/>
              </w:rPr>
            </w:pPr>
            <w:r>
              <w:rPr>
                <w:color w:val="000000"/>
                <w:sz w:val="20"/>
                <w:szCs w:val="20"/>
              </w:rPr>
              <w:t>-</w:t>
            </w:r>
          </w:p>
        </w:tc>
        <w:tc>
          <w:tcPr>
            <w:tcW w:w="1094" w:type="dxa"/>
            <w:tcBorders>
              <w:top w:val="nil"/>
              <w:left w:val="nil"/>
              <w:bottom w:val="single" w:sz="4" w:space="0" w:color="auto"/>
              <w:right w:val="single" w:sz="12" w:space="0" w:color="auto"/>
            </w:tcBorders>
            <w:shd w:val="clear" w:color="auto" w:fill="auto"/>
            <w:vAlign w:val="center"/>
          </w:tcPr>
          <w:p w14:paraId="7F3E75CC" w14:textId="036ABF30" w:rsidR="00D25963" w:rsidRPr="001C2D0B" w:rsidRDefault="00D25963" w:rsidP="00D25963">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center"/>
          </w:tcPr>
          <w:p w14:paraId="1A3A15B6" w14:textId="660E96EB" w:rsidR="00D25963" w:rsidRPr="001C2D0B" w:rsidRDefault="00D25963" w:rsidP="00D25963">
            <w:pPr>
              <w:jc w:val="center"/>
              <w:rPr>
                <w:color w:val="000000"/>
                <w:sz w:val="20"/>
                <w:szCs w:val="20"/>
              </w:rPr>
            </w:pPr>
            <w:r>
              <w:rPr>
                <w:color w:val="000000"/>
                <w:sz w:val="20"/>
                <w:szCs w:val="20"/>
              </w:rPr>
              <w:t>-</w:t>
            </w:r>
          </w:p>
        </w:tc>
        <w:tc>
          <w:tcPr>
            <w:tcW w:w="1241" w:type="dxa"/>
            <w:tcBorders>
              <w:top w:val="nil"/>
              <w:left w:val="nil"/>
              <w:bottom w:val="single" w:sz="4" w:space="0" w:color="auto"/>
              <w:right w:val="single" w:sz="12" w:space="0" w:color="auto"/>
            </w:tcBorders>
            <w:shd w:val="clear" w:color="auto" w:fill="auto"/>
            <w:vAlign w:val="center"/>
          </w:tcPr>
          <w:p w14:paraId="415FB1AC" w14:textId="6EBB96DB" w:rsidR="00D25963" w:rsidRPr="001C2D0B" w:rsidRDefault="00D25963" w:rsidP="00D25963">
            <w:pPr>
              <w:jc w:val="center"/>
              <w:rPr>
                <w:color w:val="000000"/>
                <w:sz w:val="20"/>
                <w:szCs w:val="20"/>
              </w:rPr>
            </w:pPr>
            <w:r>
              <w:rPr>
                <w:color w:val="000000"/>
                <w:sz w:val="20"/>
                <w:szCs w:val="20"/>
              </w:rPr>
              <w:t>-</w:t>
            </w:r>
          </w:p>
        </w:tc>
      </w:tr>
      <w:tr w:rsidR="001C2D0B" w:rsidRPr="006A4C6F" w14:paraId="46D78492" w14:textId="77777777" w:rsidTr="001C2D0B">
        <w:trPr>
          <w:trHeight w:val="266"/>
        </w:trPr>
        <w:tc>
          <w:tcPr>
            <w:tcW w:w="5301" w:type="dxa"/>
            <w:tcBorders>
              <w:top w:val="nil"/>
              <w:left w:val="single" w:sz="12" w:space="0" w:color="auto"/>
              <w:bottom w:val="single" w:sz="4" w:space="0" w:color="auto"/>
              <w:right w:val="single" w:sz="12" w:space="0" w:color="auto"/>
            </w:tcBorders>
            <w:shd w:val="clear" w:color="auto" w:fill="auto"/>
            <w:vAlign w:val="center"/>
            <w:hideMark/>
          </w:tcPr>
          <w:p w14:paraId="68F532A1" w14:textId="33ED6CEC" w:rsidR="001C2D0B" w:rsidRPr="006A4C6F" w:rsidRDefault="001C2D0B" w:rsidP="001C2D0B">
            <w:pPr>
              <w:rPr>
                <w:rFonts w:eastAsia="Times New Roman"/>
                <w:color w:val="000000"/>
                <w:sz w:val="20"/>
                <w:szCs w:val="20"/>
                <w:lang w:eastAsia="en-CA"/>
              </w:rPr>
            </w:pPr>
            <w:r w:rsidRPr="006A4C6F">
              <w:rPr>
                <w:rFonts w:eastAsia="Calibri"/>
                <w:color w:val="000000"/>
                <w:sz w:val="20"/>
                <w:szCs w:val="20"/>
                <w:lang w:eastAsia="en-CA"/>
              </w:rPr>
              <w:t>Restaurants in 250m buffer interacted with AM  (*10</w:t>
            </w:r>
            <w:r w:rsidRPr="006A4C6F">
              <w:rPr>
                <w:rFonts w:eastAsia="Calibri"/>
                <w:color w:val="000000"/>
                <w:sz w:val="20"/>
                <w:szCs w:val="20"/>
                <w:vertAlign w:val="superscript"/>
                <w:lang w:eastAsia="en-CA"/>
              </w:rPr>
              <w:t>-2</w:t>
            </w:r>
            <w:r w:rsidRPr="006A4C6F">
              <w:rPr>
                <w:rFonts w:eastAsia="Calibri"/>
                <w:color w:val="000000"/>
                <w:sz w:val="20"/>
                <w:szCs w:val="20"/>
                <w:lang w:eastAsia="en-CA"/>
              </w:rPr>
              <w:t>)</w:t>
            </w:r>
          </w:p>
        </w:tc>
        <w:tc>
          <w:tcPr>
            <w:tcW w:w="984" w:type="dxa"/>
            <w:tcBorders>
              <w:top w:val="nil"/>
              <w:left w:val="single" w:sz="12" w:space="0" w:color="auto"/>
              <w:bottom w:val="single" w:sz="4" w:space="0" w:color="auto"/>
              <w:right w:val="single" w:sz="4" w:space="0" w:color="auto"/>
            </w:tcBorders>
            <w:shd w:val="clear" w:color="auto" w:fill="auto"/>
            <w:vAlign w:val="center"/>
            <w:hideMark/>
          </w:tcPr>
          <w:p w14:paraId="21A449A5" w14:textId="6C6AF98B" w:rsidR="001C2D0B" w:rsidRPr="001C2D0B" w:rsidRDefault="001C2D0B" w:rsidP="001C2D0B">
            <w:pPr>
              <w:jc w:val="center"/>
              <w:rPr>
                <w:color w:val="000000"/>
                <w:sz w:val="20"/>
                <w:szCs w:val="20"/>
              </w:rPr>
            </w:pPr>
            <w:r>
              <w:rPr>
                <w:color w:val="000000"/>
                <w:sz w:val="20"/>
                <w:szCs w:val="20"/>
              </w:rPr>
              <w:t>-</w:t>
            </w:r>
          </w:p>
        </w:tc>
        <w:tc>
          <w:tcPr>
            <w:tcW w:w="890" w:type="dxa"/>
            <w:tcBorders>
              <w:top w:val="nil"/>
              <w:left w:val="nil"/>
              <w:bottom w:val="single" w:sz="4" w:space="0" w:color="auto"/>
              <w:right w:val="single" w:sz="12" w:space="0" w:color="auto"/>
            </w:tcBorders>
            <w:shd w:val="clear" w:color="auto" w:fill="auto"/>
            <w:vAlign w:val="center"/>
            <w:hideMark/>
          </w:tcPr>
          <w:p w14:paraId="36A9FBC9" w14:textId="5EF44700" w:rsidR="001C2D0B" w:rsidRPr="001C2D0B" w:rsidRDefault="001C2D0B" w:rsidP="001C2D0B">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322D1461" w14:textId="5C54AE6E" w:rsidR="001C2D0B" w:rsidRPr="001C2D0B" w:rsidRDefault="001C2D0B" w:rsidP="001C2D0B">
            <w:pPr>
              <w:jc w:val="center"/>
              <w:rPr>
                <w:color w:val="000000"/>
                <w:sz w:val="20"/>
                <w:szCs w:val="20"/>
              </w:rPr>
            </w:pPr>
            <w:r>
              <w:rPr>
                <w:color w:val="000000"/>
                <w:sz w:val="20"/>
                <w:szCs w:val="20"/>
              </w:rPr>
              <w:t>-</w:t>
            </w:r>
          </w:p>
        </w:tc>
        <w:tc>
          <w:tcPr>
            <w:tcW w:w="1156" w:type="dxa"/>
            <w:tcBorders>
              <w:top w:val="nil"/>
              <w:left w:val="nil"/>
              <w:bottom w:val="single" w:sz="4" w:space="0" w:color="auto"/>
              <w:right w:val="single" w:sz="12" w:space="0" w:color="auto"/>
            </w:tcBorders>
            <w:shd w:val="clear" w:color="auto" w:fill="auto"/>
            <w:vAlign w:val="center"/>
            <w:hideMark/>
          </w:tcPr>
          <w:p w14:paraId="06739639" w14:textId="37B48D39" w:rsidR="001C2D0B" w:rsidRPr="001C2D0B" w:rsidRDefault="001C2D0B" w:rsidP="001C2D0B">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bottom"/>
            <w:hideMark/>
          </w:tcPr>
          <w:p w14:paraId="1B56B90A" w14:textId="249AA6B0" w:rsidR="001C2D0B" w:rsidRPr="001C2D0B" w:rsidRDefault="001C2D0B" w:rsidP="001C2D0B">
            <w:pPr>
              <w:jc w:val="center"/>
              <w:rPr>
                <w:color w:val="000000"/>
                <w:sz w:val="20"/>
                <w:szCs w:val="20"/>
              </w:rPr>
            </w:pPr>
            <w:r w:rsidRPr="001C2D0B">
              <w:rPr>
                <w:color w:val="000000"/>
                <w:sz w:val="20"/>
                <w:szCs w:val="20"/>
              </w:rPr>
              <w:t>0.463</w:t>
            </w:r>
          </w:p>
        </w:tc>
        <w:tc>
          <w:tcPr>
            <w:tcW w:w="1094" w:type="dxa"/>
            <w:tcBorders>
              <w:top w:val="nil"/>
              <w:left w:val="nil"/>
              <w:bottom w:val="single" w:sz="4" w:space="0" w:color="auto"/>
              <w:right w:val="single" w:sz="12" w:space="0" w:color="auto"/>
            </w:tcBorders>
            <w:shd w:val="clear" w:color="auto" w:fill="auto"/>
            <w:vAlign w:val="bottom"/>
            <w:hideMark/>
          </w:tcPr>
          <w:p w14:paraId="69056E2D" w14:textId="5BF985C1" w:rsidR="001C2D0B" w:rsidRPr="001C2D0B" w:rsidRDefault="001C2D0B" w:rsidP="001C2D0B">
            <w:pPr>
              <w:jc w:val="center"/>
              <w:rPr>
                <w:color w:val="000000"/>
                <w:sz w:val="20"/>
                <w:szCs w:val="20"/>
              </w:rPr>
            </w:pPr>
            <w:r w:rsidRPr="001C2D0B">
              <w:rPr>
                <w:color w:val="000000"/>
                <w:sz w:val="20"/>
                <w:szCs w:val="20"/>
              </w:rPr>
              <w:t>7.70</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1060A15F" w14:textId="0E8D1276" w:rsidR="001C2D0B" w:rsidRPr="001C2D0B" w:rsidRDefault="001C2D0B" w:rsidP="001C2D0B">
            <w:pPr>
              <w:jc w:val="center"/>
              <w:rPr>
                <w:color w:val="000000"/>
                <w:sz w:val="20"/>
                <w:szCs w:val="20"/>
              </w:rPr>
            </w:pPr>
            <w:r>
              <w:rPr>
                <w:color w:val="000000"/>
                <w:sz w:val="20"/>
                <w:szCs w:val="20"/>
              </w:rPr>
              <w:t>-</w:t>
            </w:r>
          </w:p>
        </w:tc>
        <w:tc>
          <w:tcPr>
            <w:tcW w:w="1241" w:type="dxa"/>
            <w:tcBorders>
              <w:top w:val="nil"/>
              <w:left w:val="nil"/>
              <w:bottom w:val="single" w:sz="4" w:space="0" w:color="auto"/>
              <w:right w:val="single" w:sz="12" w:space="0" w:color="auto"/>
            </w:tcBorders>
            <w:shd w:val="clear" w:color="auto" w:fill="auto"/>
            <w:vAlign w:val="center"/>
            <w:hideMark/>
          </w:tcPr>
          <w:p w14:paraId="661B7800" w14:textId="5509E812" w:rsidR="001C2D0B" w:rsidRPr="001C2D0B" w:rsidRDefault="001C2D0B" w:rsidP="001C2D0B">
            <w:pPr>
              <w:jc w:val="center"/>
              <w:rPr>
                <w:color w:val="000000"/>
                <w:sz w:val="20"/>
                <w:szCs w:val="20"/>
              </w:rPr>
            </w:pPr>
            <w:r>
              <w:rPr>
                <w:color w:val="000000"/>
                <w:sz w:val="20"/>
                <w:szCs w:val="20"/>
              </w:rPr>
              <w:t>-</w:t>
            </w:r>
          </w:p>
        </w:tc>
      </w:tr>
      <w:tr w:rsidR="00D25963" w:rsidRPr="006A4C6F" w14:paraId="7CDCFC8D" w14:textId="77777777" w:rsidTr="001C2D0B">
        <w:trPr>
          <w:trHeight w:val="266"/>
        </w:trPr>
        <w:tc>
          <w:tcPr>
            <w:tcW w:w="5301" w:type="dxa"/>
            <w:tcBorders>
              <w:top w:val="nil"/>
              <w:left w:val="single" w:sz="12" w:space="0" w:color="auto"/>
              <w:bottom w:val="single" w:sz="4" w:space="0" w:color="auto"/>
              <w:right w:val="single" w:sz="12" w:space="0" w:color="auto"/>
            </w:tcBorders>
            <w:shd w:val="clear" w:color="auto" w:fill="auto"/>
            <w:vAlign w:val="center"/>
            <w:hideMark/>
          </w:tcPr>
          <w:p w14:paraId="5505B672" w14:textId="59D9F452" w:rsidR="00D25963" w:rsidRPr="006A4C6F" w:rsidRDefault="00D25963" w:rsidP="00D25963">
            <w:pPr>
              <w:rPr>
                <w:rFonts w:eastAsia="Times New Roman"/>
                <w:color w:val="000000"/>
                <w:sz w:val="20"/>
                <w:szCs w:val="20"/>
                <w:lang w:eastAsia="en-CA"/>
              </w:rPr>
            </w:pPr>
            <w:r w:rsidRPr="006A4C6F">
              <w:rPr>
                <w:rFonts w:eastAsia="Calibri"/>
                <w:color w:val="000000"/>
                <w:sz w:val="20"/>
                <w:szCs w:val="20"/>
                <w:lang w:eastAsia="en-CA"/>
              </w:rPr>
              <w:t>Restaurants in 250m buffer interacted with PM  (*10</w:t>
            </w:r>
            <w:r w:rsidRPr="006A4C6F">
              <w:rPr>
                <w:rFonts w:eastAsia="Calibri"/>
                <w:color w:val="000000"/>
                <w:sz w:val="20"/>
                <w:szCs w:val="20"/>
                <w:vertAlign w:val="superscript"/>
                <w:lang w:eastAsia="en-CA"/>
              </w:rPr>
              <w:t>-2</w:t>
            </w:r>
            <w:r w:rsidRPr="006A4C6F">
              <w:rPr>
                <w:rFonts w:eastAsia="Calibri"/>
                <w:color w:val="000000"/>
                <w:sz w:val="20"/>
                <w:szCs w:val="20"/>
                <w:lang w:eastAsia="en-CA"/>
              </w:rPr>
              <w:t>)</w:t>
            </w:r>
          </w:p>
        </w:tc>
        <w:tc>
          <w:tcPr>
            <w:tcW w:w="984" w:type="dxa"/>
            <w:tcBorders>
              <w:top w:val="nil"/>
              <w:left w:val="single" w:sz="12" w:space="0" w:color="auto"/>
              <w:bottom w:val="single" w:sz="4" w:space="0" w:color="auto"/>
              <w:right w:val="single" w:sz="4" w:space="0" w:color="auto"/>
            </w:tcBorders>
            <w:shd w:val="clear" w:color="auto" w:fill="auto"/>
            <w:vAlign w:val="bottom"/>
            <w:hideMark/>
          </w:tcPr>
          <w:p w14:paraId="57351259" w14:textId="7818E502" w:rsidR="00D25963" w:rsidRPr="001C2D0B" w:rsidRDefault="00D25963" w:rsidP="001C2D0B">
            <w:pPr>
              <w:jc w:val="center"/>
              <w:rPr>
                <w:color w:val="000000"/>
                <w:sz w:val="20"/>
                <w:szCs w:val="20"/>
              </w:rPr>
            </w:pPr>
            <w:r w:rsidRPr="001C2D0B">
              <w:rPr>
                <w:color w:val="000000"/>
                <w:sz w:val="20"/>
                <w:szCs w:val="20"/>
              </w:rPr>
              <w:t>0.257</w:t>
            </w:r>
          </w:p>
        </w:tc>
        <w:tc>
          <w:tcPr>
            <w:tcW w:w="890" w:type="dxa"/>
            <w:tcBorders>
              <w:top w:val="nil"/>
              <w:left w:val="nil"/>
              <w:bottom w:val="single" w:sz="4" w:space="0" w:color="auto"/>
              <w:right w:val="single" w:sz="12" w:space="0" w:color="auto"/>
            </w:tcBorders>
            <w:shd w:val="clear" w:color="auto" w:fill="auto"/>
            <w:vAlign w:val="bottom"/>
            <w:hideMark/>
          </w:tcPr>
          <w:p w14:paraId="2A0DBF7E" w14:textId="6E168233" w:rsidR="00D25963" w:rsidRPr="001C2D0B" w:rsidRDefault="00D25963" w:rsidP="001C2D0B">
            <w:pPr>
              <w:jc w:val="center"/>
              <w:rPr>
                <w:color w:val="000000"/>
                <w:sz w:val="20"/>
                <w:szCs w:val="20"/>
              </w:rPr>
            </w:pPr>
            <w:r w:rsidRPr="001C2D0B">
              <w:rPr>
                <w:color w:val="000000"/>
                <w:sz w:val="20"/>
                <w:szCs w:val="20"/>
              </w:rPr>
              <w:t>5.11</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6C781279" w14:textId="708DBDC2" w:rsidR="00D25963" w:rsidRPr="001C2D0B" w:rsidRDefault="00D25963" w:rsidP="00D25963">
            <w:pPr>
              <w:jc w:val="center"/>
              <w:rPr>
                <w:color w:val="000000"/>
                <w:sz w:val="20"/>
                <w:szCs w:val="20"/>
              </w:rPr>
            </w:pPr>
            <w:r>
              <w:rPr>
                <w:color w:val="000000"/>
                <w:sz w:val="20"/>
                <w:szCs w:val="20"/>
              </w:rPr>
              <w:t>-</w:t>
            </w:r>
          </w:p>
        </w:tc>
        <w:tc>
          <w:tcPr>
            <w:tcW w:w="1156" w:type="dxa"/>
            <w:tcBorders>
              <w:top w:val="nil"/>
              <w:left w:val="nil"/>
              <w:bottom w:val="single" w:sz="4" w:space="0" w:color="auto"/>
              <w:right w:val="single" w:sz="12" w:space="0" w:color="auto"/>
            </w:tcBorders>
            <w:shd w:val="clear" w:color="auto" w:fill="auto"/>
            <w:vAlign w:val="center"/>
            <w:hideMark/>
          </w:tcPr>
          <w:p w14:paraId="556993A8" w14:textId="08B5B696" w:rsidR="00D25963" w:rsidRPr="001C2D0B" w:rsidRDefault="00D25963" w:rsidP="00D25963">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4E527CDB" w14:textId="3E2A5CC1" w:rsidR="00D25963" w:rsidRPr="001C2D0B" w:rsidRDefault="00D25963" w:rsidP="00D25963">
            <w:pPr>
              <w:jc w:val="center"/>
              <w:rPr>
                <w:color w:val="000000"/>
                <w:sz w:val="20"/>
                <w:szCs w:val="20"/>
              </w:rPr>
            </w:pPr>
            <w:r>
              <w:rPr>
                <w:color w:val="000000"/>
                <w:sz w:val="20"/>
                <w:szCs w:val="20"/>
              </w:rPr>
              <w:t>-</w:t>
            </w:r>
          </w:p>
        </w:tc>
        <w:tc>
          <w:tcPr>
            <w:tcW w:w="1094" w:type="dxa"/>
            <w:tcBorders>
              <w:top w:val="nil"/>
              <w:left w:val="nil"/>
              <w:bottom w:val="single" w:sz="4" w:space="0" w:color="auto"/>
              <w:right w:val="single" w:sz="12" w:space="0" w:color="auto"/>
            </w:tcBorders>
            <w:shd w:val="clear" w:color="auto" w:fill="auto"/>
            <w:vAlign w:val="center"/>
            <w:hideMark/>
          </w:tcPr>
          <w:p w14:paraId="4D8CBBD1" w14:textId="7A351DCB" w:rsidR="00D25963" w:rsidRPr="001C2D0B" w:rsidRDefault="00D25963" w:rsidP="00D25963">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2B0E2E19" w14:textId="62C4F219" w:rsidR="00D25963" w:rsidRPr="001C2D0B" w:rsidRDefault="00D25963" w:rsidP="00D25963">
            <w:pPr>
              <w:jc w:val="center"/>
              <w:rPr>
                <w:color w:val="000000"/>
                <w:sz w:val="20"/>
                <w:szCs w:val="20"/>
              </w:rPr>
            </w:pPr>
            <w:r>
              <w:rPr>
                <w:color w:val="000000"/>
                <w:sz w:val="20"/>
                <w:szCs w:val="20"/>
              </w:rPr>
              <w:t>-</w:t>
            </w:r>
          </w:p>
        </w:tc>
        <w:tc>
          <w:tcPr>
            <w:tcW w:w="1241" w:type="dxa"/>
            <w:tcBorders>
              <w:top w:val="nil"/>
              <w:left w:val="nil"/>
              <w:bottom w:val="single" w:sz="4" w:space="0" w:color="auto"/>
              <w:right w:val="single" w:sz="12" w:space="0" w:color="auto"/>
            </w:tcBorders>
            <w:shd w:val="clear" w:color="auto" w:fill="auto"/>
            <w:vAlign w:val="center"/>
            <w:hideMark/>
          </w:tcPr>
          <w:p w14:paraId="5A0B4182" w14:textId="3888A4F0" w:rsidR="00D25963" w:rsidRPr="001C2D0B" w:rsidRDefault="00D25963" w:rsidP="00D25963">
            <w:pPr>
              <w:jc w:val="center"/>
              <w:rPr>
                <w:color w:val="000000"/>
                <w:sz w:val="20"/>
                <w:szCs w:val="20"/>
              </w:rPr>
            </w:pPr>
            <w:r>
              <w:rPr>
                <w:color w:val="000000"/>
                <w:sz w:val="20"/>
                <w:szCs w:val="20"/>
              </w:rPr>
              <w:t>-</w:t>
            </w:r>
          </w:p>
        </w:tc>
      </w:tr>
      <w:tr w:rsidR="001C2D0B" w:rsidRPr="006A4C6F" w14:paraId="450FE6B9" w14:textId="77777777" w:rsidTr="001C2D0B">
        <w:trPr>
          <w:trHeight w:val="266"/>
        </w:trPr>
        <w:tc>
          <w:tcPr>
            <w:tcW w:w="5301" w:type="dxa"/>
            <w:tcBorders>
              <w:top w:val="nil"/>
              <w:left w:val="single" w:sz="12" w:space="0" w:color="auto"/>
              <w:bottom w:val="single" w:sz="4" w:space="0" w:color="auto"/>
              <w:right w:val="single" w:sz="12" w:space="0" w:color="auto"/>
            </w:tcBorders>
            <w:shd w:val="clear" w:color="auto" w:fill="auto"/>
            <w:vAlign w:val="center"/>
            <w:hideMark/>
          </w:tcPr>
          <w:p w14:paraId="44D1B5BE" w14:textId="4ED2C0BE" w:rsidR="001C2D0B" w:rsidRPr="006A4C6F" w:rsidRDefault="001C2D0B" w:rsidP="001C2D0B">
            <w:pPr>
              <w:rPr>
                <w:rFonts w:eastAsia="Times New Roman"/>
                <w:color w:val="000000"/>
                <w:sz w:val="20"/>
                <w:szCs w:val="20"/>
                <w:lang w:eastAsia="en-CA"/>
              </w:rPr>
            </w:pPr>
            <w:r w:rsidRPr="006A4C6F">
              <w:rPr>
                <w:rFonts w:eastAsia="Calibri"/>
                <w:color w:val="000000"/>
                <w:sz w:val="20"/>
                <w:szCs w:val="20"/>
                <w:lang w:eastAsia="en-CA"/>
              </w:rPr>
              <w:t>Commercial venues in 250m interacted with AM (*10</w:t>
            </w:r>
            <w:r w:rsidRPr="006A4C6F">
              <w:rPr>
                <w:rFonts w:eastAsia="Calibri"/>
                <w:color w:val="000000"/>
                <w:sz w:val="20"/>
                <w:szCs w:val="20"/>
                <w:vertAlign w:val="superscript"/>
                <w:lang w:eastAsia="en-CA"/>
              </w:rPr>
              <w:t>-3</w:t>
            </w:r>
            <w:r w:rsidRPr="006A4C6F">
              <w:rPr>
                <w:rFonts w:eastAsia="Calibri"/>
                <w:color w:val="000000"/>
                <w:sz w:val="20"/>
                <w:szCs w:val="20"/>
                <w:lang w:eastAsia="en-CA"/>
              </w:rPr>
              <w:t>)</w:t>
            </w:r>
          </w:p>
        </w:tc>
        <w:tc>
          <w:tcPr>
            <w:tcW w:w="984" w:type="dxa"/>
            <w:tcBorders>
              <w:top w:val="nil"/>
              <w:left w:val="single" w:sz="12" w:space="0" w:color="auto"/>
              <w:bottom w:val="single" w:sz="4" w:space="0" w:color="auto"/>
              <w:right w:val="single" w:sz="4" w:space="0" w:color="auto"/>
            </w:tcBorders>
            <w:shd w:val="clear" w:color="auto" w:fill="auto"/>
            <w:vAlign w:val="bottom"/>
            <w:hideMark/>
          </w:tcPr>
          <w:p w14:paraId="3C361211" w14:textId="6D2C6EB1" w:rsidR="001C2D0B" w:rsidRPr="001C2D0B" w:rsidRDefault="001C2D0B" w:rsidP="001C2D0B">
            <w:pPr>
              <w:jc w:val="center"/>
              <w:rPr>
                <w:color w:val="000000"/>
                <w:sz w:val="20"/>
                <w:szCs w:val="20"/>
              </w:rPr>
            </w:pPr>
            <w:r w:rsidRPr="001C2D0B">
              <w:rPr>
                <w:color w:val="000000"/>
                <w:sz w:val="20"/>
                <w:szCs w:val="20"/>
              </w:rPr>
              <w:t>0.558</w:t>
            </w:r>
          </w:p>
        </w:tc>
        <w:tc>
          <w:tcPr>
            <w:tcW w:w="890" w:type="dxa"/>
            <w:tcBorders>
              <w:top w:val="nil"/>
              <w:left w:val="nil"/>
              <w:bottom w:val="single" w:sz="4" w:space="0" w:color="auto"/>
              <w:right w:val="single" w:sz="12" w:space="0" w:color="auto"/>
            </w:tcBorders>
            <w:shd w:val="clear" w:color="auto" w:fill="auto"/>
            <w:vAlign w:val="bottom"/>
            <w:hideMark/>
          </w:tcPr>
          <w:p w14:paraId="015FDA11" w14:textId="5C9F5E88" w:rsidR="001C2D0B" w:rsidRPr="001C2D0B" w:rsidRDefault="001C2D0B" w:rsidP="001C2D0B">
            <w:pPr>
              <w:jc w:val="center"/>
              <w:rPr>
                <w:color w:val="000000"/>
                <w:sz w:val="20"/>
                <w:szCs w:val="20"/>
              </w:rPr>
            </w:pPr>
            <w:r w:rsidRPr="001C2D0B">
              <w:rPr>
                <w:color w:val="000000"/>
                <w:sz w:val="20"/>
                <w:szCs w:val="20"/>
              </w:rPr>
              <w:t>6.68</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553D6104" w14:textId="68FA6657" w:rsidR="001C2D0B" w:rsidRPr="001C2D0B" w:rsidRDefault="001C2D0B" w:rsidP="001C2D0B">
            <w:pPr>
              <w:jc w:val="center"/>
              <w:rPr>
                <w:color w:val="000000"/>
                <w:sz w:val="20"/>
                <w:szCs w:val="20"/>
              </w:rPr>
            </w:pPr>
            <w:r>
              <w:rPr>
                <w:color w:val="000000"/>
                <w:sz w:val="20"/>
                <w:szCs w:val="20"/>
              </w:rPr>
              <w:t>-</w:t>
            </w:r>
          </w:p>
        </w:tc>
        <w:tc>
          <w:tcPr>
            <w:tcW w:w="1156" w:type="dxa"/>
            <w:tcBorders>
              <w:top w:val="nil"/>
              <w:left w:val="nil"/>
              <w:bottom w:val="single" w:sz="4" w:space="0" w:color="auto"/>
              <w:right w:val="single" w:sz="12" w:space="0" w:color="auto"/>
            </w:tcBorders>
            <w:shd w:val="clear" w:color="auto" w:fill="auto"/>
            <w:vAlign w:val="center"/>
            <w:hideMark/>
          </w:tcPr>
          <w:p w14:paraId="2EBFC20D" w14:textId="6934F6C3" w:rsidR="001C2D0B" w:rsidRPr="001C2D0B" w:rsidRDefault="001C2D0B" w:rsidP="001C2D0B">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bottom"/>
            <w:hideMark/>
          </w:tcPr>
          <w:p w14:paraId="0D844BBC" w14:textId="2FEB8AE8" w:rsidR="001C2D0B" w:rsidRPr="001C2D0B" w:rsidRDefault="001C2D0B" w:rsidP="001C2D0B">
            <w:pPr>
              <w:jc w:val="center"/>
              <w:rPr>
                <w:color w:val="000000"/>
                <w:sz w:val="20"/>
                <w:szCs w:val="20"/>
              </w:rPr>
            </w:pPr>
            <w:r w:rsidRPr="001C2D0B">
              <w:rPr>
                <w:color w:val="000000"/>
                <w:sz w:val="20"/>
                <w:szCs w:val="20"/>
              </w:rPr>
              <w:t>-0.642</w:t>
            </w:r>
          </w:p>
        </w:tc>
        <w:tc>
          <w:tcPr>
            <w:tcW w:w="1094" w:type="dxa"/>
            <w:tcBorders>
              <w:top w:val="nil"/>
              <w:left w:val="nil"/>
              <w:bottom w:val="single" w:sz="4" w:space="0" w:color="auto"/>
              <w:right w:val="single" w:sz="12" w:space="0" w:color="auto"/>
            </w:tcBorders>
            <w:shd w:val="clear" w:color="auto" w:fill="auto"/>
            <w:vAlign w:val="bottom"/>
            <w:hideMark/>
          </w:tcPr>
          <w:p w14:paraId="275A2B10" w14:textId="7A3CA79E" w:rsidR="001C2D0B" w:rsidRPr="001C2D0B" w:rsidRDefault="001C2D0B" w:rsidP="001C2D0B">
            <w:pPr>
              <w:jc w:val="center"/>
              <w:rPr>
                <w:color w:val="000000"/>
                <w:sz w:val="20"/>
                <w:szCs w:val="20"/>
              </w:rPr>
            </w:pPr>
            <w:r w:rsidRPr="001C2D0B">
              <w:rPr>
                <w:color w:val="000000"/>
                <w:sz w:val="20"/>
                <w:szCs w:val="20"/>
              </w:rPr>
              <w:t>-5.21</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4932CE64" w14:textId="03F7413A" w:rsidR="001C2D0B" w:rsidRPr="001C2D0B" w:rsidRDefault="001C2D0B" w:rsidP="001C2D0B">
            <w:pPr>
              <w:jc w:val="center"/>
              <w:rPr>
                <w:color w:val="000000"/>
                <w:sz w:val="20"/>
                <w:szCs w:val="20"/>
              </w:rPr>
            </w:pPr>
            <w:r>
              <w:rPr>
                <w:color w:val="000000"/>
                <w:sz w:val="20"/>
                <w:szCs w:val="20"/>
              </w:rPr>
              <w:t>-</w:t>
            </w:r>
          </w:p>
        </w:tc>
        <w:tc>
          <w:tcPr>
            <w:tcW w:w="1241" w:type="dxa"/>
            <w:tcBorders>
              <w:top w:val="nil"/>
              <w:left w:val="nil"/>
              <w:bottom w:val="single" w:sz="4" w:space="0" w:color="auto"/>
              <w:right w:val="single" w:sz="12" w:space="0" w:color="auto"/>
            </w:tcBorders>
            <w:shd w:val="clear" w:color="auto" w:fill="auto"/>
            <w:vAlign w:val="center"/>
            <w:hideMark/>
          </w:tcPr>
          <w:p w14:paraId="3D24BA67" w14:textId="3F8E060B" w:rsidR="001C2D0B" w:rsidRPr="001C2D0B" w:rsidRDefault="001C2D0B" w:rsidP="001C2D0B">
            <w:pPr>
              <w:jc w:val="center"/>
              <w:rPr>
                <w:color w:val="000000"/>
                <w:sz w:val="20"/>
                <w:szCs w:val="20"/>
              </w:rPr>
            </w:pPr>
            <w:r>
              <w:rPr>
                <w:color w:val="000000"/>
                <w:sz w:val="20"/>
                <w:szCs w:val="20"/>
              </w:rPr>
              <w:t>-</w:t>
            </w:r>
          </w:p>
        </w:tc>
      </w:tr>
      <w:tr w:rsidR="00D25963" w:rsidRPr="006A4C6F" w14:paraId="6E3918B0" w14:textId="77777777" w:rsidTr="001C2D0B">
        <w:trPr>
          <w:trHeight w:val="266"/>
        </w:trPr>
        <w:tc>
          <w:tcPr>
            <w:tcW w:w="5301" w:type="dxa"/>
            <w:tcBorders>
              <w:top w:val="single" w:sz="4" w:space="0" w:color="auto"/>
              <w:left w:val="single" w:sz="12" w:space="0" w:color="auto"/>
              <w:right w:val="single" w:sz="12" w:space="0" w:color="auto"/>
            </w:tcBorders>
            <w:shd w:val="clear" w:color="auto" w:fill="auto"/>
            <w:vAlign w:val="center"/>
            <w:hideMark/>
          </w:tcPr>
          <w:p w14:paraId="0E1310DD" w14:textId="5BF39FEB" w:rsidR="00D25963" w:rsidRPr="006A4C6F" w:rsidRDefault="00D25963" w:rsidP="00D25963">
            <w:pPr>
              <w:rPr>
                <w:rFonts w:eastAsia="Times New Roman"/>
                <w:color w:val="000000"/>
                <w:sz w:val="20"/>
                <w:szCs w:val="20"/>
                <w:lang w:eastAsia="en-CA"/>
              </w:rPr>
            </w:pPr>
            <w:r w:rsidRPr="006A4C6F">
              <w:rPr>
                <w:rFonts w:eastAsia="Calibri"/>
                <w:color w:val="000000"/>
                <w:sz w:val="20"/>
                <w:szCs w:val="20"/>
                <w:lang w:eastAsia="en-CA"/>
              </w:rPr>
              <w:t>Commercial venues in 250m interacted with PM (*10</w:t>
            </w:r>
            <w:r w:rsidRPr="006A4C6F">
              <w:rPr>
                <w:rFonts w:eastAsia="Calibri"/>
                <w:color w:val="000000"/>
                <w:sz w:val="20"/>
                <w:szCs w:val="20"/>
                <w:vertAlign w:val="superscript"/>
                <w:lang w:eastAsia="en-CA"/>
              </w:rPr>
              <w:t>-3</w:t>
            </w:r>
            <w:r w:rsidRPr="006A4C6F">
              <w:rPr>
                <w:rFonts w:eastAsia="Calibri"/>
                <w:color w:val="000000"/>
                <w:sz w:val="20"/>
                <w:szCs w:val="20"/>
                <w:lang w:eastAsia="en-CA"/>
              </w:rPr>
              <w:t>)</w:t>
            </w:r>
          </w:p>
        </w:tc>
        <w:tc>
          <w:tcPr>
            <w:tcW w:w="984" w:type="dxa"/>
            <w:tcBorders>
              <w:top w:val="single" w:sz="4" w:space="0" w:color="auto"/>
              <w:left w:val="single" w:sz="12" w:space="0" w:color="auto"/>
              <w:right w:val="single" w:sz="4" w:space="0" w:color="auto"/>
            </w:tcBorders>
            <w:shd w:val="clear" w:color="auto" w:fill="auto"/>
            <w:vAlign w:val="bottom"/>
            <w:hideMark/>
          </w:tcPr>
          <w:p w14:paraId="0C7AB6F8" w14:textId="468AA1C6" w:rsidR="00D25963" w:rsidRPr="001C2D0B" w:rsidRDefault="00D25963" w:rsidP="001C2D0B">
            <w:pPr>
              <w:jc w:val="center"/>
              <w:rPr>
                <w:color w:val="000000"/>
                <w:sz w:val="20"/>
                <w:szCs w:val="20"/>
              </w:rPr>
            </w:pPr>
            <w:r w:rsidRPr="001C2D0B">
              <w:rPr>
                <w:color w:val="000000"/>
                <w:sz w:val="20"/>
                <w:szCs w:val="20"/>
              </w:rPr>
              <w:t>-0.515</w:t>
            </w:r>
          </w:p>
        </w:tc>
        <w:tc>
          <w:tcPr>
            <w:tcW w:w="890" w:type="dxa"/>
            <w:tcBorders>
              <w:top w:val="single" w:sz="4" w:space="0" w:color="auto"/>
              <w:left w:val="nil"/>
              <w:right w:val="single" w:sz="12" w:space="0" w:color="auto"/>
            </w:tcBorders>
            <w:shd w:val="clear" w:color="auto" w:fill="auto"/>
            <w:vAlign w:val="bottom"/>
            <w:hideMark/>
          </w:tcPr>
          <w:p w14:paraId="5ACA02E9" w14:textId="4F6CF13C" w:rsidR="00D25963" w:rsidRPr="001C2D0B" w:rsidRDefault="00D25963" w:rsidP="001C2D0B">
            <w:pPr>
              <w:jc w:val="center"/>
              <w:rPr>
                <w:color w:val="000000"/>
                <w:sz w:val="20"/>
                <w:szCs w:val="20"/>
              </w:rPr>
            </w:pPr>
            <w:r w:rsidRPr="001C2D0B">
              <w:rPr>
                <w:color w:val="000000"/>
                <w:sz w:val="20"/>
                <w:szCs w:val="20"/>
              </w:rPr>
              <w:t>-5.80</w:t>
            </w:r>
          </w:p>
        </w:tc>
        <w:tc>
          <w:tcPr>
            <w:tcW w:w="890" w:type="dxa"/>
            <w:tcBorders>
              <w:top w:val="single" w:sz="4" w:space="0" w:color="auto"/>
              <w:left w:val="single" w:sz="12" w:space="0" w:color="auto"/>
              <w:right w:val="single" w:sz="4" w:space="0" w:color="auto"/>
            </w:tcBorders>
            <w:shd w:val="clear" w:color="auto" w:fill="auto"/>
            <w:vAlign w:val="center"/>
            <w:hideMark/>
          </w:tcPr>
          <w:p w14:paraId="12DE950A" w14:textId="216F6F81" w:rsidR="00D25963" w:rsidRPr="001C2D0B" w:rsidRDefault="00D25963" w:rsidP="00D25963">
            <w:pPr>
              <w:jc w:val="center"/>
              <w:rPr>
                <w:color w:val="000000"/>
                <w:sz w:val="20"/>
                <w:szCs w:val="20"/>
              </w:rPr>
            </w:pPr>
            <w:r>
              <w:rPr>
                <w:color w:val="000000"/>
                <w:sz w:val="20"/>
                <w:szCs w:val="20"/>
              </w:rPr>
              <w:t>-</w:t>
            </w:r>
          </w:p>
        </w:tc>
        <w:tc>
          <w:tcPr>
            <w:tcW w:w="1156" w:type="dxa"/>
            <w:tcBorders>
              <w:top w:val="single" w:sz="4" w:space="0" w:color="auto"/>
              <w:left w:val="nil"/>
              <w:right w:val="single" w:sz="12" w:space="0" w:color="auto"/>
            </w:tcBorders>
            <w:shd w:val="clear" w:color="auto" w:fill="auto"/>
            <w:vAlign w:val="center"/>
            <w:hideMark/>
          </w:tcPr>
          <w:p w14:paraId="000865CC" w14:textId="4B156022" w:rsidR="00D25963" w:rsidRPr="001C2D0B" w:rsidRDefault="00D25963" w:rsidP="00D25963">
            <w:pPr>
              <w:jc w:val="center"/>
              <w:rPr>
                <w:color w:val="000000"/>
                <w:sz w:val="20"/>
                <w:szCs w:val="20"/>
              </w:rPr>
            </w:pPr>
            <w:r>
              <w:rPr>
                <w:color w:val="000000"/>
                <w:sz w:val="20"/>
                <w:szCs w:val="20"/>
              </w:rPr>
              <w:t>-</w:t>
            </w:r>
          </w:p>
        </w:tc>
        <w:tc>
          <w:tcPr>
            <w:tcW w:w="890" w:type="dxa"/>
            <w:tcBorders>
              <w:top w:val="single" w:sz="4" w:space="0" w:color="auto"/>
              <w:left w:val="single" w:sz="12" w:space="0" w:color="auto"/>
              <w:right w:val="single" w:sz="4" w:space="0" w:color="auto"/>
            </w:tcBorders>
            <w:shd w:val="clear" w:color="auto" w:fill="auto"/>
            <w:vAlign w:val="center"/>
            <w:hideMark/>
          </w:tcPr>
          <w:p w14:paraId="5D35E952" w14:textId="0E15E201" w:rsidR="00D25963" w:rsidRPr="001C2D0B" w:rsidRDefault="00D25963" w:rsidP="00D25963">
            <w:pPr>
              <w:jc w:val="center"/>
              <w:rPr>
                <w:color w:val="000000"/>
                <w:sz w:val="20"/>
                <w:szCs w:val="20"/>
              </w:rPr>
            </w:pPr>
            <w:r>
              <w:rPr>
                <w:color w:val="000000"/>
                <w:sz w:val="20"/>
                <w:szCs w:val="20"/>
              </w:rPr>
              <w:t>-</w:t>
            </w:r>
          </w:p>
        </w:tc>
        <w:tc>
          <w:tcPr>
            <w:tcW w:w="1094" w:type="dxa"/>
            <w:tcBorders>
              <w:top w:val="single" w:sz="4" w:space="0" w:color="auto"/>
              <w:left w:val="nil"/>
              <w:right w:val="single" w:sz="12" w:space="0" w:color="auto"/>
            </w:tcBorders>
            <w:shd w:val="clear" w:color="auto" w:fill="auto"/>
            <w:vAlign w:val="center"/>
            <w:hideMark/>
          </w:tcPr>
          <w:p w14:paraId="7844E10E" w14:textId="788BF82F" w:rsidR="00D25963" w:rsidRPr="001C2D0B" w:rsidRDefault="00D25963" w:rsidP="00D25963">
            <w:pPr>
              <w:jc w:val="center"/>
              <w:rPr>
                <w:color w:val="000000"/>
                <w:sz w:val="20"/>
                <w:szCs w:val="20"/>
              </w:rPr>
            </w:pPr>
            <w:r>
              <w:rPr>
                <w:color w:val="000000"/>
                <w:sz w:val="20"/>
                <w:szCs w:val="20"/>
              </w:rPr>
              <w:t>-</w:t>
            </w:r>
          </w:p>
        </w:tc>
        <w:tc>
          <w:tcPr>
            <w:tcW w:w="890" w:type="dxa"/>
            <w:tcBorders>
              <w:top w:val="single" w:sz="4" w:space="0" w:color="auto"/>
              <w:left w:val="single" w:sz="12" w:space="0" w:color="auto"/>
              <w:right w:val="single" w:sz="4" w:space="0" w:color="auto"/>
            </w:tcBorders>
            <w:shd w:val="clear" w:color="auto" w:fill="auto"/>
            <w:vAlign w:val="center"/>
            <w:hideMark/>
          </w:tcPr>
          <w:p w14:paraId="057ABDA4" w14:textId="2CBD0947" w:rsidR="00D25963" w:rsidRPr="001C2D0B" w:rsidRDefault="00D25963" w:rsidP="00D25963">
            <w:pPr>
              <w:jc w:val="center"/>
              <w:rPr>
                <w:color w:val="000000"/>
                <w:sz w:val="20"/>
                <w:szCs w:val="20"/>
              </w:rPr>
            </w:pPr>
            <w:r>
              <w:rPr>
                <w:color w:val="000000"/>
                <w:sz w:val="20"/>
                <w:szCs w:val="20"/>
              </w:rPr>
              <w:t>-</w:t>
            </w:r>
          </w:p>
        </w:tc>
        <w:tc>
          <w:tcPr>
            <w:tcW w:w="1241" w:type="dxa"/>
            <w:tcBorders>
              <w:top w:val="single" w:sz="4" w:space="0" w:color="auto"/>
              <w:left w:val="nil"/>
              <w:bottom w:val="single" w:sz="4" w:space="0" w:color="auto"/>
              <w:right w:val="single" w:sz="12" w:space="0" w:color="auto"/>
            </w:tcBorders>
            <w:shd w:val="clear" w:color="auto" w:fill="auto"/>
            <w:vAlign w:val="center"/>
            <w:hideMark/>
          </w:tcPr>
          <w:p w14:paraId="50C9F141" w14:textId="6B19B957" w:rsidR="00D25963" w:rsidRPr="001C2D0B" w:rsidRDefault="00D25963" w:rsidP="00D25963">
            <w:pPr>
              <w:jc w:val="center"/>
              <w:rPr>
                <w:color w:val="000000"/>
                <w:sz w:val="20"/>
                <w:szCs w:val="20"/>
              </w:rPr>
            </w:pPr>
            <w:r>
              <w:rPr>
                <w:color w:val="000000"/>
                <w:sz w:val="20"/>
                <w:szCs w:val="20"/>
              </w:rPr>
              <w:t>-</w:t>
            </w:r>
          </w:p>
        </w:tc>
      </w:tr>
      <w:tr w:rsidR="00D25963" w:rsidRPr="002761FB" w14:paraId="44F9F807" w14:textId="77777777" w:rsidTr="001C2D0B">
        <w:trPr>
          <w:trHeight w:val="266"/>
        </w:trPr>
        <w:tc>
          <w:tcPr>
            <w:tcW w:w="5301"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16C961F4" w14:textId="03681771" w:rsidR="00D25963" w:rsidRPr="006A4C6F" w:rsidRDefault="00D25963" w:rsidP="00D25963">
            <w:pPr>
              <w:rPr>
                <w:rFonts w:eastAsia="Times New Roman"/>
                <w:color w:val="000000"/>
                <w:sz w:val="20"/>
                <w:szCs w:val="20"/>
                <w:lang w:eastAsia="en-CA"/>
              </w:rPr>
            </w:pPr>
            <w:r>
              <w:rPr>
                <w:rFonts w:eastAsia="Calibri"/>
                <w:color w:val="000000"/>
                <w:sz w:val="20"/>
                <w:szCs w:val="20"/>
                <w:lang w:eastAsia="en-CA"/>
              </w:rPr>
              <w:t>TAZ Industrial and R</w:t>
            </w:r>
            <w:r w:rsidRPr="006A4C6F">
              <w:rPr>
                <w:rFonts w:eastAsia="Calibri"/>
                <w:color w:val="000000"/>
                <w:sz w:val="20"/>
                <w:szCs w:val="20"/>
                <w:lang w:eastAsia="en-CA"/>
              </w:rPr>
              <w:t>esources (km</w:t>
            </w:r>
            <w:r w:rsidRPr="006A4C6F">
              <w:rPr>
                <w:rFonts w:eastAsia="Calibri"/>
                <w:color w:val="000000"/>
                <w:sz w:val="20"/>
                <w:szCs w:val="20"/>
                <w:vertAlign w:val="superscript"/>
                <w:lang w:eastAsia="en-CA"/>
              </w:rPr>
              <w:t>2</w:t>
            </w:r>
            <w:r w:rsidRPr="006A4C6F">
              <w:rPr>
                <w:rFonts w:eastAsia="Calibri"/>
                <w:color w:val="000000"/>
                <w:sz w:val="20"/>
                <w:szCs w:val="20"/>
                <w:lang w:eastAsia="en-CA"/>
              </w:rPr>
              <w:t>)</w:t>
            </w:r>
          </w:p>
        </w:tc>
        <w:tc>
          <w:tcPr>
            <w:tcW w:w="984" w:type="dxa"/>
            <w:tcBorders>
              <w:top w:val="single" w:sz="4" w:space="0" w:color="auto"/>
              <w:left w:val="single" w:sz="12" w:space="0" w:color="auto"/>
              <w:bottom w:val="single" w:sz="4" w:space="0" w:color="auto"/>
              <w:right w:val="single" w:sz="4" w:space="0" w:color="auto"/>
            </w:tcBorders>
            <w:shd w:val="clear" w:color="auto" w:fill="auto"/>
            <w:vAlign w:val="bottom"/>
            <w:hideMark/>
          </w:tcPr>
          <w:p w14:paraId="46BF8E4E" w14:textId="6882ADC6" w:rsidR="00D25963" w:rsidRPr="001C2D0B" w:rsidRDefault="00D25963" w:rsidP="001C2D0B">
            <w:pPr>
              <w:jc w:val="center"/>
              <w:rPr>
                <w:color w:val="000000"/>
                <w:sz w:val="20"/>
                <w:szCs w:val="20"/>
              </w:rPr>
            </w:pPr>
            <w:r w:rsidRPr="001C2D0B">
              <w:rPr>
                <w:color w:val="000000"/>
                <w:sz w:val="20"/>
                <w:szCs w:val="20"/>
              </w:rPr>
              <w:t>-4.361</w:t>
            </w:r>
          </w:p>
        </w:tc>
        <w:tc>
          <w:tcPr>
            <w:tcW w:w="890" w:type="dxa"/>
            <w:tcBorders>
              <w:top w:val="single" w:sz="4" w:space="0" w:color="auto"/>
              <w:left w:val="nil"/>
              <w:bottom w:val="single" w:sz="4" w:space="0" w:color="auto"/>
              <w:right w:val="single" w:sz="12" w:space="0" w:color="auto"/>
            </w:tcBorders>
            <w:shd w:val="clear" w:color="auto" w:fill="auto"/>
            <w:vAlign w:val="bottom"/>
            <w:hideMark/>
          </w:tcPr>
          <w:p w14:paraId="3DC316CF" w14:textId="78517F5C" w:rsidR="00D25963" w:rsidRPr="001C2D0B" w:rsidRDefault="00D25963" w:rsidP="001C2D0B">
            <w:pPr>
              <w:jc w:val="center"/>
              <w:rPr>
                <w:color w:val="000000"/>
                <w:sz w:val="20"/>
                <w:szCs w:val="20"/>
              </w:rPr>
            </w:pPr>
            <w:r w:rsidRPr="001C2D0B">
              <w:rPr>
                <w:color w:val="000000"/>
                <w:sz w:val="20"/>
                <w:szCs w:val="20"/>
              </w:rPr>
              <w:t>-21.68</w:t>
            </w:r>
          </w:p>
        </w:tc>
        <w:tc>
          <w:tcPr>
            <w:tcW w:w="89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04EE030" w14:textId="698FE4FB" w:rsidR="00D25963" w:rsidRPr="001C2D0B" w:rsidRDefault="00D25963" w:rsidP="00D25963">
            <w:pPr>
              <w:jc w:val="center"/>
              <w:rPr>
                <w:color w:val="000000"/>
                <w:sz w:val="20"/>
                <w:szCs w:val="20"/>
              </w:rPr>
            </w:pPr>
            <w:r>
              <w:rPr>
                <w:color w:val="000000"/>
                <w:sz w:val="20"/>
                <w:szCs w:val="20"/>
              </w:rPr>
              <w:t>-</w:t>
            </w:r>
          </w:p>
        </w:tc>
        <w:tc>
          <w:tcPr>
            <w:tcW w:w="1156" w:type="dxa"/>
            <w:tcBorders>
              <w:top w:val="single" w:sz="4" w:space="0" w:color="auto"/>
              <w:left w:val="nil"/>
              <w:bottom w:val="single" w:sz="4" w:space="0" w:color="auto"/>
              <w:right w:val="single" w:sz="12" w:space="0" w:color="auto"/>
            </w:tcBorders>
            <w:shd w:val="clear" w:color="auto" w:fill="auto"/>
            <w:vAlign w:val="center"/>
            <w:hideMark/>
          </w:tcPr>
          <w:p w14:paraId="6CFB54DF" w14:textId="50505510" w:rsidR="00D25963" w:rsidRPr="001C2D0B" w:rsidRDefault="00D25963" w:rsidP="00D25963">
            <w:pPr>
              <w:jc w:val="center"/>
              <w:rPr>
                <w:color w:val="000000"/>
                <w:sz w:val="20"/>
                <w:szCs w:val="20"/>
              </w:rPr>
            </w:pPr>
            <w:r>
              <w:rPr>
                <w:color w:val="000000"/>
                <w:sz w:val="20"/>
                <w:szCs w:val="20"/>
              </w:rPr>
              <w:t>-</w:t>
            </w:r>
          </w:p>
        </w:tc>
        <w:tc>
          <w:tcPr>
            <w:tcW w:w="89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0F3DB24" w14:textId="34DC2586" w:rsidR="00D25963" w:rsidRPr="001C2D0B" w:rsidRDefault="00D25963" w:rsidP="00D25963">
            <w:pPr>
              <w:jc w:val="center"/>
              <w:rPr>
                <w:color w:val="000000"/>
                <w:sz w:val="20"/>
                <w:szCs w:val="20"/>
              </w:rPr>
            </w:pPr>
            <w:r>
              <w:rPr>
                <w:color w:val="000000"/>
                <w:sz w:val="20"/>
                <w:szCs w:val="20"/>
              </w:rPr>
              <w:t>-</w:t>
            </w:r>
          </w:p>
        </w:tc>
        <w:tc>
          <w:tcPr>
            <w:tcW w:w="1094" w:type="dxa"/>
            <w:tcBorders>
              <w:top w:val="single" w:sz="4" w:space="0" w:color="auto"/>
              <w:left w:val="nil"/>
              <w:bottom w:val="single" w:sz="4" w:space="0" w:color="auto"/>
              <w:right w:val="single" w:sz="12" w:space="0" w:color="auto"/>
            </w:tcBorders>
            <w:shd w:val="clear" w:color="auto" w:fill="auto"/>
            <w:vAlign w:val="center"/>
            <w:hideMark/>
          </w:tcPr>
          <w:p w14:paraId="262A93C6" w14:textId="7C984FEE" w:rsidR="00D25963" w:rsidRPr="001C2D0B" w:rsidRDefault="00D25963" w:rsidP="00D25963">
            <w:pPr>
              <w:jc w:val="center"/>
              <w:rPr>
                <w:color w:val="000000"/>
                <w:sz w:val="20"/>
                <w:szCs w:val="20"/>
              </w:rPr>
            </w:pPr>
            <w:r>
              <w:rPr>
                <w:color w:val="000000"/>
                <w:sz w:val="20"/>
                <w:szCs w:val="20"/>
              </w:rPr>
              <w:t>-</w:t>
            </w:r>
          </w:p>
        </w:tc>
        <w:tc>
          <w:tcPr>
            <w:tcW w:w="890"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4A73E667" w14:textId="7A3F5DE3" w:rsidR="00D25963" w:rsidRPr="001C2D0B" w:rsidRDefault="00D25963" w:rsidP="00D25963">
            <w:pPr>
              <w:jc w:val="center"/>
              <w:rPr>
                <w:color w:val="000000"/>
                <w:sz w:val="20"/>
                <w:szCs w:val="20"/>
              </w:rPr>
            </w:pPr>
            <w:r>
              <w:rPr>
                <w:color w:val="000000"/>
                <w:sz w:val="20"/>
                <w:szCs w:val="20"/>
              </w:rPr>
              <w:t>-</w:t>
            </w:r>
          </w:p>
        </w:tc>
        <w:tc>
          <w:tcPr>
            <w:tcW w:w="1241" w:type="dxa"/>
            <w:tcBorders>
              <w:top w:val="single" w:sz="4" w:space="0" w:color="auto"/>
              <w:left w:val="nil"/>
              <w:bottom w:val="single" w:sz="4" w:space="0" w:color="auto"/>
              <w:right w:val="single" w:sz="12" w:space="0" w:color="auto"/>
            </w:tcBorders>
            <w:shd w:val="clear" w:color="auto" w:fill="auto"/>
            <w:vAlign w:val="center"/>
            <w:hideMark/>
          </w:tcPr>
          <w:p w14:paraId="5B5AC9BB" w14:textId="6C01B430" w:rsidR="00D25963" w:rsidRPr="001C2D0B" w:rsidRDefault="00D25963" w:rsidP="00D25963">
            <w:pPr>
              <w:jc w:val="center"/>
              <w:rPr>
                <w:color w:val="000000"/>
                <w:sz w:val="20"/>
                <w:szCs w:val="20"/>
              </w:rPr>
            </w:pPr>
            <w:r>
              <w:rPr>
                <w:color w:val="000000"/>
                <w:sz w:val="20"/>
                <w:szCs w:val="20"/>
              </w:rPr>
              <w:t>-</w:t>
            </w:r>
          </w:p>
        </w:tc>
      </w:tr>
      <w:tr w:rsidR="001C2D0B" w:rsidRPr="002761FB" w14:paraId="734D96A1" w14:textId="77777777" w:rsidTr="001C2D0B">
        <w:trPr>
          <w:trHeight w:val="266"/>
        </w:trPr>
        <w:tc>
          <w:tcPr>
            <w:tcW w:w="5301" w:type="dxa"/>
            <w:tcBorders>
              <w:top w:val="nil"/>
              <w:left w:val="single" w:sz="12" w:space="0" w:color="auto"/>
              <w:bottom w:val="single" w:sz="4" w:space="0" w:color="auto"/>
              <w:right w:val="single" w:sz="12" w:space="0" w:color="auto"/>
            </w:tcBorders>
            <w:shd w:val="clear" w:color="auto" w:fill="auto"/>
            <w:vAlign w:val="center"/>
            <w:hideMark/>
          </w:tcPr>
          <w:p w14:paraId="15621882" w14:textId="141F96CE" w:rsidR="001C2D0B" w:rsidRPr="006A4C6F" w:rsidRDefault="001C2D0B" w:rsidP="001C2D0B">
            <w:pPr>
              <w:rPr>
                <w:rFonts w:eastAsia="Times New Roman"/>
                <w:color w:val="000000"/>
                <w:sz w:val="20"/>
                <w:szCs w:val="20"/>
                <w:lang w:eastAsia="en-CA"/>
              </w:rPr>
            </w:pPr>
            <w:r>
              <w:rPr>
                <w:rFonts w:eastAsia="Calibri"/>
                <w:color w:val="000000"/>
                <w:sz w:val="20"/>
                <w:szCs w:val="20"/>
                <w:lang w:eastAsia="en-CA"/>
              </w:rPr>
              <w:t>TAZ Parks and Recreational A</w:t>
            </w:r>
            <w:r w:rsidRPr="006A4C6F">
              <w:rPr>
                <w:rFonts w:eastAsia="Calibri"/>
                <w:color w:val="000000"/>
                <w:sz w:val="20"/>
                <w:szCs w:val="20"/>
                <w:lang w:eastAsia="en-CA"/>
              </w:rPr>
              <w:t>reas (km</w:t>
            </w:r>
            <w:r w:rsidRPr="006A4C6F">
              <w:rPr>
                <w:rFonts w:eastAsia="Calibri"/>
                <w:color w:val="000000"/>
                <w:sz w:val="20"/>
                <w:szCs w:val="20"/>
                <w:vertAlign w:val="superscript"/>
                <w:lang w:eastAsia="en-CA"/>
              </w:rPr>
              <w:t>2</w:t>
            </w:r>
            <w:r w:rsidRPr="006A4C6F">
              <w:rPr>
                <w:rFonts w:eastAsia="Calibri"/>
                <w:color w:val="000000"/>
                <w:sz w:val="20"/>
                <w:szCs w:val="20"/>
                <w:lang w:eastAsia="en-CA"/>
              </w:rPr>
              <w:t>)</w:t>
            </w:r>
          </w:p>
        </w:tc>
        <w:tc>
          <w:tcPr>
            <w:tcW w:w="984" w:type="dxa"/>
            <w:tcBorders>
              <w:top w:val="nil"/>
              <w:left w:val="single" w:sz="12" w:space="0" w:color="auto"/>
              <w:bottom w:val="single" w:sz="4" w:space="0" w:color="auto"/>
              <w:right w:val="single" w:sz="4" w:space="0" w:color="auto"/>
            </w:tcBorders>
            <w:shd w:val="clear" w:color="auto" w:fill="auto"/>
            <w:vAlign w:val="center"/>
          </w:tcPr>
          <w:p w14:paraId="6F52F9A8" w14:textId="70D821C5" w:rsidR="001C2D0B" w:rsidRPr="006A4C6F" w:rsidRDefault="001C2D0B" w:rsidP="001C2D0B">
            <w:pPr>
              <w:jc w:val="center"/>
              <w:rPr>
                <w:rFonts w:eastAsia="Times New Roman"/>
                <w:color w:val="000000"/>
                <w:sz w:val="20"/>
                <w:szCs w:val="20"/>
                <w:lang w:eastAsia="en-CA"/>
              </w:rPr>
            </w:pPr>
            <w:r>
              <w:rPr>
                <w:rFonts w:eastAsia="Times New Roman"/>
                <w:color w:val="000000"/>
                <w:sz w:val="20"/>
                <w:szCs w:val="20"/>
                <w:lang w:eastAsia="en-CA"/>
              </w:rPr>
              <w:t>-</w:t>
            </w:r>
          </w:p>
        </w:tc>
        <w:tc>
          <w:tcPr>
            <w:tcW w:w="890" w:type="dxa"/>
            <w:tcBorders>
              <w:top w:val="nil"/>
              <w:left w:val="nil"/>
              <w:bottom w:val="single" w:sz="4" w:space="0" w:color="auto"/>
              <w:right w:val="single" w:sz="12" w:space="0" w:color="auto"/>
            </w:tcBorders>
            <w:shd w:val="clear" w:color="auto" w:fill="auto"/>
            <w:vAlign w:val="center"/>
          </w:tcPr>
          <w:p w14:paraId="5D409857" w14:textId="2E9475CF" w:rsidR="001C2D0B" w:rsidRPr="006A4C6F" w:rsidRDefault="001C2D0B" w:rsidP="001C2D0B">
            <w:pPr>
              <w:jc w:val="center"/>
              <w:rPr>
                <w:rFonts w:eastAsia="Times New Roman"/>
                <w:color w:val="000000"/>
                <w:sz w:val="20"/>
                <w:szCs w:val="20"/>
                <w:lang w:eastAsia="en-CA"/>
              </w:rPr>
            </w:pPr>
            <w:r>
              <w:rPr>
                <w:rFonts w:eastAsia="Times New Roman"/>
                <w:color w:val="000000"/>
                <w:sz w:val="20"/>
                <w:szCs w:val="20"/>
                <w:lang w:eastAsia="en-CA"/>
              </w:rPr>
              <w:t>-</w:t>
            </w:r>
          </w:p>
        </w:tc>
        <w:tc>
          <w:tcPr>
            <w:tcW w:w="890" w:type="dxa"/>
            <w:tcBorders>
              <w:top w:val="nil"/>
              <w:left w:val="single" w:sz="12" w:space="0" w:color="auto"/>
              <w:bottom w:val="single" w:sz="4" w:space="0" w:color="auto"/>
              <w:right w:val="single" w:sz="4" w:space="0" w:color="auto"/>
            </w:tcBorders>
            <w:shd w:val="clear" w:color="auto" w:fill="auto"/>
            <w:vAlign w:val="bottom"/>
            <w:hideMark/>
          </w:tcPr>
          <w:p w14:paraId="12213A9E" w14:textId="107847C4" w:rsidR="001C2D0B" w:rsidRPr="001C2D0B" w:rsidRDefault="001C2D0B" w:rsidP="001C2D0B">
            <w:pPr>
              <w:jc w:val="center"/>
              <w:rPr>
                <w:color w:val="000000"/>
                <w:sz w:val="20"/>
                <w:szCs w:val="20"/>
              </w:rPr>
            </w:pPr>
            <w:r w:rsidRPr="001C2D0B">
              <w:rPr>
                <w:color w:val="000000"/>
                <w:sz w:val="20"/>
                <w:szCs w:val="20"/>
              </w:rPr>
              <w:t>0.124</w:t>
            </w:r>
          </w:p>
        </w:tc>
        <w:tc>
          <w:tcPr>
            <w:tcW w:w="1156" w:type="dxa"/>
            <w:tcBorders>
              <w:top w:val="nil"/>
              <w:left w:val="nil"/>
              <w:bottom w:val="single" w:sz="4" w:space="0" w:color="auto"/>
              <w:right w:val="single" w:sz="12" w:space="0" w:color="auto"/>
            </w:tcBorders>
            <w:shd w:val="clear" w:color="auto" w:fill="auto"/>
            <w:vAlign w:val="bottom"/>
            <w:hideMark/>
          </w:tcPr>
          <w:p w14:paraId="1FD2804A" w14:textId="7165DB34" w:rsidR="001C2D0B" w:rsidRPr="001C2D0B" w:rsidRDefault="001C2D0B" w:rsidP="001C2D0B">
            <w:pPr>
              <w:jc w:val="center"/>
              <w:rPr>
                <w:color w:val="000000"/>
                <w:sz w:val="20"/>
                <w:szCs w:val="20"/>
              </w:rPr>
            </w:pPr>
            <w:r w:rsidRPr="001C2D0B">
              <w:rPr>
                <w:color w:val="000000"/>
                <w:sz w:val="20"/>
                <w:szCs w:val="20"/>
              </w:rPr>
              <w:t>4.76</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699055E5" w14:textId="6B975226" w:rsidR="001C2D0B" w:rsidRPr="001C2D0B" w:rsidRDefault="001C2D0B" w:rsidP="001C2D0B">
            <w:pPr>
              <w:jc w:val="center"/>
              <w:rPr>
                <w:color w:val="000000"/>
                <w:sz w:val="20"/>
                <w:szCs w:val="20"/>
              </w:rPr>
            </w:pPr>
            <w:r>
              <w:rPr>
                <w:color w:val="000000"/>
                <w:sz w:val="20"/>
                <w:szCs w:val="20"/>
              </w:rPr>
              <w:t>-</w:t>
            </w:r>
          </w:p>
        </w:tc>
        <w:tc>
          <w:tcPr>
            <w:tcW w:w="1094" w:type="dxa"/>
            <w:tcBorders>
              <w:top w:val="nil"/>
              <w:left w:val="nil"/>
              <w:bottom w:val="single" w:sz="4" w:space="0" w:color="auto"/>
              <w:right w:val="single" w:sz="12" w:space="0" w:color="auto"/>
            </w:tcBorders>
            <w:shd w:val="clear" w:color="auto" w:fill="auto"/>
            <w:vAlign w:val="center"/>
            <w:hideMark/>
          </w:tcPr>
          <w:p w14:paraId="613C292D" w14:textId="27376A2D" w:rsidR="001C2D0B" w:rsidRPr="001C2D0B" w:rsidRDefault="001C2D0B" w:rsidP="001C2D0B">
            <w:pPr>
              <w:jc w:val="center"/>
              <w:rPr>
                <w:color w:val="000000"/>
                <w:sz w:val="20"/>
                <w:szCs w:val="20"/>
              </w:rPr>
            </w:pPr>
            <w:r>
              <w:rPr>
                <w:color w:val="000000"/>
                <w:sz w:val="20"/>
                <w:szCs w:val="20"/>
              </w:rPr>
              <w:t>-</w:t>
            </w:r>
          </w:p>
        </w:tc>
        <w:tc>
          <w:tcPr>
            <w:tcW w:w="890" w:type="dxa"/>
            <w:tcBorders>
              <w:top w:val="nil"/>
              <w:left w:val="single" w:sz="12" w:space="0" w:color="auto"/>
              <w:bottom w:val="single" w:sz="4" w:space="0" w:color="auto"/>
              <w:right w:val="single" w:sz="4" w:space="0" w:color="auto"/>
            </w:tcBorders>
            <w:shd w:val="clear" w:color="auto" w:fill="auto"/>
            <w:vAlign w:val="center"/>
            <w:hideMark/>
          </w:tcPr>
          <w:p w14:paraId="5C048E45" w14:textId="13F10942" w:rsidR="001C2D0B" w:rsidRPr="001C2D0B" w:rsidRDefault="001C2D0B" w:rsidP="001C2D0B">
            <w:pPr>
              <w:jc w:val="center"/>
              <w:rPr>
                <w:color w:val="000000"/>
                <w:sz w:val="20"/>
                <w:szCs w:val="20"/>
              </w:rPr>
            </w:pPr>
            <w:r>
              <w:rPr>
                <w:color w:val="000000"/>
                <w:sz w:val="20"/>
                <w:szCs w:val="20"/>
              </w:rPr>
              <w:t>-</w:t>
            </w:r>
          </w:p>
        </w:tc>
        <w:tc>
          <w:tcPr>
            <w:tcW w:w="1241" w:type="dxa"/>
            <w:tcBorders>
              <w:top w:val="nil"/>
              <w:left w:val="nil"/>
              <w:bottom w:val="single" w:sz="4" w:space="0" w:color="auto"/>
              <w:right w:val="single" w:sz="12" w:space="0" w:color="auto"/>
            </w:tcBorders>
            <w:shd w:val="clear" w:color="auto" w:fill="auto"/>
            <w:vAlign w:val="center"/>
            <w:hideMark/>
          </w:tcPr>
          <w:p w14:paraId="35D2CEA0" w14:textId="20FCD257" w:rsidR="001C2D0B" w:rsidRPr="001C2D0B" w:rsidRDefault="001C2D0B" w:rsidP="001C2D0B">
            <w:pPr>
              <w:jc w:val="center"/>
              <w:rPr>
                <w:color w:val="000000"/>
                <w:sz w:val="20"/>
                <w:szCs w:val="20"/>
              </w:rPr>
            </w:pPr>
            <w:r>
              <w:rPr>
                <w:color w:val="000000"/>
                <w:sz w:val="20"/>
                <w:szCs w:val="20"/>
              </w:rPr>
              <w:t>-</w:t>
            </w:r>
          </w:p>
        </w:tc>
      </w:tr>
      <w:tr w:rsidR="001C2D0B" w:rsidRPr="002761FB" w14:paraId="114735A4" w14:textId="77777777" w:rsidTr="001C2D0B">
        <w:trPr>
          <w:trHeight w:val="266"/>
        </w:trPr>
        <w:tc>
          <w:tcPr>
            <w:tcW w:w="5301" w:type="dxa"/>
            <w:tcBorders>
              <w:top w:val="nil"/>
              <w:left w:val="single" w:sz="12" w:space="0" w:color="auto"/>
              <w:bottom w:val="single" w:sz="12" w:space="0" w:color="auto"/>
              <w:right w:val="single" w:sz="12" w:space="0" w:color="auto"/>
            </w:tcBorders>
            <w:shd w:val="clear" w:color="auto" w:fill="auto"/>
            <w:vAlign w:val="center"/>
          </w:tcPr>
          <w:p w14:paraId="2431E354" w14:textId="0EA919B9" w:rsidR="001C2D0B" w:rsidRPr="006A4C6F" w:rsidRDefault="001C2D0B" w:rsidP="001C2D0B">
            <w:pPr>
              <w:rPr>
                <w:rFonts w:eastAsia="Times New Roman"/>
                <w:color w:val="000000"/>
                <w:sz w:val="20"/>
                <w:szCs w:val="20"/>
                <w:lang w:eastAsia="en-CA"/>
              </w:rPr>
            </w:pPr>
            <w:r>
              <w:rPr>
                <w:rFonts w:eastAsia="Calibri"/>
                <w:color w:val="000000"/>
                <w:sz w:val="20"/>
                <w:szCs w:val="20"/>
                <w:lang w:eastAsia="en-CA"/>
              </w:rPr>
              <w:t>TAZ C</w:t>
            </w:r>
            <w:r w:rsidRPr="006A4C6F">
              <w:rPr>
                <w:rFonts w:eastAsia="Calibri"/>
                <w:color w:val="000000"/>
                <w:sz w:val="20"/>
                <w:szCs w:val="20"/>
                <w:lang w:eastAsia="en-CA"/>
              </w:rPr>
              <w:t>ommerces (km</w:t>
            </w:r>
            <w:r w:rsidRPr="006A4C6F">
              <w:rPr>
                <w:rFonts w:eastAsia="Calibri"/>
                <w:color w:val="000000"/>
                <w:sz w:val="20"/>
                <w:szCs w:val="20"/>
                <w:vertAlign w:val="superscript"/>
                <w:lang w:eastAsia="en-CA"/>
              </w:rPr>
              <w:t>2</w:t>
            </w:r>
            <w:r w:rsidRPr="006A4C6F">
              <w:rPr>
                <w:rFonts w:eastAsia="Calibri"/>
                <w:color w:val="000000"/>
                <w:sz w:val="20"/>
                <w:szCs w:val="20"/>
                <w:lang w:eastAsia="en-CA"/>
              </w:rPr>
              <w:t>)</w:t>
            </w:r>
          </w:p>
        </w:tc>
        <w:tc>
          <w:tcPr>
            <w:tcW w:w="984" w:type="dxa"/>
            <w:tcBorders>
              <w:top w:val="nil"/>
              <w:left w:val="single" w:sz="12" w:space="0" w:color="auto"/>
              <w:bottom w:val="single" w:sz="12" w:space="0" w:color="auto"/>
              <w:right w:val="single" w:sz="4" w:space="0" w:color="auto"/>
            </w:tcBorders>
            <w:shd w:val="clear" w:color="auto" w:fill="auto"/>
            <w:vAlign w:val="center"/>
          </w:tcPr>
          <w:p w14:paraId="28EACC62" w14:textId="1E1E1146" w:rsidR="001C2D0B" w:rsidRPr="006A4C6F" w:rsidRDefault="001C2D0B" w:rsidP="001C2D0B">
            <w:pPr>
              <w:jc w:val="center"/>
              <w:rPr>
                <w:rFonts w:eastAsia="Times New Roman"/>
                <w:color w:val="000000"/>
                <w:sz w:val="20"/>
                <w:szCs w:val="20"/>
                <w:lang w:eastAsia="en-CA"/>
              </w:rPr>
            </w:pPr>
            <w:r>
              <w:rPr>
                <w:color w:val="000000"/>
                <w:sz w:val="20"/>
                <w:szCs w:val="20"/>
              </w:rPr>
              <w:t>-</w:t>
            </w:r>
          </w:p>
        </w:tc>
        <w:tc>
          <w:tcPr>
            <w:tcW w:w="890" w:type="dxa"/>
            <w:tcBorders>
              <w:top w:val="nil"/>
              <w:left w:val="nil"/>
              <w:bottom w:val="single" w:sz="12" w:space="0" w:color="auto"/>
              <w:right w:val="single" w:sz="12" w:space="0" w:color="auto"/>
            </w:tcBorders>
            <w:shd w:val="clear" w:color="auto" w:fill="auto"/>
            <w:vAlign w:val="center"/>
          </w:tcPr>
          <w:p w14:paraId="52AF8E49" w14:textId="028970B7" w:rsidR="001C2D0B" w:rsidRPr="006A4C6F" w:rsidRDefault="001C2D0B" w:rsidP="001C2D0B">
            <w:pPr>
              <w:jc w:val="center"/>
              <w:rPr>
                <w:rFonts w:eastAsia="Times New Roman"/>
                <w:color w:val="000000"/>
                <w:sz w:val="20"/>
                <w:szCs w:val="20"/>
                <w:lang w:eastAsia="en-CA"/>
              </w:rPr>
            </w:pPr>
            <w:r>
              <w:rPr>
                <w:color w:val="000000"/>
                <w:sz w:val="20"/>
                <w:szCs w:val="20"/>
              </w:rPr>
              <w:t>-</w:t>
            </w:r>
          </w:p>
        </w:tc>
        <w:tc>
          <w:tcPr>
            <w:tcW w:w="890" w:type="dxa"/>
            <w:tcBorders>
              <w:top w:val="nil"/>
              <w:left w:val="single" w:sz="12" w:space="0" w:color="auto"/>
              <w:bottom w:val="single" w:sz="12" w:space="0" w:color="auto"/>
              <w:right w:val="single" w:sz="4" w:space="0" w:color="auto"/>
            </w:tcBorders>
            <w:shd w:val="clear" w:color="auto" w:fill="auto"/>
            <w:vAlign w:val="center"/>
            <w:hideMark/>
          </w:tcPr>
          <w:p w14:paraId="33F279AF" w14:textId="6DB5DE7D" w:rsidR="001C2D0B" w:rsidRPr="001C2D0B" w:rsidRDefault="001C2D0B" w:rsidP="001C2D0B">
            <w:pPr>
              <w:jc w:val="center"/>
              <w:rPr>
                <w:color w:val="000000"/>
                <w:sz w:val="20"/>
                <w:szCs w:val="20"/>
              </w:rPr>
            </w:pPr>
            <w:r>
              <w:rPr>
                <w:color w:val="000000"/>
                <w:sz w:val="20"/>
                <w:szCs w:val="20"/>
              </w:rPr>
              <w:t>-</w:t>
            </w:r>
          </w:p>
        </w:tc>
        <w:tc>
          <w:tcPr>
            <w:tcW w:w="1156" w:type="dxa"/>
            <w:tcBorders>
              <w:top w:val="nil"/>
              <w:left w:val="nil"/>
              <w:bottom w:val="single" w:sz="12" w:space="0" w:color="auto"/>
              <w:right w:val="single" w:sz="12" w:space="0" w:color="auto"/>
            </w:tcBorders>
            <w:shd w:val="clear" w:color="auto" w:fill="auto"/>
            <w:vAlign w:val="center"/>
            <w:hideMark/>
          </w:tcPr>
          <w:p w14:paraId="78330F61" w14:textId="75256296" w:rsidR="001C2D0B" w:rsidRPr="001C2D0B" w:rsidRDefault="001C2D0B" w:rsidP="001C2D0B">
            <w:pPr>
              <w:jc w:val="center"/>
              <w:rPr>
                <w:color w:val="000000"/>
                <w:sz w:val="20"/>
                <w:szCs w:val="20"/>
              </w:rPr>
            </w:pPr>
            <w:r>
              <w:rPr>
                <w:color w:val="000000"/>
                <w:sz w:val="20"/>
                <w:szCs w:val="20"/>
              </w:rPr>
              <w:t>-</w:t>
            </w:r>
          </w:p>
        </w:tc>
        <w:tc>
          <w:tcPr>
            <w:tcW w:w="890" w:type="dxa"/>
            <w:tcBorders>
              <w:top w:val="nil"/>
              <w:left w:val="single" w:sz="12" w:space="0" w:color="auto"/>
              <w:bottom w:val="single" w:sz="12" w:space="0" w:color="auto"/>
              <w:right w:val="single" w:sz="4" w:space="0" w:color="auto"/>
            </w:tcBorders>
            <w:shd w:val="clear" w:color="auto" w:fill="auto"/>
            <w:vAlign w:val="center"/>
            <w:hideMark/>
          </w:tcPr>
          <w:p w14:paraId="59E1F027" w14:textId="36440B1B" w:rsidR="001C2D0B" w:rsidRPr="001C2D0B" w:rsidRDefault="001C2D0B" w:rsidP="001C2D0B">
            <w:pPr>
              <w:jc w:val="center"/>
              <w:rPr>
                <w:color w:val="000000"/>
                <w:sz w:val="20"/>
                <w:szCs w:val="20"/>
              </w:rPr>
            </w:pPr>
            <w:r>
              <w:rPr>
                <w:color w:val="000000"/>
                <w:sz w:val="20"/>
                <w:szCs w:val="20"/>
              </w:rPr>
              <w:t>-</w:t>
            </w:r>
          </w:p>
        </w:tc>
        <w:tc>
          <w:tcPr>
            <w:tcW w:w="1094" w:type="dxa"/>
            <w:tcBorders>
              <w:top w:val="nil"/>
              <w:left w:val="nil"/>
              <w:bottom w:val="single" w:sz="12" w:space="0" w:color="auto"/>
              <w:right w:val="single" w:sz="12" w:space="0" w:color="auto"/>
            </w:tcBorders>
            <w:shd w:val="clear" w:color="auto" w:fill="auto"/>
            <w:vAlign w:val="center"/>
            <w:hideMark/>
          </w:tcPr>
          <w:p w14:paraId="4BC6E202" w14:textId="6B6AD2F6" w:rsidR="001C2D0B" w:rsidRPr="001C2D0B" w:rsidRDefault="001C2D0B" w:rsidP="001C2D0B">
            <w:pPr>
              <w:jc w:val="center"/>
              <w:rPr>
                <w:color w:val="000000"/>
                <w:sz w:val="20"/>
                <w:szCs w:val="20"/>
              </w:rPr>
            </w:pPr>
            <w:r>
              <w:rPr>
                <w:color w:val="000000"/>
                <w:sz w:val="20"/>
                <w:szCs w:val="20"/>
              </w:rPr>
              <w:t>-</w:t>
            </w:r>
          </w:p>
        </w:tc>
        <w:tc>
          <w:tcPr>
            <w:tcW w:w="890" w:type="dxa"/>
            <w:tcBorders>
              <w:top w:val="nil"/>
              <w:left w:val="single" w:sz="12" w:space="0" w:color="auto"/>
              <w:bottom w:val="single" w:sz="12" w:space="0" w:color="auto"/>
              <w:right w:val="single" w:sz="4" w:space="0" w:color="auto"/>
            </w:tcBorders>
            <w:shd w:val="clear" w:color="auto" w:fill="auto"/>
            <w:vAlign w:val="bottom"/>
            <w:hideMark/>
          </w:tcPr>
          <w:p w14:paraId="27D93866" w14:textId="7C2C247E" w:rsidR="001C2D0B" w:rsidRPr="001C2D0B" w:rsidRDefault="001C2D0B" w:rsidP="001C2D0B">
            <w:pPr>
              <w:jc w:val="center"/>
              <w:rPr>
                <w:color w:val="000000"/>
                <w:sz w:val="20"/>
                <w:szCs w:val="20"/>
              </w:rPr>
            </w:pPr>
            <w:r w:rsidRPr="001C2D0B">
              <w:rPr>
                <w:color w:val="000000"/>
                <w:sz w:val="20"/>
                <w:szCs w:val="20"/>
              </w:rPr>
              <w:t>8.895</w:t>
            </w:r>
          </w:p>
        </w:tc>
        <w:tc>
          <w:tcPr>
            <w:tcW w:w="1241" w:type="dxa"/>
            <w:tcBorders>
              <w:top w:val="nil"/>
              <w:left w:val="nil"/>
              <w:bottom w:val="single" w:sz="12" w:space="0" w:color="auto"/>
              <w:right w:val="single" w:sz="12" w:space="0" w:color="auto"/>
            </w:tcBorders>
            <w:shd w:val="clear" w:color="auto" w:fill="auto"/>
            <w:vAlign w:val="bottom"/>
            <w:hideMark/>
          </w:tcPr>
          <w:p w14:paraId="53557A71" w14:textId="4481032A" w:rsidR="001C2D0B" w:rsidRPr="001C2D0B" w:rsidRDefault="001C2D0B" w:rsidP="001C2D0B">
            <w:pPr>
              <w:jc w:val="center"/>
              <w:rPr>
                <w:color w:val="000000"/>
                <w:sz w:val="20"/>
                <w:szCs w:val="20"/>
              </w:rPr>
            </w:pPr>
            <w:r w:rsidRPr="001C2D0B">
              <w:rPr>
                <w:color w:val="000000"/>
                <w:sz w:val="20"/>
                <w:szCs w:val="20"/>
              </w:rPr>
              <w:t>53.82</w:t>
            </w:r>
          </w:p>
        </w:tc>
      </w:tr>
      <w:tr w:rsidR="00E43FC2" w:rsidRPr="002761FB" w14:paraId="492F0446" w14:textId="77777777" w:rsidTr="001C2D0B">
        <w:trPr>
          <w:trHeight w:val="266"/>
        </w:trPr>
        <w:tc>
          <w:tcPr>
            <w:tcW w:w="5301" w:type="dxa"/>
            <w:tcBorders>
              <w:top w:val="nil"/>
              <w:left w:val="single" w:sz="12" w:space="0" w:color="auto"/>
              <w:bottom w:val="single" w:sz="12" w:space="0" w:color="auto"/>
              <w:right w:val="single" w:sz="12" w:space="0" w:color="auto"/>
            </w:tcBorders>
            <w:shd w:val="clear" w:color="auto" w:fill="auto"/>
            <w:vAlign w:val="center"/>
          </w:tcPr>
          <w:p w14:paraId="3055C15C" w14:textId="6990D074" w:rsidR="00E43FC2" w:rsidRDefault="00E43FC2" w:rsidP="00E43FC2">
            <w:pPr>
              <w:rPr>
                <w:rFonts w:eastAsia="Calibri"/>
                <w:color w:val="000000"/>
                <w:sz w:val="20"/>
                <w:szCs w:val="20"/>
                <w:lang w:eastAsia="en-CA"/>
              </w:rPr>
            </w:pPr>
            <w:r w:rsidRPr="006A4C6F">
              <w:rPr>
                <w:rFonts w:eastAsia="Calibri"/>
                <w:color w:val="000000"/>
                <w:sz w:val="20"/>
                <w:szCs w:val="20"/>
                <w:lang w:eastAsia="en-CA"/>
              </w:rPr>
              <w:t>Log-likelihood at convergence</w:t>
            </w:r>
            <w:r w:rsidR="00F616FF">
              <w:rPr>
                <w:rFonts w:eastAsia="Calibri"/>
                <w:color w:val="000000"/>
                <w:sz w:val="20"/>
                <w:szCs w:val="20"/>
                <w:lang w:eastAsia="en-CA"/>
              </w:rPr>
              <w:t xml:space="preserve"> (</w:t>
            </w:r>
            <w:r w:rsidR="00F616FF" w:rsidRPr="006A4C6F">
              <w:rPr>
                <w:rFonts w:eastAsia="Calibri"/>
                <w:color w:val="000000"/>
                <w:sz w:val="20"/>
                <w:szCs w:val="20"/>
                <w:lang w:eastAsia="en-CA"/>
              </w:rPr>
              <w:t>Number of observations</w:t>
            </w:r>
            <w:r w:rsidR="00F616FF">
              <w:rPr>
                <w:rFonts w:eastAsia="Calibri"/>
                <w:color w:val="000000"/>
                <w:sz w:val="20"/>
                <w:szCs w:val="20"/>
                <w:lang w:eastAsia="en-CA"/>
              </w:rPr>
              <w:t>)</w:t>
            </w:r>
          </w:p>
        </w:tc>
        <w:tc>
          <w:tcPr>
            <w:tcW w:w="1874" w:type="dxa"/>
            <w:gridSpan w:val="2"/>
            <w:tcBorders>
              <w:top w:val="nil"/>
              <w:left w:val="single" w:sz="12" w:space="0" w:color="auto"/>
              <w:bottom w:val="single" w:sz="12" w:space="0" w:color="auto"/>
              <w:right w:val="single" w:sz="12" w:space="0" w:color="auto"/>
            </w:tcBorders>
            <w:shd w:val="clear" w:color="auto" w:fill="auto"/>
            <w:vAlign w:val="center"/>
          </w:tcPr>
          <w:p w14:paraId="2A3D76B6" w14:textId="6C61F561" w:rsidR="00E43FC2" w:rsidRDefault="00E43FC2" w:rsidP="001C2D0B">
            <w:pPr>
              <w:jc w:val="center"/>
              <w:rPr>
                <w:rFonts w:eastAsia="Times New Roman"/>
                <w:color w:val="000000"/>
                <w:sz w:val="20"/>
                <w:szCs w:val="20"/>
                <w:lang w:eastAsia="en-CA"/>
              </w:rPr>
            </w:pPr>
            <w:r w:rsidRPr="006A4C6F">
              <w:rPr>
                <w:rFonts w:eastAsia="Times New Roman"/>
                <w:color w:val="000000"/>
                <w:sz w:val="20"/>
                <w:szCs w:val="20"/>
                <w:lang w:eastAsia="en-CA"/>
              </w:rPr>
              <w:t>-</w:t>
            </w:r>
            <w:r w:rsidR="00D92059">
              <w:rPr>
                <w:rFonts w:eastAsia="Times New Roman"/>
                <w:color w:val="000000"/>
                <w:sz w:val="20"/>
                <w:szCs w:val="20"/>
                <w:lang w:eastAsia="en-CA"/>
              </w:rPr>
              <w:t>98</w:t>
            </w:r>
            <w:r>
              <w:rPr>
                <w:rFonts w:eastAsia="Times New Roman"/>
                <w:color w:val="000000"/>
                <w:sz w:val="20"/>
                <w:szCs w:val="20"/>
                <w:lang w:eastAsia="en-CA"/>
              </w:rPr>
              <w:t>,</w:t>
            </w:r>
            <w:r w:rsidR="00D25963">
              <w:rPr>
                <w:rFonts w:eastAsia="Times New Roman"/>
                <w:color w:val="000000"/>
                <w:sz w:val="20"/>
                <w:szCs w:val="20"/>
                <w:lang w:eastAsia="en-CA"/>
              </w:rPr>
              <w:t>811</w:t>
            </w:r>
            <w:r>
              <w:rPr>
                <w:rFonts w:eastAsia="Times New Roman"/>
                <w:color w:val="000000"/>
                <w:sz w:val="20"/>
                <w:szCs w:val="20"/>
                <w:lang w:eastAsia="en-CA"/>
              </w:rPr>
              <w:t xml:space="preserve"> </w:t>
            </w:r>
            <w:r w:rsidR="00F616FF">
              <w:rPr>
                <w:rFonts w:eastAsia="Times New Roman"/>
                <w:color w:val="000000"/>
                <w:sz w:val="20"/>
                <w:szCs w:val="20"/>
                <w:lang w:eastAsia="en-CA"/>
              </w:rPr>
              <w:t>(</w:t>
            </w:r>
            <w:r w:rsidR="00F616FF" w:rsidRPr="006A4C6F">
              <w:rPr>
                <w:rFonts w:eastAsia="Calibri"/>
                <w:color w:val="000000"/>
                <w:sz w:val="20"/>
                <w:szCs w:val="20"/>
                <w:lang w:eastAsia="en-CA"/>
              </w:rPr>
              <w:t>68,880</w:t>
            </w:r>
            <w:r w:rsidR="00F616FF">
              <w:rPr>
                <w:rFonts w:eastAsia="Calibri"/>
                <w:color w:val="000000"/>
                <w:sz w:val="20"/>
                <w:szCs w:val="20"/>
                <w:lang w:eastAsia="en-CA"/>
              </w:rPr>
              <w:t>)</w:t>
            </w:r>
          </w:p>
        </w:tc>
        <w:tc>
          <w:tcPr>
            <w:tcW w:w="6161" w:type="dxa"/>
            <w:gridSpan w:val="6"/>
            <w:tcBorders>
              <w:top w:val="single" w:sz="12" w:space="0" w:color="auto"/>
              <w:left w:val="single" w:sz="12" w:space="0" w:color="auto"/>
            </w:tcBorders>
            <w:shd w:val="clear" w:color="auto" w:fill="auto"/>
            <w:vAlign w:val="center"/>
          </w:tcPr>
          <w:p w14:paraId="074A51C1" w14:textId="3585493A" w:rsidR="00E43FC2" w:rsidRPr="00C03963" w:rsidRDefault="00F616FF" w:rsidP="001C2D0B">
            <w:pPr>
              <w:rPr>
                <w:rFonts w:eastAsia="Times New Roman"/>
                <w:color w:val="000000"/>
                <w:sz w:val="20"/>
                <w:szCs w:val="20"/>
                <w:lang w:eastAsia="en-CA"/>
              </w:rPr>
            </w:pPr>
            <w:r>
              <w:rPr>
                <w:rFonts w:eastAsia="Times New Roman"/>
                <w:color w:val="000000"/>
                <w:sz w:val="20"/>
                <w:szCs w:val="20"/>
                <w:lang w:eastAsia="en-CA"/>
              </w:rPr>
              <w:t>- = Not applicable</w:t>
            </w:r>
          </w:p>
        </w:tc>
      </w:tr>
    </w:tbl>
    <w:p w14:paraId="433F1611" w14:textId="77777777" w:rsidR="006612A6" w:rsidRDefault="006612A6" w:rsidP="006612A6">
      <w:pPr>
        <w:pStyle w:val="Caption"/>
        <w:keepNext/>
        <w:jc w:val="center"/>
        <w:rPr>
          <w:b w:val="0"/>
          <w:color w:val="auto"/>
          <w:sz w:val="20"/>
        </w:rPr>
      </w:pPr>
    </w:p>
    <w:p w14:paraId="680D3FC0" w14:textId="2A670992" w:rsidR="002C424F" w:rsidRPr="001D596D" w:rsidRDefault="002C424F" w:rsidP="006612A6">
      <w:pPr>
        <w:pStyle w:val="Caption"/>
        <w:keepNext/>
        <w:jc w:val="center"/>
        <w:rPr>
          <w:color w:val="auto"/>
          <w:sz w:val="20"/>
          <w:szCs w:val="20"/>
        </w:rPr>
      </w:pPr>
      <w:r w:rsidRPr="001D596D">
        <w:rPr>
          <w:color w:val="auto"/>
          <w:sz w:val="20"/>
        </w:rPr>
        <w:t xml:space="preserve">TABLE </w:t>
      </w:r>
      <w:r w:rsidRPr="001D596D">
        <w:rPr>
          <w:color w:val="auto"/>
          <w:sz w:val="20"/>
        </w:rPr>
        <w:fldChar w:fldCharType="begin"/>
      </w:r>
      <w:r w:rsidRPr="001D596D">
        <w:rPr>
          <w:color w:val="auto"/>
          <w:sz w:val="20"/>
        </w:rPr>
        <w:instrText xml:space="preserve"> SEQ Table \* ARABIC </w:instrText>
      </w:r>
      <w:r w:rsidRPr="001D596D">
        <w:rPr>
          <w:color w:val="auto"/>
          <w:sz w:val="20"/>
        </w:rPr>
        <w:fldChar w:fldCharType="separate"/>
      </w:r>
      <w:r w:rsidR="00D23C38">
        <w:rPr>
          <w:noProof/>
          <w:color w:val="auto"/>
          <w:sz w:val="20"/>
        </w:rPr>
        <w:t>2</w:t>
      </w:r>
      <w:r w:rsidRPr="001D596D">
        <w:rPr>
          <w:color w:val="auto"/>
          <w:sz w:val="20"/>
        </w:rPr>
        <w:fldChar w:fldCharType="end"/>
      </w:r>
      <w:r w:rsidRPr="001D596D">
        <w:rPr>
          <w:color w:val="auto"/>
          <w:sz w:val="20"/>
        </w:rPr>
        <w:t xml:space="preserve">  </w:t>
      </w:r>
      <w:r w:rsidRPr="001D596D">
        <w:rPr>
          <w:color w:val="auto"/>
          <w:sz w:val="20"/>
          <w:szCs w:val="20"/>
        </w:rPr>
        <w:t>Aggregate Measures of Fit</w:t>
      </w:r>
    </w:p>
    <w:p w14:paraId="23DBD31F" w14:textId="77777777" w:rsidR="006612A6" w:rsidRPr="006612A6" w:rsidRDefault="006612A6" w:rsidP="006612A6"/>
    <w:tbl>
      <w:tblPr>
        <w:tblStyle w:val="TableGrid2"/>
        <w:tblW w:w="0" w:type="auto"/>
        <w:tblLook w:val="0600" w:firstRow="0" w:lastRow="0" w:firstColumn="0" w:lastColumn="0" w:noHBand="1" w:noVBand="1"/>
      </w:tblPr>
      <w:tblGrid>
        <w:gridCol w:w="2171"/>
        <w:gridCol w:w="2031"/>
        <w:gridCol w:w="2032"/>
        <w:gridCol w:w="2031"/>
        <w:gridCol w:w="2032"/>
        <w:gridCol w:w="2031"/>
        <w:gridCol w:w="2032"/>
        <w:gridCol w:w="10"/>
      </w:tblGrid>
      <w:tr w:rsidR="002C424F" w:rsidRPr="006A4C6F" w14:paraId="277A5914" w14:textId="77777777" w:rsidTr="001C2D0B">
        <w:trPr>
          <w:trHeight w:val="454"/>
        </w:trPr>
        <w:tc>
          <w:tcPr>
            <w:tcW w:w="2171" w:type="dxa"/>
            <w:vMerge w:val="restart"/>
            <w:tcBorders>
              <w:top w:val="single" w:sz="12" w:space="0" w:color="auto"/>
              <w:left w:val="single" w:sz="12" w:space="0" w:color="auto"/>
              <w:right w:val="single" w:sz="12" w:space="0" w:color="auto"/>
            </w:tcBorders>
            <w:vAlign w:val="center"/>
          </w:tcPr>
          <w:p w14:paraId="635B6A5F" w14:textId="77777777" w:rsidR="002C424F" w:rsidRPr="008D5422" w:rsidRDefault="002C424F" w:rsidP="002C424F">
            <w:pPr>
              <w:keepNext/>
              <w:keepLines/>
              <w:jc w:val="center"/>
              <w:rPr>
                <w:rFonts w:eastAsia="Calibri"/>
                <w:b/>
                <w:sz w:val="20"/>
                <w:szCs w:val="20"/>
              </w:rPr>
            </w:pPr>
            <w:r w:rsidRPr="008D5422">
              <w:rPr>
                <w:rFonts w:eastAsia="Calibri"/>
                <w:b/>
                <w:sz w:val="20"/>
                <w:szCs w:val="20"/>
              </w:rPr>
              <w:t>Availability levels/</w:t>
            </w:r>
          </w:p>
          <w:p w14:paraId="450CADDB" w14:textId="77777777" w:rsidR="002C424F" w:rsidRPr="008D5422" w:rsidRDefault="002C424F" w:rsidP="002C424F">
            <w:pPr>
              <w:keepNext/>
              <w:keepLines/>
              <w:jc w:val="center"/>
              <w:rPr>
                <w:rFonts w:eastAsia="Calibri"/>
                <w:b/>
                <w:sz w:val="20"/>
                <w:szCs w:val="20"/>
              </w:rPr>
            </w:pPr>
            <w:r w:rsidRPr="008D5422">
              <w:rPr>
                <w:rFonts w:eastAsia="Calibri"/>
                <w:b/>
                <w:sz w:val="20"/>
                <w:szCs w:val="20"/>
              </w:rPr>
              <w:t>Measures of fit</w:t>
            </w:r>
          </w:p>
        </w:tc>
        <w:tc>
          <w:tcPr>
            <w:tcW w:w="4063" w:type="dxa"/>
            <w:gridSpan w:val="2"/>
            <w:tcBorders>
              <w:top w:val="single" w:sz="12" w:space="0" w:color="auto"/>
              <w:left w:val="single" w:sz="12" w:space="0" w:color="auto"/>
              <w:right w:val="single" w:sz="12" w:space="0" w:color="auto"/>
            </w:tcBorders>
            <w:vAlign w:val="center"/>
          </w:tcPr>
          <w:p w14:paraId="12768141" w14:textId="77777777" w:rsidR="002C424F" w:rsidRPr="008D5422" w:rsidRDefault="002C424F" w:rsidP="002C424F">
            <w:pPr>
              <w:keepNext/>
              <w:keepLines/>
              <w:jc w:val="center"/>
              <w:rPr>
                <w:rFonts w:eastAsia="Calibri"/>
                <w:b/>
                <w:sz w:val="20"/>
                <w:szCs w:val="20"/>
              </w:rPr>
            </w:pPr>
            <w:r w:rsidRPr="008D5422">
              <w:rPr>
                <w:rFonts w:eastAsia="Calibri"/>
                <w:b/>
                <w:sz w:val="20"/>
                <w:szCs w:val="20"/>
              </w:rPr>
              <w:t>Full sample</w:t>
            </w:r>
          </w:p>
        </w:tc>
        <w:tc>
          <w:tcPr>
            <w:tcW w:w="4063" w:type="dxa"/>
            <w:gridSpan w:val="2"/>
            <w:tcBorders>
              <w:top w:val="single" w:sz="12" w:space="0" w:color="auto"/>
              <w:left w:val="single" w:sz="12" w:space="0" w:color="auto"/>
              <w:right w:val="single" w:sz="12" w:space="0" w:color="auto"/>
            </w:tcBorders>
            <w:vAlign w:val="center"/>
          </w:tcPr>
          <w:p w14:paraId="67495428" w14:textId="77777777" w:rsidR="002C424F" w:rsidRPr="008D5422" w:rsidRDefault="002C424F" w:rsidP="002C424F">
            <w:pPr>
              <w:keepNext/>
              <w:keepLines/>
              <w:jc w:val="center"/>
              <w:rPr>
                <w:rFonts w:eastAsia="Calibri"/>
                <w:b/>
                <w:sz w:val="20"/>
                <w:szCs w:val="20"/>
              </w:rPr>
            </w:pPr>
            <w:r w:rsidRPr="008D5422">
              <w:rPr>
                <w:rFonts w:eastAsia="Calibri"/>
                <w:b/>
                <w:sz w:val="20"/>
                <w:szCs w:val="20"/>
              </w:rPr>
              <w:t>Old port and Downtown</w:t>
            </w:r>
          </w:p>
        </w:tc>
        <w:tc>
          <w:tcPr>
            <w:tcW w:w="4073" w:type="dxa"/>
            <w:gridSpan w:val="3"/>
            <w:tcBorders>
              <w:top w:val="single" w:sz="12" w:space="0" w:color="auto"/>
              <w:left w:val="single" w:sz="12" w:space="0" w:color="auto"/>
              <w:right w:val="single" w:sz="12" w:space="0" w:color="auto"/>
            </w:tcBorders>
            <w:vAlign w:val="center"/>
          </w:tcPr>
          <w:p w14:paraId="032E6F8E" w14:textId="77777777" w:rsidR="002C424F" w:rsidRPr="008D5422" w:rsidRDefault="002C424F" w:rsidP="002C424F">
            <w:pPr>
              <w:keepNext/>
              <w:keepLines/>
              <w:jc w:val="center"/>
              <w:rPr>
                <w:rFonts w:eastAsia="Calibri"/>
                <w:b/>
                <w:sz w:val="20"/>
                <w:szCs w:val="20"/>
              </w:rPr>
            </w:pPr>
            <w:r w:rsidRPr="008D5422">
              <w:rPr>
                <w:rFonts w:eastAsia="Calibri"/>
                <w:b/>
                <w:sz w:val="20"/>
                <w:szCs w:val="20"/>
              </w:rPr>
              <w:t>&gt;5 km from Downtown (not old port)</w:t>
            </w:r>
          </w:p>
        </w:tc>
      </w:tr>
      <w:tr w:rsidR="002C424F" w:rsidRPr="006A4C6F" w14:paraId="46C10982" w14:textId="77777777" w:rsidTr="001C2D0B">
        <w:trPr>
          <w:trHeight w:val="454"/>
        </w:trPr>
        <w:tc>
          <w:tcPr>
            <w:tcW w:w="2171" w:type="dxa"/>
            <w:vMerge/>
            <w:tcBorders>
              <w:left w:val="single" w:sz="12" w:space="0" w:color="auto"/>
              <w:bottom w:val="single" w:sz="12" w:space="0" w:color="auto"/>
              <w:right w:val="single" w:sz="12" w:space="0" w:color="auto"/>
            </w:tcBorders>
            <w:vAlign w:val="center"/>
          </w:tcPr>
          <w:p w14:paraId="1BB81A7A" w14:textId="77777777" w:rsidR="002C424F" w:rsidRPr="008D5422" w:rsidRDefault="002C424F" w:rsidP="002C424F">
            <w:pPr>
              <w:keepNext/>
              <w:keepLines/>
              <w:jc w:val="center"/>
              <w:rPr>
                <w:rFonts w:eastAsia="Calibri"/>
                <w:b/>
                <w:sz w:val="20"/>
                <w:szCs w:val="20"/>
              </w:rPr>
            </w:pPr>
          </w:p>
        </w:tc>
        <w:tc>
          <w:tcPr>
            <w:tcW w:w="2031" w:type="dxa"/>
            <w:tcBorders>
              <w:left w:val="single" w:sz="12" w:space="0" w:color="auto"/>
              <w:bottom w:val="single" w:sz="12" w:space="0" w:color="auto"/>
            </w:tcBorders>
            <w:vAlign w:val="center"/>
          </w:tcPr>
          <w:p w14:paraId="00DC8C5F" w14:textId="77777777" w:rsidR="002C424F" w:rsidRPr="008D5422" w:rsidRDefault="002C424F" w:rsidP="002C424F">
            <w:pPr>
              <w:keepNext/>
              <w:keepLines/>
              <w:jc w:val="center"/>
              <w:rPr>
                <w:rFonts w:eastAsia="Calibri"/>
                <w:b/>
                <w:sz w:val="20"/>
                <w:szCs w:val="20"/>
              </w:rPr>
            </w:pPr>
            <w:r w:rsidRPr="008D5422">
              <w:rPr>
                <w:rFonts w:eastAsia="Calibri"/>
                <w:b/>
                <w:sz w:val="20"/>
                <w:szCs w:val="20"/>
              </w:rPr>
              <w:t>Actual shares</w:t>
            </w:r>
          </w:p>
          <w:p w14:paraId="2801C805" w14:textId="77777777" w:rsidR="002C424F" w:rsidRPr="008D5422" w:rsidRDefault="002C424F" w:rsidP="002C424F">
            <w:pPr>
              <w:keepNext/>
              <w:keepLines/>
              <w:jc w:val="center"/>
              <w:rPr>
                <w:rFonts w:eastAsia="Calibri"/>
                <w:b/>
                <w:sz w:val="20"/>
                <w:szCs w:val="20"/>
              </w:rPr>
            </w:pPr>
            <w:r w:rsidRPr="008D5422">
              <w:rPr>
                <w:rFonts w:eastAsia="Calibri"/>
                <w:b/>
                <w:sz w:val="20"/>
                <w:szCs w:val="20"/>
              </w:rPr>
              <w:t>(% records)</w:t>
            </w:r>
          </w:p>
        </w:tc>
        <w:tc>
          <w:tcPr>
            <w:tcW w:w="2032" w:type="dxa"/>
            <w:tcBorders>
              <w:bottom w:val="single" w:sz="12" w:space="0" w:color="auto"/>
              <w:right w:val="single" w:sz="12" w:space="0" w:color="auto"/>
            </w:tcBorders>
            <w:vAlign w:val="center"/>
          </w:tcPr>
          <w:p w14:paraId="6763216F" w14:textId="77777777" w:rsidR="002C424F" w:rsidRPr="008D5422" w:rsidRDefault="002C424F" w:rsidP="002C424F">
            <w:pPr>
              <w:keepNext/>
              <w:keepLines/>
              <w:jc w:val="center"/>
              <w:rPr>
                <w:rFonts w:eastAsia="Calibri"/>
                <w:b/>
                <w:sz w:val="20"/>
                <w:szCs w:val="20"/>
              </w:rPr>
            </w:pPr>
            <w:r w:rsidRPr="008D5422">
              <w:rPr>
                <w:rFonts w:eastAsia="Calibri"/>
                <w:b/>
                <w:sz w:val="20"/>
                <w:szCs w:val="20"/>
              </w:rPr>
              <w:t>Predicted shares (% records)</w:t>
            </w:r>
          </w:p>
        </w:tc>
        <w:tc>
          <w:tcPr>
            <w:tcW w:w="2031" w:type="dxa"/>
            <w:tcBorders>
              <w:left w:val="single" w:sz="12" w:space="0" w:color="auto"/>
              <w:bottom w:val="single" w:sz="12" w:space="0" w:color="auto"/>
            </w:tcBorders>
            <w:vAlign w:val="center"/>
          </w:tcPr>
          <w:p w14:paraId="61069ED0" w14:textId="77777777" w:rsidR="002C424F" w:rsidRPr="008D5422" w:rsidRDefault="002C424F" w:rsidP="002C424F">
            <w:pPr>
              <w:keepNext/>
              <w:keepLines/>
              <w:jc w:val="center"/>
              <w:rPr>
                <w:rFonts w:eastAsia="Calibri"/>
                <w:b/>
                <w:sz w:val="20"/>
                <w:szCs w:val="20"/>
              </w:rPr>
            </w:pPr>
            <w:r w:rsidRPr="008D5422">
              <w:rPr>
                <w:rFonts w:eastAsia="Calibri"/>
                <w:b/>
                <w:sz w:val="20"/>
                <w:szCs w:val="20"/>
              </w:rPr>
              <w:t>Actual shares</w:t>
            </w:r>
          </w:p>
          <w:p w14:paraId="560780E8" w14:textId="77777777" w:rsidR="002C424F" w:rsidRPr="008D5422" w:rsidRDefault="002C424F" w:rsidP="002C424F">
            <w:pPr>
              <w:keepNext/>
              <w:keepLines/>
              <w:jc w:val="center"/>
              <w:rPr>
                <w:rFonts w:eastAsia="Calibri"/>
                <w:b/>
                <w:sz w:val="20"/>
                <w:szCs w:val="20"/>
              </w:rPr>
            </w:pPr>
            <w:r w:rsidRPr="008D5422">
              <w:rPr>
                <w:rFonts w:eastAsia="Calibri"/>
                <w:b/>
                <w:sz w:val="20"/>
                <w:szCs w:val="20"/>
              </w:rPr>
              <w:t>(% records)</w:t>
            </w:r>
          </w:p>
        </w:tc>
        <w:tc>
          <w:tcPr>
            <w:tcW w:w="2032" w:type="dxa"/>
            <w:tcBorders>
              <w:bottom w:val="single" w:sz="12" w:space="0" w:color="auto"/>
              <w:right w:val="single" w:sz="12" w:space="0" w:color="auto"/>
            </w:tcBorders>
            <w:vAlign w:val="center"/>
          </w:tcPr>
          <w:p w14:paraId="78E91AF8" w14:textId="77777777" w:rsidR="002C424F" w:rsidRPr="008D5422" w:rsidRDefault="002C424F" w:rsidP="002C424F">
            <w:pPr>
              <w:keepNext/>
              <w:keepLines/>
              <w:jc w:val="center"/>
              <w:rPr>
                <w:rFonts w:eastAsia="Calibri"/>
                <w:b/>
                <w:sz w:val="20"/>
                <w:szCs w:val="20"/>
              </w:rPr>
            </w:pPr>
            <w:r w:rsidRPr="008D5422">
              <w:rPr>
                <w:rFonts w:eastAsia="Calibri"/>
                <w:b/>
                <w:sz w:val="20"/>
                <w:szCs w:val="20"/>
              </w:rPr>
              <w:t>Predicted shares (% records)</w:t>
            </w:r>
          </w:p>
        </w:tc>
        <w:tc>
          <w:tcPr>
            <w:tcW w:w="2031" w:type="dxa"/>
            <w:tcBorders>
              <w:left w:val="single" w:sz="12" w:space="0" w:color="auto"/>
              <w:bottom w:val="single" w:sz="12" w:space="0" w:color="auto"/>
            </w:tcBorders>
            <w:vAlign w:val="center"/>
          </w:tcPr>
          <w:p w14:paraId="21BCA25E" w14:textId="77777777" w:rsidR="002C424F" w:rsidRPr="008D5422" w:rsidRDefault="002C424F" w:rsidP="002C424F">
            <w:pPr>
              <w:keepNext/>
              <w:keepLines/>
              <w:jc w:val="center"/>
              <w:rPr>
                <w:rFonts w:eastAsia="Calibri"/>
                <w:b/>
                <w:sz w:val="20"/>
                <w:szCs w:val="20"/>
              </w:rPr>
            </w:pPr>
            <w:r w:rsidRPr="008D5422">
              <w:rPr>
                <w:rFonts w:eastAsia="Calibri"/>
                <w:b/>
                <w:sz w:val="20"/>
                <w:szCs w:val="20"/>
              </w:rPr>
              <w:t>Actual shares</w:t>
            </w:r>
          </w:p>
          <w:p w14:paraId="5CADB6CE" w14:textId="77777777" w:rsidR="002C424F" w:rsidRPr="008D5422" w:rsidRDefault="002C424F" w:rsidP="002C424F">
            <w:pPr>
              <w:keepNext/>
              <w:keepLines/>
              <w:jc w:val="center"/>
              <w:rPr>
                <w:rFonts w:eastAsia="Calibri"/>
                <w:b/>
                <w:sz w:val="20"/>
                <w:szCs w:val="20"/>
              </w:rPr>
            </w:pPr>
            <w:r w:rsidRPr="008D5422">
              <w:rPr>
                <w:rFonts w:eastAsia="Calibri"/>
                <w:b/>
                <w:sz w:val="20"/>
                <w:szCs w:val="20"/>
              </w:rPr>
              <w:t>(% records)</w:t>
            </w:r>
          </w:p>
        </w:tc>
        <w:tc>
          <w:tcPr>
            <w:tcW w:w="2042" w:type="dxa"/>
            <w:gridSpan w:val="2"/>
            <w:tcBorders>
              <w:bottom w:val="single" w:sz="12" w:space="0" w:color="auto"/>
              <w:right w:val="single" w:sz="12" w:space="0" w:color="auto"/>
            </w:tcBorders>
            <w:vAlign w:val="center"/>
          </w:tcPr>
          <w:p w14:paraId="0F4AE1B1" w14:textId="77777777" w:rsidR="002C424F" w:rsidRPr="008D5422" w:rsidRDefault="002C424F" w:rsidP="002C424F">
            <w:pPr>
              <w:keepNext/>
              <w:keepLines/>
              <w:jc w:val="center"/>
              <w:rPr>
                <w:rFonts w:eastAsia="Calibri"/>
                <w:b/>
                <w:sz w:val="20"/>
                <w:szCs w:val="20"/>
              </w:rPr>
            </w:pPr>
            <w:r w:rsidRPr="008D5422">
              <w:rPr>
                <w:rFonts w:eastAsia="Calibri"/>
                <w:b/>
                <w:sz w:val="20"/>
                <w:szCs w:val="20"/>
              </w:rPr>
              <w:t>Predicted shares (% records)</w:t>
            </w:r>
          </w:p>
        </w:tc>
      </w:tr>
      <w:tr w:rsidR="00662188" w:rsidRPr="006A4C6F" w14:paraId="3B89EC16" w14:textId="77777777" w:rsidTr="00043370">
        <w:trPr>
          <w:gridAfter w:val="1"/>
          <w:wAfter w:w="10" w:type="dxa"/>
          <w:trHeight w:val="283"/>
        </w:trPr>
        <w:tc>
          <w:tcPr>
            <w:tcW w:w="2171" w:type="dxa"/>
            <w:tcBorders>
              <w:top w:val="single" w:sz="12" w:space="0" w:color="auto"/>
              <w:left w:val="single" w:sz="12" w:space="0" w:color="auto"/>
              <w:right w:val="single" w:sz="12" w:space="0" w:color="auto"/>
            </w:tcBorders>
            <w:vAlign w:val="center"/>
          </w:tcPr>
          <w:p w14:paraId="7696A1A1" w14:textId="77777777" w:rsidR="00662188" w:rsidRPr="008D5422" w:rsidRDefault="00662188" w:rsidP="00662188">
            <w:pPr>
              <w:keepNext/>
              <w:keepLines/>
              <w:jc w:val="center"/>
              <w:rPr>
                <w:rFonts w:eastAsia="Calibri"/>
                <w:sz w:val="20"/>
                <w:szCs w:val="20"/>
              </w:rPr>
            </w:pPr>
            <w:r w:rsidRPr="008D5422">
              <w:rPr>
                <w:rFonts w:eastAsia="Calibri"/>
                <w:sz w:val="20"/>
                <w:szCs w:val="20"/>
              </w:rPr>
              <w:t>0-0.2</w:t>
            </w:r>
          </w:p>
        </w:tc>
        <w:tc>
          <w:tcPr>
            <w:tcW w:w="2031" w:type="dxa"/>
            <w:tcBorders>
              <w:top w:val="single" w:sz="12" w:space="0" w:color="auto"/>
              <w:left w:val="single" w:sz="12" w:space="0" w:color="auto"/>
            </w:tcBorders>
            <w:vAlign w:val="center"/>
          </w:tcPr>
          <w:p w14:paraId="0BC3A2CA" w14:textId="7D745FBB" w:rsidR="00662188" w:rsidRPr="008D5422" w:rsidRDefault="00662188" w:rsidP="00662188">
            <w:pPr>
              <w:keepNext/>
              <w:keepLines/>
              <w:jc w:val="center"/>
              <w:rPr>
                <w:rFonts w:eastAsia="Calibri"/>
                <w:sz w:val="20"/>
                <w:szCs w:val="20"/>
              </w:rPr>
            </w:pPr>
            <w:r w:rsidRPr="008D5422">
              <w:rPr>
                <w:rFonts w:eastAsia="Calibri"/>
                <w:sz w:val="20"/>
                <w:szCs w:val="20"/>
              </w:rPr>
              <w:t>25.8</w:t>
            </w:r>
          </w:p>
        </w:tc>
        <w:tc>
          <w:tcPr>
            <w:tcW w:w="2032" w:type="dxa"/>
            <w:tcBorders>
              <w:top w:val="single" w:sz="12" w:space="0" w:color="auto"/>
              <w:right w:val="single" w:sz="12" w:space="0" w:color="auto"/>
            </w:tcBorders>
            <w:vAlign w:val="bottom"/>
          </w:tcPr>
          <w:p w14:paraId="6B48D840" w14:textId="4B59E9D6" w:rsidR="00662188" w:rsidRPr="008D5422" w:rsidRDefault="00662188" w:rsidP="00662188">
            <w:pPr>
              <w:keepNext/>
              <w:keepLines/>
              <w:jc w:val="center"/>
              <w:rPr>
                <w:rFonts w:eastAsia="Calibri"/>
                <w:sz w:val="20"/>
                <w:szCs w:val="20"/>
              </w:rPr>
            </w:pPr>
            <w:r w:rsidRPr="001C2D0B">
              <w:rPr>
                <w:rFonts w:eastAsia="Calibri"/>
                <w:sz w:val="20"/>
                <w:szCs w:val="20"/>
              </w:rPr>
              <w:t>26.8</w:t>
            </w:r>
          </w:p>
        </w:tc>
        <w:tc>
          <w:tcPr>
            <w:tcW w:w="2031" w:type="dxa"/>
            <w:tcBorders>
              <w:top w:val="single" w:sz="12" w:space="0" w:color="auto"/>
              <w:left w:val="single" w:sz="12" w:space="0" w:color="auto"/>
            </w:tcBorders>
            <w:vAlign w:val="center"/>
          </w:tcPr>
          <w:p w14:paraId="649D0A48" w14:textId="77777777" w:rsidR="00662188" w:rsidRPr="008D5422" w:rsidRDefault="00662188" w:rsidP="00662188">
            <w:pPr>
              <w:keepNext/>
              <w:keepLines/>
              <w:jc w:val="center"/>
              <w:rPr>
                <w:rFonts w:eastAsia="Calibri"/>
                <w:sz w:val="20"/>
                <w:szCs w:val="20"/>
              </w:rPr>
            </w:pPr>
            <w:r w:rsidRPr="008D5422">
              <w:rPr>
                <w:rFonts w:eastAsia="Calibri"/>
                <w:sz w:val="20"/>
                <w:szCs w:val="20"/>
              </w:rPr>
              <w:t>36.8</w:t>
            </w:r>
          </w:p>
        </w:tc>
        <w:tc>
          <w:tcPr>
            <w:tcW w:w="2032" w:type="dxa"/>
            <w:tcBorders>
              <w:top w:val="single" w:sz="12" w:space="0" w:color="auto"/>
              <w:right w:val="single" w:sz="12" w:space="0" w:color="auto"/>
            </w:tcBorders>
            <w:vAlign w:val="bottom"/>
          </w:tcPr>
          <w:p w14:paraId="77A04FE2" w14:textId="0755CAF1" w:rsidR="00662188" w:rsidRPr="008D5422" w:rsidRDefault="00662188" w:rsidP="00662188">
            <w:pPr>
              <w:keepNext/>
              <w:keepLines/>
              <w:jc w:val="center"/>
              <w:rPr>
                <w:rFonts w:eastAsia="Calibri"/>
                <w:sz w:val="20"/>
                <w:szCs w:val="20"/>
              </w:rPr>
            </w:pPr>
            <w:r w:rsidRPr="001C2D0B">
              <w:rPr>
                <w:rFonts w:eastAsia="Calibri"/>
                <w:sz w:val="20"/>
                <w:szCs w:val="20"/>
              </w:rPr>
              <w:t>39.4</w:t>
            </w:r>
          </w:p>
        </w:tc>
        <w:tc>
          <w:tcPr>
            <w:tcW w:w="2031" w:type="dxa"/>
            <w:tcBorders>
              <w:top w:val="single" w:sz="12" w:space="0" w:color="auto"/>
              <w:left w:val="single" w:sz="12" w:space="0" w:color="auto"/>
            </w:tcBorders>
            <w:vAlign w:val="center"/>
          </w:tcPr>
          <w:p w14:paraId="5C25883C" w14:textId="77777777" w:rsidR="00662188" w:rsidRPr="008D5422" w:rsidRDefault="00662188" w:rsidP="00662188">
            <w:pPr>
              <w:keepNext/>
              <w:keepLines/>
              <w:jc w:val="center"/>
              <w:rPr>
                <w:rFonts w:eastAsia="Calibri"/>
                <w:sz w:val="20"/>
                <w:szCs w:val="20"/>
              </w:rPr>
            </w:pPr>
            <w:r w:rsidRPr="008D5422">
              <w:rPr>
                <w:rFonts w:eastAsia="Calibri"/>
                <w:sz w:val="20"/>
                <w:szCs w:val="20"/>
              </w:rPr>
              <w:t>19.5</w:t>
            </w:r>
          </w:p>
        </w:tc>
        <w:tc>
          <w:tcPr>
            <w:tcW w:w="2032" w:type="dxa"/>
            <w:tcBorders>
              <w:top w:val="single" w:sz="12" w:space="0" w:color="auto"/>
              <w:right w:val="single" w:sz="12" w:space="0" w:color="auto"/>
            </w:tcBorders>
            <w:vAlign w:val="bottom"/>
          </w:tcPr>
          <w:p w14:paraId="26E85ECF" w14:textId="69707B06" w:rsidR="00662188" w:rsidRPr="008D5422" w:rsidRDefault="00662188" w:rsidP="00662188">
            <w:pPr>
              <w:keepNext/>
              <w:keepLines/>
              <w:jc w:val="center"/>
              <w:rPr>
                <w:rFonts w:eastAsia="Calibri"/>
                <w:sz w:val="20"/>
                <w:szCs w:val="20"/>
              </w:rPr>
            </w:pPr>
            <w:r w:rsidRPr="00662188">
              <w:rPr>
                <w:rFonts w:eastAsia="Calibri"/>
                <w:sz w:val="20"/>
                <w:szCs w:val="20"/>
              </w:rPr>
              <w:t>19.8</w:t>
            </w:r>
          </w:p>
        </w:tc>
      </w:tr>
      <w:tr w:rsidR="00662188" w:rsidRPr="006A4C6F" w14:paraId="205C4C68" w14:textId="77777777" w:rsidTr="00043370">
        <w:trPr>
          <w:gridAfter w:val="1"/>
          <w:wAfter w:w="10" w:type="dxa"/>
          <w:trHeight w:val="283"/>
        </w:trPr>
        <w:tc>
          <w:tcPr>
            <w:tcW w:w="2171" w:type="dxa"/>
            <w:tcBorders>
              <w:left w:val="single" w:sz="12" w:space="0" w:color="auto"/>
              <w:right w:val="single" w:sz="12" w:space="0" w:color="auto"/>
            </w:tcBorders>
            <w:vAlign w:val="center"/>
          </w:tcPr>
          <w:p w14:paraId="3532ED5F" w14:textId="77777777" w:rsidR="00662188" w:rsidRPr="008D5422" w:rsidRDefault="00662188" w:rsidP="00662188">
            <w:pPr>
              <w:keepNext/>
              <w:keepLines/>
              <w:jc w:val="center"/>
              <w:rPr>
                <w:rFonts w:eastAsia="Calibri"/>
                <w:sz w:val="20"/>
                <w:szCs w:val="20"/>
              </w:rPr>
            </w:pPr>
            <w:r w:rsidRPr="008D5422">
              <w:rPr>
                <w:rFonts w:eastAsia="Calibri"/>
                <w:sz w:val="20"/>
                <w:szCs w:val="20"/>
              </w:rPr>
              <w:t>0.2-0.4</w:t>
            </w:r>
          </w:p>
        </w:tc>
        <w:tc>
          <w:tcPr>
            <w:tcW w:w="2031" w:type="dxa"/>
            <w:tcBorders>
              <w:left w:val="single" w:sz="12" w:space="0" w:color="auto"/>
            </w:tcBorders>
            <w:vAlign w:val="center"/>
          </w:tcPr>
          <w:p w14:paraId="7DC92622" w14:textId="74899306" w:rsidR="00662188" w:rsidRPr="008D5422" w:rsidRDefault="00662188" w:rsidP="00662188">
            <w:pPr>
              <w:keepNext/>
              <w:keepLines/>
              <w:jc w:val="center"/>
              <w:rPr>
                <w:rFonts w:eastAsia="Calibri"/>
                <w:sz w:val="20"/>
                <w:szCs w:val="20"/>
              </w:rPr>
            </w:pPr>
            <w:r w:rsidRPr="008D5422">
              <w:rPr>
                <w:rFonts w:eastAsia="Calibri"/>
                <w:sz w:val="20"/>
                <w:szCs w:val="20"/>
              </w:rPr>
              <w:t>18.1</w:t>
            </w:r>
          </w:p>
        </w:tc>
        <w:tc>
          <w:tcPr>
            <w:tcW w:w="2032" w:type="dxa"/>
            <w:tcBorders>
              <w:right w:val="single" w:sz="12" w:space="0" w:color="auto"/>
            </w:tcBorders>
            <w:vAlign w:val="bottom"/>
          </w:tcPr>
          <w:p w14:paraId="28C8D147" w14:textId="08AE21E3" w:rsidR="00662188" w:rsidRPr="008D5422" w:rsidRDefault="00662188" w:rsidP="00662188">
            <w:pPr>
              <w:keepNext/>
              <w:keepLines/>
              <w:jc w:val="center"/>
              <w:rPr>
                <w:rFonts w:eastAsia="Calibri"/>
                <w:sz w:val="20"/>
                <w:szCs w:val="20"/>
              </w:rPr>
            </w:pPr>
            <w:r w:rsidRPr="001C2D0B">
              <w:rPr>
                <w:rFonts w:eastAsia="Calibri"/>
                <w:sz w:val="20"/>
                <w:szCs w:val="20"/>
              </w:rPr>
              <w:t>18.4</w:t>
            </w:r>
          </w:p>
        </w:tc>
        <w:tc>
          <w:tcPr>
            <w:tcW w:w="2031" w:type="dxa"/>
            <w:tcBorders>
              <w:left w:val="single" w:sz="12" w:space="0" w:color="auto"/>
            </w:tcBorders>
            <w:vAlign w:val="center"/>
          </w:tcPr>
          <w:p w14:paraId="3B114C10" w14:textId="77777777" w:rsidR="00662188" w:rsidRPr="008D5422" w:rsidRDefault="00662188" w:rsidP="00662188">
            <w:pPr>
              <w:keepNext/>
              <w:keepLines/>
              <w:jc w:val="center"/>
              <w:rPr>
                <w:rFonts w:eastAsia="Calibri"/>
                <w:sz w:val="20"/>
                <w:szCs w:val="20"/>
              </w:rPr>
            </w:pPr>
            <w:r w:rsidRPr="008D5422">
              <w:rPr>
                <w:rFonts w:eastAsia="Calibri"/>
                <w:sz w:val="20"/>
                <w:szCs w:val="20"/>
              </w:rPr>
              <w:t>17.3</w:t>
            </w:r>
          </w:p>
        </w:tc>
        <w:tc>
          <w:tcPr>
            <w:tcW w:w="2032" w:type="dxa"/>
            <w:tcBorders>
              <w:right w:val="single" w:sz="12" w:space="0" w:color="auto"/>
            </w:tcBorders>
            <w:vAlign w:val="bottom"/>
          </w:tcPr>
          <w:p w14:paraId="219FCF4A" w14:textId="0B726C84" w:rsidR="00662188" w:rsidRPr="008D5422" w:rsidRDefault="00662188" w:rsidP="00662188">
            <w:pPr>
              <w:keepNext/>
              <w:keepLines/>
              <w:jc w:val="center"/>
              <w:rPr>
                <w:rFonts w:eastAsia="Calibri"/>
                <w:sz w:val="20"/>
                <w:szCs w:val="20"/>
              </w:rPr>
            </w:pPr>
            <w:r w:rsidRPr="001C2D0B">
              <w:rPr>
                <w:rFonts w:eastAsia="Calibri"/>
                <w:sz w:val="20"/>
                <w:szCs w:val="20"/>
              </w:rPr>
              <w:t>18.2</w:t>
            </w:r>
          </w:p>
        </w:tc>
        <w:tc>
          <w:tcPr>
            <w:tcW w:w="2031" w:type="dxa"/>
            <w:tcBorders>
              <w:left w:val="single" w:sz="12" w:space="0" w:color="auto"/>
            </w:tcBorders>
            <w:vAlign w:val="center"/>
          </w:tcPr>
          <w:p w14:paraId="0AE01CAF" w14:textId="77777777" w:rsidR="00662188" w:rsidRPr="008D5422" w:rsidRDefault="00662188" w:rsidP="00662188">
            <w:pPr>
              <w:keepNext/>
              <w:keepLines/>
              <w:jc w:val="center"/>
              <w:rPr>
                <w:rFonts w:eastAsia="Calibri"/>
                <w:sz w:val="20"/>
                <w:szCs w:val="20"/>
              </w:rPr>
            </w:pPr>
            <w:r w:rsidRPr="008D5422">
              <w:rPr>
                <w:rFonts w:eastAsia="Calibri"/>
                <w:sz w:val="20"/>
                <w:szCs w:val="20"/>
              </w:rPr>
              <w:t>17.5</w:t>
            </w:r>
          </w:p>
        </w:tc>
        <w:tc>
          <w:tcPr>
            <w:tcW w:w="2032" w:type="dxa"/>
            <w:tcBorders>
              <w:right w:val="single" w:sz="12" w:space="0" w:color="auto"/>
            </w:tcBorders>
            <w:vAlign w:val="bottom"/>
          </w:tcPr>
          <w:p w14:paraId="52B90E09" w14:textId="181E05C5" w:rsidR="00662188" w:rsidRPr="008D5422" w:rsidRDefault="00662188" w:rsidP="00662188">
            <w:pPr>
              <w:keepNext/>
              <w:keepLines/>
              <w:jc w:val="center"/>
              <w:rPr>
                <w:rFonts w:eastAsia="Calibri"/>
                <w:sz w:val="20"/>
                <w:szCs w:val="20"/>
              </w:rPr>
            </w:pPr>
            <w:r w:rsidRPr="00662188">
              <w:rPr>
                <w:rFonts w:eastAsia="Calibri"/>
                <w:sz w:val="20"/>
                <w:szCs w:val="20"/>
              </w:rPr>
              <w:t>19.4</w:t>
            </w:r>
          </w:p>
        </w:tc>
      </w:tr>
      <w:tr w:rsidR="00662188" w:rsidRPr="006A4C6F" w14:paraId="2477DE24" w14:textId="77777777" w:rsidTr="00043370">
        <w:trPr>
          <w:gridAfter w:val="1"/>
          <w:wAfter w:w="10" w:type="dxa"/>
          <w:trHeight w:val="283"/>
        </w:trPr>
        <w:tc>
          <w:tcPr>
            <w:tcW w:w="2171" w:type="dxa"/>
            <w:tcBorders>
              <w:left w:val="single" w:sz="12" w:space="0" w:color="auto"/>
              <w:right w:val="single" w:sz="12" w:space="0" w:color="auto"/>
            </w:tcBorders>
            <w:vAlign w:val="center"/>
          </w:tcPr>
          <w:p w14:paraId="0FEC0328" w14:textId="77777777" w:rsidR="00662188" w:rsidRPr="008D5422" w:rsidRDefault="00662188" w:rsidP="00662188">
            <w:pPr>
              <w:keepNext/>
              <w:keepLines/>
              <w:jc w:val="center"/>
              <w:rPr>
                <w:rFonts w:eastAsia="Calibri"/>
                <w:sz w:val="20"/>
                <w:szCs w:val="20"/>
              </w:rPr>
            </w:pPr>
            <w:r w:rsidRPr="008D5422">
              <w:rPr>
                <w:rFonts w:eastAsia="Calibri"/>
                <w:sz w:val="20"/>
                <w:szCs w:val="20"/>
              </w:rPr>
              <w:t>0.4-0.6</w:t>
            </w:r>
          </w:p>
        </w:tc>
        <w:tc>
          <w:tcPr>
            <w:tcW w:w="2031" w:type="dxa"/>
            <w:tcBorders>
              <w:left w:val="single" w:sz="12" w:space="0" w:color="auto"/>
            </w:tcBorders>
            <w:vAlign w:val="center"/>
          </w:tcPr>
          <w:p w14:paraId="6C41D30C" w14:textId="5CDA4464" w:rsidR="00662188" w:rsidRPr="008D5422" w:rsidRDefault="00662188" w:rsidP="00662188">
            <w:pPr>
              <w:keepNext/>
              <w:keepLines/>
              <w:jc w:val="center"/>
              <w:rPr>
                <w:rFonts w:eastAsia="Calibri"/>
                <w:sz w:val="20"/>
                <w:szCs w:val="20"/>
              </w:rPr>
            </w:pPr>
            <w:r w:rsidRPr="008D5422">
              <w:rPr>
                <w:rFonts w:eastAsia="Calibri"/>
                <w:sz w:val="20"/>
                <w:szCs w:val="20"/>
              </w:rPr>
              <w:t>20.4</w:t>
            </w:r>
          </w:p>
        </w:tc>
        <w:tc>
          <w:tcPr>
            <w:tcW w:w="2032" w:type="dxa"/>
            <w:tcBorders>
              <w:right w:val="single" w:sz="12" w:space="0" w:color="auto"/>
            </w:tcBorders>
            <w:vAlign w:val="bottom"/>
          </w:tcPr>
          <w:p w14:paraId="344A5212" w14:textId="6AF7B5BC" w:rsidR="00662188" w:rsidRPr="008D5422" w:rsidRDefault="00662188" w:rsidP="00662188">
            <w:pPr>
              <w:keepNext/>
              <w:keepLines/>
              <w:jc w:val="center"/>
              <w:rPr>
                <w:rFonts w:eastAsia="Calibri"/>
                <w:sz w:val="20"/>
                <w:szCs w:val="20"/>
              </w:rPr>
            </w:pPr>
            <w:r w:rsidRPr="001C2D0B">
              <w:rPr>
                <w:rFonts w:eastAsia="Calibri"/>
                <w:sz w:val="20"/>
                <w:szCs w:val="20"/>
              </w:rPr>
              <w:t>19.5</w:t>
            </w:r>
          </w:p>
        </w:tc>
        <w:tc>
          <w:tcPr>
            <w:tcW w:w="2031" w:type="dxa"/>
            <w:tcBorders>
              <w:left w:val="single" w:sz="12" w:space="0" w:color="auto"/>
            </w:tcBorders>
            <w:vAlign w:val="center"/>
          </w:tcPr>
          <w:p w14:paraId="223B46CC" w14:textId="77777777" w:rsidR="00662188" w:rsidRPr="008D5422" w:rsidRDefault="00662188" w:rsidP="00662188">
            <w:pPr>
              <w:keepNext/>
              <w:keepLines/>
              <w:jc w:val="center"/>
              <w:rPr>
                <w:rFonts w:eastAsia="Calibri"/>
                <w:sz w:val="20"/>
                <w:szCs w:val="20"/>
              </w:rPr>
            </w:pPr>
            <w:r w:rsidRPr="008D5422">
              <w:rPr>
                <w:rFonts w:eastAsia="Calibri"/>
                <w:sz w:val="20"/>
                <w:szCs w:val="20"/>
              </w:rPr>
              <w:t>16.2</w:t>
            </w:r>
          </w:p>
        </w:tc>
        <w:tc>
          <w:tcPr>
            <w:tcW w:w="2032" w:type="dxa"/>
            <w:tcBorders>
              <w:right w:val="single" w:sz="12" w:space="0" w:color="auto"/>
            </w:tcBorders>
            <w:vAlign w:val="bottom"/>
          </w:tcPr>
          <w:p w14:paraId="5717B3CF" w14:textId="557394F7" w:rsidR="00662188" w:rsidRPr="008D5422" w:rsidRDefault="00662188" w:rsidP="00662188">
            <w:pPr>
              <w:keepNext/>
              <w:keepLines/>
              <w:jc w:val="center"/>
              <w:rPr>
                <w:rFonts w:eastAsia="Calibri"/>
                <w:sz w:val="20"/>
                <w:szCs w:val="20"/>
              </w:rPr>
            </w:pPr>
            <w:r w:rsidRPr="001C2D0B">
              <w:rPr>
                <w:rFonts w:eastAsia="Calibri"/>
                <w:sz w:val="20"/>
                <w:szCs w:val="20"/>
              </w:rPr>
              <w:t>16.1</w:t>
            </w:r>
          </w:p>
        </w:tc>
        <w:tc>
          <w:tcPr>
            <w:tcW w:w="2031" w:type="dxa"/>
            <w:tcBorders>
              <w:left w:val="single" w:sz="12" w:space="0" w:color="auto"/>
            </w:tcBorders>
            <w:vAlign w:val="center"/>
          </w:tcPr>
          <w:p w14:paraId="4359F2C7" w14:textId="77777777" w:rsidR="00662188" w:rsidRPr="008D5422" w:rsidRDefault="00662188" w:rsidP="00662188">
            <w:pPr>
              <w:keepNext/>
              <w:keepLines/>
              <w:jc w:val="center"/>
              <w:rPr>
                <w:rFonts w:eastAsia="Calibri"/>
                <w:sz w:val="20"/>
                <w:szCs w:val="20"/>
              </w:rPr>
            </w:pPr>
            <w:r w:rsidRPr="008D5422">
              <w:rPr>
                <w:rFonts w:eastAsia="Calibri"/>
                <w:sz w:val="20"/>
                <w:szCs w:val="20"/>
              </w:rPr>
              <w:t>24.9</w:t>
            </w:r>
          </w:p>
        </w:tc>
        <w:tc>
          <w:tcPr>
            <w:tcW w:w="2032" w:type="dxa"/>
            <w:tcBorders>
              <w:right w:val="single" w:sz="12" w:space="0" w:color="auto"/>
            </w:tcBorders>
            <w:vAlign w:val="bottom"/>
          </w:tcPr>
          <w:p w14:paraId="6CC38951" w14:textId="117A410B" w:rsidR="00662188" w:rsidRPr="008D5422" w:rsidRDefault="00662188" w:rsidP="00662188">
            <w:pPr>
              <w:keepNext/>
              <w:keepLines/>
              <w:jc w:val="center"/>
              <w:rPr>
                <w:rFonts w:eastAsia="Calibri"/>
                <w:sz w:val="20"/>
                <w:szCs w:val="20"/>
              </w:rPr>
            </w:pPr>
            <w:r w:rsidRPr="00662188">
              <w:rPr>
                <w:rFonts w:eastAsia="Calibri"/>
                <w:sz w:val="20"/>
                <w:szCs w:val="20"/>
              </w:rPr>
              <w:t>22.7</w:t>
            </w:r>
          </w:p>
        </w:tc>
      </w:tr>
      <w:tr w:rsidR="00662188" w:rsidRPr="006A4C6F" w14:paraId="60F6EAE7" w14:textId="77777777" w:rsidTr="00043370">
        <w:trPr>
          <w:gridAfter w:val="1"/>
          <w:wAfter w:w="10" w:type="dxa"/>
          <w:trHeight w:val="283"/>
        </w:trPr>
        <w:tc>
          <w:tcPr>
            <w:tcW w:w="2171" w:type="dxa"/>
            <w:tcBorders>
              <w:left w:val="single" w:sz="12" w:space="0" w:color="auto"/>
              <w:right w:val="single" w:sz="12" w:space="0" w:color="auto"/>
            </w:tcBorders>
            <w:vAlign w:val="center"/>
          </w:tcPr>
          <w:p w14:paraId="2591CC58" w14:textId="77777777" w:rsidR="00662188" w:rsidRPr="008D5422" w:rsidRDefault="00662188" w:rsidP="00662188">
            <w:pPr>
              <w:keepNext/>
              <w:keepLines/>
              <w:jc w:val="center"/>
              <w:rPr>
                <w:rFonts w:eastAsia="Calibri"/>
                <w:sz w:val="20"/>
                <w:szCs w:val="20"/>
              </w:rPr>
            </w:pPr>
            <w:r w:rsidRPr="008D5422">
              <w:rPr>
                <w:rFonts w:eastAsia="Calibri"/>
                <w:sz w:val="20"/>
                <w:szCs w:val="20"/>
              </w:rPr>
              <w:t>0.6-0.8</w:t>
            </w:r>
          </w:p>
        </w:tc>
        <w:tc>
          <w:tcPr>
            <w:tcW w:w="2031" w:type="dxa"/>
            <w:tcBorders>
              <w:left w:val="single" w:sz="12" w:space="0" w:color="auto"/>
            </w:tcBorders>
            <w:vAlign w:val="center"/>
          </w:tcPr>
          <w:p w14:paraId="65590776" w14:textId="3C7E89DE" w:rsidR="00662188" w:rsidRPr="008D5422" w:rsidRDefault="00662188" w:rsidP="00662188">
            <w:pPr>
              <w:keepNext/>
              <w:keepLines/>
              <w:jc w:val="center"/>
              <w:rPr>
                <w:rFonts w:eastAsia="Calibri"/>
                <w:sz w:val="20"/>
                <w:szCs w:val="20"/>
              </w:rPr>
            </w:pPr>
            <w:r w:rsidRPr="008D5422">
              <w:rPr>
                <w:rFonts w:eastAsia="Calibri"/>
                <w:sz w:val="20"/>
                <w:szCs w:val="20"/>
              </w:rPr>
              <w:t>17.4</w:t>
            </w:r>
          </w:p>
        </w:tc>
        <w:tc>
          <w:tcPr>
            <w:tcW w:w="2032" w:type="dxa"/>
            <w:tcBorders>
              <w:right w:val="single" w:sz="12" w:space="0" w:color="auto"/>
            </w:tcBorders>
            <w:vAlign w:val="bottom"/>
          </w:tcPr>
          <w:p w14:paraId="23801C40" w14:textId="7AD57A9C" w:rsidR="00662188" w:rsidRPr="008D5422" w:rsidRDefault="00662188" w:rsidP="00662188">
            <w:pPr>
              <w:keepNext/>
              <w:keepLines/>
              <w:jc w:val="center"/>
              <w:rPr>
                <w:rFonts w:eastAsia="Calibri"/>
                <w:sz w:val="20"/>
                <w:szCs w:val="20"/>
              </w:rPr>
            </w:pPr>
            <w:r w:rsidRPr="001C2D0B">
              <w:rPr>
                <w:rFonts w:eastAsia="Calibri"/>
                <w:sz w:val="20"/>
                <w:szCs w:val="20"/>
              </w:rPr>
              <w:t>16.8</w:t>
            </w:r>
          </w:p>
        </w:tc>
        <w:tc>
          <w:tcPr>
            <w:tcW w:w="2031" w:type="dxa"/>
            <w:tcBorders>
              <w:left w:val="single" w:sz="12" w:space="0" w:color="auto"/>
            </w:tcBorders>
            <w:vAlign w:val="center"/>
          </w:tcPr>
          <w:p w14:paraId="04C889B0" w14:textId="77777777" w:rsidR="00662188" w:rsidRPr="008D5422" w:rsidRDefault="00662188" w:rsidP="00662188">
            <w:pPr>
              <w:keepNext/>
              <w:keepLines/>
              <w:jc w:val="center"/>
              <w:rPr>
                <w:rFonts w:eastAsia="Calibri"/>
                <w:sz w:val="20"/>
                <w:szCs w:val="20"/>
              </w:rPr>
            </w:pPr>
            <w:r w:rsidRPr="008D5422">
              <w:rPr>
                <w:rFonts w:eastAsia="Calibri"/>
                <w:sz w:val="20"/>
                <w:szCs w:val="20"/>
              </w:rPr>
              <w:t>13.4</w:t>
            </w:r>
          </w:p>
        </w:tc>
        <w:tc>
          <w:tcPr>
            <w:tcW w:w="2032" w:type="dxa"/>
            <w:tcBorders>
              <w:right w:val="single" w:sz="12" w:space="0" w:color="auto"/>
            </w:tcBorders>
            <w:vAlign w:val="bottom"/>
          </w:tcPr>
          <w:p w14:paraId="1C56CE86" w14:textId="3DD72FC5" w:rsidR="00662188" w:rsidRPr="008D5422" w:rsidRDefault="00662188" w:rsidP="00662188">
            <w:pPr>
              <w:keepNext/>
              <w:keepLines/>
              <w:jc w:val="center"/>
              <w:rPr>
                <w:rFonts w:eastAsia="Calibri"/>
                <w:sz w:val="20"/>
                <w:szCs w:val="20"/>
              </w:rPr>
            </w:pPr>
            <w:r w:rsidRPr="001C2D0B">
              <w:rPr>
                <w:rFonts w:eastAsia="Calibri"/>
                <w:sz w:val="20"/>
                <w:szCs w:val="20"/>
              </w:rPr>
              <w:t>12.1</w:t>
            </w:r>
          </w:p>
        </w:tc>
        <w:tc>
          <w:tcPr>
            <w:tcW w:w="2031" w:type="dxa"/>
            <w:tcBorders>
              <w:left w:val="single" w:sz="12" w:space="0" w:color="auto"/>
            </w:tcBorders>
            <w:vAlign w:val="center"/>
          </w:tcPr>
          <w:p w14:paraId="493DBD40" w14:textId="77777777" w:rsidR="00662188" w:rsidRPr="008D5422" w:rsidRDefault="00662188" w:rsidP="00662188">
            <w:pPr>
              <w:keepNext/>
              <w:keepLines/>
              <w:jc w:val="center"/>
              <w:rPr>
                <w:rFonts w:eastAsia="Calibri"/>
                <w:sz w:val="20"/>
                <w:szCs w:val="20"/>
              </w:rPr>
            </w:pPr>
            <w:r w:rsidRPr="008D5422">
              <w:rPr>
                <w:rFonts w:eastAsia="Calibri"/>
                <w:sz w:val="20"/>
                <w:szCs w:val="20"/>
              </w:rPr>
              <w:t>20.6</w:t>
            </w:r>
          </w:p>
        </w:tc>
        <w:tc>
          <w:tcPr>
            <w:tcW w:w="2032" w:type="dxa"/>
            <w:tcBorders>
              <w:right w:val="single" w:sz="12" w:space="0" w:color="auto"/>
            </w:tcBorders>
            <w:vAlign w:val="bottom"/>
          </w:tcPr>
          <w:p w14:paraId="60922088" w14:textId="0B292A43" w:rsidR="00662188" w:rsidRPr="008D5422" w:rsidRDefault="00662188" w:rsidP="00662188">
            <w:pPr>
              <w:keepNext/>
              <w:keepLines/>
              <w:jc w:val="center"/>
              <w:rPr>
                <w:rFonts w:eastAsia="Calibri"/>
                <w:sz w:val="20"/>
                <w:szCs w:val="20"/>
              </w:rPr>
            </w:pPr>
            <w:r w:rsidRPr="00662188">
              <w:rPr>
                <w:rFonts w:eastAsia="Calibri"/>
                <w:sz w:val="20"/>
                <w:szCs w:val="20"/>
              </w:rPr>
              <w:t>20.2</w:t>
            </w:r>
          </w:p>
        </w:tc>
      </w:tr>
      <w:tr w:rsidR="00662188" w:rsidRPr="006A4C6F" w14:paraId="75B1FAE6" w14:textId="77777777" w:rsidTr="00043370">
        <w:trPr>
          <w:gridAfter w:val="1"/>
          <w:wAfter w:w="10" w:type="dxa"/>
          <w:trHeight w:val="283"/>
        </w:trPr>
        <w:tc>
          <w:tcPr>
            <w:tcW w:w="2171" w:type="dxa"/>
            <w:tcBorders>
              <w:left w:val="single" w:sz="12" w:space="0" w:color="auto"/>
              <w:bottom w:val="single" w:sz="12" w:space="0" w:color="auto"/>
              <w:right w:val="single" w:sz="12" w:space="0" w:color="auto"/>
            </w:tcBorders>
            <w:vAlign w:val="center"/>
          </w:tcPr>
          <w:p w14:paraId="7B9E9687" w14:textId="77777777" w:rsidR="00662188" w:rsidRPr="008D5422" w:rsidRDefault="00662188" w:rsidP="00662188">
            <w:pPr>
              <w:keepNext/>
              <w:keepLines/>
              <w:jc w:val="center"/>
              <w:rPr>
                <w:rFonts w:eastAsia="Calibri"/>
                <w:sz w:val="20"/>
                <w:szCs w:val="20"/>
              </w:rPr>
            </w:pPr>
            <w:r w:rsidRPr="008D5422">
              <w:rPr>
                <w:rFonts w:eastAsia="Calibri"/>
                <w:sz w:val="20"/>
                <w:szCs w:val="20"/>
              </w:rPr>
              <w:t>0.8-1</w:t>
            </w:r>
          </w:p>
        </w:tc>
        <w:tc>
          <w:tcPr>
            <w:tcW w:w="2031" w:type="dxa"/>
            <w:tcBorders>
              <w:left w:val="single" w:sz="12" w:space="0" w:color="auto"/>
              <w:bottom w:val="single" w:sz="12" w:space="0" w:color="auto"/>
            </w:tcBorders>
            <w:vAlign w:val="center"/>
          </w:tcPr>
          <w:p w14:paraId="0E01A77E" w14:textId="5D7BE5CF" w:rsidR="00662188" w:rsidRPr="008D5422" w:rsidRDefault="00662188" w:rsidP="00662188">
            <w:pPr>
              <w:keepNext/>
              <w:keepLines/>
              <w:jc w:val="center"/>
              <w:rPr>
                <w:rFonts w:eastAsia="Calibri"/>
                <w:sz w:val="20"/>
                <w:szCs w:val="20"/>
              </w:rPr>
            </w:pPr>
            <w:r w:rsidRPr="008D5422">
              <w:rPr>
                <w:rFonts w:eastAsia="Calibri"/>
                <w:sz w:val="20"/>
                <w:szCs w:val="20"/>
              </w:rPr>
              <w:t>18.3</w:t>
            </w:r>
          </w:p>
        </w:tc>
        <w:tc>
          <w:tcPr>
            <w:tcW w:w="2032" w:type="dxa"/>
            <w:tcBorders>
              <w:bottom w:val="single" w:sz="12" w:space="0" w:color="auto"/>
              <w:right w:val="single" w:sz="12" w:space="0" w:color="auto"/>
            </w:tcBorders>
            <w:vAlign w:val="bottom"/>
          </w:tcPr>
          <w:p w14:paraId="7083365B" w14:textId="6FAA74AD" w:rsidR="00662188" w:rsidRPr="008D5422" w:rsidRDefault="00662188" w:rsidP="00662188">
            <w:pPr>
              <w:keepNext/>
              <w:keepLines/>
              <w:jc w:val="center"/>
              <w:rPr>
                <w:rFonts w:eastAsia="Calibri"/>
                <w:sz w:val="20"/>
                <w:szCs w:val="20"/>
              </w:rPr>
            </w:pPr>
            <w:r w:rsidRPr="001C2D0B">
              <w:rPr>
                <w:rFonts w:eastAsia="Calibri"/>
                <w:sz w:val="20"/>
                <w:szCs w:val="20"/>
              </w:rPr>
              <w:t>18.5</w:t>
            </w:r>
          </w:p>
        </w:tc>
        <w:tc>
          <w:tcPr>
            <w:tcW w:w="2031" w:type="dxa"/>
            <w:tcBorders>
              <w:left w:val="single" w:sz="12" w:space="0" w:color="auto"/>
              <w:bottom w:val="single" w:sz="12" w:space="0" w:color="auto"/>
            </w:tcBorders>
            <w:vAlign w:val="center"/>
          </w:tcPr>
          <w:p w14:paraId="74C939FD" w14:textId="77777777" w:rsidR="00662188" w:rsidRPr="008D5422" w:rsidRDefault="00662188" w:rsidP="00662188">
            <w:pPr>
              <w:keepNext/>
              <w:keepLines/>
              <w:jc w:val="center"/>
              <w:rPr>
                <w:rFonts w:eastAsia="Calibri"/>
                <w:sz w:val="20"/>
                <w:szCs w:val="20"/>
              </w:rPr>
            </w:pPr>
            <w:r w:rsidRPr="008D5422">
              <w:rPr>
                <w:rFonts w:eastAsia="Calibri"/>
                <w:sz w:val="20"/>
                <w:szCs w:val="20"/>
              </w:rPr>
              <w:t>16.4</w:t>
            </w:r>
          </w:p>
        </w:tc>
        <w:tc>
          <w:tcPr>
            <w:tcW w:w="2032" w:type="dxa"/>
            <w:tcBorders>
              <w:bottom w:val="single" w:sz="12" w:space="0" w:color="auto"/>
              <w:right w:val="single" w:sz="12" w:space="0" w:color="auto"/>
            </w:tcBorders>
            <w:vAlign w:val="bottom"/>
          </w:tcPr>
          <w:p w14:paraId="66C2A5B4" w14:textId="3D1FD589" w:rsidR="00662188" w:rsidRPr="008D5422" w:rsidRDefault="00662188" w:rsidP="00662188">
            <w:pPr>
              <w:keepNext/>
              <w:keepLines/>
              <w:jc w:val="center"/>
              <w:rPr>
                <w:rFonts w:eastAsia="Calibri"/>
                <w:sz w:val="20"/>
                <w:szCs w:val="20"/>
              </w:rPr>
            </w:pPr>
            <w:r w:rsidRPr="001C2D0B">
              <w:rPr>
                <w:rFonts w:eastAsia="Calibri"/>
                <w:sz w:val="20"/>
                <w:szCs w:val="20"/>
              </w:rPr>
              <w:t>14.2</w:t>
            </w:r>
          </w:p>
        </w:tc>
        <w:tc>
          <w:tcPr>
            <w:tcW w:w="2031" w:type="dxa"/>
            <w:tcBorders>
              <w:left w:val="single" w:sz="12" w:space="0" w:color="auto"/>
              <w:bottom w:val="single" w:sz="12" w:space="0" w:color="auto"/>
            </w:tcBorders>
            <w:vAlign w:val="center"/>
          </w:tcPr>
          <w:p w14:paraId="545BE1E6" w14:textId="77777777" w:rsidR="00662188" w:rsidRPr="008D5422" w:rsidRDefault="00662188" w:rsidP="00662188">
            <w:pPr>
              <w:keepNext/>
              <w:keepLines/>
              <w:jc w:val="center"/>
              <w:rPr>
                <w:rFonts w:eastAsia="Calibri"/>
                <w:sz w:val="20"/>
                <w:szCs w:val="20"/>
              </w:rPr>
            </w:pPr>
            <w:r w:rsidRPr="008D5422">
              <w:rPr>
                <w:rFonts w:eastAsia="Calibri"/>
                <w:sz w:val="20"/>
                <w:szCs w:val="20"/>
              </w:rPr>
              <w:t>17.6</w:t>
            </w:r>
          </w:p>
        </w:tc>
        <w:tc>
          <w:tcPr>
            <w:tcW w:w="2032" w:type="dxa"/>
            <w:tcBorders>
              <w:bottom w:val="single" w:sz="12" w:space="0" w:color="auto"/>
              <w:right w:val="single" w:sz="12" w:space="0" w:color="auto"/>
            </w:tcBorders>
            <w:vAlign w:val="bottom"/>
          </w:tcPr>
          <w:p w14:paraId="63F629E4" w14:textId="4F0A6F85" w:rsidR="00662188" w:rsidRPr="008D5422" w:rsidRDefault="00662188" w:rsidP="00662188">
            <w:pPr>
              <w:keepNext/>
              <w:keepLines/>
              <w:jc w:val="center"/>
              <w:rPr>
                <w:rFonts w:eastAsia="Calibri"/>
                <w:sz w:val="20"/>
                <w:szCs w:val="20"/>
              </w:rPr>
            </w:pPr>
            <w:r w:rsidRPr="00662188">
              <w:rPr>
                <w:rFonts w:eastAsia="Calibri"/>
                <w:sz w:val="20"/>
                <w:szCs w:val="20"/>
              </w:rPr>
              <w:t>18.0</w:t>
            </w:r>
          </w:p>
        </w:tc>
      </w:tr>
      <w:tr w:rsidR="002C424F" w:rsidRPr="006A4C6F" w14:paraId="43C4F8CB" w14:textId="77777777" w:rsidTr="001C2D0B">
        <w:trPr>
          <w:trHeight w:val="283"/>
        </w:trPr>
        <w:tc>
          <w:tcPr>
            <w:tcW w:w="2171" w:type="dxa"/>
            <w:tcBorders>
              <w:top w:val="single" w:sz="12" w:space="0" w:color="auto"/>
              <w:left w:val="single" w:sz="12" w:space="0" w:color="auto"/>
              <w:right w:val="single" w:sz="12" w:space="0" w:color="auto"/>
            </w:tcBorders>
            <w:vAlign w:val="center"/>
          </w:tcPr>
          <w:p w14:paraId="47F3390C" w14:textId="77777777" w:rsidR="002C424F" w:rsidRPr="008D5422" w:rsidRDefault="002C424F" w:rsidP="002C424F">
            <w:pPr>
              <w:keepNext/>
              <w:keepLines/>
              <w:jc w:val="center"/>
              <w:rPr>
                <w:rFonts w:eastAsia="Calibri"/>
                <w:sz w:val="20"/>
                <w:szCs w:val="20"/>
              </w:rPr>
            </w:pPr>
            <w:r w:rsidRPr="008D5422">
              <w:rPr>
                <w:rFonts w:eastAsia="Calibri"/>
                <w:sz w:val="20"/>
                <w:szCs w:val="20"/>
              </w:rPr>
              <w:t>MAPE</w:t>
            </w:r>
          </w:p>
        </w:tc>
        <w:tc>
          <w:tcPr>
            <w:tcW w:w="4063" w:type="dxa"/>
            <w:gridSpan w:val="2"/>
            <w:tcBorders>
              <w:top w:val="single" w:sz="12" w:space="0" w:color="auto"/>
              <w:left w:val="single" w:sz="12" w:space="0" w:color="auto"/>
              <w:right w:val="single" w:sz="12" w:space="0" w:color="auto"/>
            </w:tcBorders>
            <w:vAlign w:val="center"/>
          </w:tcPr>
          <w:p w14:paraId="58E065FD" w14:textId="28938394" w:rsidR="002C424F" w:rsidRPr="008D5422" w:rsidRDefault="00D4146A" w:rsidP="00177888">
            <w:pPr>
              <w:keepNext/>
              <w:keepLines/>
              <w:jc w:val="center"/>
              <w:rPr>
                <w:rFonts w:eastAsia="Calibri"/>
                <w:sz w:val="20"/>
                <w:szCs w:val="20"/>
              </w:rPr>
            </w:pPr>
            <w:r>
              <w:rPr>
                <w:rFonts w:eastAsia="Calibri"/>
                <w:sz w:val="20"/>
                <w:szCs w:val="20"/>
              </w:rPr>
              <w:t>2.84</w:t>
            </w:r>
          </w:p>
        </w:tc>
        <w:tc>
          <w:tcPr>
            <w:tcW w:w="4063" w:type="dxa"/>
            <w:gridSpan w:val="2"/>
            <w:tcBorders>
              <w:top w:val="single" w:sz="12" w:space="0" w:color="auto"/>
              <w:left w:val="single" w:sz="12" w:space="0" w:color="auto"/>
              <w:right w:val="single" w:sz="12" w:space="0" w:color="auto"/>
            </w:tcBorders>
            <w:vAlign w:val="center"/>
          </w:tcPr>
          <w:p w14:paraId="33B57294" w14:textId="369678C7" w:rsidR="002C424F" w:rsidRPr="008D5422" w:rsidRDefault="00D4146A" w:rsidP="002C424F">
            <w:pPr>
              <w:keepNext/>
              <w:keepLines/>
              <w:jc w:val="center"/>
              <w:rPr>
                <w:rFonts w:eastAsia="Calibri"/>
                <w:sz w:val="20"/>
                <w:szCs w:val="20"/>
              </w:rPr>
            </w:pPr>
            <w:r>
              <w:rPr>
                <w:rFonts w:eastAsia="Calibri"/>
                <w:sz w:val="20"/>
                <w:szCs w:val="20"/>
              </w:rPr>
              <w:t>7.12</w:t>
            </w:r>
          </w:p>
        </w:tc>
        <w:tc>
          <w:tcPr>
            <w:tcW w:w="4073" w:type="dxa"/>
            <w:gridSpan w:val="3"/>
            <w:tcBorders>
              <w:top w:val="single" w:sz="12" w:space="0" w:color="auto"/>
              <w:left w:val="single" w:sz="12" w:space="0" w:color="auto"/>
              <w:right w:val="single" w:sz="12" w:space="0" w:color="auto"/>
            </w:tcBorders>
            <w:vAlign w:val="center"/>
          </w:tcPr>
          <w:p w14:paraId="52F95F2C" w14:textId="3E331D3F" w:rsidR="002C424F" w:rsidRPr="008D5422" w:rsidRDefault="00662188" w:rsidP="00662188">
            <w:pPr>
              <w:keepNext/>
              <w:keepLines/>
              <w:jc w:val="center"/>
              <w:rPr>
                <w:rFonts w:eastAsia="Calibri"/>
                <w:sz w:val="20"/>
                <w:szCs w:val="20"/>
              </w:rPr>
            </w:pPr>
            <w:r>
              <w:rPr>
                <w:rFonts w:eastAsia="Calibri"/>
                <w:sz w:val="20"/>
                <w:szCs w:val="20"/>
              </w:rPr>
              <w:t>5.08</w:t>
            </w:r>
          </w:p>
        </w:tc>
      </w:tr>
      <w:tr w:rsidR="002C424F" w:rsidRPr="006A4C6F" w14:paraId="12A03E2C" w14:textId="77777777" w:rsidTr="001C2D0B">
        <w:trPr>
          <w:trHeight w:val="283"/>
        </w:trPr>
        <w:tc>
          <w:tcPr>
            <w:tcW w:w="2171" w:type="dxa"/>
            <w:tcBorders>
              <w:left w:val="single" w:sz="12" w:space="0" w:color="auto"/>
              <w:right w:val="single" w:sz="12" w:space="0" w:color="auto"/>
            </w:tcBorders>
            <w:vAlign w:val="center"/>
          </w:tcPr>
          <w:p w14:paraId="76896D78" w14:textId="77777777" w:rsidR="002C424F" w:rsidRPr="008D5422" w:rsidRDefault="002C424F" w:rsidP="002C424F">
            <w:pPr>
              <w:keepNext/>
              <w:keepLines/>
              <w:jc w:val="center"/>
              <w:rPr>
                <w:rFonts w:eastAsia="Calibri"/>
                <w:sz w:val="20"/>
                <w:szCs w:val="20"/>
              </w:rPr>
            </w:pPr>
            <w:r w:rsidRPr="008D5422">
              <w:rPr>
                <w:rFonts w:eastAsia="Calibri"/>
                <w:sz w:val="20"/>
                <w:szCs w:val="20"/>
              </w:rPr>
              <w:t>RMSE</w:t>
            </w:r>
          </w:p>
        </w:tc>
        <w:tc>
          <w:tcPr>
            <w:tcW w:w="4063" w:type="dxa"/>
            <w:gridSpan w:val="2"/>
            <w:tcBorders>
              <w:left w:val="single" w:sz="12" w:space="0" w:color="auto"/>
              <w:right w:val="single" w:sz="12" w:space="0" w:color="auto"/>
            </w:tcBorders>
            <w:vAlign w:val="center"/>
          </w:tcPr>
          <w:p w14:paraId="113979C0" w14:textId="23310967" w:rsidR="002C424F" w:rsidRPr="008D5422" w:rsidRDefault="00D4146A" w:rsidP="00177888">
            <w:pPr>
              <w:keepNext/>
              <w:keepLines/>
              <w:jc w:val="center"/>
              <w:rPr>
                <w:rFonts w:eastAsia="Calibri"/>
                <w:sz w:val="20"/>
                <w:szCs w:val="20"/>
              </w:rPr>
            </w:pPr>
            <w:r>
              <w:rPr>
                <w:rFonts w:eastAsia="Calibri"/>
                <w:sz w:val="20"/>
                <w:szCs w:val="20"/>
              </w:rPr>
              <w:t>0.76</w:t>
            </w:r>
          </w:p>
        </w:tc>
        <w:tc>
          <w:tcPr>
            <w:tcW w:w="4063" w:type="dxa"/>
            <w:gridSpan w:val="2"/>
            <w:tcBorders>
              <w:left w:val="single" w:sz="12" w:space="0" w:color="auto"/>
              <w:right w:val="single" w:sz="12" w:space="0" w:color="auto"/>
            </w:tcBorders>
            <w:vAlign w:val="center"/>
          </w:tcPr>
          <w:p w14:paraId="6500769E" w14:textId="697BE0FB" w:rsidR="002C424F" w:rsidRPr="008D5422" w:rsidRDefault="00D4146A" w:rsidP="002C424F">
            <w:pPr>
              <w:keepNext/>
              <w:keepLines/>
              <w:jc w:val="center"/>
              <w:rPr>
                <w:rFonts w:eastAsia="Calibri"/>
                <w:sz w:val="20"/>
                <w:szCs w:val="20"/>
              </w:rPr>
            </w:pPr>
            <w:r>
              <w:rPr>
                <w:rFonts w:eastAsia="Calibri"/>
                <w:sz w:val="20"/>
                <w:szCs w:val="20"/>
              </w:rPr>
              <w:t>1.86</w:t>
            </w:r>
          </w:p>
        </w:tc>
        <w:tc>
          <w:tcPr>
            <w:tcW w:w="4073" w:type="dxa"/>
            <w:gridSpan w:val="3"/>
            <w:tcBorders>
              <w:left w:val="single" w:sz="12" w:space="0" w:color="auto"/>
              <w:right w:val="single" w:sz="12" w:space="0" w:color="auto"/>
            </w:tcBorders>
            <w:vAlign w:val="center"/>
          </w:tcPr>
          <w:p w14:paraId="5DD36A42" w14:textId="732103B7" w:rsidR="002C424F" w:rsidRPr="008D5422" w:rsidRDefault="00662188" w:rsidP="002C424F">
            <w:pPr>
              <w:keepNext/>
              <w:keepLines/>
              <w:jc w:val="center"/>
              <w:rPr>
                <w:rFonts w:eastAsia="Calibri"/>
                <w:sz w:val="20"/>
                <w:szCs w:val="20"/>
              </w:rPr>
            </w:pPr>
            <w:r>
              <w:rPr>
                <w:rFonts w:eastAsia="Calibri"/>
                <w:sz w:val="20"/>
                <w:szCs w:val="20"/>
              </w:rPr>
              <w:t>1.49</w:t>
            </w:r>
          </w:p>
        </w:tc>
      </w:tr>
      <w:tr w:rsidR="002C424F" w:rsidRPr="006A4C6F" w14:paraId="02DE854D" w14:textId="77777777" w:rsidTr="001C2D0B">
        <w:trPr>
          <w:trHeight w:val="283"/>
        </w:trPr>
        <w:tc>
          <w:tcPr>
            <w:tcW w:w="2171" w:type="dxa"/>
            <w:tcBorders>
              <w:left w:val="single" w:sz="12" w:space="0" w:color="auto"/>
              <w:bottom w:val="single" w:sz="12" w:space="0" w:color="auto"/>
              <w:right w:val="single" w:sz="12" w:space="0" w:color="auto"/>
            </w:tcBorders>
            <w:vAlign w:val="center"/>
          </w:tcPr>
          <w:p w14:paraId="287DC972" w14:textId="77777777" w:rsidR="002C424F" w:rsidRPr="008D5422" w:rsidRDefault="002C424F" w:rsidP="002C424F">
            <w:pPr>
              <w:keepNext/>
              <w:keepLines/>
              <w:jc w:val="center"/>
              <w:rPr>
                <w:rFonts w:eastAsia="Calibri"/>
                <w:sz w:val="20"/>
                <w:szCs w:val="20"/>
              </w:rPr>
            </w:pPr>
            <w:r w:rsidRPr="008D5422">
              <w:rPr>
                <w:rFonts w:eastAsia="Calibri"/>
                <w:sz w:val="20"/>
                <w:szCs w:val="20"/>
              </w:rPr>
              <w:t>Records</w:t>
            </w:r>
          </w:p>
        </w:tc>
        <w:tc>
          <w:tcPr>
            <w:tcW w:w="4063" w:type="dxa"/>
            <w:gridSpan w:val="2"/>
            <w:tcBorders>
              <w:left w:val="single" w:sz="12" w:space="0" w:color="auto"/>
              <w:bottom w:val="single" w:sz="12" w:space="0" w:color="auto"/>
              <w:right w:val="single" w:sz="12" w:space="0" w:color="auto"/>
            </w:tcBorders>
            <w:vAlign w:val="center"/>
          </w:tcPr>
          <w:p w14:paraId="7CA5DB60" w14:textId="77777777" w:rsidR="002C424F" w:rsidRPr="008D5422" w:rsidRDefault="002C424F" w:rsidP="002C424F">
            <w:pPr>
              <w:keepNext/>
              <w:keepLines/>
              <w:jc w:val="center"/>
              <w:rPr>
                <w:rFonts w:eastAsia="Calibri"/>
                <w:sz w:val="20"/>
                <w:szCs w:val="20"/>
              </w:rPr>
            </w:pPr>
            <w:r w:rsidRPr="008D5422">
              <w:rPr>
                <w:rFonts w:eastAsia="Calibri"/>
                <w:sz w:val="20"/>
                <w:szCs w:val="20"/>
              </w:rPr>
              <w:t>68,880</w:t>
            </w:r>
          </w:p>
        </w:tc>
        <w:tc>
          <w:tcPr>
            <w:tcW w:w="4063" w:type="dxa"/>
            <w:gridSpan w:val="2"/>
            <w:tcBorders>
              <w:left w:val="single" w:sz="12" w:space="0" w:color="auto"/>
              <w:bottom w:val="single" w:sz="12" w:space="0" w:color="auto"/>
              <w:right w:val="single" w:sz="12" w:space="0" w:color="auto"/>
            </w:tcBorders>
            <w:vAlign w:val="center"/>
          </w:tcPr>
          <w:p w14:paraId="01DDDE3A" w14:textId="77777777" w:rsidR="002C424F" w:rsidRPr="008D5422" w:rsidRDefault="002C424F" w:rsidP="002C424F">
            <w:pPr>
              <w:keepNext/>
              <w:keepLines/>
              <w:jc w:val="center"/>
              <w:rPr>
                <w:rFonts w:eastAsia="Calibri"/>
                <w:sz w:val="20"/>
                <w:szCs w:val="20"/>
              </w:rPr>
            </w:pPr>
            <w:r w:rsidRPr="008D5422">
              <w:rPr>
                <w:rFonts w:eastAsia="Calibri"/>
                <w:sz w:val="20"/>
                <w:szCs w:val="20"/>
              </w:rPr>
              <w:t>15,120</w:t>
            </w:r>
          </w:p>
        </w:tc>
        <w:tc>
          <w:tcPr>
            <w:tcW w:w="4073" w:type="dxa"/>
            <w:gridSpan w:val="3"/>
            <w:tcBorders>
              <w:left w:val="single" w:sz="12" w:space="0" w:color="auto"/>
              <w:bottom w:val="single" w:sz="12" w:space="0" w:color="auto"/>
              <w:right w:val="single" w:sz="12" w:space="0" w:color="auto"/>
            </w:tcBorders>
            <w:vAlign w:val="center"/>
          </w:tcPr>
          <w:p w14:paraId="37A2FD5C" w14:textId="77777777" w:rsidR="002C424F" w:rsidRPr="008D5422" w:rsidRDefault="002C424F" w:rsidP="002C424F">
            <w:pPr>
              <w:keepNext/>
              <w:keepLines/>
              <w:jc w:val="center"/>
              <w:rPr>
                <w:rFonts w:eastAsia="Calibri"/>
                <w:sz w:val="20"/>
                <w:szCs w:val="20"/>
              </w:rPr>
            </w:pPr>
            <w:r w:rsidRPr="008D5422">
              <w:rPr>
                <w:rFonts w:eastAsia="Calibri"/>
                <w:sz w:val="20"/>
                <w:szCs w:val="20"/>
              </w:rPr>
              <w:t>16,632</w:t>
            </w:r>
          </w:p>
        </w:tc>
      </w:tr>
    </w:tbl>
    <w:p w14:paraId="324FB8E3" w14:textId="77777777" w:rsidR="00FD7564" w:rsidRDefault="00FD7564" w:rsidP="00AD56E1">
      <w:pPr>
        <w:pStyle w:val="Caption"/>
      </w:pPr>
    </w:p>
    <w:sectPr w:rsidR="00FD7564" w:rsidSect="007A4BD6">
      <w:footerReference w:type="default" r:id="rId14"/>
      <w:pgSz w:w="15840" w:h="12240" w:orient="landscape"/>
      <w:pgMar w:top="720" w:right="720" w:bottom="720" w:left="720" w:header="70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98A47" w14:textId="77777777" w:rsidR="000E2E83" w:rsidRDefault="000E2E83" w:rsidP="00616CBB">
      <w:r>
        <w:separator/>
      </w:r>
    </w:p>
  </w:endnote>
  <w:endnote w:type="continuationSeparator" w:id="0">
    <w:p w14:paraId="5AD1FB98" w14:textId="77777777" w:rsidR="000E2E83" w:rsidRDefault="000E2E83" w:rsidP="00616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3662644"/>
      <w:docPartObj>
        <w:docPartGallery w:val="Page Numbers (Bottom of Page)"/>
        <w:docPartUnique/>
      </w:docPartObj>
    </w:sdtPr>
    <w:sdtEndPr>
      <w:rPr>
        <w:noProof/>
      </w:rPr>
    </w:sdtEndPr>
    <w:sdtContent>
      <w:p w14:paraId="3BA69C00" w14:textId="30DE7D7B" w:rsidR="000E2E83" w:rsidRDefault="000E2E83">
        <w:pPr>
          <w:pStyle w:val="Footer"/>
          <w:jc w:val="right"/>
        </w:pPr>
        <w:r>
          <w:fldChar w:fldCharType="begin"/>
        </w:r>
        <w:r>
          <w:instrText xml:space="preserve"> PAGE   \* MERGEFORMAT </w:instrText>
        </w:r>
        <w:r>
          <w:fldChar w:fldCharType="separate"/>
        </w:r>
        <w:r w:rsidR="00D23C38">
          <w:rPr>
            <w:noProof/>
          </w:rPr>
          <w:t>1</w:t>
        </w:r>
        <w:r>
          <w:rPr>
            <w:noProof/>
          </w:rPr>
          <w:fldChar w:fldCharType="end"/>
        </w:r>
      </w:p>
    </w:sdtContent>
  </w:sdt>
  <w:p w14:paraId="28206AE1" w14:textId="77777777" w:rsidR="000E2E83" w:rsidRDefault="000E2E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AE48F" w14:textId="77777777" w:rsidR="000E2E83" w:rsidRDefault="000E2E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41C20F" w14:textId="77777777" w:rsidR="000E2E83" w:rsidRDefault="000E2E83" w:rsidP="00616CBB">
      <w:r>
        <w:separator/>
      </w:r>
    </w:p>
  </w:footnote>
  <w:footnote w:type="continuationSeparator" w:id="0">
    <w:p w14:paraId="132B3ACF" w14:textId="77777777" w:rsidR="000E2E83" w:rsidRDefault="000E2E83" w:rsidP="00616CBB">
      <w:r>
        <w:continuationSeparator/>
      </w:r>
    </w:p>
  </w:footnote>
  <w:footnote w:id="1">
    <w:p w14:paraId="030323D7" w14:textId="752DE2B0" w:rsidR="000E2E83" w:rsidRPr="00965F9E" w:rsidRDefault="000E2E83">
      <w:pPr>
        <w:pStyle w:val="FootnoteText"/>
        <w:rPr>
          <w:lang w:val="en-US"/>
        </w:rPr>
      </w:pPr>
      <w:r>
        <w:rPr>
          <w:rStyle w:val="FootnoteReference"/>
        </w:rPr>
        <w:footnoteRef/>
      </w:r>
      <w:r>
        <w:t xml:space="preserve"> </w:t>
      </w:r>
      <w:r>
        <w:rPr>
          <w:sz w:val="23"/>
          <w:szCs w:val="23"/>
        </w:rPr>
        <w:t>The modelling approach can be readily adjusted for any number of categories.</w:t>
      </w:r>
    </w:p>
  </w:footnote>
  <w:footnote w:id="2">
    <w:p w14:paraId="1981479F" w14:textId="4B3A2797" w:rsidR="00744218" w:rsidRPr="00744218" w:rsidRDefault="00744218">
      <w:pPr>
        <w:pStyle w:val="FootnoteText"/>
        <w:rPr>
          <w:lang w:val="en-US"/>
        </w:rPr>
      </w:pPr>
      <w:r>
        <w:rPr>
          <w:rStyle w:val="FootnoteReference"/>
        </w:rPr>
        <w:footnoteRef/>
      </w:r>
      <w:r>
        <w:t xml:space="preserve"> </w:t>
      </w:r>
      <w:r>
        <w:rPr>
          <w:lang w:val="en-US"/>
        </w:rPr>
        <w:t xml:space="preserve">An interaction variable refers to a new variable created as a product of the variables considered. For example, an interaction variable of weekend and downtown would be computed as weekend variable * downtown variable. </w:t>
      </w:r>
      <w:r w:rsidR="00337862">
        <w:rPr>
          <w:lang w:val="en-US"/>
        </w:rPr>
        <w:t xml:space="preserve">The variable allows us to understand how the impact of weekend varies across downtown and non-downtown locations.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99F70" w14:textId="17CE4C77" w:rsidR="000E2E83" w:rsidRDefault="000E2E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E5F35"/>
    <w:multiLevelType w:val="hybridMultilevel"/>
    <w:tmpl w:val="E20C7C78"/>
    <w:lvl w:ilvl="0" w:tplc="4CE69614">
      <w:start w:val="3"/>
      <w:numFmt w:val="bullet"/>
      <w:lvlText w:val="-"/>
      <w:lvlJc w:val="left"/>
      <w:pPr>
        <w:ind w:left="1080" w:hanging="36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58449EE"/>
    <w:multiLevelType w:val="hybridMultilevel"/>
    <w:tmpl w:val="D0F25816"/>
    <w:lvl w:ilvl="0" w:tplc="8486AAD8">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A5A4A74"/>
    <w:multiLevelType w:val="hybridMultilevel"/>
    <w:tmpl w:val="4C248D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A754DC5"/>
    <w:multiLevelType w:val="hybridMultilevel"/>
    <w:tmpl w:val="A510E5D2"/>
    <w:lvl w:ilvl="0" w:tplc="6E2886A6">
      <w:start w:val="1"/>
      <w:numFmt w:val="bullet"/>
      <w:lvlText w:val=""/>
      <w:lvlJc w:val="left"/>
      <w:pPr>
        <w:tabs>
          <w:tab w:val="num" w:pos="720"/>
        </w:tabs>
        <w:ind w:left="720" w:hanging="360"/>
      </w:pPr>
      <w:rPr>
        <w:rFonts w:ascii="Wingdings 3" w:hAnsi="Wingdings 3" w:hint="default"/>
      </w:rPr>
    </w:lvl>
    <w:lvl w:ilvl="1" w:tplc="34029348" w:tentative="1">
      <w:start w:val="1"/>
      <w:numFmt w:val="bullet"/>
      <w:lvlText w:val=""/>
      <w:lvlJc w:val="left"/>
      <w:pPr>
        <w:tabs>
          <w:tab w:val="num" w:pos="1440"/>
        </w:tabs>
        <w:ind w:left="1440" w:hanging="360"/>
      </w:pPr>
      <w:rPr>
        <w:rFonts w:ascii="Wingdings 3" w:hAnsi="Wingdings 3" w:hint="default"/>
      </w:rPr>
    </w:lvl>
    <w:lvl w:ilvl="2" w:tplc="98B62DF6" w:tentative="1">
      <w:start w:val="1"/>
      <w:numFmt w:val="bullet"/>
      <w:lvlText w:val=""/>
      <w:lvlJc w:val="left"/>
      <w:pPr>
        <w:tabs>
          <w:tab w:val="num" w:pos="2160"/>
        </w:tabs>
        <w:ind w:left="2160" w:hanging="360"/>
      </w:pPr>
      <w:rPr>
        <w:rFonts w:ascii="Wingdings 3" w:hAnsi="Wingdings 3" w:hint="default"/>
      </w:rPr>
    </w:lvl>
    <w:lvl w:ilvl="3" w:tplc="B5400488" w:tentative="1">
      <w:start w:val="1"/>
      <w:numFmt w:val="bullet"/>
      <w:lvlText w:val=""/>
      <w:lvlJc w:val="left"/>
      <w:pPr>
        <w:tabs>
          <w:tab w:val="num" w:pos="2880"/>
        </w:tabs>
        <w:ind w:left="2880" w:hanging="360"/>
      </w:pPr>
      <w:rPr>
        <w:rFonts w:ascii="Wingdings 3" w:hAnsi="Wingdings 3" w:hint="default"/>
      </w:rPr>
    </w:lvl>
    <w:lvl w:ilvl="4" w:tplc="54EA312A" w:tentative="1">
      <w:start w:val="1"/>
      <w:numFmt w:val="bullet"/>
      <w:lvlText w:val=""/>
      <w:lvlJc w:val="left"/>
      <w:pPr>
        <w:tabs>
          <w:tab w:val="num" w:pos="3600"/>
        </w:tabs>
        <w:ind w:left="3600" w:hanging="360"/>
      </w:pPr>
      <w:rPr>
        <w:rFonts w:ascii="Wingdings 3" w:hAnsi="Wingdings 3" w:hint="default"/>
      </w:rPr>
    </w:lvl>
    <w:lvl w:ilvl="5" w:tplc="9A4E50AE" w:tentative="1">
      <w:start w:val="1"/>
      <w:numFmt w:val="bullet"/>
      <w:lvlText w:val=""/>
      <w:lvlJc w:val="left"/>
      <w:pPr>
        <w:tabs>
          <w:tab w:val="num" w:pos="4320"/>
        </w:tabs>
        <w:ind w:left="4320" w:hanging="360"/>
      </w:pPr>
      <w:rPr>
        <w:rFonts w:ascii="Wingdings 3" w:hAnsi="Wingdings 3" w:hint="default"/>
      </w:rPr>
    </w:lvl>
    <w:lvl w:ilvl="6" w:tplc="A698A7CA" w:tentative="1">
      <w:start w:val="1"/>
      <w:numFmt w:val="bullet"/>
      <w:lvlText w:val=""/>
      <w:lvlJc w:val="left"/>
      <w:pPr>
        <w:tabs>
          <w:tab w:val="num" w:pos="5040"/>
        </w:tabs>
        <w:ind w:left="5040" w:hanging="360"/>
      </w:pPr>
      <w:rPr>
        <w:rFonts w:ascii="Wingdings 3" w:hAnsi="Wingdings 3" w:hint="default"/>
      </w:rPr>
    </w:lvl>
    <w:lvl w:ilvl="7" w:tplc="85605AF2" w:tentative="1">
      <w:start w:val="1"/>
      <w:numFmt w:val="bullet"/>
      <w:lvlText w:val=""/>
      <w:lvlJc w:val="left"/>
      <w:pPr>
        <w:tabs>
          <w:tab w:val="num" w:pos="5760"/>
        </w:tabs>
        <w:ind w:left="5760" w:hanging="360"/>
      </w:pPr>
      <w:rPr>
        <w:rFonts w:ascii="Wingdings 3" w:hAnsi="Wingdings 3" w:hint="default"/>
      </w:rPr>
    </w:lvl>
    <w:lvl w:ilvl="8" w:tplc="82E2B8F0"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4E65F7A"/>
    <w:multiLevelType w:val="hybridMultilevel"/>
    <w:tmpl w:val="79DA4310"/>
    <w:lvl w:ilvl="0" w:tplc="914EDEBC">
      <w:start w:val="1"/>
      <w:numFmt w:val="lowerLetter"/>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5" w15:restartNumberingAfterBreak="0">
    <w:nsid w:val="1B9F57E1"/>
    <w:multiLevelType w:val="hybridMultilevel"/>
    <w:tmpl w:val="A50688EA"/>
    <w:lvl w:ilvl="0" w:tplc="65B07D46">
      <w:start w:val="1"/>
      <w:numFmt w:val="decimal"/>
      <w:lvlText w:val="(%1)"/>
      <w:lvlJc w:val="righ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25C114E0"/>
    <w:multiLevelType w:val="hybridMultilevel"/>
    <w:tmpl w:val="1E1C94CA"/>
    <w:lvl w:ilvl="0" w:tplc="8266F484">
      <w:start w:val="1"/>
      <w:numFmt w:val="bullet"/>
      <w:lvlText w:val=""/>
      <w:lvlJc w:val="left"/>
      <w:pPr>
        <w:tabs>
          <w:tab w:val="num" w:pos="720"/>
        </w:tabs>
        <w:ind w:left="720" w:hanging="360"/>
      </w:pPr>
      <w:rPr>
        <w:rFonts w:ascii="Wingdings 3" w:hAnsi="Wingdings 3" w:hint="default"/>
      </w:rPr>
    </w:lvl>
    <w:lvl w:ilvl="1" w:tplc="0226CF10" w:tentative="1">
      <w:start w:val="1"/>
      <w:numFmt w:val="bullet"/>
      <w:lvlText w:val=""/>
      <w:lvlJc w:val="left"/>
      <w:pPr>
        <w:tabs>
          <w:tab w:val="num" w:pos="1440"/>
        </w:tabs>
        <w:ind w:left="1440" w:hanging="360"/>
      </w:pPr>
      <w:rPr>
        <w:rFonts w:ascii="Wingdings 3" w:hAnsi="Wingdings 3" w:hint="default"/>
      </w:rPr>
    </w:lvl>
    <w:lvl w:ilvl="2" w:tplc="539A8DD0" w:tentative="1">
      <w:start w:val="1"/>
      <w:numFmt w:val="bullet"/>
      <w:lvlText w:val=""/>
      <w:lvlJc w:val="left"/>
      <w:pPr>
        <w:tabs>
          <w:tab w:val="num" w:pos="2160"/>
        </w:tabs>
        <w:ind w:left="2160" w:hanging="360"/>
      </w:pPr>
      <w:rPr>
        <w:rFonts w:ascii="Wingdings 3" w:hAnsi="Wingdings 3" w:hint="default"/>
      </w:rPr>
    </w:lvl>
    <w:lvl w:ilvl="3" w:tplc="00C62168" w:tentative="1">
      <w:start w:val="1"/>
      <w:numFmt w:val="bullet"/>
      <w:lvlText w:val=""/>
      <w:lvlJc w:val="left"/>
      <w:pPr>
        <w:tabs>
          <w:tab w:val="num" w:pos="2880"/>
        </w:tabs>
        <w:ind w:left="2880" w:hanging="360"/>
      </w:pPr>
      <w:rPr>
        <w:rFonts w:ascii="Wingdings 3" w:hAnsi="Wingdings 3" w:hint="default"/>
      </w:rPr>
    </w:lvl>
    <w:lvl w:ilvl="4" w:tplc="D690F446" w:tentative="1">
      <w:start w:val="1"/>
      <w:numFmt w:val="bullet"/>
      <w:lvlText w:val=""/>
      <w:lvlJc w:val="left"/>
      <w:pPr>
        <w:tabs>
          <w:tab w:val="num" w:pos="3600"/>
        </w:tabs>
        <w:ind w:left="3600" w:hanging="360"/>
      </w:pPr>
      <w:rPr>
        <w:rFonts w:ascii="Wingdings 3" w:hAnsi="Wingdings 3" w:hint="default"/>
      </w:rPr>
    </w:lvl>
    <w:lvl w:ilvl="5" w:tplc="CC80E414" w:tentative="1">
      <w:start w:val="1"/>
      <w:numFmt w:val="bullet"/>
      <w:lvlText w:val=""/>
      <w:lvlJc w:val="left"/>
      <w:pPr>
        <w:tabs>
          <w:tab w:val="num" w:pos="4320"/>
        </w:tabs>
        <w:ind w:left="4320" w:hanging="360"/>
      </w:pPr>
      <w:rPr>
        <w:rFonts w:ascii="Wingdings 3" w:hAnsi="Wingdings 3" w:hint="default"/>
      </w:rPr>
    </w:lvl>
    <w:lvl w:ilvl="6" w:tplc="916A0ECC" w:tentative="1">
      <w:start w:val="1"/>
      <w:numFmt w:val="bullet"/>
      <w:lvlText w:val=""/>
      <w:lvlJc w:val="left"/>
      <w:pPr>
        <w:tabs>
          <w:tab w:val="num" w:pos="5040"/>
        </w:tabs>
        <w:ind w:left="5040" w:hanging="360"/>
      </w:pPr>
      <w:rPr>
        <w:rFonts w:ascii="Wingdings 3" w:hAnsi="Wingdings 3" w:hint="default"/>
      </w:rPr>
    </w:lvl>
    <w:lvl w:ilvl="7" w:tplc="0CFA2A6C" w:tentative="1">
      <w:start w:val="1"/>
      <w:numFmt w:val="bullet"/>
      <w:lvlText w:val=""/>
      <w:lvlJc w:val="left"/>
      <w:pPr>
        <w:tabs>
          <w:tab w:val="num" w:pos="5760"/>
        </w:tabs>
        <w:ind w:left="5760" w:hanging="360"/>
      </w:pPr>
      <w:rPr>
        <w:rFonts w:ascii="Wingdings 3" w:hAnsi="Wingdings 3" w:hint="default"/>
      </w:rPr>
    </w:lvl>
    <w:lvl w:ilvl="8" w:tplc="DB363340"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DCF28B9"/>
    <w:multiLevelType w:val="hybridMultilevel"/>
    <w:tmpl w:val="FF82AA3A"/>
    <w:lvl w:ilvl="0" w:tplc="E762587A">
      <w:start w:val="1"/>
      <w:numFmt w:val="bullet"/>
      <w:lvlText w:val=""/>
      <w:lvlJc w:val="left"/>
      <w:pPr>
        <w:tabs>
          <w:tab w:val="num" w:pos="720"/>
        </w:tabs>
        <w:ind w:left="720" w:hanging="360"/>
      </w:pPr>
      <w:rPr>
        <w:rFonts w:ascii="Wingdings 3" w:hAnsi="Wingdings 3" w:hint="default"/>
      </w:rPr>
    </w:lvl>
    <w:lvl w:ilvl="1" w:tplc="998AE2C6">
      <w:start w:val="1592"/>
      <w:numFmt w:val="bullet"/>
      <w:lvlText w:val=""/>
      <w:lvlJc w:val="left"/>
      <w:pPr>
        <w:tabs>
          <w:tab w:val="num" w:pos="1440"/>
        </w:tabs>
        <w:ind w:left="1440" w:hanging="360"/>
      </w:pPr>
      <w:rPr>
        <w:rFonts w:ascii="Wingdings 3" w:hAnsi="Wingdings 3" w:hint="default"/>
      </w:rPr>
    </w:lvl>
    <w:lvl w:ilvl="2" w:tplc="66A41A56" w:tentative="1">
      <w:start w:val="1"/>
      <w:numFmt w:val="bullet"/>
      <w:lvlText w:val=""/>
      <w:lvlJc w:val="left"/>
      <w:pPr>
        <w:tabs>
          <w:tab w:val="num" w:pos="2160"/>
        </w:tabs>
        <w:ind w:left="2160" w:hanging="360"/>
      </w:pPr>
      <w:rPr>
        <w:rFonts w:ascii="Wingdings 3" w:hAnsi="Wingdings 3" w:hint="default"/>
      </w:rPr>
    </w:lvl>
    <w:lvl w:ilvl="3" w:tplc="AC7234EC" w:tentative="1">
      <w:start w:val="1"/>
      <w:numFmt w:val="bullet"/>
      <w:lvlText w:val=""/>
      <w:lvlJc w:val="left"/>
      <w:pPr>
        <w:tabs>
          <w:tab w:val="num" w:pos="2880"/>
        </w:tabs>
        <w:ind w:left="2880" w:hanging="360"/>
      </w:pPr>
      <w:rPr>
        <w:rFonts w:ascii="Wingdings 3" w:hAnsi="Wingdings 3" w:hint="default"/>
      </w:rPr>
    </w:lvl>
    <w:lvl w:ilvl="4" w:tplc="9D00AD72" w:tentative="1">
      <w:start w:val="1"/>
      <w:numFmt w:val="bullet"/>
      <w:lvlText w:val=""/>
      <w:lvlJc w:val="left"/>
      <w:pPr>
        <w:tabs>
          <w:tab w:val="num" w:pos="3600"/>
        </w:tabs>
        <w:ind w:left="3600" w:hanging="360"/>
      </w:pPr>
      <w:rPr>
        <w:rFonts w:ascii="Wingdings 3" w:hAnsi="Wingdings 3" w:hint="default"/>
      </w:rPr>
    </w:lvl>
    <w:lvl w:ilvl="5" w:tplc="59E638AC" w:tentative="1">
      <w:start w:val="1"/>
      <w:numFmt w:val="bullet"/>
      <w:lvlText w:val=""/>
      <w:lvlJc w:val="left"/>
      <w:pPr>
        <w:tabs>
          <w:tab w:val="num" w:pos="4320"/>
        </w:tabs>
        <w:ind w:left="4320" w:hanging="360"/>
      </w:pPr>
      <w:rPr>
        <w:rFonts w:ascii="Wingdings 3" w:hAnsi="Wingdings 3" w:hint="default"/>
      </w:rPr>
    </w:lvl>
    <w:lvl w:ilvl="6" w:tplc="7E866810" w:tentative="1">
      <w:start w:val="1"/>
      <w:numFmt w:val="bullet"/>
      <w:lvlText w:val=""/>
      <w:lvlJc w:val="left"/>
      <w:pPr>
        <w:tabs>
          <w:tab w:val="num" w:pos="5040"/>
        </w:tabs>
        <w:ind w:left="5040" w:hanging="360"/>
      </w:pPr>
      <w:rPr>
        <w:rFonts w:ascii="Wingdings 3" w:hAnsi="Wingdings 3" w:hint="default"/>
      </w:rPr>
    </w:lvl>
    <w:lvl w:ilvl="7" w:tplc="BAB6883C" w:tentative="1">
      <w:start w:val="1"/>
      <w:numFmt w:val="bullet"/>
      <w:lvlText w:val=""/>
      <w:lvlJc w:val="left"/>
      <w:pPr>
        <w:tabs>
          <w:tab w:val="num" w:pos="5760"/>
        </w:tabs>
        <w:ind w:left="5760" w:hanging="360"/>
      </w:pPr>
      <w:rPr>
        <w:rFonts w:ascii="Wingdings 3" w:hAnsi="Wingdings 3" w:hint="default"/>
      </w:rPr>
    </w:lvl>
    <w:lvl w:ilvl="8" w:tplc="09FE8E8C"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32580B28"/>
    <w:multiLevelType w:val="hybridMultilevel"/>
    <w:tmpl w:val="681EDFAA"/>
    <w:lvl w:ilvl="0" w:tplc="FEFA4D7E">
      <w:start w:val="1"/>
      <w:numFmt w:val="bullet"/>
      <w:lvlText w:val=""/>
      <w:lvlJc w:val="left"/>
      <w:pPr>
        <w:tabs>
          <w:tab w:val="num" w:pos="720"/>
        </w:tabs>
        <w:ind w:left="720" w:hanging="360"/>
      </w:pPr>
      <w:rPr>
        <w:rFonts w:ascii="Wingdings 3" w:hAnsi="Wingdings 3" w:hint="default"/>
      </w:rPr>
    </w:lvl>
    <w:lvl w:ilvl="1" w:tplc="6D302C7C" w:tentative="1">
      <w:start w:val="1"/>
      <w:numFmt w:val="bullet"/>
      <w:lvlText w:val=""/>
      <w:lvlJc w:val="left"/>
      <w:pPr>
        <w:tabs>
          <w:tab w:val="num" w:pos="1440"/>
        </w:tabs>
        <w:ind w:left="1440" w:hanging="360"/>
      </w:pPr>
      <w:rPr>
        <w:rFonts w:ascii="Wingdings 3" w:hAnsi="Wingdings 3" w:hint="default"/>
      </w:rPr>
    </w:lvl>
    <w:lvl w:ilvl="2" w:tplc="DB5E2C84" w:tentative="1">
      <w:start w:val="1"/>
      <w:numFmt w:val="bullet"/>
      <w:lvlText w:val=""/>
      <w:lvlJc w:val="left"/>
      <w:pPr>
        <w:tabs>
          <w:tab w:val="num" w:pos="2160"/>
        </w:tabs>
        <w:ind w:left="2160" w:hanging="360"/>
      </w:pPr>
      <w:rPr>
        <w:rFonts w:ascii="Wingdings 3" w:hAnsi="Wingdings 3" w:hint="default"/>
      </w:rPr>
    </w:lvl>
    <w:lvl w:ilvl="3" w:tplc="2C9849B0" w:tentative="1">
      <w:start w:val="1"/>
      <w:numFmt w:val="bullet"/>
      <w:lvlText w:val=""/>
      <w:lvlJc w:val="left"/>
      <w:pPr>
        <w:tabs>
          <w:tab w:val="num" w:pos="2880"/>
        </w:tabs>
        <w:ind w:left="2880" w:hanging="360"/>
      </w:pPr>
      <w:rPr>
        <w:rFonts w:ascii="Wingdings 3" w:hAnsi="Wingdings 3" w:hint="default"/>
      </w:rPr>
    </w:lvl>
    <w:lvl w:ilvl="4" w:tplc="5B9270BC" w:tentative="1">
      <w:start w:val="1"/>
      <w:numFmt w:val="bullet"/>
      <w:lvlText w:val=""/>
      <w:lvlJc w:val="left"/>
      <w:pPr>
        <w:tabs>
          <w:tab w:val="num" w:pos="3600"/>
        </w:tabs>
        <w:ind w:left="3600" w:hanging="360"/>
      </w:pPr>
      <w:rPr>
        <w:rFonts w:ascii="Wingdings 3" w:hAnsi="Wingdings 3" w:hint="default"/>
      </w:rPr>
    </w:lvl>
    <w:lvl w:ilvl="5" w:tplc="35F44B9C" w:tentative="1">
      <w:start w:val="1"/>
      <w:numFmt w:val="bullet"/>
      <w:lvlText w:val=""/>
      <w:lvlJc w:val="left"/>
      <w:pPr>
        <w:tabs>
          <w:tab w:val="num" w:pos="4320"/>
        </w:tabs>
        <w:ind w:left="4320" w:hanging="360"/>
      </w:pPr>
      <w:rPr>
        <w:rFonts w:ascii="Wingdings 3" w:hAnsi="Wingdings 3" w:hint="default"/>
      </w:rPr>
    </w:lvl>
    <w:lvl w:ilvl="6" w:tplc="28BC1C48" w:tentative="1">
      <w:start w:val="1"/>
      <w:numFmt w:val="bullet"/>
      <w:lvlText w:val=""/>
      <w:lvlJc w:val="left"/>
      <w:pPr>
        <w:tabs>
          <w:tab w:val="num" w:pos="5040"/>
        </w:tabs>
        <w:ind w:left="5040" w:hanging="360"/>
      </w:pPr>
      <w:rPr>
        <w:rFonts w:ascii="Wingdings 3" w:hAnsi="Wingdings 3" w:hint="default"/>
      </w:rPr>
    </w:lvl>
    <w:lvl w:ilvl="7" w:tplc="710672FC" w:tentative="1">
      <w:start w:val="1"/>
      <w:numFmt w:val="bullet"/>
      <w:lvlText w:val=""/>
      <w:lvlJc w:val="left"/>
      <w:pPr>
        <w:tabs>
          <w:tab w:val="num" w:pos="5760"/>
        </w:tabs>
        <w:ind w:left="5760" w:hanging="360"/>
      </w:pPr>
      <w:rPr>
        <w:rFonts w:ascii="Wingdings 3" w:hAnsi="Wingdings 3" w:hint="default"/>
      </w:rPr>
    </w:lvl>
    <w:lvl w:ilvl="8" w:tplc="C314835E"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344A387E"/>
    <w:multiLevelType w:val="hybridMultilevel"/>
    <w:tmpl w:val="06F0957C"/>
    <w:lvl w:ilvl="0" w:tplc="5AE4640E">
      <w:start w:val="1"/>
      <w:numFmt w:val="bullet"/>
      <w:lvlText w:val=""/>
      <w:lvlJc w:val="left"/>
      <w:pPr>
        <w:tabs>
          <w:tab w:val="num" w:pos="720"/>
        </w:tabs>
        <w:ind w:left="720" w:hanging="360"/>
      </w:pPr>
      <w:rPr>
        <w:rFonts w:ascii="Wingdings 3" w:hAnsi="Wingdings 3" w:hint="default"/>
      </w:rPr>
    </w:lvl>
    <w:lvl w:ilvl="1" w:tplc="E0E2C9B4" w:tentative="1">
      <w:start w:val="1"/>
      <w:numFmt w:val="bullet"/>
      <w:lvlText w:val=""/>
      <w:lvlJc w:val="left"/>
      <w:pPr>
        <w:tabs>
          <w:tab w:val="num" w:pos="1440"/>
        </w:tabs>
        <w:ind w:left="1440" w:hanging="360"/>
      </w:pPr>
      <w:rPr>
        <w:rFonts w:ascii="Wingdings 3" w:hAnsi="Wingdings 3" w:hint="default"/>
      </w:rPr>
    </w:lvl>
    <w:lvl w:ilvl="2" w:tplc="94B8025A" w:tentative="1">
      <w:start w:val="1"/>
      <w:numFmt w:val="bullet"/>
      <w:lvlText w:val=""/>
      <w:lvlJc w:val="left"/>
      <w:pPr>
        <w:tabs>
          <w:tab w:val="num" w:pos="2160"/>
        </w:tabs>
        <w:ind w:left="2160" w:hanging="360"/>
      </w:pPr>
      <w:rPr>
        <w:rFonts w:ascii="Wingdings 3" w:hAnsi="Wingdings 3" w:hint="default"/>
      </w:rPr>
    </w:lvl>
    <w:lvl w:ilvl="3" w:tplc="8A845E52" w:tentative="1">
      <w:start w:val="1"/>
      <w:numFmt w:val="bullet"/>
      <w:lvlText w:val=""/>
      <w:lvlJc w:val="left"/>
      <w:pPr>
        <w:tabs>
          <w:tab w:val="num" w:pos="2880"/>
        </w:tabs>
        <w:ind w:left="2880" w:hanging="360"/>
      </w:pPr>
      <w:rPr>
        <w:rFonts w:ascii="Wingdings 3" w:hAnsi="Wingdings 3" w:hint="default"/>
      </w:rPr>
    </w:lvl>
    <w:lvl w:ilvl="4" w:tplc="E16A232A" w:tentative="1">
      <w:start w:val="1"/>
      <w:numFmt w:val="bullet"/>
      <w:lvlText w:val=""/>
      <w:lvlJc w:val="left"/>
      <w:pPr>
        <w:tabs>
          <w:tab w:val="num" w:pos="3600"/>
        </w:tabs>
        <w:ind w:left="3600" w:hanging="360"/>
      </w:pPr>
      <w:rPr>
        <w:rFonts w:ascii="Wingdings 3" w:hAnsi="Wingdings 3" w:hint="default"/>
      </w:rPr>
    </w:lvl>
    <w:lvl w:ilvl="5" w:tplc="55E2416A" w:tentative="1">
      <w:start w:val="1"/>
      <w:numFmt w:val="bullet"/>
      <w:lvlText w:val=""/>
      <w:lvlJc w:val="left"/>
      <w:pPr>
        <w:tabs>
          <w:tab w:val="num" w:pos="4320"/>
        </w:tabs>
        <w:ind w:left="4320" w:hanging="360"/>
      </w:pPr>
      <w:rPr>
        <w:rFonts w:ascii="Wingdings 3" w:hAnsi="Wingdings 3" w:hint="default"/>
      </w:rPr>
    </w:lvl>
    <w:lvl w:ilvl="6" w:tplc="F7BEC38E" w:tentative="1">
      <w:start w:val="1"/>
      <w:numFmt w:val="bullet"/>
      <w:lvlText w:val=""/>
      <w:lvlJc w:val="left"/>
      <w:pPr>
        <w:tabs>
          <w:tab w:val="num" w:pos="5040"/>
        </w:tabs>
        <w:ind w:left="5040" w:hanging="360"/>
      </w:pPr>
      <w:rPr>
        <w:rFonts w:ascii="Wingdings 3" w:hAnsi="Wingdings 3" w:hint="default"/>
      </w:rPr>
    </w:lvl>
    <w:lvl w:ilvl="7" w:tplc="B8784522" w:tentative="1">
      <w:start w:val="1"/>
      <w:numFmt w:val="bullet"/>
      <w:lvlText w:val=""/>
      <w:lvlJc w:val="left"/>
      <w:pPr>
        <w:tabs>
          <w:tab w:val="num" w:pos="5760"/>
        </w:tabs>
        <w:ind w:left="5760" w:hanging="360"/>
      </w:pPr>
      <w:rPr>
        <w:rFonts w:ascii="Wingdings 3" w:hAnsi="Wingdings 3" w:hint="default"/>
      </w:rPr>
    </w:lvl>
    <w:lvl w:ilvl="8" w:tplc="A1B2C944"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38CB0FA0"/>
    <w:multiLevelType w:val="hybridMultilevel"/>
    <w:tmpl w:val="5D2E164A"/>
    <w:lvl w:ilvl="0" w:tplc="6AC69CF2">
      <w:start w:val="1"/>
      <w:numFmt w:val="bullet"/>
      <w:lvlText w:val=""/>
      <w:lvlJc w:val="left"/>
      <w:pPr>
        <w:tabs>
          <w:tab w:val="num" w:pos="720"/>
        </w:tabs>
        <w:ind w:left="720" w:hanging="360"/>
      </w:pPr>
      <w:rPr>
        <w:rFonts w:ascii="Wingdings 3" w:hAnsi="Wingdings 3" w:hint="default"/>
      </w:rPr>
    </w:lvl>
    <w:lvl w:ilvl="1" w:tplc="9014B378" w:tentative="1">
      <w:start w:val="1"/>
      <w:numFmt w:val="bullet"/>
      <w:lvlText w:val=""/>
      <w:lvlJc w:val="left"/>
      <w:pPr>
        <w:tabs>
          <w:tab w:val="num" w:pos="1440"/>
        </w:tabs>
        <w:ind w:left="1440" w:hanging="360"/>
      </w:pPr>
      <w:rPr>
        <w:rFonts w:ascii="Wingdings 3" w:hAnsi="Wingdings 3" w:hint="default"/>
      </w:rPr>
    </w:lvl>
    <w:lvl w:ilvl="2" w:tplc="9F5C1EF6" w:tentative="1">
      <w:start w:val="1"/>
      <w:numFmt w:val="bullet"/>
      <w:lvlText w:val=""/>
      <w:lvlJc w:val="left"/>
      <w:pPr>
        <w:tabs>
          <w:tab w:val="num" w:pos="2160"/>
        </w:tabs>
        <w:ind w:left="2160" w:hanging="360"/>
      </w:pPr>
      <w:rPr>
        <w:rFonts w:ascii="Wingdings 3" w:hAnsi="Wingdings 3" w:hint="default"/>
      </w:rPr>
    </w:lvl>
    <w:lvl w:ilvl="3" w:tplc="3AFA04EE" w:tentative="1">
      <w:start w:val="1"/>
      <w:numFmt w:val="bullet"/>
      <w:lvlText w:val=""/>
      <w:lvlJc w:val="left"/>
      <w:pPr>
        <w:tabs>
          <w:tab w:val="num" w:pos="2880"/>
        </w:tabs>
        <w:ind w:left="2880" w:hanging="360"/>
      </w:pPr>
      <w:rPr>
        <w:rFonts w:ascii="Wingdings 3" w:hAnsi="Wingdings 3" w:hint="default"/>
      </w:rPr>
    </w:lvl>
    <w:lvl w:ilvl="4" w:tplc="9CD88138" w:tentative="1">
      <w:start w:val="1"/>
      <w:numFmt w:val="bullet"/>
      <w:lvlText w:val=""/>
      <w:lvlJc w:val="left"/>
      <w:pPr>
        <w:tabs>
          <w:tab w:val="num" w:pos="3600"/>
        </w:tabs>
        <w:ind w:left="3600" w:hanging="360"/>
      </w:pPr>
      <w:rPr>
        <w:rFonts w:ascii="Wingdings 3" w:hAnsi="Wingdings 3" w:hint="default"/>
      </w:rPr>
    </w:lvl>
    <w:lvl w:ilvl="5" w:tplc="E0EAF16E" w:tentative="1">
      <w:start w:val="1"/>
      <w:numFmt w:val="bullet"/>
      <w:lvlText w:val=""/>
      <w:lvlJc w:val="left"/>
      <w:pPr>
        <w:tabs>
          <w:tab w:val="num" w:pos="4320"/>
        </w:tabs>
        <w:ind w:left="4320" w:hanging="360"/>
      </w:pPr>
      <w:rPr>
        <w:rFonts w:ascii="Wingdings 3" w:hAnsi="Wingdings 3" w:hint="default"/>
      </w:rPr>
    </w:lvl>
    <w:lvl w:ilvl="6" w:tplc="B2747BB6" w:tentative="1">
      <w:start w:val="1"/>
      <w:numFmt w:val="bullet"/>
      <w:lvlText w:val=""/>
      <w:lvlJc w:val="left"/>
      <w:pPr>
        <w:tabs>
          <w:tab w:val="num" w:pos="5040"/>
        </w:tabs>
        <w:ind w:left="5040" w:hanging="360"/>
      </w:pPr>
      <w:rPr>
        <w:rFonts w:ascii="Wingdings 3" w:hAnsi="Wingdings 3" w:hint="default"/>
      </w:rPr>
    </w:lvl>
    <w:lvl w:ilvl="7" w:tplc="9446DD68" w:tentative="1">
      <w:start w:val="1"/>
      <w:numFmt w:val="bullet"/>
      <w:lvlText w:val=""/>
      <w:lvlJc w:val="left"/>
      <w:pPr>
        <w:tabs>
          <w:tab w:val="num" w:pos="5760"/>
        </w:tabs>
        <w:ind w:left="5760" w:hanging="360"/>
      </w:pPr>
      <w:rPr>
        <w:rFonts w:ascii="Wingdings 3" w:hAnsi="Wingdings 3" w:hint="default"/>
      </w:rPr>
    </w:lvl>
    <w:lvl w:ilvl="8" w:tplc="609A849C"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3A8534D5"/>
    <w:multiLevelType w:val="hybridMultilevel"/>
    <w:tmpl w:val="607272AE"/>
    <w:lvl w:ilvl="0" w:tplc="65B07D46">
      <w:start w:val="1"/>
      <w:numFmt w:val="decimal"/>
      <w:lvlText w:val="(%1)"/>
      <w:lvlJc w:val="righ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 w15:restartNumberingAfterBreak="0">
    <w:nsid w:val="3E50398C"/>
    <w:multiLevelType w:val="hybridMultilevel"/>
    <w:tmpl w:val="C922C042"/>
    <w:lvl w:ilvl="0" w:tplc="53228E9A">
      <w:start w:val="1"/>
      <w:numFmt w:val="bullet"/>
      <w:lvlText w:val=""/>
      <w:lvlJc w:val="left"/>
      <w:pPr>
        <w:tabs>
          <w:tab w:val="num" w:pos="720"/>
        </w:tabs>
        <w:ind w:left="720" w:hanging="360"/>
      </w:pPr>
      <w:rPr>
        <w:rFonts w:ascii="Wingdings 3" w:hAnsi="Wingdings 3" w:hint="default"/>
      </w:rPr>
    </w:lvl>
    <w:lvl w:ilvl="1" w:tplc="3FEA5850" w:tentative="1">
      <w:start w:val="1"/>
      <w:numFmt w:val="bullet"/>
      <w:lvlText w:val=""/>
      <w:lvlJc w:val="left"/>
      <w:pPr>
        <w:tabs>
          <w:tab w:val="num" w:pos="1440"/>
        </w:tabs>
        <w:ind w:left="1440" w:hanging="360"/>
      </w:pPr>
      <w:rPr>
        <w:rFonts w:ascii="Wingdings 3" w:hAnsi="Wingdings 3" w:hint="default"/>
      </w:rPr>
    </w:lvl>
    <w:lvl w:ilvl="2" w:tplc="823A6D58" w:tentative="1">
      <w:start w:val="1"/>
      <w:numFmt w:val="bullet"/>
      <w:lvlText w:val=""/>
      <w:lvlJc w:val="left"/>
      <w:pPr>
        <w:tabs>
          <w:tab w:val="num" w:pos="2160"/>
        </w:tabs>
        <w:ind w:left="2160" w:hanging="360"/>
      </w:pPr>
      <w:rPr>
        <w:rFonts w:ascii="Wingdings 3" w:hAnsi="Wingdings 3" w:hint="default"/>
      </w:rPr>
    </w:lvl>
    <w:lvl w:ilvl="3" w:tplc="6B0AFCA6" w:tentative="1">
      <w:start w:val="1"/>
      <w:numFmt w:val="bullet"/>
      <w:lvlText w:val=""/>
      <w:lvlJc w:val="left"/>
      <w:pPr>
        <w:tabs>
          <w:tab w:val="num" w:pos="2880"/>
        </w:tabs>
        <w:ind w:left="2880" w:hanging="360"/>
      </w:pPr>
      <w:rPr>
        <w:rFonts w:ascii="Wingdings 3" w:hAnsi="Wingdings 3" w:hint="default"/>
      </w:rPr>
    </w:lvl>
    <w:lvl w:ilvl="4" w:tplc="2A30CD90" w:tentative="1">
      <w:start w:val="1"/>
      <w:numFmt w:val="bullet"/>
      <w:lvlText w:val=""/>
      <w:lvlJc w:val="left"/>
      <w:pPr>
        <w:tabs>
          <w:tab w:val="num" w:pos="3600"/>
        </w:tabs>
        <w:ind w:left="3600" w:hanging="360"/>
      </w:pPr>
      <w:rPr>
        <w:rFonts w:ascii="Wingdings 3" w:hAnsi="Wingdings 3" w:hint="default"/>
      </w:rPr>
    </w:lvl>
    <w:lvl w:ilvl="5" w:tplc="B6CC55AA" w:tentative="1">
      <w:start w:val="1"/>
      <w:numFmt w:val="bullet"/>
      <w:lvlText w:val=""/>
      <w:lvlJc w:val="left"/>
      <w:pPr>
        <w:tabs>
          <w:tab w:val="num" w:pos="4320"/>
        </w:tabs>
        <w:ind w:left="4320" w:hanging="360"/>
      </w:pPr>
      <w:rPr>
        <w:rFonts w:ascii="Wingdings 3" w:hAnsi="Wingdings 3" w:hint="default"/>
      </w:rPr>
    </w:lvl>
    <w:lvl w:ilvl="6" w:tplc="B7A84CAA" w:tentative="1">
      <w:start w:val="1"/>
      <w:numFmt w:val="bullet"/>
      <w:lvlText w:val=""/>
      <w:lvlJc w:val="left"/>
      <w:pPr>
        <w:tabs>
          <w:tab w:val="num" w:pos="5040"/>
        </w:tabs>
        <w:ind w:left="5040" w:hanging="360"/>
      </w:pPr>
      <w:rPr>
        <w:rFonts w:ascii="Wingdings 3" w:hAnsi="Wingdings 3" w:hint="default"/>
      </w:rPr>
    </w:lvl>
    <w:lvl w:ilvl="7" w:tplc="A8929D5E" w:tentative="1">
      <w:start w:val="1"/>
      <w:numFmt w:val="bullet"/>
      <w:lvlText w:val=""/>
      <w:lvlJc w:val="left"/>
      <w:pPr>
        <w:tabs>
          <w:tab w:val="num" w:pos="5760"/>
        </w:tabs>
        <w:ind w:left="5760" w:hanging="360"/>
      </w:pPr>
      <w:rPr>
        <w:rFonts w:ascii="Wingdings 3" w:hAnsi="Wingdings 3" w:hint="default"/>
      </w:rPr>
    </w:lvl>
    <w:lvl w:ilvl="8" w:tplc="C93A538C" w:tentative="1">
      <w:start w:val="1"/>
      <w:numFmt w:val="bullet"/>
      <w:lvlText w:val=""/>
      <w:lvlJc w:val="left"/>
      <w:pPr>
        <w:tabs>
          <w:tab w:val="num" w:pos="6480"/>
        </w:tabs>
        <w:ind w:left="6480" w:hanging="360"/>
      </w:pPr>
      <w:rPr>
        <w:rFonts w:ascii="Wingdings 3" w:hAnsi="Wingdings 3" w:hint="default"/>
      </w:rPr>
    </w:lvl>
  </w:abstractNum>
  <w:abstractNum w:abstractNumId="13" w15:restartNumberingAfterBreak="0">
    <w:nsid w:val="3FA1521B"/>
    <w:multiLevelType w:val="hybridMultilevel"/>
    <w:tmpl w:val="2DBE316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159272E"/>
    <w:multiLevelType w:val="hybridMultilevel"/>
    <w:tmpl w:val="9AB2398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2173FD3"/>
    <w:multiLevelType w:val="hybridMultilevel"/>
    <w:tmpl w:val="7E40CDF0"/>
    <w:lvl w:ilvl="0" w:tplc="28A4738E">
      <w:start w:val="1"/>
      <w:numFmt w:val="bullet"/>
      <w:lvlText w:val=""/>
      <w:lvlJc w:val="left"/>
      <w:pPr>
        <w:tabs>
          <w:tab w:val="num" w:pos="720"/>
        </w:tabs>
        <w:ind w:left="720" w:hanging="360"/>
      </w:pPr>
      <w:rPr>
        <w:rFonts w:ascii="Wingdings 3" w:hAnsi="Wingdings 3" w:hint="default"/>
      </w:rPr>
    </w:lvl>
    <w:lvl w:ilvl="1" w:tplc="A41C600C" w:tentative="1">
      <w:start w:val="1"/>
      <w:numFmt w:val="bullet"/>
      <w:lvlText w:val=""/>
      <w:lvlJc w:val="left"/>
      <w:pPr>
        <w:tabs>
          <w:tab w:val="num" w:pos="1440"/>
        </w:tabs>
        <w:ind w:left="1440" w:hanging="360"/>
      </w:pPr>
      <w:rPr>
        <w:rFonts w:ascii="Wingdings 3" w:hAnsi="Wingdings 3" w:hint="default"/>
      </w:rPr>
    </w:lvl>
    <w:lvl w:ilvl="2" w:tplc="03F41164" w:tentative="1">
      <w:start w:val="1"/>
      <w:numFmt w:val="bullet"/>
      <w:lvlText w:val=""/>
      <w:lvlJc w:val="left"/>
      <w:pPr>
        <w:tabs>
          <w:tab w:val="num" w:pos="2160"/>
        </w:tabs>
        <w:ind w:left="2160" w:hanging="360"/>
      </w:pPr>
      <w:rPr>
        <w:rFonts w:ascii="Wingdings 3" w:hAnsi="Wingdings 3" w:hint="default"/>
      </w:rPr>
    </w:lvl>
    <w:lvl w:ilvl="3" w:tplc="7162380C" w:tentative="1">
      <w:start w:val="1"/>
      <w:numFmt w:val="bullet"/>
      <w:lvlText w:val=""/>
      <w:lvlJc w:val="left"/>
      <w:pPr>
        <w:tabs>
          <w:tab w:val="num" w:pos="2880"/>
        </w:tabs>
        <w:ind w:left="2880" w:hanging="360"/>
      </w:pPr>
      <w:rPr>
        <w:rFonts w:ascii="Wingdings 3" w:hAnsi="Wingdings 3" w:hint="default"/>
      </w:rPr>
    </w:lvl>
    <w:lvl w:ilvl="4" w:tplc="8EAA80E4" w:tentative="1">
      <w:start w:val="1"/>
      <w:numFmt w:val="bullet"/>
      <w:lvlText w:val=""/>
      <w:lvlJc w:val="left"/>
      <w:pPr>
        <w:tabs>
          <w:tab w:val="num" w:pos="3600"/>
        </w:tabs>
        <w:ind w:left="3600" w:hanging="360"/>
      </w:pPr>
      <w:rPr>
        <w:rFonts w:ascii="Wingdings 3" w:hAnsi="Wingdings 3" w:hint="default"/>
      </w:rPr>
    </w:lvl>
    <w:lvl w:ilvl="5" w:tplc="4EF43AD4" w:tentative="1">
      <w:start w:val="1"/>
      <w:numFmt w:val="bullet"/>
      <w:lvlText w:val=""/>
      <w:lvlJc w:val="left"/>
      <w:pPr>
        <w:tabs>
          <w:tab w:val="num" w:pos="4320"/>
        </w:tabs>
        <w:ind w:left="4320" w:hanging="360"/>
      </w:pPr>
      <w:rPr>
        <w:rFonts w:ascii="Wingdings 3" w:hAnsi="Wingdings 3" w:hint="default"/>
      </w:rPr>
    </w:lvl>
    <w:lvl w:ilvl="6" w:tplc="46302D74" w:tentative="1">
      <w:start w:val="1"/>
      <w:numFmt w:val="bullet"/>
      <w:lvlText w:val=""/>
      <w:lvlJc w:val="left"/>
      <w:pPr>
        <w:tabs>
          <w:tab w:val="num" w:pos="5040"/>
        </w:tabs>
        <w:ind w:left="5040" w:hanging="360"/>
      </w:pPr>
      <w:rPr>
        <w:rFonts w:ascii="Wingdings 3" w:hAnsi="Wingdings 3" w:hint="default"/>
      </w:rPr>
    </w:lvl>
    <w:lvl w:ilvl="7" w:tplc="3D24F66E" w:tentative="1">
      <w:start w:val="1"/>
      <w:numFmt w:val="bullet"/>
      <w:lvlText w:val=""/>
      <w:lvlJc w:val="left"/>
      <w:pPr>
        <w:tabs>
          <w:tab w:val="num" w:pos="5760"/>
        </w:tabs>
        <w:ind w:left="5760" w:hanging="360"/>
      </w:pPr>
      <w:rPr>
        <w:rFonts w:ascii="Wingdings 3" w:hAnsi="Wingdings 3" w:hint="default"/>
      </w:rPr>
    </w:lvl>
    <w:lvl w:ilvl="8" w:tplc="A4BAE666"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49E35F72"/>
    <w:multiLevelType w:val="hybridMultilevel"/>
    <w:tmpl w:val="E5709B50"/>
    <w:lvl w:ilvl="0" w:tplc="BDC249B8">
      <w:start w:val="1"/>
      <w:numFmt w:val="bullet"/>
      <w:lvlText w:val=""/>
      <w:lvlJc w:val="left"/>
      <w:pPr>
        <w:tabs>
          <w:tab w:val="num" w:pos="720"/>
        </w:tabs>
        <w:ind w:left="720" w:hanging="360"/>
      </w:pPr>
      <w:rPr>
        <w:rFonts w:ascii="Wingdings 3" w:hAnsi="Wingdings 3" w:hint="default"/>
      </w:rPr>
    </w:lvl>
    <w:lvl w:ilvl="1" w:tplc="99B8B2A4">
      <w:start w:val="567"/>
      <w:numFmt w:val="bullet"/>
      <w:lvlText w:val=""/>
      <w:lvlJc w:val="left"/>
      <w:pPr>
        <w:tabs>
          <w:tab w:val="num" w:pos="1440"/>
        </w:tabs>
        <w:ind w:left="1440" w:hanging="360"/>
      </w:pPr>
      <w:rPr>
        <w:rFonts w:ascii="Wingdings 3" w:hAnsi="Wingdings 3" w:hint="default"/>
      </w:rPr>
    </w:lvl>
    <w:lvl w:ilvl="2" w:tplc="D5CA50C0" w:tentative="1">
      <w:start w:val="1"/>
      <w:numFmt w:val="bullet"/>
      <w:lvlText w:val=""/>
      <w:lvlJc w:val="left"/>
      <w:pPr>
        <w:tabs>
          <w:tab w:val="num" w:pos="2160"/>
        </w:tabs>
        <w:ind w:left="2160" w:hanging="360"/>
      </w:pPr>
      <w:rPr>
        <w:rFonts w:ascii="Wingdings 3" w:hAnsi="Wingdings 3" w:hint="default"/>
      </w:rPr>
    </w:lvl>
    <w:lvl w:ilvl="3" w:tplc="416ADD8A" w:tentative="1">
      <w:start w:val="1"/>
      <w:numFmt w:val="bullet"/>
      <w:lvlText w:val=""/>
      <w:lvlJc w:val="left"/>
      <w:pPr>
        <w:tabs>
          <w:tab w:val="num" w:pos="2880"/>
        </w:tabs>
        <w:ind w:left="2880" w:hanging="360"/>
      </w:pPr>
      <w:rPr>
        <w:rFonts w:ascii="Wingdings 3" w:hAnsi="Wingdings 3" w:hint="default"/>
      </w:rPr>
    </w:lvl>
    <w:lvl w:ilvl="4" w:tplc="B69ABB54" w:tentative="1">
      <w:start w:val="1"/>
      <w:numFmt w:val="bullet"/>
      <w:lvlText w:val=""/>
      <w:lvlJc w:val="left"/>
      <w:pPr>
        <w:tabs>
          <w:tab w:val="num" w:pos="3600"/>
        </w:tabs>
        <w:ind w:left="3600" w:hanging="360"/>
      </w:pPr>
      <w:rPr>
        <w:rFonts w:ascii="Wingdings 3" w:hAnsi="Wingdings 3" w:hint="default"/>
      </w:rPr>
    </w:lvl>
    <w:lvl w:ilvl="5" w:tplc="FA0EAEF6" w:tentative="1">
      <w:start w:val="1"/>
      <w:numFmt w:val="bullet"/>
      <w:lvlText w:val=""/>
      <w:lvlJc w:val="left"/>
      <w:pPr>
        <w:tabs>
          <w:tab w:val="num" w:pos="4320"/>
        </w:tabs>
        <w:ind w:left="4320" w:hanging="360"/>
      </w:pPr>
      <w:rPr>
        <w:rFonts w:ascii="Wingdings 3" w:hAnsi="Wingdings 3" w:hint="default"/>
      </w:rPr>
    </w:lvl>
    <w:lvl w:ilvl="6" w:tplc="C7942C9E" w:tentative="1">
      <w:start w:val="1"/>
      <w:numFmt w:val="bullet"/>
      <w:lvlText w:val=""/>
      <w:lvlJc w:val="left"/>
      <w:pPr>
        <w:tabs>
          <w:tab w:val="num" w:pos="5040"/>
        </w:tabs>
        <w:ind w:left="5040" w:hanging="360"/>
      </w:pPr>
      <w:rPr>
        <w:rFonts w:ascii="Wingdings 3" w:hAnsi="Wingdings 3" w:hint="default"/>
      </w:rPr>
    </w:lvl>
    <w:lvl w:ilvl="7" w:tplc="1A64BADC" w:tentative="1">
      <w:start w:val="1"/>
      <w:numFmt w:val="bullet"/>
      <w:lvlText w:val=""/>
      <w:lvlJc w:val="left"/>
      <w:pPr>
        <w:tabs>
          <w:tab w:val="num" w:pos="5760"/>
        </w:tabs>
        <w:ind w:left="5760" w:hanging="360"/>
      </w:pPr>
      <w:rPr>
        <w:rFonts w:ascii="Wingdings 3" w:hAnsi="Wingdings 3" w:hint="default"/>
      </w:rPr>
    </w:lvl>
    <w:lvl w:ilvl="8" w:tplc="242E4DAA"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4A777490"/>
    <w:multiLevelType w:val="hybridMultilevel"/>
    <w:tmpl w:val="3F4A8C6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76C1096"/>
    <w:multiLevelType w:val="hybridMultilevel"/>
    <w:tmpl w:val="0C4AF4C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8CC5172"/>
    <w:multiLevelType w:val="hybridMultilevel"/>
    <w:tmpl w:val="D97893AA"/>
    <w:lvl w:ilvl="0" w:tplc="65B07D46">
      <w:start w:val="1"/>
      <w:numFmt w:val="decimal"/>
      <w:lvlText w:val="(%1)"/>
      <w:lvlJc w:val="righ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0" w15:restartNumberingAfterBreak="0">
    <w:nsid w:val="5AF07F41"/>
    <w:multiLevelType w:val="hybridMultilevel"/>
    <w:tmpl w:val="52C82FDC"/>
    <w:lvl w:ilvl="0" w:tplc="8D8E25A2">
      <w:start w:val="1"/>
      <w:numFmt w:val="bullet"/>
      <w:lvlText w:val=""/>
      <w:lvlJc w:val="left"/>
      <w:pPr>
        <w:tabs>
          <w:tab w:val="num" w:pos="720"/>
        </w:tabs>
        <w:ind w:left="720" w:hanging="360"/>
      </w:pPr>
      <w:rPr>
        <w:rFonts w:ascii="Wingdings 3" w:hAnsi="Wingdings 3" w:hint="default"/>
      </w:rPr>
    </w:lvl>
    <w:lvl w:ilvl="1" w:tplc="32600CF2">
      <w:start w:val="567"/>
      <w:numFmt w:val="bullet"/>
      <w:lvlText w:val=""/>
      <w:lvlJc w:val="left"/>
      <w:pPr>
        <w:tabs>
          <w:tab w:val="num" w:pos="1440"/>
        </w:tabs>
        <w:ind w:left="1440" w:hanging="360"/>
      </w:pPr>
      <w:rPr>
        <w:rFonts w:ascii="Wingdings 3" w:hAnsi="Wingdings 3" w:hint="default"/>
      </w:rPr>
    </w:lvl>
    <w:lvl w:ilvl="2" w:tplc="DA602E06" w:tentative="1">
      <w:start w:val="1"/>
      <w:numFmt w:val="bullet"/>
      <w:lvlText w:val=""/>
      <w:lvlJc w:val="left"/>
      <w:pPr>
        <w:tabs>
          <w:tab w:val="num" w:pos="2160"/>
        </w:tabs>
        <w:ind w:left="2160" w:hanging="360"/>
      </w:pPr>
      <w:rPr>
        <w:rFonts w:ascii="Wingdings 3" w:hAnsi="Wingdings 3" w:hint="default"/>
      </w:rPr>
    </w:lvl>
    <w:lvl w:ilvl="3" w:tplc="F14C732C" w:tentative="1">
      <w:start w:val="1"/>
      <w:numFmt w:val="bullet"/>
      <w:lvlText w:val=""/>
      <w:lvlJc w:val="left"/>
      <w:pPr>
        <w:tabs>
          <w:tab w:val="num" w:pos="2880"/>
        </w:tabs>
        <w:ind w:left="2880" w:hanging="360"/>
      </w:pPr>
      <w:rPr>
        <w:rFonts w:ascii="Wingdings 3" w:hAnsi="Wingdings 3" w:hint="default"/>
      </w:rPr>
    </w:lvl>
    <w:lvl w:ilvl="4" w:tplc="03AAD4FC" w:tentative="1">
      <w:start w:val="1"/>
      <w:numFmt w:val="bullet"/>
      <w:lvlText w:val=""/>
      <w:lvlJc w:val="left"/>
      <w:pPr>
        <w:tabs>
          <w:tab w:val="num" w:pos="3600"/>
        </w:tabs>
        <w:ind w:left="3600" w:hanging="360"/>
      </w:pPr>
      <w:rPr>
        <w:rFonts w:ascii="Wingdings 3" w:hAnsi="Wingdings 3" w:hint="default"/>
      </w:rPr>
    </w:lvl>
    <w:lvl w:ilvl="5" w:tplc="4EC4035C" w:tentative="1">
      <w:start w:val="1"/>
      <w:numFmt w:val="bullet"/>
      <w:lvlText w:val=""/>
      <w:lvlJc w:val="left"/>
      <w:pPr>
        <w:tabs>
          <w:tab w:val="num" w:pos="4320"/>
        </w:tabs>
        <w:ind w:left="4320" w:hanging="360"/>
      </w:pPr>
      <w:rPr>
        <w:rFonts w:ascii="Wingdings 3" w:hAnsi="Wingdings 3" w:hint="default"/>
      </w:rPr>
    </w:lvl>
    <w:lvl w:ilvl="6" w:tplc="35602CC4" w:tentative="1">
      <w:start w:val="1"/>
      <w:numFmt w:val="bullet"/>
      <w:lvlText w:val=""/>
      <w:lvlJc w:val="left"/>
      <w:pPr>
        <w:tabs>
          <w:tab w:val="num" w:pos="5040"/>
        </w:tabs>
        <w:ind w:left="5040" w:hanging="360"/>
      </w:pPr>
      <w:rPr>
        <w:rFonts w:ascii="Wingdings 3" w:hAnsi="Wingdings 3" w:hint="default"/>
      </w:rPr>
    </w:lvl>
    <w:lvl w:ilvl="7" w:tplc="D7E02EA4" w:tentative="1">
      <w:start w:val="1"/>
      <w:numFmt w:val="bullet"/>
      <w:lvlText w:val=""/>
      <w:lvlJc w:val="left"/>
      <w:pPr>
        <w:tabs>
          <w:tab w:val="num" w:pos="5760"/>
        </w:tabs>
        <w:ind w:left="5760" w:hanging="360"/>
      </w:pPr>
      <w:rPr>
        <w:rFonts w:ascii="Wingdings 3" w:hAnsi="Wingdings 3" w:hint="default"/>
      </w:rPr>
    </w:lvl>
    <w:lvl w:ilvl="8" w:tplc="A4CA69A4"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603F0F43"/>
    <w:multiLevelType w:val="multilevel"/>
    <w:tmpl w:val="1E4A70D0"/>
    <w:lvl w:ilvl="0">
      <w:start w:val="1"/>
      <w:numFmt w:val="decimal"/>
      <w:pStyle w:val="Heading1"/>
      <w:lvlText w:val="%1."/>
      <w:lvlJc w:val="left"/>
      <w:pPr>
        <w:ind w:left="360" w:hanging="360"/>
      </w:pPr>
      <w:rPr>
        <w:rFonts w:hint="default"/>
        <w:i w:val="0"/>
      </w:rPr>
    </w:lvl>
    <w:lvl w:ilvl="1">
      <w:start w:val="1"/>
      <w:numFmt w:val="decimal"/>
      <w:isLgl/>
      <w:lvlText w:val="%1.%2."/>
      <w:lvlJc w:val="left"/>
      <w:pPr>
        <w:ind w:left="780" w:hanging="420"/>
      </w:pPr>
      <w:rPr>
        <w:rFonts w:hint="default"/>
        <w:i w:val="0"/>
        <w:iCs/>
        <w:color w:val="auto"/>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7311DD9"/>
    <w:multiLevelType w:val="hybridMultilevel"/>
    <w:tmpl w:val="A604992A"/>
    <w:lvl w:ilvl="0" w:tplc="4BF66C1A">
      <w:start w:val="1"/>
      <w:numFmt w:val="bullet"/>
      <w:lvlText w:val=""/>
      <w:lvlJc w:val="left"/>
      <w:pPr>
        <w:tabs>
          <w:tab w:val="num" w:pos="720"/>
        </w:tabs>
        <w:ind w:left="720" w:hanging="360"/>
      </w:pPr>
      <w:rPr>
        <w:rFonts w:ascii="Wingdings 3" w:hAnsi="Wingdings 3" w:hint="default"/>
      </w:rPr>
    </w:lvl>
    <w:lvl w:ilvl="1" w:tplc="8FBA40EE">
      <w:start w:val="567"/>
      <w:numFmt w:val="bullet"/>
      <w:lvlText w:val=""/>
      <w:lvlJc w:val="left"/>
      <w:pPr>
        <w:tabs>
          <w:tab w:val="num" w:pos="1440"/>
        </w:tabs>
        <w:ind w:left="1440" w:hanging="360"/>
      </w:pPr>
      <w:rPr>
        <w:rFonts w:ascii="Wingdings 3" w:hAnsi="Wingdings 3" w:hint="default"/>
      </w:rPr>
    </w:lvl>
    <w:lvl w:ilvl="2" w:tplc="7DC437C2" w:tentative="1">
      <w:start w:val="1"/>
      <w:numFmt w:val="bullet"/>
      <w:lvlText w:val=""/>
      <w:lvlJc w:val="left"/>
      <w:pPr>
        <w:tabs>
          <w:tab w:val="num" w:pos="2160"/>
        </w:tabs>
        <w:ind w:left="2160" w:hanging="360"/>
      </w:pPr>
      <w:rPr>
        <w:rFonts w:ascii="Wingdings 3" w:hAnsi="Wingdings 3" w:hint="default"/>
      </w:rPr>
    </w:lvl>
    <w:lvl w:ilvl="3" w:tplc="65D04C0E" w:tentative="1">
      <w:start w:val="1"/>
      <w:numFmt w:val="bullet"/>
      <w:lvlText w:val=""/>
      <w:lvlJc w:val="left"/>
      <w:pPr>
        <w:tabs>
          <w:tab w:val="num" w:pos="2880"/>
        </w:tabs>
        <w:ind w:left="2880" w:hanging="360"/>
      </w:pPr>
      <w:rPr>
        <w:rFonts w:ascii="Wingdings 3" w:hAnsi="Wingdings 3" w:hint="default"/>
      </w:rPr>
    </w:lvl>
    <w:lvl w:ilvl="4" w:tplc="38B25448" w:tentative="1">
      <w:start w:val="1"/>
      <w:numFmt w:val="bullet"/>
      <w:lvlText w:val=""/>
      <w:lvlJc w:val="left"/>
      <w:pPr>
        <w:tabs>
          <w:tab w:val="num" w:pos="3600"/>
        </w:tabs>
        <w:ind w:left="3600" w:hanging="360"/>
      </w:pPr>
      <w:rPr>
        <w:rFonts w:ascii="Wingdings 3" w:hAnsi="Wingdings 3" w:hint="default"/>
      </w:rPr>
    </w:lvl>
    <w:lvl w:ilvl="5" w:tplc="DF7C5AEA" w:tentative="1">
      <w:start w:val="1"/>
      <w:numFmt w:val="bullet"/>
      <w:lvlText w:val=""/>
      <w:lvlJc w:val="left"/>
      <w:pPr>
        <w:tabs>
          <w:tab w:val="num" w:pos="4320"/>
        </w:tabs>
        <w:ind w:left="4320" w:hanging="360"/>
      </w:pPr>
      <w:rPr>
        <w:rFonts w:ascii="Wingdings 3" w:hAnsi="Wingdings 3" w:hint="default"/>
      </w:rPr>
    </w:lvl>
    <w:lvl w:ilvl="6" w:tplc="1F626D44" w:tentative="1">
      <w:start w:val="1"/>
      <w:numFmt w:val="bullet"/>
      <w:lvlText w:val=""/>
      <w:lvlJc w:val="left"/>
      <w:pPr>
        <w:tabs>
          <w:tab w:val="num" w:pos="5040"/>
        </w:tabs>
        <w:ind w:left="5040" w:hanging="360"/>
      </w:pPr>
      <w:rPr>
        <w:rFonts w:ascii="Wingdings 3" w:hAnsi="Wingdings 3" w:hint="default"/>
      </w:rPr>
    </w:lvl>
    <w:lvl w:ilvl="7" w:tplc="6CB2418C" w:tentative="1">
      <w:start w:val="1"/>
      <w:numFmt w:val="bullet"/>
      <w:lvlText w:val=""/>
      <w:lvlJc w:val="left"/>
      <w:pPr>
        <w:tabs>
          <w:tab w:val="num" w:pos="5760"/>
        </w:tabs>
        <w:ind w:left="5760" w:hanging="360"/>
      </w:pPr>
      <w:rPr>
        <w:rFonts w:ascii="Wingdings 3" w:hAnsi="Wingdings 3" w:hint="default"/>
      </w:rPr>
    </w:lvl>
    <w:lvl w:ilvl="8" w:tplc="006A4FFA" w:tentative="1">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68A2637E"/>
    <w:multiLevelType w:val="hybridMultilevel"/>
    <w:tmpl w:val="2C2E27DC"/>
    <w:lvl w:ilvl="0" w:tplc="9FDC490E">
      <w:start w:val="1"/>
      <w:numFmt w:val="bullet"/>
      <w:lvlText w:val=""/>
      <w:lvlJc w:val="left"/>
      <w:pPr>
        <w:tabs>
          <w:tab w:val="num" w:pos="720"/>
        </w:tabs>
        <w:ind w:left="720" w:hanging="360"/>
      </w:pPr>
      <w:rPr>
        <w:rFonts w:ascii="Wingdings 3" w:hAnsi="Wingdings 3" w:hint="default"/>
      </w:rPr>
    </w:lvl>
    <w:lvl w:ilvl="1" w:tplc="19D8D246" w:tentative="1">
      <w:start w:val="1"/>
      <w:numFmt w:val="bullet"/>
      <w:lvlText w:val=""/>
      <w:lvlJc w:val="left"/>
      <w:pPr>
        <w:tabs>
          <w:tab w:val="num" w:pos="1440"/>
        </w:tabs>
        <w:ind w:left="1440" w:hanging="360"/>
      </w:pPr>
      <w:rPr>
        <w:rFonts w:ascii="Wingdings 3" w:hAnsi="Wingdings 3" w:hint="default"/>
      </w:rPr>
    </w:lvl>
    <w:lvl w:ilvl="2" w:tplc="64F0AF64" w:tentative="1">
      <w:start w:val="1"/>
      <w:numFmt w:val="bullet"/>
      <w:lvlText w:val=""/>
      <w:lvlJc w:val="left"/>
      <w:pPr>
        <w:tabs>
          <w:tab w:val="num" w:pos="2160"/>
        </w:tabs>
        <w:ind w:left="2160" w:hanging="360"/>
      </w:pPr>
      <w:rPr>
        <w:rFonts w:ascii="Wingdings 3" w:hAnsi="Wingdings 3" w:hint="default"/>
      </w:rPr>
    </w:lvl>
    <w:lvl w:ilvl="3" w:tplc="460E132E" w:tentative="1">
      <w:start w:val="1"/>
      <w:numFmt w:val="bullet"/>
      <w:lvlText w:val=""/>
      <w:lvlJc w:val="left"/>
      <w:pPr>
        <w:tabs>
          <w:tab w:val="num" w:pos="2880"/>
        </w:tabs>
        <w:ind w:left="2880" w:hanging="360"/>
      </w:pPr>
      <w:rPr>
        <w:rFonts w:ascii="Wingdings 3" w:hAnsi="Wingdings 3" w:hint="default"/>
      </w:rPr>
    </w:lvl>
    <w:lvl w:ilvl="4" w:tplc="4FCA8132" w:tentative="1">
      <w:start w:val="1"/>
      <w:numFmt w:val="bullet"/>
      <w:lvlText w:val=""/>
      <w:lvlJc w:val="left"/>
      <w:pPr>
        <w:tabs>
          <w:tab w:val="num" w:pos="3600"/>
        </w:tabs>
        <w:ind w:left="3600" w:hanging="360"/>
      </w:pPr>
      <w:rPr>
        <w:rFonts w:ascii="Wingdings 3" w:hAnsi="Wingdings 3" w:hint="default"/>
      </w:rPr>
    </w:lvl>
    <w:lvl w:ilvl="5" w:tplc="01E06EAC" w:tentative="1">
      <w:start w:val="1"/>
      <w:numFmt w:val="bullet"/>
      <w:lvlText w:val=""/>
      <w:lvlJc w:val="left"/>
      <w:pPr>
        <w:tabs>
          <w:tab w:val="num" w:pos="4320"/>
        </w:tabs>
        <w:ind w:left="4320" w:hanging="360"/>
      </w:pPr>
      <w:rPr>
        <w:rFonts w:ascii="Wingdings 3" w:hAnsi="Wingdings 3" w:hint="default"/>
      </w:rPr>
    </w:lvl>
    <w:lvl w:ilvl="6" w:tplc="44D880F2" w:tentative="1">
      <w:start w:val="1"/>
      <w:numFmt w:val="bullet"/>
      <w:lvlText w:val=""/>
      <w:lvlJc w:val="left"/>
      <w:pPr>
        <w:tabs>
          <w:tab w:val="num" w:pos="5040"/>
        </w:tabs>
        <w:ind w:left="5040" w:hanging="360"/>
      </w:pPr>
      <w:rPr>
        <w:rFonts w:ascii="Wingdings 3" w:hAnsi="Wingdings 3" w:hint="default"/>
      </w:rPr>
    </w:lvl>
    <w:lvl w:ilvl="7" w:tplc="344CC254" w:tentative="1">
      <w:start w:val="1"/>
      <w:numFmt w:val="bullet"/>
      <w:lvlText w:val=""/>
      <w:lvlJc w:val="left"/>
      <w:pPr>
        <w:tabs>
          <w:tab w:val="num" w:pos="5760"/>
        </w:tabs>
        <w:ind w:left="5760" w:hanging="360"/>
      </w:pPr>
      <w:rPr>
        <w:rFonts w:ascii="Wingdings 3" w:hAnsi="Wingdings 3" w:hint="default"/>
      </w:rPr>
    </w:lvl>
    <w:lvl w:ilvl="8" w:tplc="C4BE54F2"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6F294009"/>
    <w:multiLevelType w:val="hybridMultilevel"/>
    <w:tmpl w:val="8FA4E88C"/>
    <w:lvl w:ilvl="0" w:tplc="C2667598">
      <w:start w:val="1"/>
      <w:numFmt w:val="bullet"/>
      <w:lvlText w:val=""/>
      <w:lvlJc w:val="left"/>
      <w:pPr>
        <w:tabs>
          <w:tab w:val="num" w:pos="720"/>
        </w:tabs>
        <w:ind w:left="720" w:hanging="360"/>
      </w:pPr>
      <w:rPr>
        <w:rFonts w:ascii="Wingdings 3" w:hAnsi="Wingdings 3" w:hint="default"/>
      </w:rPr>
    </w:lvl>
    <w:lvl w:ilvl="1" w:tplc="B49EB9A6">
      <w:start w:val="483"/>
      <w:numFmt w:val="bullet"/>
      <w:lvlText w:val=""/>
      <w:lvlJc w:val="left"/>
      <w:pPr>
        <w:tabs>
          <w:tab w:val="num" w:pos="1440"/>
        </w:tabs>
        <w:ind w:left="1440" w:hanging="360"/>
      </w:pPr>
      <w:rPr>
        <w:rFonts w:ascii="Wingdings 3" w:hAnsi="Wingdings 3" w:hint="default"/>
      </w:rPr>
    </w:lvl>
    <w:lvl w:ilvl="2" w:tplc="852202EE" w:tentative="1">
      <w:start w:val="1"/>
      <w:numFmt w:val="bullet"/>
      <w:lvlText w:val=""/>
      <w:lvlJc w:val="left"/>
      <w:pPr>
        <w:tabs>
          <w:tab w:val="num" w:pos="2160"/>
        </w:tabs>
        <w:ind w:left="2160" w:hanging="360"/>
      </w:pPr>
      <w:rPr>
        <w:rFonts w:ascii="Wingdings 3" w:hAnsi="Wingdings 3" w:hint="default"/>
      </w:rPr>
    </w:lvl>
    <w:lvl w:ilvl="3" w:tplc="A3D01010" w:tentative="1">
      <w:start w:val="1"/>
      <w:numFmt w:val="bullet"/>
      <w:lvlText w:val=""/>
      <w:lvlJc w:val="left"/>
      <w:pPr>
        <w:tabs>
          <w:tab w:val="num" w:pos="2880"/>
        </w:tabs>
        <w:ind w:left="2880" w:hanging="360"/>
      </w:pPr>
      <w:rPr>
        <w:rFonts w:ascii="Wingdings 3" w:hAnsi="Wingdings 3" w:hint="default"/>
      </w:rPr>
    </w:lvl>
    <w:lvl w:ilvl="4" w:tplc="7D0EFC1E" w:tentative="1">
      <w:start w:val="1"/>
      <w:numFmt w:val="bullet"/>
      <w:lvlText w:val=""/>
      <w:lvlJc w:val="left"/>
      <w:pPr>
        <w:tabs>
          <w:tab w:val="num" w:pos="3600"/>
        </w:tabs>
        <w:ind w:left="3600" w:hanging="360"/>
      </w:pPr>
      <w:rPr>
        <w:rFonts w:ascii="Wingdings 3" w:hAnsi="Wingdings 3" w:hint="default"/>
      </w:rPr>
    </w:lvl>
    <w:lvl w:ilvl="5" w:tplc="C75225F2" w:tentative="1">
      <w:start w:val="1"/>
      <w:numFmt w:val="bullet"/>
      <w:lvlText w:val=""/>
      <w:lvlJc w:val="left"/>
      <w:pPr>
        <w:tabs>
          <w:tab w:val="num" w:pos="4320"/>
        </w:tabs>
        <w:ind w:left="4320" w:hanging="360"/>
      </w:pPr>
      <w:rPr>
        <w:rFonts w:ascii="Wingdings 3" w:hAnsi="Wingdings 3" w:hint="default"/>
      </w:rPr>
    </w:lvl>
    <w:lvl w:ilvl="6" w:tplc="26A60E4A" w:tentative="1">
      <w:start w:val="1"/>
      <w:numFmt w:val="bullet"/>
      <w:lvlText w:val=""/>
      <w:lvlJc w:val="left"/>
      <w:pPr>
        <w:tabs>
          <w:tab w:val="num" w:pos="5040"/>
        </w:tabs>
        <w:ind w:left="5040" w:hanging="360"/>
      </w:pPr>
      <w:rPr>
        <w:rFonts w:ascii="Wingdings 3" w:hAnsi="Wingdings 3" w:hint="default"/>
      </w:rPr>
    </w:lvl>
    <w:lvl w:ilvl="7" w:tplc="8B222594" w:tentative="1">
      <w:start w:val="1"/>
      <w:numFmt w:val="bullet"/>
      <w:lvlText w:val=""/>
      <w:lvlJc w:val="left"/>
      <w:pPr>
        <w:tabs>
          <w:tab w:val="num" w:pos="5760"/>
        </w:tabs>
        <w:ind w:left="5760" w:hanging="360"/>
      </w:pPr>
      <w:rPr>
        <w:rFonts w:ascii="Wingdings 3" w:hAnsi="Wingdings 3" w:hint="default"/>
      </w:rPr>
    </w:lvl>
    <w:lvl w:ilvl="8" w:tplc="1744CCB2" w:tentative="1">
      <w:start w:val="1"/>
      <w:numFmt w:val="bullet"/>
      <w:lvlText w:val=""/>
      <w:lvlJc w:val="left"/>
      <w:pPr>
        <w:tabs>
          <w:tab w:val="num" w:pos="6480"/>
        </w:tabs>
        <w:ind w:left="6480" w:hanging="360"/>
      </w:pPr>
      <w:rPr>
        <w:rFonts w:ascii="Wingdings 3" w:hAnsi="Wingdings 3" w:hint="default"/>
      </w:rPr>
    </w:lvl>
  </w:abstractNum>
  <w:abstractNum w:abstractNumId="25" w15:restartNumberingAfterBreak="0">
    <w:nsid w:val="6FE337E3"/>
    <w:multiLevelType w:val="hybridMultilevel"/>
    <w:tmpl w:val="7ABCEB98"/>
    <w:lvl w:ilvl="0" w:tplc="D2882838">
      <w:start w:val="1"/>
      <w:numFmt w:val="bullet"/>
      <w:lvlText w:val=""/>
      <w:lvlJc w:val="left"/>
      <w:pPr>
        <w:tabs>
          <w:tab w:val="num" w:pos="720"/>
        </w:tabs>
        <w:ind w:left="720" w:hanging="360"/>
      </w:pPr>
      <w:rPr>
        <w:rFonts w:ascii="Wingdings 3" w:hAnsi="Wingdings 3" w:hint="default"/>
      </w:rPr>
    </w:lvl>
    <w:lvl w:ilvl="1" w:tplc="34A644CC" w:tentative="1">
      <w:start w:val="1"/>
      <w:numFmt w:val="bullet"/>
      <w:lvlText w:val=""/>
      <w:lvlJc w:val="left"/>
      <w:pPr>
        <w:tabs>
          <w:tab w:val="num" w:pos="1440"/>
        </w:tabs>
        <w:ind w:left="1440" w:hanging="360"/>
      </w:pPr>
      <w:rPr>
        <w:rFonts w:ascii="Wingdings 3" w:hAnsi="Wingdings 3" w:hint="default"/>
      </w:rPr>
    </w:lvl>
    <w:lvl w:ilvl="2" w:tplc="B562EBB0" w:tentative="1">
      <w:start w:val="1"/>
      <w:numFmt w:val="bullet"/>
      <w:lvlText w:val=""/>
      <w:lvlJc w:val="left"/>
      <w:pPr>
        <w:tabs>
          <w:tab w:val="num" w:pos="2160"/>
        </w:tabs>
        <w:ind w:left="2160" w:hanging="360"/>
      </w:pPr>
      <w:rPr>
        <w:rFonts w:ascii="Wingdings 3" w:hAnsi="Wingdings 3" w:hint="default"/>
      </w:rPr>
    </w:lvl>
    <w:lvl w:ilvl="3" w:tplc="5CC69A06" w:tentative="1">
      <w:start w:val="1"/>
      <w:numFmt w:val="bullet"/>
      <w:lvlText w:val=""/>
      <w:lvlJc w:val="left"/>
      <w:pPr>
        <w:tabs>
          <w:tab w:val="num" w:pos="2880"/>
        </w:tabs>
        <w:ind w:left="2880" w:hanging="360"/>
      </w:pPr>
      <w:rPr>
        <w:rFonts w:ascii="Wingdings 3" w:hAnsi="Wingdings 3" w:hint="default"/>
      </w:rPr>
    </w:lvl>
    <w:lvl w:ilvl="4" w:tplc="5BF42AD4" w:tentative="1">
      <w:start w:val="1"/>
      <w:numFmt w:val="bullet"/>
      <w:lvlText w:val=""/>
      <w:lvlJc w:val="left"/>
      <w:pPr>
        <w:tabs>
          <w:tab w:val="num" w:pos="3600"/>
        </w:tabs>
        <w:ind w:left="3600" w:hanging="360"/>
      </w:pPr>
      <w:rPr>
        <w:rFonts w:ascii="Wingdings 3" w:hAnsi="Wingdings 3" w:hint="default"/>
      </w:rPr>
    </w:lvl>
    <w:lvl w:ilvl="5" w:tplc="61D0D612" w:tentative="1">
      <w:start w:val="1"/>
      <w:numFmt w:val="bullet"/>
      <w:lvlText w:val=""/>
      <w:lvlJc w:val="left"/>
      <w:pPr>
        <w:tabs>
          <w:tab w:val="num" w:pos="4320"/>
        </w:tabs>
        <w:ind w:left="4320" w:hanging="360"/>
      </w:pPr>
      <w:rPr>
        <w:rFonts w:ascii="Wingdings 3" w:hAnsi="Wingdings 3" w:hint="default"/>
      </w:rPr>
    </w:lvl>
    <w:lvl w:ilvl="6" w:tplc="2C3C4AA8" w:tentative="1">
      <w:start w:val="1"/>
      <w:numFmt w:val="bullet"/>
      <w:lvlText w:val=""/>
      <w:lvlJc w:val="left"/>
      <w:pPr>
        <w:tabs>
          <w:tab w:val="num" w:pos="5040"/>
        </w:tabs>
        <w:ind w:left="5040" w:hanging="360"/>
      </w:pPr>
      <w:rPr>
        <w:rFonts w:ascii="Wingdings 3" w:hAnsi="Wingdings 3" w:hint="default"/>
      </w:rPr>
    </w:lvl>
    <w:lvl w:ilvl="7" w:tplc="746E23EC" w:tentative="1">
      <w:start w:val="1"/>
      <w:numFmt w:val="bullet"/>
      <w:lvlText w:val=""/>
      <w:lvlJc w:val="left"/>
      <w:pPr>
        <w:tabs>
          <w:tab w:val="num" w:pos="5760"/>
        </w:tabs>
        <w:ind w:left="5760" w:hanging="360"/>
      </w:pPr>
      <w:rPr>
        <w:rFonts w:ascii="Wingdings 3" w:hAnsi="Wingdings 3" w:hint="default"/>
      </w:rPr>
    </w:lvl>
    <w:lvl w:ilvl="8" w:tplc="62ACC156"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74FD5448"/>
    <w:multiLevelType w:val="hybridMultilevel"/>
    <w:tmpl w:val="4E4662D4"/>
    <w:lvl w:ilvl="0" w:tplc="EF3200DC">
      <w:start w:val="1"/>
      <w:numFmt w:val="bullet"/>
      <w:lvlText w:val=""/>
      <w:lvlJc w:val="left"/>
      <w:pPr>
        <w:tabs>
          <w:tab w:val="num" w:pos="720"/>
        </w:tabs>
        <w:ind w:left="720" w:hanging="360"/>
      </w:pPr>
      <w:rPr>
        <w:rFonts w:ascii="Wingdings 3" w:hAnsi="Wingdings 3" w:hint="default"/>
      </w:rPr>
    </w:lvl>
    <w:lvl w:ilvl="1" w:tplc="4CD4B616" w:tentative="1">
      <w:start w:val="1"/>
      <w:numFmt w:val="bullet"/>
      <w:lvlText w:val=""/>
      <w:lvlJc w:val="left"/>
      <w:pPr>
        <w:tabs>
          <w:tab w:val="num" w:pos="1440"/>
        </w:tabs>
        <w:ind w:left="1440" w:hanging="360"/>
      </w:pPr>
      <w:rPr>
        <w:rFonts w:ascii="Wingdings 3" w:hAnsi="Wingdings 3" w:hint="default"/>
      </w:rPr>
    </w:lvl>
    <w:lvl w:ilvl="2" w:tplc="051AF936" w:tentative="1">
      <w:start w:val="1"/>
      <w:numFmt w:val="bullet"/>
      <w:lvlText w:val=""/>
      <w:lvlJc w:val="left"/>
      <w:pPr>
        <w:tabs>
          <w:tab w:val="num" w:pos="2160"/>
        </w:tabs>
        <w:ind w:left="2160" w:hanging="360"/>
      </w:pPr>
      <w:rPr>
        <w:rFonts w:ascii="Wingdings 3" w:hAnsi="Wingdings 3" w:hint="default"/>
      </w:rPr>
    </w:lvl>
    <w:lvl w:ilvl="3" w:tplc="0F3607F6" w:tentative="1">
      <w:start w:val="1"/>
      <w:numFmt w:val="bullet"/>
      <w:lvlText w:val=""/>
      <w:lvlJc w:val="left"/>
      <w:pPr>
        <w:tabs>
          <w:tab w:val="num" w:pos="2880"/>
        </w:tabs>
        <w:ind w:left="2880" w:hanging="360"/>
      </w:pPr>
      <w:rPr>
        <w:rFonts w:ascii="Wingdings 3" w:hAnsi="Wingdings 3" w:hint="default"/>
      </w:rPr>
    </w:lvl>
    <w:lvl w:ilvl="4" w:tplc="E1F86960" w:tentative="1">
      <w:start w:val="1"/>
      <w:numFmt w:val="bullet"/>
      <w:lvlText w:val=""/>
      <w:lvlJc w:val="left"/>
      <w:pPr>
        <w:tabs>
          <w:tab w:val="num" w:pos="3600"/>
        </w:tabs>
        <w:ind w:left="3600" w:hanging="360"/>
      </w:pPr>
      <w:rPr>
        <w:rFonts w:ascii="Wingdings 3" w:hAnsi="Wingdings 3" w:hint="default"/>
      </w:rPr>
    </w:lvl>
    <w:lvl w:ilvl="5" w:tplc="18165938" w:tentative="1">
      <w:start w:val="1"/>
      <w:numFmt w:val="bullet"/>
      <w:lvlText w:val=""/>
      <w:lvlJc w:val="left"/>
      <w:pPr>
        <w:tabs>
          <w:tab w:val="num" w:pos="4320"/>
        </w:tabs>
        <w:ind w:left="4320" w:hanging="360"/>
      </w:pPr>
      <w:rPr>
        <w:rFonts w:ascii="Wingdings 3" w:hAnsi="Wingdings 3" w:hint="default"/>
      </w:rPr>
    </w:lvl>
    <w:lvl w:ilvl="6" w:tplc="2B7CB88A" w:tentative="1">
      <w:start w:val="1"/>
      <w:numFmt w:val="bullet"/>
      <w:lvlText w:val=""/>
      <w:lvlJc w:val="left"/>
      <w:pPr>
        <w:tabs>
          <w:tab w:val="num" w:pos="5040"/>
        </w:tabs>
        <w:ind w:left="5040" w:hanging="360"/>
      </w:pPr>
      <w:rPr>
        <w:rFonts w:ascii="Wingdings 3" w:hAnsi="Wingdings 3" w:hint="default"/>
      </w:rPr>
    </w:lvl>
    <w:lvl w:ilvl="7" w:tplc="FB8CCD64" w:tentative="1">
      <w:start w:val="1"/>
      <w:numFmt w:val="bullet"/>
      <w:lvlText w:val=""/>
      <w:lvlJc w:val="left"/>
      <w:pPr>
        <w:tabs>
          <w:tab w:val="num" w:pos="5760"/>
        </w:tabs>
        <w:ind w:left="5760" w:hanging="360"/>
      </w:pPr>
      <w:rPr>
        <w:rFonts w:ascii="Wingdings 3" w:hAnsi="Wingdings 3" w:hint="default"/>
      </w:rPr>
    </w:lvl>
    <w:lvl w:ilvl="8" w:tplc="2CB44394" w:tentative="1">
      <w:start w:val="1"/>
      <w:numFmt w:val="bullet"/>
      <w:lvlText w:val=""/>
      <w:lvlJc w:val="left"/>
      <w:pPr>
        <w:tabs>
          <w:tab w:val="num" w:pos="6480"/>
        </w:tabs>
        <w:ind w:left="6480" w:hanging="360"/>
      </w:pPr>
      <w:rPr>
        <w:rFonts w:ascii="Wingdings 3" w:hAnsi="Wingdings 3" w:hint="default"/>
      </w:rPr>
    </w:lvl>
  </w:abstractNum>
  <w:abstractNum w:abstractNumId="27" w15:restartNumberingAfterBreak="0">
    <w:nsid w:val="78C56875"/>
    <w:multiLevelType w:val="hybridMultilevel"/>
    <w:tmpl w:val="351E07EE"/>
    <w:lvl w:ilvl="0" w:tplc="CE8EC12E">
      <w:start w:val="1"/>
      <w:numFmt w:val="decimal"/>
      <w:lvlText w:val="%1."/>
      <w:lvlJc w:val="left"/>
      <w:pPr>
        <w:ind w:left="432" w:hanging="7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A22BA0"/>
    <w:multiLevelType w:val="hybridMultilevel"/>
    <w:tmpl w:val="093EEBB0"/>
    <w:lvl w:ilvl="0" w:tplc="93F46098">
      <w:start w:val="1"/>
      <w:numFmt w:val="lowerLetter"/>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29" w15:restartNumberingAfterBreak="0">
    <w:nsid w:val="7E9D1988"/>
    <w:multiLevelType w:val="hybridMultilevel"/>
    <w:tmpl w:val="6308AE68"/>
    <w:lvl w:ilvl="0" w:tplc="7D0E0CE2">
      <w:start w:val="1"/>
      <w:numFmt w:val="bullet"/>
      <w:lvlText w:val=""/>
      <w:lvlJc w:val="left"/>
      <w:pPr>
        <w:tabs>
          <w:tab w:val="num" w:pos="720"/>
        </w:tabs>
        <w:ind w:left="720" w:hanging="360"/>
      </w:pPr>
      <w:rPr>
        <w:rFonts w:ascii="Wingdings 3" w:hAnsi="Wingdings 3" w:hint="default"/>
      </w:rPr>
    </w:lvl>
    <w:lvl w:ilvl="1" w:tplc="9012729E">
      <w:start w:val="1592"/>
      <w:numFmt w:val="bullet"/>
      <w:lvlText w:val=""/>
      <w:lvlJc w:val="left"/>
      <w:pPr>
        <w:tabs>
          <w:tab w:val="num" w:pos="1440"/>
        </w:tabs>
        <w:ind w:left="1440" w:hanging="360"/>
      </w:pPr>
      <w:rPr>
        <w:rFonts w:ascii="Wingdings 3" w:hAnsi="Wingdings 3" w:hint="default"/>
      </w:rPr>
    </w:lvl>
    <w:lvl w:ilvl="2" w:tplc="71D6B946" w:tentative="1">
      <w:start w:val="1"/>
      <w:numFmt w:val="bullet"/>
      <w:lvlText w:val=""/>
      <w:lvlJc w:val="left"/>
      <w:pPr>
        <w:tabs>
          <w:tab w:val="num" w:pos="2160"/>
        </w:tabs>
        <w:ind w:left="2160" w:hanging="360"/>
      </w:pPr>
      <w:rPr>
        <w:rFonts w:ascii="Wingdings 3" w:hAnsi="Wingdings 3" w:hint="default"/>
      </w:rPr>
    </w:lvl>
    <w:lvl w:ilvl="3" w:tplc="35324926" w:tentative="1">
      <w:start w:val="1"/>
      <w:numFmt w:val="bullet"/>
      <w:lvlText w:val=""/>
      <w:lvlJc w:val="left"/>
      <w:pPr>
        <w:tabs>
          <w:tab w:val="num" w:pos="2880"/>
        </w:tabs>
        <w:ind w:left="2880" w:hanging="360"/>
      </w:pPr>
      <w:rPr>
        <w:rFonts w:ascii="Wingdings 3" w:hAnsi="Wingdings 3" w:hint="default"/>
      </w:rPr>
    </w:lvl>
    <w:lvl w:ilvl="4" w:tplc="95DA6668" w:tentative="1">
      <w:start w:val="1"/>
      <w:numFmt w:val="bullet"/>
      <w:lvlText w:val=""/>
      <w:lvlJc w:val="left"/>
      <w:pPr>
        <w:tabs>
          <w:tab w:val="num" w:pos="3600"/>
        </w:tabs>
        <w:ind w:left="3600" w:hanging="360"/>
      </w:pPr>
      <w:rPr>
        <w:rFonts w:ascii="Wingdings 3" w:hAnsi="Wingdings 3" w:hint="default"/>
      </w:rPr>
    </w:lvl>
    <w:lvl w:ilvl="5" w:tplc="3396895C" w:tentative="1">
      <w:start w:val="1"/>
      <w:numFmt w:val="bullet"/>
      <w:lvlText w:val=""/>
      <w:lvlJc w:val="left"/>
      <w:pPr>
        <w:tabs>
          <w:tab w:val="num" w:pos="4320"/>
        </w:tabs>
        <w:ind w:left="4320" w:hanging="360"/>
      </w:pPr>
      <w:rPr>
        <w:rFonts w:ascii="Wingdings 3" w:hAnsi="Wingdings 3" w:hint="default"/>
      </w:rPr>
    </w:lvl>
    <w:lvl w:ilvl="6" w:tplc="2F8EE23E" w:tentative="1">
      <w:start w:val="1"/>
      <w:numFmt w:val="bullet"/>
      <w:lvlText w:val=""/>
      <w:lvlJc w:val="left"/>
      <w:pPr>
        <w:tabs>
          <w:tab w:val="num" w:pos="5040"/>
        </w:tabs>
        <w:ind w:left="5040" w:hanging="360"/>
      </w:pPr>
      <w:rPr>
        <w:rFonts w:ascii="Wingdings 3" w:hAnsi="Wingdings 3" w:hint="default"/>
      </w:rPr>
    </w:lvl>
    <w:lvl w:ilvl="7" w:tplc="DF149AC6" w:tentative="1">
      <w:start w:val="1"/>
      <w:numFmt w:val="bullet"/>
      <w:lvlText w:val=""/>
      <w:lvlJc w:val="left"/>
      <w:pPr>
        <w:tabs>
          <w:tab w:val="num" w:pos="5760"/>
        </w:tabs>
        <w:ind w:left="5760" w:hanging="360"/>
      </w:pPr>
      <w:rPr>
        <w:rFonts w:ascii="Wingdings 3" w:hAnsi="Wingdings 3" w:hint="default"/>
      </w:rPr>
    </w:lvl>
    <w:lvl w:ilvl="8" w:tplc="3246F8D8" w:tentative="1">
      <w:start w:val="1"/>
      <w:numFmt w:val="bullet"/>
      <w:lvlText w:val=""/>
      <w:lvlJc w:val="left"/>
      <w:pPr>
        <w:tabs>
          <w:tab w:val="num" w:pos="6480"/>
        </w:tabs>
        <w:ind w:left="6480" w:hanging="360"/>
      </w:pPr>
      <w:rPr>
        <w:rFonts w:ascii="Wingdings 3" w:hAnsi="Wingdings 3" w:hint="default"/>
      </w:rPr>
    </w:lvl>
  </w:abstractNum>
  <w:num w:numId="1">
    <w:abstractNumId w:val="24"/>
  </w:num>
  <w:num w:numId="2">
    <w:abstractNumId w:val="20"/>
  </w:num>
  <w:num w:numId="3">
    <w:abstractNumId w:val="16"/>
  </w:num>
  <w:num w:numId="4">
    <w:abstractNumId w:val="12"/>
  </w:num>
  <w:num w:numId="5">
    <w:abstractNumId w:val="7"/>
  </w:num>
  <w:num w:numId="6">
    <w:abstractNumId w:val="25"/>
  </w:num>
  <w:num w:numId="7">
    <w:abstractNumId w:val="6"/>
  </w:num>
  <w:num w:numId="8">
    <w:abstractNumId w:val="23"/>
  </w:num>
  <w:num w:numId="9">
    <w:abstractNumId w:val="10"/>
  </w:num>
  <w:num w:numId="10">
    <w:abstractNumId w:val="3"/>
  </w:num>
  <w:num w:numId="11">
    <w:abstractNumId w:val="29"/>
  </w:num>
  <w:num w:numId="12">
    <w:abstractNumId w:val="22"/>
  </w:num>
  <w:num w:numId="13">
    <w:abstractNumId w:val="26"/>
  </w:num>
  <w:num w:numId="14">
    <w:abstractNumId w:val="15"/>
  </w:num>
  <w:num w:numId="15">
    <w:abstractNumId w:val="8"/>
  </w:num>
  <w:num w:numId="16">
    <w:abstractNumId w:val="9"/>
  </w:num>
  <w:num w:numId="17">
    <w:abstractNumId w:val="17"/>
  </w:num>
  <w:num w:numId="18">
    <w:abstractNumId w:val="0"/>
  </w:num>
  <w:num w:numId="19">
    <w:abstractNumId w:val="4"/>
  </w:num>
  <w:num w:numId="20">
    <w:abstractNumId w:val="28"/>
  </w:num>
  <w:num w:numId="21">
    <w:abstractNumId w:val="1"/>
  </w:num>
  <w:num w:numId="22">
    <w:abstractNumId w:val="11"/>
  </w:num>
  <w:num w:numId="23">
    <w:abstractNumId w:val="19"/>
  </w:num>
  <w:num w:numId="24">
    <w:abstractNumId w:val="5"/>
  </w:num>
  <w:num w:numId="25">
    <w:abstractNumId w:val="27"/>
  </w:num>
  <w:num w:numId="26">
    <w:abstractNumId w:val="13"/>
  </w:num>
  <w:num w:numId="27">
    <w:abstractNumId w:val="2"/>
  </w:num>
  <w:num w:numId="28">
    <w:abstractNumId w:val="18"/>
  </w:num>
  <w:num w:numId="29">
    <w:abstractNumId w:val="14"/>
  </w:num>
  <w:num w:numId="30">
    <w:abstractNumId w:val="21"/>
  </w:num>
  <w:num w:numId="31">
    <w:abstractNumId w:val="21"/>
  </w:num>
  <w:num w:numId="32">
    <w:abstractNumId w:val="21"/>
  </w:num>
  <w:num w:numId="33">
    <w:abstractNumId w:val="21"/>
  </w:num>
  <w:num w:numId="34">
    <w:abstractNumId w:val="21"/>
  </w:num>
  <w:num w:numId="35">
    <w:abstractNumId w:val="21"/>
  </w:num>
  <w:num w:numId="36">
    <w:abstractNumId w:val="21"/>
  </w:num>
  <w:num w:numId="37">
    <w:abstractNumId w:val="21"/>
  </w:num>
  <w:num w:numId="38">
    <w:abstractNumId w:val="21"/>
  </w:num>
  <w:num w:numId="39">
    <w:abstractNumId w:val="21"/>
  </w:num>
  <w:num w:numId="40">
    <w:abstractNumId w:val="21"/>
  </w:num>
  <w:num w:numId="41">
    <w:abstractNumId w:val="21"/>
  </w:num>
  <w:num w:numId="42">
    <w:abstractNumId w:val="21"/>
  </w:num>
  <w:num w:numId="43">
    <w:abstractNumId w:val="21"/>
  </w:num>
  <w:num w:numId="44">
    <w:abstractNumId w:val="21"/>
  </w:num>
  <w:num w:numId="45">
    <w:abstractNumId w:val="21"/>
  </w:num>
  <w:num w:numId="46">
    <w:abstractNumId w:val="21"/>
  </w:num>
  <w:num w:numId="47">
    <w:abstractNumId w:val="21"/>
  </w:num>
  <w:num w:numId="48">
    <w:abstractNumId w:val="21"/>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fr-FR" w:vendorID="64" w:dllVersion="131078" w:nlCheck="1" w:checkStyle="0"/>
  <w:activeWritingStyle w:appName="MSWord" w:lang="en-CA" w:vendorID="64" w:dllVersion="131078" w:nlCheck="1" w:checkStyle="1"/>
  <w:activeWritingStyle w:appName="MSWord" w:lang="en-US" w:vendorID="64" w:dllVersion="131078" w:nlCheck="1" w:checkStyle="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429"/>
    <w:rsid w:val="000043F5"/>
    <w:rsid w:val="00005B95"/>
    <w:rsid w:val="00011885"/>
    <w:rsid w:val="000148A7"/>
    <w:rsid w:val="00014C95"/>
    <w:rsid w:val="0001517B"/>
    <w:rsid w:val="00016233"/>
    <w:rsid w:val="000242EC"/>
    <w:rsid w:val="00027EBC"/>
    <w:rsid w:val="00032232"/>
    <w:rsid w:val="00034752"/>
    <w:rsid w:val="000430B4"/>
    <w:rsid w:val="00043370"/>
    <w:rsid w:val="00044AE4"/>
    <w:rsid w:val="00053640"/>
    <w:rsid w:val="000539F7"/>
    <w:rsid w:val="0005642E"/>
    <w:rsid w:val="0006086C"/>
    <w:rsid w:val="00064068"/>
    <w:rsid w:val="00070022"/>
    <w:rsid w:val="000703E9"/>
    <w:rsid w:val="00070582"/>
    <w:rsid w:val="000755DD"/>
    <w:rsid w:val="00076BDE"/>
    <w:rsid w:val="00077EAB"/>
    <w:rsid w:val="000822FC"/>
    <w:rsid w:val="00084880"/>
    <w:rsid w:val="00084EB4"/>
    <w:rsid w:val="00085670"/>
    <w:rsid w:val="00087343"/>
    <w:rsid w:val="00091E5F"/>
    <w:rsid w:val="000A14A9"/>
    <w:rsid w:val="000A30B1"/>
    <w:rsid w:val="000A3AE9"/>
    <w:rsid w:val="000A60AB"/>
    <w:rsid w:val="000B2514"/>
    <w:rsid w:val="000B726D"/>
    <w:rsid w:val="000B7DCE"/>
    <w:rsid w:val="000C275D"/>
    <w:rsid w:val="000C3FA4"/>
    <w:rsid w:val="000D3133"/>
    <w:rsid w:val="000D3AFF"/>
    <w:rsid w:val="000D3C99"/>
    <w:rsid w:val="000D40E3"/>
    <w:rsid w:val="000D4DC6"/>
    <w:rsid w:val="000D7076"/>
    <w:rsid w:val="000D7517"/>
    <w:rsid w:val="000E2E83"/>
    <w:rsid w:val="000E2F78"/>
    <w:rsid w:val="000E6C57"/>
    <w:rsid w:val="000E71FA"/>
    <w:rsid w:val="000F1E41"/>
    <w:rsid w:val="000F4B59"/>
    <w:rsid w:val="000F56C5"/>
    <w:rsid w:val="000F5959"/>
    <w:rsid w:val="00106CF6"/>
    <w:rsid w:val="0010795A"/>
    <w:rsid w:val="00110C42"/>
    <w:rsid w:val="00110D94"/>
    <w:rsid w:val="00114989"/>
    <w:rsid w:val="001151D5"/>
    <w:rsid w:val="001152DE"/>
    <w:rsid w:val="00115A38"/>
    <w:rsid w:val="0011681D"/>
    <w:rsid w:val="001177CB"/>
    <w:rsid w:val="00124DAB"/>
    <w:rsid w:val="00126DAD"/>
    <w:rsid w:val="001276FA"/>
    <w:rsid w:val="00130768"/>
    <w:rsid w:val="0013186F"/>
    <w:rsid w:val="00135A28"/>
    <w:rsid w:val="00136416"/>
    <w:rsid w:val="00137F6C"/>
    <w:rsid w:val="0014138A"/>
    <w:rsid w:val="001433B5"/>
    <w:rsid w:val="00143C81"/>
    <w:rsid w:val="00144E4C"/>
    <w:rsid w:val="00146849"/>
    <w:rsid w:val="00150EB4"/>
    <w:rsid w:val="001517EE"/>
    <w:rsid w:val="00152535"/>
    <w:rsid w:val="001535FC"/>
    <w:rsid w:val="001562D9"/>
    <w:rsid w:val="00163FF3"/>
    <w:rsid w:val="00170C1E"/>
    <w:rsid w:val="00171288"/>
    <w:rsid w:val="00171D0E"/>
    <w:rsid w:val="0017258E"/>
    <w:rsid w:val="00172C26"/>
    <w:rsid w:val="00177888"/>
    <w:rsid w:val="0018291D"/>
    <w:rsid w:val="00182985"/>
    <w:rsid w:val="0018433A"/>
    <w:rsid w:val="00184592"/>
    <w:rsid w:val="001933C8"/>
    <w:rsid w:val="00196050"/>
    <w:rsid w:val="001A0F62"/>
    <w:rsid w:val="001A5B5D"/>
    <w:rsid w:val="001A783D"/>
    <w:rsid w:val="001A7AD6"/>
    <w:rsid w:val="001B1ACC"/>
    <w:rsid w:val="001B2966"/>
    <w:rsid w:val="001B3CC1"/>
    <w:rsid w:val="001B3D93"/>
    <w:rsid w:val="001B440D"/>
    <w:rsid w:val="001C05E3"/>
    <w:rsid w:val="001C2D0B"/>
    <w:rsid w:val="001C3C83"/>
    <w:rsid w:val="001C542E"/>
    <w:rsid w:val="001C68FE"/>
    <w:rsid w:val="001D1F35"/>
    <w:rsid w:val="001D596D"/>
    <w:rsid w:val="001D7E8B"/>
    <w:rsid w:val="001E24F3"/>
    <w:rsid w:val="001E270E"/>
    <w:rsid w:val="001E2FED"/>
    <w:rsid w:val="001E68D1"/>
    <w:rsid w:val="001F10B0"/>
    <w:rsid w:val="001F1DFA"/>
    <w:rsid w:val="001F45E0"/>
    <w:rsid w:val="001F5561"/>
    <w:rsid w:val="001F6535"/>
    <w:rsid w:val="0020037F"/>
    <w:rsid w:val="00206CB6"/>
    <w:rsid w:val="00206F38"/>
    <w:rsid w:val="00212701"/>
    <w:rsid w:val="00212E25"/>
    <w:rsid w:val="00213BD9"/>
    <w:rsid w:val="00214BC1"/>
    <w:rsid w:val="00220F4E"/>
    <w:rsid w:val="00223A3C"/>
    <w:rsid w:val="00224C9C"/>
    <w:rsid w:val="0023237C"/>
    <w:rsid w:val="00233B60"/>
    <w:rsid w:val="00234269"/>
    <w:rsid w:val="0023577F"/>
    <w:rsid w:val="00243562"/>
    <w:rsid w:val="00243702"/>
    <w:rsid w:val="00243B72"/>
    <w:rsid w:val="00245387"/>
    <w:rsid w:val="00245593"/>
    <w:rsid w:val="00246A8C"/>
    <w:rsid w:val="00255784"/>
    <w:rsid w:val="0025747D"/>
    <w:rsid w:val="002601E5"/>
    <w:rsid w:val="00260794"/>
    <w:rsid w:val="002609C4"/>
    <w:rsid w:val="00260CCC"/>
    <w:rsid w:val="00271705"/>
    <w:rsid w:val="00271AEF"/>
    <w:rsid w:val="00273BFD"/>
    <w:rsid w:val="00275A38"/>
    <w:rsid w:val="002761FB"/>
    <w:rsid w:val="00281096"/>
    <w:rsid w:val="00281EB4"/>
    <w:rsid w:val="00282CB7"/>
    <w:rsid w:val="00286040"/>
    <w:rsid w:val="00291792"/>
    <w:rsid w:val="00292439"/>
    <w:rsid w:val="002A259D"/>
    <w:rsid w:val="002A6F96"/>
    <w:rsid w:val="002A71AF"/>
    <w:rsid w:val="002A7F3E"/>
    <w:rsid w:val="002B1B47"/>
    <w:rsid w:val="002B79B7"/>
    <w:rsid w:val="002C1453"/>
    <w:rsid w:val="002C1869"/>
    <w:rsid w:val="002C424F"/>
    <w:rsid w:val="002C4375"/>
    <w:rsid w:val="002C5B0E"/>
    <w:rsid w:val="002D1A47"/>
    <w:rsid w:val="002D3D72"/>
    <w:rsid w:val="002D4E8F"/>
    <w:rsid w:val="002E2189"/>
    <w:rsid w:val="002E249A"/>
    <w:rsid w:val="002E5A0A"/>
    <w:rsid w:val="002E6ABE"/>
    <w:rsid w:val="002E7032"/>
    <w:rsid w:val="002E7BFC"/>
    <w:rsid w:val="002F4018"/>
    <w:rsid w:val="002F57AF"/>
    <w:rsid w:val="002F6EA6"/>
    <w:rsid w:val="003050EE"/>
    <w:rsid w:val="003054B1"/>
    <w:rsid w:val="003070B2"/>
    <w:rsid w:val="00311887"/>
    <w:rsid w:val="00314D85"/>
    <w:rsid w:val="00320B2C"/>
    <w:rsid w:val="003265B6"/>
    <w:rsid w:val="00326654"/>
    <w:rsid w:val="00326FA0"/>
    <w:rsid w:val="00327861"/>
    <w:rsid w:val="00330C16"/>
    <w:rsid w:val="00331130"/>
    <w:rsid w:val="0033284E"/>
    <w:rsid w:val="00337862"/>
    <w:rsid w:val="00340D6B"/>
    <w:rsid w:val="00342734"/>
    <w:rsid w:val="00342C5E"/>
    <w:rsid w:val="00344E5A"/>
    <w:rsid w:val="00345732"/>
    <w:rsid w:val="00347853"/>
    <w:rsid w:val="00347D6C"/>
    <w:rsid w:val="00351D07"/>
    <w:rsid w:val="0035674C"/>
    <w:rsid w:val="003616B0"/>
    <w:rsid w:val="00363E10"/>
    <w:rsid w:val="00366670"/>
    <w:rsid w:val="00366FBB"/>
    <w:rsid w:val="00372447"/>
    <w:rsid w:val="00373E16"/>
    <w:rsid w:val="0037446B"/>
    <w:rsid w:val="003749D4"/>
    <w:rsid w:val="00380A3D"/>
    <w:rsid w:val="003831E3"/>
    <w:rsid w:val="00383EC1"/>
    <w:rsid w:val="003847E0"/>
    <w:rsid w:val="00385A31"/>
    <w:rsid w:val="00386FC6"/>
    <w:rsid w:val="003922C4"/>
    <w:rsid w:val="00393CC6"/>
    <w:rsid w:val="00394798"/>
    <w:rsid w:val="003955DF"/>
    <w:rsid w:val="0039707A"/>
    <w:rsid w:val="00397F66"/>
    <w:rsid w:val="00397FA4"/>
    <w:rsid w:val="003A097F"/>
    <w:rsid w:val="003A215D"/>
    <w:rsid w:val="003A29F9"/>
    <w:rsid w:val="003A57C9"/>
    <w:rsid w:val="003A79CB"/>
    <w:rsid w:val="003B045D"/>
    <w:rsid w:val="003B09A9"/>
    <w:rsid w:val="003B0EFC"/>
    <w:rsid w:val="003B2083"/>
    <w:rsid w:val="003B2382"/>
    <w:rsid w:val="003B2B2A"/>
    <w:rsid w:val="003B35BF"/>
    <w:rsid w:val="003B4EFB"/>
    <w:rsid w:val="003B5405"/>
    <w:rsid w:val="003B74B7"/>
    <w:rsid w:val="003C2369"/>
    <w:rsid w:val="003C4A87"/>
    <w:rsid w:val="003C543B"/>
    <w:rsid w:val="003C5A58"/>
    <w:rsid w:val="003D0CE1"/>
    <w:rsid w:val="003D32DE"/>
    <w:rsid w:val="003D3395"/>
    <w:rsid w:val="003E00E0"/>
    <w:rsid w:val="003E0B52"/>
    <w:rsid w:val="003E13EA"/>
    <w:rsid w:val="003E1EB1"/>
    <w:rsid w:val="003E3D91"/>
    <w:rsid w:val="003E6673"/>
    <w:rsid w:val="003F0B3F"/>
    <w:rsid w:val="003F2D93"/>
    <w:rsid w:val="003F33D7"/>
    <w:rsid w:val="003F44BA"/>
    <w:rsid w:val="003F67CB"/>
    <w:rsid w:val="003F704D"/>
    <w:rsid w:val="003F768E"/>
    <w:rsid w:val="00400F6C"/>
    <w:rsid w:val="00401D0B"/>
    <w:rsid w:val="00405CE1"/>
    <w:rsid w:val="00407EB9"/>
    <w:rsid w:val="00414CAA"/>
    <w:rsid w:val="00415A17"/>
    <w:rsid w:val="00417149"/>
    <w:rsid w:val="004172DD"/>
    <w:rsid w:val="00421038"/>
    <w:rsid w:val="00430CFF"/>
    <w:rsid w:val="004320EB"/>
    <w:rsid w:val="00432A2E"/>
    <w:rsid w:val="00435CF1"/>
    <w:rsid w:val="00436157"/>
    <w:rsid w:val="0044114B"/>
    <w:rsid w:val="0044234E"/>
    <w:rsid w:val="00443D40"/>
    <w:rsid w:val="00445365"/>
    <w:rsid w:val="0044639A"/>
    <w:rsid w:val="00447DDB"/>
    <w:rsid w:val="00451DDB"/>
    <w:rsid w:val="00453E43"/>
    <w:rsid w:val="004629D8"/>
    <w:rsid w:val="00463424"/>
    <w:rsid w:val="00463954"/>
    <w:rsid w:val="004702EC"/>
    <w:rsid w:val="00472098"/>
    <w:rsid w:val="0047686F"/>
    <w:rsid w:val="00476AEB"/>
    <w:rsid w:val="00477843"/>
    <w:rsid w:val="004904E5"/>
    <w:rsid w:val="0049055B"/>
    <w:rsid w:val="00490A3A"/>
    <w:rsid w:val="00491FF0"/>
    <w:rsid w:val="0049343E"/>
    <w:rsid w:val="00496F79"/>
    <w:rsid w:val="00497330"/>
    <w:rsid w:val="004A1754"/>
    <w:rsid w:val="004A560C"/>
    <w:rsid w:val="004A6300"/>
    <w:rsid w:val="004C021D"/>
    <w:rsid w:val="004C17EA"/>
    <w:rsid w:val="004C180F"/>
    <w:rsid w:val="004C54D6"/>
    <w:rsid w:val="004D1942"/>
    <w:rsid w:val="004D297D"/>
    <w:rsid w:val="004D2ACB"/>
    <w:rsid w:val="004D3A64"/>
    <w:rsid w:val="004E4D17"/>
    <w:rsid w:val="004F1E5D"/>
    <w:rsid w:val="004F26C0"/>
    <w:rsid w:val="004F43D6"/>
    <w:rsid w:val="005004E8"/>
    <w:rsid w:val="00503FED"/>
    <w:rsid w:val="00505CAB"/>
    <w:rsid w:val="0050639B"/>
    <w:rsid w:val="00507B87"/>
    <w:rsid w:val="00510060"/>
    <w:rsid w:val="00516110"/>
    <w:rsid w:val="00527D63"/>
    <w:rsid w:val="005322E7"/>
    <w:rsid w:val="005368D8"/>
    <w:rsid w:val="00540FC1"/>
    <w:rsid w:val="005415D0"/>
    <w:rsid w:val="00543417"/>
    <w:rsid w:val="00547202"/>
    <w:rsid w:val="00547E50"/>
    <w:rsid w:val="0055000D"/>
    <w:rsid w:val="00551BDA"/>
    <w:rsid w:val="00552468"/>
    <w:rsid w:val="00552C2C"/>
    <w:rsid w:val="005547F1"/>
    <w:rsid w:val="00561DB5"/>
    <w:rsid w:val="00564937"/>
    <w:rsid w:val="00564A43"/>
    <w:rsid w:val="00567000"/>
    <w:rsid w:val="0056782C"/>
    <w:rsid w:val="0057020F"/>
    <w:rsid w:val="00572C14"/>
    <w:rsid w:val="00573E6C"/>
    <w:rsid w:val="00577E96"/>
    <w:rsid w:val="00580E3A"/>
    <w:rsid w:val="00585726"/>
    <w:rsid w:val="00585F95"/>
    <w:rsid w:val="0058678B"/>
    <w:rsid w:val="00590FD2"/>
    <w:rsid w:val="00591A50"/>
    <w:rsid w:val="00593E66"/>
    <w:rsid w:val="00597422"/>
    <w:rsid w:val="00597D79"/>
    <w:rsid w:val="005A1FB5"/>
    <w:rsid w:val="005A279C"/>
    <w:rsid w:val="005A28BC"/>
    <w:rsid w:val="005A430B"/>
    <w:rsid w:val="005A6C4E"/>
    <w:rsid w:val="005C0035"/>
    <w:rsid w:val="005C29CC"/>
    <w:rsid w:val="005C53EF"/>
    <w:rsid w:val="005C676A"/>
    <w:rsid w:val="005C7666"/>
    <w:rsid w:val="005C7F7C"/>
    <w:rsid w:val="005D1FE0"/>
    <w:rsid w:val="005D3E5D"/>
    <w:rsid w:val="005D54BE"/>
    <w:rsid w:val="005D7836"/>
    <w:rsid w:val="005E000C"/>
    <w:rsid w:val="005E0B01"/>
    <w:rsid w:val="005E1100"/>
    <w:rsid w:val="005E5565"/>
    <w:rsid w:val="005E6386"/>
    <w:rsid w:val="005E6CAA"/>
    <w:rsid w:val="005F0F26"/>
    <w:rsid w:val="005F17A2"/>
    <w:rsid w:val="005F3F9B"/>
    <w:rsid w:val="005F4634"/>
    <w:rsid w:val="005F650D"/>
    <w:rsid w:val="0060133E"/>
    <w:rsid w:val="00605FCA"/>
    <w:rsid w:val="00606AB0"/>
    <w:rsid w:val="0060702D"/>
    <w:rsid w:val="00610C06"/>
    <w:rsid w:val="00613264"/>
    <w:rsid w:val="006138DF"/>
    <w:rsid w:val="00616CBB"/>
    <w:rsid w:val="00617023"/>
    <w:rsid w:val="006229D9"/>
    <w:rsid w:val="00623593"/>
    <w:rsid w:val="00630DB2"/>
    <w:rsid w:val="00632D48"/>
    <w:rsid w:val="00634943"/>
    <w:rsid w:val="00636A9F"/>
    <w:rsid w:val="00640B77"/>
    <w:rsid w:val="006447DA"/>
    <w:rsid w:val="00644AC4"/>
    <w:rsid w:val="0064569D"/>
    <w:rsid w:val="00650F35"/>
    <w:rsid w:val="00651992"/>
    <w:rsid w:val="00653424"/>
    <w:rsid w:val="00657233"/>
    <w:rsid w:val="006612A6"/>
    <w:rsid w:val="00662188"/>
    <w:rsid w:val="00665C33"/>
    <w:rsid w:val="0067425F"/>
    <w:rsid w:val="00674DDD"/>
    <w:rsid w:val="0067793F"/>
    <w:rsid w:val="00677A2D"/>
    <w:rsid w:val="006829D7"/>
    <w:rsid w:val="00684313"/>
    <w:rsid w:val="006850EC"/>
    <w:rsid w:val="00685118"/>
    <w:rsid w:val="00690A4C"/>
    <w:rsid w:val="00693048"/>
    <w:rsid w:val="0069532E"/>
    <w:rsid w:val="006954AC"/>
    <w:rsid w:val="0069674A"/>
    <w:rsid w:val="00696DB9"/>
    <w:rsid w:val="00697235"/>
    <w:rsid w:val="006977BE"/>
    <w:rsid w:val="006A37D4"/>
    <w:rsid w:val="006A4C6F"/>
    <w:rsid w:val="006A5B33"/>
    <w:rsid w:val="006B03A7"/>
    <w:rsid w:val="006B3741"/>
    <w:rsid w:val="006B4E0F"/>
    <w:rsid w:val="006B6140"/>
    <w:rsid w:val="006B7AF4"/>
    <w:rsid w:val="006C19B3"/>
    <w:rsid w:val="006C23F7"/>
    <w:rsid w:val="006C53A1"/>
    <w:rsid w:val="006C6349"/>
    <w:rsid w:val="006C77D2"/>
    <w:rsid w:val="006C7E8D"/>
    <w:rsid w:val="006D2878"/>
    <w:rsid w:val="006D3776"/>
    <w:rsid w:val="006D4442"/>
    <w:rsid w:val="006D5493"/>
    <w:rsid w:val="006D624F"/>
    <w:rsid w:val="006E1A99"/>
    <w:rsid w:val="006F10B0"/>
    <w:rsid w:val="006F4602"/>
    <w:rsid w:val="006F55B8"/>
    <w:rsid w:val="00700095"/>
    <w:rsid w:val="0070220C"/>
    <w:rsid w:val="007022A0"/>
    <w:rsid w:val="0070279F"/>
    <w:rsid w:val="007064E7"/>
    <w:rsid w:val="00707D6E"/>
    <w:rsid w:val="0071460B"/>
    <w:rsid w:val="00716419"/>
    <w:rsid w:val="00721CB9"/>
    <w:rsid w:val="00722CEA"/>
    <w:rsid w:val="007275D8"/>
    <w:rsid w:val="00736F2E"/>
    <w:rsid w:val="00741F2A"/>
    <w:rsid w:val="00742658"/>
    <w:rsid w:val="00742F4D"/>
    <w:rsid w:val="00744218"/>
    <w:rsid w:val="00745072"/>
    <w:rsid w:val="00745E81"/>
    <w:rsid w:val="00747BDC"/>
    <w:rsid w:val="00754985"/>
    <w:rsid w:val="00755044"/>
    <w:rsid w:val="00757A25"/>
    <w:rsid w:val="00760A90"/>
    <w:rsid w:val="007615C2"/>
    <w:rsid w:val="0076310A"/>
    <w:rsid w:val="00763ADA"/>
    <w:rsid w:val="007663C4"/>
    <w:rsid w:val="00767260"/>
    <w:rsid w:val="00774EB2"/>
    <w:rsid w:val="00776E98"/>
    <w:rsid w:val="00787A91"/>
    <w:rsid w:val="00787F56"/>
    <w:rsid w:val="00790879"/>
    <w:rsid w:val="007920CF"/>
    <w:rsid w:val="0079237B"/>
    <w:rsid w:val="007931A9"/>
    <w:rsid w:val="0079447B"/>
    <w:rsid w:val="00796867"/>
    <w:rsid w:val="00796E22"/>
    <w:rsid w:val="007973A1"/>
    <w:rsid w:val="007A12FC"/>
    <w:rsid w:val="007A2429"/>
    <w:rsid w:val="007A4BD6"/>
    <w:rsid w:val="007B5755"/>
    <w:rsid w:val="007B7193"/>
    <w:rsid w:val="007C0C74"/>
    <w:rsid w:val="007C59EC"/>
    <w:rsid w:val="007C7BEF"/>
    <w:rsid w:val="007D28F6"/>
    <w:rsid w:val="007D3904"/>
    <w:rsid w:val="007E13CA"/>
    <w:rsid w:val="007E169C"/>
    <w:rsid w:val="007E2440"/>
    <w:rsid w:val="007E6FBD"/>
    <w:rsid w:val="007E7329"/>
    <w:rsid w:val="007E7E0B"/>
    <w:rsid w:val="007F54D5"/>
    <w:rsid w:val="007F63DB"/>
    <w:rsid w:val="007F75F3"/>
    <w:rsid w:val="007F7CB6"/>
    <w:rsid w:val="008003A3"/>
    <w:rsid w:val="00802BEB"/>
    <w:rsid w:val="008039F3"/>
    <w:rsid w:val="008064BA"/>
    <w:rsid w:val="00807B1C"/>
    <w:rsid w:val="00813257"/>
    <w:rsid w:val="00821366"/>
    <w:rsid w:val="008215E4"/>
    <w:rsid w:val="00822456"/>
    <w:rsid w:val="008230E3"/>
    <w:rsid w:val="00832C9F"/>
    <w:rsid w:val="00833F7C"/>
    <w:rsid w:val="00837A1B"/>
    <w:rsid w:val="00840EBA"/>
    <w:rsid w:val="00840F56"/>
    <w:rsid w:val="00846577"/>
    <w:rsid w:val="00851E48"/>
    <w:rsid w:val="00852381"/>
    <w:rsid w:val="00852A6D"/>
    <w:rsid w:val="00854293"/>
    <w:rsid w:val="00856F1C"/>
    <w:rsid w:val="00857658"/>
    <w:rsid w:val="00857EA3"/>
    <w:rsid w:val="008670CB"/>
    <w:rsid w:val="00871758"/>
    <w:rsid w:val="008719F8"/>
    <w:rsid w:val="00875BDD"/>
    <w:rsid w:val="0087634B"/>
    <w:rsid w:val="00876A29"/>
    <w:rsid w:val="00876D16"/>
    <w:rsid w:val="00881A62"/>
    <w:rsid w:val="00881DE2"/>
    <w:rsid w:val="00882FB3"/>
    <w:rsid w:val="00883D04"/>
    <w:rsid w:val="00885F87"/>
    <w:rsid w:val="00890D15"/>
    <w:rsid w:val="0089683C"/>
    <w:rsid w:val="008A08E9"/>
    <w:rsid w:val="008A0EDA"/>
    <w:rsid w:val="008A17D3"/>
    <w:rsid w:val="008A236E"/>
    <w:rsid w:val="008A60E2"/>
    <w:rsid w:val="008B2199"/>
    <w:rsid w:val="008B39CD"/>
    <w:rsid w:val="008B56F5"/>
    <w:rsid w:val="008B5EB1"/>
    <w:rsid w:val="008B64B3"/>
    <w:rsid w:val="008B6F0E"/>
    <w:rsid w:val="008B7DD9"/>
    <w:rsid w:val="008C1D45"/>
    <w:rsid w:val="008C4F32"/>
    <w:rsid w:val="008C719F"/>
    <w:rsid w:val="008D22FC"/>
    <w:rsid w:val="008D2733"/>
    <w:rsid w:val="008D5422"/>
    <w:rsid w:val="008E2688"/>
    <w:rsid w:val="008F0F9E"/>
    <w:rsid w:val="008F1BBC"/>
    <w:rsid w:val="008F372B"/>
    <w:rsid w:val="008F39B6"/>
    <w:rsid w:val="00902A8C"/>
    <w:rsid w:val="009051C0"/>
    <w:rsid w:val="0090582A"/>
    <w:rsid w:val="00905ED3"/>
    <w:rsid w:val="00906EC2"/>
    <w:rsid w:val="00907751"/>
    <w:rsid w:val="0091140C"/>
    <w:rsid w:val="009123EE"/>
    <w:rsid w:val="00912F77"/>
    <w:rsid w:val="00915060"/>
    <w:rsid w:val="009174B0"/>
    <w:rsid w:val="00917ACF"/>
    <w:rsid w:val="00922330"/>
    <w:rsid w:val="00922480"/>
    <w:rsid w:val="009235E5"/>
    <w:rsid w:val="0092371F"/>
    <w:rsid w:val="00924E26"/>
    <w:rsid w:val="00925249"/>
    <w:rsid w:val="00925EDC"/>
    <w:rsid w:val="00927059"/>
    <w:rsid w:val="00927DF1"/>
    <w:rsid w:val="00933395"/>
    <w:rsid w:val="009335A3"/>
    <w:rsid w:val="00935974"/>
    <w:rsid w:val="00937C56"/>
    <w:rsid w:val="0094069D"/>
    <w:rsid w:val="00944823"/>
    <w:rsid w:val="00944A51"/>
    <w:rsid w:val="0095000F"/>
    <w:rsid w:val="00952D3C"/>
    <w:rsid w:val="009537D8"/>
    <w:rsid w:val="009571AD"/>
    <w:rsid w:val="00960A4F"/>
    <w:rsid w:val="0096266B"/>
    <w:rsid w:val="00962CA0"/>
    <w:rsid w:val="00964687"/>
    <w:rsid w:val="009657ED"/>
    <w:rsid w:val="00965F9E"/>
    <w:rsid w:val="00967816"/>
    <w:rsid w:val="00972365"/>
    <w:rsid w:val="009744D7"/>
    <w:rsid w:val="00974896"/>
    <w:rsid w:val="00974D99"/>
    <w:rsid w:val="00976E2F"/>
    <w:rsid w:val="009803B0"/>
    <w:rsid w:val="00984FF2"/>
    <w:rsid w:val="00990513"/>
    <w:rsid w:val="00990F4F"/>
    <w:rsid w:val="009910E3"/>
    <w:rsid w:val="009A3F07"/>
    <w:rsid w:val="009A5211"/>
    <w:rsid w:val="009A586A"/>
    <w:rsid w:val="009A71D3"/>
    <w:rsid w:val="009B003D"/>
    <w:rsid w:val="009B091C"/>
    <w:rsid w:val="009B11B8"/>
    <w:rsid w:val="009B1A2A"/>
    <w:rsid w:val="009C2152"/>
    <w:rsid w:val="009C3B20"/>
    <w:rsid w:val="009C5581"/>
    <w:rsid w:val="009C5B8A"/>
    <w:rsid w:val="009C7FA6"/>
    <w:rsid w:val="009D2CAB"/>
    <w:rsid w:val="009D2E65"/>
    <w:rsid w:val="009D4C8F"/>
    <w:rsid w:val="009D5750"/>
    <w:rsid w:val="009E18C6"/>
    <w:rsid w:val="009E7C2B"/>
    <w:rsid w:val="009F09C4"/>
    <w:rsid w:val="009F799F"/>
    <w:rsid w:val="00A05F64"/>
    <w:rsid w:val="00A133E0"/>
    <w:rsid w:val="00A23867"/>
    <w:rsid w:val="00A251BE"/>
    <w:rsid w:val="00A317ED"/>
    <w:rsid w:val="00A41A3F"/>
    <w:rsid w:val="00A43769"/>
    <w:rsid w:val="00A43BE5"/>
    <w:rsid w:val="00A4442D"/>
    <w:rsid w:val="00A44951"/>
    <w:rsid w:val="00A45627"/>
    <w:rsid w:val="00A50B2C"/>
    <w:rsid w:val="00A50F84"/>
    <w:rsid w:val="00A50F8A"/>
    <w:rsid w:val="00A52101"/>
    <w:rsid w:val="00A54DE6"/>
    <w:rsid w:val="00A54EC4"/>
    <w:rsid w:val="00A64D1C"/>
    <w:rsid w:val="00A66AE0"/>
    <w:rsid w:val="00A7066C"/>
    <w:rsid w:val="00A71EA1"/>
    <w:rsid w:val="00A73491"/>
    <w:rsid w:val="00A73D2F"/>
    <w:rsid w:val="00A74AD1"/>
    <w:rsid w:val="00A74DD2"/>
    <w:rsid w:val="00A76CED"/>
    <w:rsid w:val="00A8277F"/>
    <w:rsid w:val="00A82C23"/>
    <w:rsid w:val="00A830E1"/>
    <w:rsid w:val="00A8326E"/>
    <w:rsid w:val="00A844A2"/>
    <w:rsid w:val="00A84DF2"/>
    <w:rsid w:val="00A8515B"/>
    <w:rsid w:val="00A851D0"/>
    <w:rsid w:val="00A874D0"/>
    <w:rsid w:val="00A91332"/>
    <w:rsid w:val="00A957D8"/>
    <w:rsid w:val="00AA0B14"/>
    <w:rsid w:val="00AA4146"/>
    <w:rsid w:val="00AA5613"/>
    <w:rsid w:val="00AA58B8"/>
    <w:rsid w:val="00AA5BCF"/>
    <w:rsid w:val="00AB0F65"/>
    <w:rsid w:val="00AB27EE"/>
    <w:rsid w:val="00AB5408"/>
    <w:rsid w:val="00AC0027"/>
    <w:rsid w:val="00AD01E2"/>
    <w:rsid w:val="00AD3F52"/>
    <w:rsid w:val="00AD560D"/>
    <w:rsid w:val="00AD56CD"/>
    <w:rsid w:val="00AD56E1"/>
    <w:rsid w:val="00AD5C76"/>
    <w:rsid w:val="00AD6F2F"/>
    <w:rsid w:val="00AD76B0"/>
    <w:rsid w:val="00AE25F1"/>
    <w:rsid w:val="00AE4293"/>
    <w:rsid w:val="00AE463E"/>
    <w:rsid w:val="00AE73B4"/>
    <w:rsid w:val="00AE75D7"/>
    <w:rsid w:val="00AE7E35"/>
    <w:rsid w:val="00AF5BCD"/>
    <w:rsid w:val="00AF6C8F"/>
    <w:rsid w:val="00B00A65"/>
    <w:rsid w:val="00B0224B"/>
    <w:rsid w:val="00B02464"/>
    <w:rsid w:val="00B04167"/>
    <w:rsid w:val="00B0627C"/>
    <w:rsid w:val="00B07F99"/>
    <w:rsid w:val="00B11212"/>
    <w:rsid w:val="00B139F7"/>
    <w:rsid w:val="00B14F1A"/>
    <w:rsid w:val="00B1605B"/>
    <w:rsid w:val="00B16E23"/>
    <w:rsid w:val="00B20145"/>
    <w:rsid w:val="00B20179"/>
    <w:rsid w:val="00B217F4"/>
    <w:rsid w:val="00B240DB"/>
    <w:rsid w:val="00B2490C"/>
    <w:rsid w:val="00B24DE4"/>
    <w:rsid w:val="00B25087"/>
    <w:rsid w:val="00B25436"/>
    <w:rsid w:val="00B266D0"/>
    <w:rsid w:val="00B27376"/>
    <w:rsid w:val="00B36200"/>
    <w:rsid w:val="00B36D57"/>
    <w:rsid w:val="00B378BA"/>
    <w:rsid w:val="00B4088D"/>
    <w:rsid w:val="00B4221B"/>
    <w:rsid w:val="00B43FAB"/>
    <w:rsid w:val="00B475B7"/>
    <w:rsid w:val="00B50EEC"/>
    <w:rsid w:val="00B5156A"/>
    <w:rsid w:val="00B539E9"/>
    <w:rsid w:val="00B542FD"/>
    <w:rsid w:val="00B6067C"/>
    <w:rsid w:val="00B61348"/>
    <w:rsid w:val="00B62F59"/>
    <w:rsid w:val="00B66E32"/>
    <w:rsid w:val="00B725E0"/>
    <w:rsid w:val="00B73BEF"/>
    <w:rsid w:val="00B7532F"/>
    <w:rsid w:val="00B75852"/>
    <w:rsid w:val="00B8009D"/>
    <w:rsid w:val="00B803D9"/>
    <w:rsid w:val="00B81173"/>
    <w:rsid w:val="00B8141D"/>
    <w:rsid w:val="00B82472"/>
    <w:rsid w:val="00B824F2"/>
    <w:rsid w:val="00B827B2"/>
    <w:rsid w:val="00B8568C"/>
    <w:rsid w:val="00B877BE"/>
    <w:rsid w:val="00B90699"/>
    <w:rsid w:val="00B906AC"/>
    <w:rsid w:val="00B90AAF"/>
    <w:rsid w:val="00B958D4"/>
    <w:rsid w:val="00BA7A6C"/>
    <w:rsid w:val="00BB10C9"/>
    <w:rsid w:val="00BB1561"/>
    <w:rsid w:val="00BB23A1"/>
    <w:rsid w:val="00BB516A"/>
    <w:rsid w:val="00BB54ED"/>
    <w:rsid w:val="00BB6E5A"/>
    <w:rsid w:val="00BD1464"/>
    <w:rsid w:val="00BD174A"/>
    <w:rsid w:val="00BD2AFF"/>
    <w:rsid w:val="00BD4311"/>
    <w:rsid w:val="00BD62BA"/>
    <w:rsid w:val="00BD7A54"/>
    <w:rsid w:val="00BE01D0"/>
    <w:rsid w:val="00BE0BE6"/>
    <w:rsid w:val="00BE10E9"/>
    <w:rsid w:val="00BE47DD"/>
    <w:rsid w:val="00BE4C13"/>
    <w:rsid w:val="00BE5EE9"/>
    <w:rsid w:val="00BF2E92"/>
    <w:rsid w:val="00BF2F9F"/>
    <w:rsid w:val="00BF568A"/>
    <w:rsid w:val="00BF5974"/>
    <w:rsid w:val="00BF60A3"/>
    <w:rsid w:val="00BF7B6A"/>
    <w:rsid w:val="00C0324E"/>
    <w:rsid w:val="00C03963"/>
    <w:rsid w:val="00C03CCC"/>
    <w:rsid w:val="00C05B07"/>
    <w:rsid w:val="00C06255"/>
    <w:rsid w:val="00C06EC8"/>
    <w:rsid w:val="00C108D1"/>
    <w:rsid w:val="00C160A5"/>
    <w:rsid w:val="00C21070"/>
    <w:rsid w:val="00C2279C"/>
    <w:rsid w:val="00C26DAB"/>
    <w:rsid w:val="00C31702"/>
    <w:rsid w:val="00C32742"/>
    <w:rsid w:val="00C32AFC"/>
    <w:rsid w:val="00C360F1"/>
    <w:rsid w:val="00C43C21"/>
    <w:rsid w:val="00C45D90"/>
    <w:rsid w:val="00C53E24"/>
    <w:rsid w:val="00C56A4B"/>
    <w:rsid w:val="00C642C1"/>
    <w:rsid w:val="00C74B13"/>
    <w:rsid w:val="00C74BE2"/>
    <w:rsid w:val="00C75395"/>
    <w:rsid w:val="00C7769F"/>
    <w:rsid w:val="00C84A81"/>
    <w:rsid w:val="00C85B13"/>
    <w:rsid w:val="00C902BE"/>
    <w:rsid w:val="00C916E1"/>
    <w:rsid w:val="00C9203A"/>
    <w:rsid w:val="00C9242A"/>
    <w:rsid w:val="00C95EBA"/>
    <w:rsid w:val="00C961FA"/>
    <w:rsid w:val="00CA1BFF"/>
    <w:rsid w:val="00CA7E09"/>
    <w:rsid w:val="00CB03D3"/>
    <w:rsid w:val="00CB1086"/>
    <w:rsid w:val="00CB136D"/>
    <w:rsid w:val="00CB3386"/>
    <w:rsid w:val="00CC45F4"/>
    <w:rsid w:val="00CC4BFC"/>
    <w:rsid w:val="00CC57FB"/>
    <w:rsid w:val="00CD2FE5"/>
    <w:rsid w:val="00CD50EA"/>
    <w:rsid w:val="00CE492B"/>
    <w:rsid w:val="00CE5E24"/>
    <w:rsid w:val="00CE7199"/>
    <w:rsid w:val="00CE7B32"/>
    <w:rsid w:val="00CF169C"/>
    <w:rsid w:val="00CF37BA"/>
    <w:rsid w:val="00CF4404"/>
    <w:rsid w:val="00CF6B2D"/>
    <w:rsid w:val="00D00D87"/>
    <w:rsid w:val="00D0674D"/>
    <w:rsid w:val="00D161A2"/>
    <w:rsid w:val="00D177F7"/>
    <w:rsid w:val="00D23C38"/>
    <w:rsid w:val="00D25963"/>
    <w:rsid w:val="00D27DBE"/>
    <w:rsid w:val="00D27EBD"/>
    <w:rsid w:val="00D31240"/>
    <w:rsid w:val="00D4146A"/>
    <w:rsid w:val="00D42E8D"/>
    <w:rsid w:val="00D42F75"/>
    <w:rsid w:val="00D432FC"/>
    <w:rsid w:val="00D43DC0"/>
    <w:rsid w:val="00D44B07"/>
    <w:rsid w:val="00D55CE6"/>
    <w:rsid w:val="00D56ECD"/>
    <w:rsid w:val="00D57B59"/>
    <w:rsid w:val="00D60630"/>
    <w:rsid w:val="00D632CB"/>
    <w:rsid w:val="00D6462C"/>
    <w:rsid w:val="00D65A02"/>
    <w:rsid w:val="00D675C5"/>
    <w:rsid w:val="00D72688"/>
    <w:rsid w:val="00D73062"/>
    <w:rsid w:val="00D7312C"/>
    <w:rsid w:val="00D746E9"/>
    <w:rsid w:val="00D74A77"/>
    <w:rsid w:val="00D76B86"/>
    <w:rsid w:val="00D8661F"/>
    <w:rsid w:val="00D87514"/>
    <w:rsid w:val="00D92059"/>
    <w:rsid w:val="00D9615C"/>
    <w:rsid w:val="00DA2395"/>
    <w:rsid w:val="00DA6E39"/>
    <w:rsid w:val="00DB22C1"/>
    <w:rsid w:val="00DB35BF"/>
    <w:rsid w:val="00DB541C"/>
    <w:rsid w:val="00DC0873"/>
    <w:rsid w:val="00DC0B3B"/>
    <w:rsid w:val="00DC1082"/>
    <w:rsid w:val="00DC37BD"/>
    <w:rsid w:val="00DC63EC"/>
    <w:rsid w:val="00DC6A9D"/>
    <w:rsid w:val="00DC7839"/>
    <w:rsid w:val="00DD1E37"/>
    <w:rsid w:val="00DD2B16"/>
    <w:rsid w:val="00DD2BC1"/>
    <w:rsid w:val="00DD6439"/>
    <w:rsid w:val="00DE001A"/>
    <w:rsid w:val="00DE35A0"/>
    <w:rsid w:val="00DE7673"/>
    <w:rsid w:val="00DE7A0D"/>
    <w:rsid w:val="00DE7C99"/>
    <w:rsid w:val="00DF5A2F"/>
    <w:rsid w:val="00DF696F"/>
    <w:rsid w:val="00E007C0"/>
    <w:rsid w:val="00E037FC"/>
    <w:rsid w:val="00E04C51"/>
    <w:rsid w:val="00E12964"/>
    <w:rsid w:val="00E13351"/>
    <w:rsid w:val="00E15830"/>
    <w:rsid w:val="00E16B36"/>
    <w:rsid w:val="00E17D5C"/>
    <w:rsid w:val="00E202B6"/>
    <w:rsid w:val="00E21413"/>
    <w:rsid w:val="00E2322E"/>
    <w:rsid w:val="00E24931"/>
    <w:rsid w:val="00E26922"/>
    <w:rsid w:val="00E27FDA"/>
    <w:rsid w:val="00E307DC"/>
    <w:rsid w:val="00E31E31"/>
    <w:rsid w:val="00E34E50"/>
    <w:rsid w:val="00E40E1C"/>
    <w:rsid w:val="00E42047"/>
    <w:rsid w:val="00E42098"/>
    <w:rsid w:val="00E42626"/>
    <w:rsid w:val="00E42C33"/>
    <w:rsid w:val="00E4357E"/>
    <w:rsid w:val="00E43FC2"/>
    <w:rsid w:val="00E452A8"/>
    <w:rsid w:val="00E46B88"/>
    <w:rsid w:val="00E47743"/>
    <w:rsid w:val="00E515B1"/>
    <w:rsid w:val="00E533C2"/>
    <w:rsid w:val="00E627FE"/>
    <w:rsid w:val="00E62927"/>
    <w:rsid w:val="00E62C77"/>
    <w:rsid w:val="00E646F2"/>
    <w:rsid w:val="00E64CEE"/>
    <w:rsid w:val="00E71172"/>
    <w:rsid w:val="00E73E7F"/>
    <w:rsid w:val="00E74B0B"/>
    <w:rsid w:val="00E76E75"/>
    <w:rsid w:val="00E77A39"/>
    <w:rsid w:val="00E80B7D"/>
    <w:rsid w:val="00E82731"/>
    <w:rsid w:val="00E82F6E"/>
    <w:rsid w:val="00E86283"/>
    <w:rsid w:val="00E86785"/>
    <w:rsid w:val="00E8754F"/>
    <w:rsid w:val="00E91E5A"/>
    <w:rsid w:val="00E93DF8"/>
    <w:rsid w:val="00EA083B"/>
    <w:rsid w:val="00EA61A8"/>
    <w:rsid w:val="00EA7F02"/>
    <w:rsid w:val="00EB39E7"/>
    <w:rsid w:val="00EB3A71"/>
    <w:rsid w:val="00EB49BE"/>
    <w:rsid w:val="00EC0263"/>
    <w:rsid w:val="00EC09BE"/>
    <w:rsid w:val="00EC374D"/>
    <w:rsid w:val="00EC6B41"/>
    <w:rsid w:val="00ED0078"/>
    <w:rsid w:val="00ED0548"/>
    <w:rsid w:val="00ED17CB"/>
    <w:rsid w:val="00ED272A"/>
    <w:rsid w:val="00ED30F0"/>
    <w:rsid w:val="00ED4B4D"/>
    <w:rsid w:val="00ED5C0C"/>
    <w:rsid w:val="00ED6140"/>
    <w:rsid w:val="00EE0B4B"/>
    <w:rsid w:val="00EE5D34"/>
    <w:rsid w:val="00EE7295"/>
    <w:rsid w:val="00EE7E1F"/>
    <w:rsid w:val="00EF031C"/>
    <w:rsid w:val="00EF4204"/>
    <w:rsid w:val="00EF5579"/>
    <w:rsid w:val="00EF5AC7"/>
    <w:rsid w:val="00EF5B2F"/>
    <w:rsid w:val="00F01FC5"/>
    <w:rsid w:val="00F13ACC"/>
    <w:rsid w:val="00F1456C"/>
    <w:rsid w:val="00F20041"/>
    <w:rsid w:val="00F20106"/>
    <w:rsid w:val="00F2041D"/>
    <w:rsid w:val="00F20FAA"/>
    <w:rsid w:val="00F22CD6"/>
    <w:rsid w:val="00F330F3"/>
    <w:rsid w:val="00F3698D"/>
    <w:rsid w:val="00F431D3"/>
    <w:rsid w:val="00F43270"/>
    <w:rsid w:val="00F453DF"/>
    <w:rsid w:val="00F56EF2"/>
    <w:rsid w:val="00F60E6A"/>
    <w:rsid w:val="00F616FF"/>
    <w:rsid w:val="00F61798"/>
    <w:rsid w:val="00F62980"/>
    <w:rsid w:val="00F62A9B"/>
    <w:rsid w:val="00F64AE3"/>
    <w:rsid w:val="00F64B08"/>
    <w:rsid w:val="00F6680D"/>
    <w:rsid w:val="00F66E77"/>
    <w:rsid w:val="00F67EA1"/>
    <w:rsid w:val="00F70151"/>
    <w:rsid w:val="00F726C3"/>
    <w:rsid w:val="00F73DFF"/>
    <w:rsid w:val="00F75807"/>
    <w:rsid w:val="00F772DE"/>
    <w:rsid w:val="00F80335"/>
    <w:rsid w:val="00F8393D"/>
    <w:rsid w:val="00F865D4"/>
    <w:rsid w:val="00F9016B"/>
    <w:rsid w:val="00F91776"/>
    <w:rsid w:val="00F94B57"/>
    <w:rsid w:val="00FA15DD"/>
    <w:rsid w:val="00FA5309"/>
    <w:rsid w:val="00FA7954"/>
    <w:rsid w:val="00FB083C"/>
    <w:rsid w:val="00FB75E3"/>
    <w:rsid w:val="00FB782D"/>
    <w:rsid w:val="00FC2601"/>
    <w:rsid w:val="00FC2ED1"/>
    <w:rsid w:val="00FC3803"/>
    <w:rsid w:val="00FC431F"/>
    <w:rsid w:val="00FD28A2"/>
    <w:rsid w:val="00FD333B"/>
    <w:rsid w:val="00FD74D6"/>
    <w:rsid w:val="00FD755A"/>
    <w:rsid w:val="00FD7564"/>
    <w:rsid w:val="00FE05B3"/>
    <w:rsid w:val="00FE0DFA"/>
    <w:rsid w:val="00FE3B3C"/>
    <w:rsid w:val="00FE3D5B"/>
    <w:rsid w:val="00FE4DE7"/>
    <w:rsid w:val="00FE639B"/>
    <w:rsid w:val="00FF4C5B"/>
    <w:rsid w:val="00FF5639"/>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9E280F"/>
  <w15:docId w15:val="{291926A9-5A13-4B11-8030-69AC04F4D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CBB"/>
    <w:pPr>
      <w:spacing w:after="0" w:line="240" w:lineRule="auto"/>
    </w:pPr>
    <w:rPr>
      <w:rFonts w:ascii="Times New Roman" w:hAnsi="Times New Roman" w:cs="Times New Roman"/>
      <w:sz w:val="24"/>
      <w:szCs w:val="24"/>
    </w:rPr>
  </w:style>
  <w:style w:type="paragraph" w:styleId="Heading1">
    <w:name w:val="heading 1"/>
    <w:basedOn w:val="ListParagraph"/>
    <w:next w:val="Normal"/>
    <w:link w:val="Heading1Char"/>
    <w:uiPriority w:val="9"/>
    <w:qFormat/>
    <w:rsid w:val="006229D9"/>
    <w:pPr>
      <w:numPr>
        <w:numId w:val="30"/>
      </w:numPr>
      <w:outlineLvl w:val="0"/>
    </w:pPr>
    <w:rPr>
      <w:b/>
    </w:rPr>
  </w:style>
  <w:style w:type="paragraph" w:styleId="Heading2">
    <w:name w:val="heading 2"/>
    <w:basedOn w:val="Normal"/>
    <w:next w:val="Normal"/>
    <w:link w:val="Heading2Char"/>
    <w:uiPriority w:val="9"/>
    <w:unhideWhenUsed/>
    <w:qFormat/>
    <w:rsid w:val="007549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4BE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E7BF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E7BF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E7BF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E7BF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E7BF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E7BF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9D9"/>
    <w:rPr>
      <w:rFonts w:ascii="Times New Roman" w:hAnsi="Times New Roman" w:cs="Times New Roman"/>
      <w:b/>
      <w:sz w:val="24"/>
      <w:szCs w:val="24"/>
    </w:rPr>
  </w:style>
  <w:style w:type="paragraph" w:styleId="BalloonText">
    <w:name w:val="Balloon Text"/>
    <w:basedOn w:val="Normal"/>
    <w:link w:val="BalloonTextChar"/>
    <w:uiPriority w:val="99"/>
    <w:semiHidden/>
    <w:unhideWhenUsed/>
    <w:rsid w:val="00760A90"/>
    <w:rPr>
      <w:rFonts w:ascii="Tahoma" w:hAnsi="Tahoma" w:cs="Tahoma"/>
      <w:sz w:val="16"/>
      <w:szCs w:val="16"/>
    </w:rPr>
  </w:style>
  <w:style w:type="character" w:customStyle="1" w:styleId="BalloonTextChar">
    <w:name w:val="Balloon Text Char"/>
    <w:basedOn w:val="DefaultParagraphFont"/>
    <w:link w:val="BalloonText"/>
    <w:uiPriority w:val="99"/>
    <w:semiHidden/>
    <w:rsid w:val="00760A90"/>
    <w:rPr>
      <w:rFonts w:ascii="Tahoma" w:hAnsi="Tahoma" w:cs="Tahoma"/>
      <w:sz w:val="16"/>
      <w:szCs w:val="16"/>
    </w:rPr>
  </w:style>
  <w:style w:type="paragraph" w:styleId="Title">
    <w:name w:val="Title"/>
    <w:basedOn w:val="Normal"/>
    <w:next w:val="Normal"/>
    <w:link w:val="TitleChar"/>
    <w:uiPriority w:val="10"/>
    <w:qFormat/>
    <w:rsid w:val="00CC4BF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C4BFC"/>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754985"/>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94B57"/>
    <w:rPr>
      <w:color w:val="0000FF" w:themeColor="hyperlink"/>
      <w:u w:val="single"/>
    </w:rPr>
  </w:style>
  <w:style w:type="paragraph" w:styleId="ListParagraph">
    <w:name w:val="List Paragraph"/>
    <w:basedOn w:val="Normal"/>
    <w:uiPriority w:val="34"/>
    <w:qFormat/>
    <w:rsid w:val="000539F7"/>
    <w:pPr>
      <w:ind w:left="720"/>
      <w:contextualSpacing/>
    </w:pPr>
  </w:style>
  <w:style w:type="character" w:customStyle="1" w:styleId="Heading3Char">
    <w:name w:val="Heading 3 Char"/>
    <w:basedOn w:val="DefaultParagraphFont"/>
    <w:link w:val="Heading3"/>
    <w:uiPriority w:val="9"/>
    <w:rsid w:val="00C74BE2"/>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4F26C0"/>
    <w:rPr>
      <w:color w:val="800080" w:themeColor="followedHyperlink"/>
      <w:u w:val="single"/>
    </w:rPr>
  </w:style>
  <w:style w:type="table" w:styleId="TableGrid">
    <w:name w:val="Table Grid"/>
    <w:basedOn w:val="TableNormal"/>
    <w:uiPriority w:val="59"/>
    <w:rsid w:val="00AE4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B6140"/>
    <w:rPr>
      <w:b/>
      <w:bCs/>
      <w:color w:val="4F81BD" w:themeColor="accent1"/>
      <w:sz w:val="18"/>
      <w:szCs w:val="18"/>
    </w:rPr>
  </w:style>
  <w:style w:type="character" w:styleId="CommentReference">
    <w:name w:val="annotation reference"/>
    <w:basedOn w:val="DefaultParagraphFont"/>
    <w:uiPriority w:val="99"/>
    <w:semiHidden/>
    <w:unhideWhenUsed/>
    <w:rsid w:val="006E1A99"/>
    <w:rPr>
      <w:sz w:val="16"/>
      <w:szCs w:val="16"/>
    </w:rPr>
  </w:style>
  <w:style w:type="paragraph" w:styleId="CommentText">
    <w:name w:val="annotation text"/>
    <w:basedOn w:val="Normal"/>
    <w:link w:val="CommentTextChar"/>
    <w:uiPriority w:val="99"/>
    <w:unhideWhenUsed/>
    <w:rsid w:val="006E1A99"/>
    <w:rPr>
      <w:sz w:val="20"/>
      <w:szCs w:val="20"/>
    </w:rPr>
  </w:style>
  <w:style w:type="character" w:customStyle="1" w:styleId="CommentTextChar">
    <w:name w:val="Comment Text Char"/>
    <w:basedOn w:val="DefaultParagraphFont"/>
    <w:link w:val="CommentText"/>
    <w:uiPriority w:val="99"/>
    <w:rsid w:val="006E1A99"/>
    <w:rPr>
      <w:sz w:val="20"/>
      <w:szCs w:val="20"/>
    </w:rPr>
  </w:style>
  <w:style w:type="paragraph" w:styleId="CommentSubject">
    <w:name w:val="annotation subject"/>
    <w:basedOn w:val="CommentText"/>
    <w:next w:val="CommentText"/>
    <w:link w:val="CommentSubjectChar"/>
    <w:uiPriority w:val="99"/>
    <w:semiHidden/>
    <w:unhideWhenUsed/>
    <w:rsid w:val="006E1A99"/>
    <w:rPr>
      <w:b/>
      <w:bCs/>
    </w:rPr>
  </w:style>
  <w:style w:type="character" w:customStyle="1" w:styleId="CommentSubjectChar">
    <w:name w:val="Comment Subject Char"/>
    <w:basedOn w:val="CommentTextChar"/>
    <w:link w:val="CommentSubject"/>
    <w:uiPriority w:val="99"/>
    <w:semiHidden/>
    <w:rsid w:val="006E1A99"/>
    <w:rPr>
      <w:b/>
      <w:bCs/>
      <w:sz w:val="20"/>
      <w:szCs w:val="20"/>
    </w:rPr>
  </w:style>
  <w:style w:type="character" w:styleId="PlaceholderText">
    <w:name w:val="Placeholder Text"/>
    <w:basedOn w:val="DefaultParagraphFont"/>
    <w:uiPriority w:val="99"/>
    <w:semiHidden/>
    <w:rsid w:val="00B07F99"/>
    <w:rPr>
      <w:color w:val="808080"/>
    </w:rPr>
  </w:style>
  <w:style w:type="character" w:customStyle="1" w:styleId="apple-converted-space">
    <w:name w:val="apple-converted-space"/>
    <w:basedOn w:val="DefaultParagraphFont"/>
    <w:rsid w:val="00AF5BCD"/>
  </w:style>
  <w:style w:type="paragraph" w:styleId="FootnoteText">
    <w:name w:val="footnote text"/>
    <w:basedOn w:val="Normal"/>
    <w:link w:val="FootnoteTextChar"/>
    <w:uiPriority w:val="99"/>
    <w:unhideWhenUsed/>
    <w:rsid w:val="00C0324E"/>
    <w:rPr>
      <w:sz w:val="20"/>
      <w:szCs w:val="20"/>
    </w:rPr>
  </w:style>
  <w:style w:type="character" w:customStyle="1" w:styleId="FootnoteTextChar">
    <w:name w:val="Footnote Text Char"/>
    <w:basedOn w:val="DefaultParagraphFont"/>
    <w:link w:val="FootnoteText"/>
    <w:uiPriority w:val="99"/>
    <w:rsid w:val="00C0324E"/>
    <w:rPr>
      <w:sz w:val="20"/>
      <w:szCs w:val="20"/>
    </w:rPr>
  </w:style>
  <w:style w:type="character" w:styleId="FootnoteReference">
    <w:name w:val="footnote reference"/>
    <w:basedOn w:val="DefaultParagraphFont"/>
    <w:uiPriority w:val="99"/>
    <w:semiHidden/>
    <w:unhideWhenUsed/>
    <w:rsid w:val="00C0324E"/>
    <w:rPr>
      <w:vertAlign w:val="superscript"/>
    </w:rPr>
  </w:style>
  <w:style w:type="table" w:customStyle="1" w:styleId="TableGrid1">
    <w:name w:val="Table Grid1"/>
    <w:basedOn w:val="TableNormal"/>
    <w:next w:val="TableGrid"/>
    <w:uiPriority w:val="59"/>
    <w:rsid w:val="00FD7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D7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D7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2189"/>
    <w:pPr>
      <w:tabs>
        <w:tab w:val="center" w:pos="4680"/>
        <w:tab w:val="right" w:pos="9360"/>
      </w:tabs>
    </w:pPr>
  </w:style>
  <w:style w:type="character" w:customStyle="1" w:styleId="HeaderChar">
    <w:name w:val="Header Char"/>
    <w:basedOn w:val="DefaultParagraphFont"/>
    <w:link w:val="Header"/>
    <w:uiPriority w:val="99"/>
    <w:rsid w:val="002E2189"/>
    <w:rPr>
      <w:rFonts w:ascii="Times New Roman" w:hAnsi="Times New Roman" w:cs="Times New Roman"/>
      <w:sz w:val="24"/>
      <w:szCs w:val="24"/>
    </w:rPr>
  </w:style>
  <w:style w:type="paragraph" w:styleId="Footer">
    <w:name w:val="footer"/>
    <w:basedOn w:val="Normal"/>
    <w:link w:val="FooterChar"/>
    <w:uiPriority w:val="99"/>
    <w:unhideWhenUsed/>
    <w:rsid w:val="002E2189"/>
    <w:pPr>
      <w:tabs>
        <w:tab w:val="center" w:pos="4680"/>
        <w:tab w:val="right" w:pos="9360"/>
      </w:tabs>
    </w:pPr>
  </w:style>
  <w:style w:type="character" w:customStyle="1" w:styleId="FooterChar">
    <w:name w:val="Footer Char"/>
    <w:basedOn w:val="DefaultParagraphFont"/>
    <w:link w:val="Footer"/>
    <w:uiPriority w:val="99"/>
    <w:rsid w:val="002E2189"/>
    <w:rPr>
      <w:rFonts w:ascii="Times New Roman" w:hAnsi="Times New Roman" w:cs="Times New Roman"/>
      <w:sz w:val="24"/>
      <w:szCs w:val="24"/>
    </w:rPr>
  </w:style>
  <w:style w:type="character" w:styleId="LineNumber">
    <w:name w:val="line number"/>
    <w:basedOn w:val="DefaultParagraphFont"/>
    <w:uiPriority w:val="99"/>
    <w:semiHidden/>
    <w:unhideWhenUsed/>
    <w:rsid w:val="00F64AE3"/>
  </w:style>
  <w:style w:type="paragraph" w:styleId="EndnoteText">
    <w:name w:val="endnote text"/>
    <w:basedOn w:val="Normal"/>
    <w:link w:val="EndnoteTextChar"/>
    <w:uiPriority w:val="99"/>
    <w:semiHidden/>
    <w:unhideWhenUsed/>
    <w:rsid w:val="00E24931"/>
    <w:pPr>
      <w:jc w:val="both"/>
    </w:pPr>
    <w:rPr>
      <w:rFonts w:eastAsia="Times New Roman"/>
      <w:sz w:val="20"/>
      <w:szCs w:val="20"/>
    </w:rPr>
  </w:style>
  <w:style w:type="character" w:customStyle="1" w:styleId="EndnoteTextChar">
    <w:name w:val="Endnote Text Char"/>
    <w:basedOn w:val="DefaultParagraphFont"/>
    <w:link w:val="EndnoteText"/>
    <w:uiPriority w:val="99"/>
    <w:semiHidden/>
    <w:rsid w:val="00E24931"/>
    <w:rPr>
      <w:rFonts w:ascii="Times New Roman" w:eastAsia="Times New Roman" w:hAnsi="Times New Roman" w:cs="Times New Roman"/>
      <w:sz w:val="20"/>
      <w:szCs w:val="20"/>
    </w:rPr>
  </w:style>
  <w:style w:type="character" w:customStyle="1" w:styleId="Heading4Char">
    <w:name w:val="Heading 4 Char"/>
    <w:basedOn w:val="DefaultParagraphFont"/>
    <w:link w:val="Heading4"/>
    <w:uiPriority w:val="9"/>
    <w:semiHidden/>
    <w:rsid w:val="002E7BFC"/>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2E7BFC"/>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2E7BFC"/>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2E7BFC"/>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2E7BF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E7BF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6759">
      <w:bodyDiv w:val="1"/>
      <w:marLeft w:val="0"/>
      <w:marRight w:val="0"/>
      <w:marTop w:val="0"/>
      <w:marBottom w:val="0"/>
      <w:divBdr>
        <w:top w:val="none" w:sz="0" w:space="0" w:color="auto"/>
        <w:left w:val="none" w:sz="0" w:space="0" w:color="auto"/>
        <w:bottom w:val="none" w:sz="0" w:space="0" w:color="auto"/>
        <w:right w:val="none" w:sz="0" w:space="0" w:color="auto"/>
      </w:divBdr>
      <w:divsChild>
        <w:div w:id="421490229">
          <w:marLeft w:val="864"/>
          <w:marRight w:val="0"/>
          <w:marTop w:val="100"/>
          <w:marBottom w:val="0"/>
          <w:divBdr>
            <w:top w:val="none" w:sz="0" w:space="0" w:color="auto"/>
            <w:left w:val="none" w:sz="0" w:space="0" w:color="auto"/>
            <w:bottom w:val="none" w:sz="0" w:space="0" w:color="auto"/>
            <w:right w:val="none" w:sz="0" w:space="0" w:color="auto"/>
          </w:divBdr>
        </w:div>
        <w:div w:id="888491770">
          <w:marLeft w:val="432"/>
          <w:marRight w:val="0"/>
          <w:marTop w:val="120"/>
          <w:marBottom w:val="0"/>
          <w:divBdr>
            <w:top w:val="none" w:sz="0" w:space="0" w:color="auto"/>
            <w:left w:val="none" w:sz="0" w:space="0" w:color="auto"/>
            <w:bottom w:val="none" w:sz="0" w:space="0" w:color="auto"/>
            <w:right w:val="none" w:sz="0" w:space="0" w:color="auto"/>
          </w:divBdr>
        </w:div>
        <w:div w:id="1025135392">
          <w:marLeft w:val="864"/>
          <w:marRight w:val="0"/>
          <w:marTop w:val="100"/>
          <w:marBottom w:val="0"/>
          <w:divBdr>
            <w:top w:val="none" w:sz="0" w:space="0" w:color="auto"/>
            <w:left w:val="none" w:sz="0" w:space="0" w:color="auto"/>
            <w:bottom w:val="none" w:sz="0" w:space="0" w:color="auto"/>
            <w:right w:val="none" w:sz="0" w:space="0" w:color="auto"/>
          </w:divBdr>
        </w:div>
        <w:div w:id="1292663374">
          <w:marLeft w:val="432"/>
          <w:marRight w:val="0"/>
          <w:marTop w:val="120"/>
          <w:marBottom w:val="0"/>
          <w:divBdr>
            <w:top w:val="none" w:sz="0" w:space="0" w:color="auto"/>
            <w:left w:val="none" w:sz="0" w:space="0" w:color="auto"/>
            <w:bottom w:val="none" w:sz="0" w:space="0" w:color="auto"/>
            <w:right w:val="none" w:sz="0" w:space="0" w:color="auto"/>
          </w:divBdr>
        </w:div>
        <w:div w:id="1740202856">
          <w:marLeft w:val="432"/>
          <w:marRight w:val="0"/>
          <w:marTop w:val="120"/>
          <w:marBottom w:val="0"/>
          <w:divBdr>
            <w:top w:val="none" w:sz="0" w:space="0" w:color="auto"/>
            <w:left w:val="none" w:sz="0" w:space="0" w:color="auto"/>
            <w:bottom w:val="none" w:sz="0" w:space="0" w:color="auto"/>
            <w:right w:val="none" w:sz="0" w:space="0" w:color="auto"/>
          </w:divBdr>
        </w:div>
      </w:divsChild>
    </w:div>
    <w:div w:id="37241406">
      <w:bodyDiv w:val="1"/>
      <w:marLeft w:val="0"/>
      <w:marRight w:val="0"/>
      <w:marTop w:val="0"/>
      <w:marBottom w:val="0"/>
      <w:divBdr>
        <w:top w:val="none" w:sz="0" w:space="0" w:color="auto"/>
        <w:left w:val="none" w:sz="0" w:space="0" w:color="auto"/>
        <w:bottom w:val="none" w:sz="0" w:space="0" w:color="auto"/>
        <w:right w:val="none" w:sz="0" w:space="0" w:color="auto"/>
      </w:divBdr>
      <w:divsChild>
        <w:div w:id="8222873">
          <w:marLeft w:val="432"/>
          <w:marRight w:val="0"/>
          <w:marTop w:val="120"/>
          <w:marBottom w:val="0"/>
          <w:divBdr>
            <w:top w:val="none" w:sz="0" w:space="0" w:color="auto"/>
            <w:left w:val="none" w:sz="0" w:space="0" w:color="auto"/>
            <w:bottom w:val="none" w:sz="0" w:space="0" w:color="auto"/>
            <w:right w:val="none" w:sz="0" w:space="0" w:color="auto"/>
          </w:divBdr>
        </w:div>
        <w:div w:id="725106739">
          <w:marLeft w:val="432"/>
          <w:marRight w:val="0"/>
          <w:marTop w:val="120"/>
          <w:marBottom w:val="0"/>
          <w:divBdr>
            <w:top w:val="none" w:sz="0" w:space="0" w:color="auto"/>
            <w:left w:val="none" w:sz="0" w:space="0" w:color="auto"/>
            <w:bottom w:val="none" w:sz="0" w:space="0" w:color="auto"/>
            <w:right w:val="none" w:sz="0" w:space="0" w:color="auto"/>
          </w:divBdr>
        </w:div>
        <w:div w:id="745765154">
          <w:marLeft w:val="864"/>
          <w:marRight w:val="0"/>
          <w:marTop w:val="100"/>
          <w:marBottom w:val="0"/>
          <w:divBdr>
            <w:top w:val="none" w:sz="0" w:space="0" w:color="auto"/>
            <w:left w:val="none" w:sz="0" w:space="0" w:color="auto"/>
            <w:bottom w:val="none" w:sz="0" w:space="0" w:color="auto"/>
            <w:right w:val="none" w:sz="0" w:space="0" w:color="auto"/>
          </w:divBdr>
        </w:div>
        <w:div w:id="931471043">
          <w:marLeft w:val="432"/>
          <w:marRight w:val="0"/>
          <w:marTop w:val="120"/>
          <w:marBottom w:val="0"/>
          <w:divBdr>
            <w:top w:val="none" w:sz="0" w:space="0" w:color="auto"/>
            <w:left w:val="none" w:sz="0" w:space="0" w:color="auto"/>
            <w:bottom w:val="none" w:sz="0" w:space="0" w:color="auto"/>
            <w:right w:val="none" w:sz="0" w:space="0" w:color="auto"/>
          </w:divBdr>
        </w:div>
        <w:div w:id="1047611146">
          <w:marLeft w:val="864"/>
          <w:marRight w:val="0"/>
          <w:marTop w:val="100"/>
          <w:marBottom w:val="0"/>
          <w:divBdr>
            <w:top w:val="none" w:sz="0" w:space="0" w:color="auto"/>
            <w:left w:val="none" w:sz="0" w:space="0" w:color="auto"/>
            <w:bottom w:val="none" w:sz="0" w:space="0" w:color="auto"/>
            <w:right w:val="none" w:sz="0" w:space="0" w:color="auto"/>
          </w:divBdr>
        </w:div>
        <w:div w:id="1320958638">
          <w:marLeft w:val="432"/>
          <w:marRight w:val="0"/>
          <w:marTop w:val="120"/>
          <w:marBottom w:val="0"/>
          <w:divBdr>
            <w:top w:val="none" w:sz="0" w:space="0" w:color="auto"/>
            <w:left w:val="none" w:sz="0" w:space="0" w:color="auto"/>
            <w:bottom w:val="none" w:sz="0" w:space="0" w:color="auto"/>
            <w:right w:val="none" w:sz="0" w:space="0" w:color="auto"/>
          </w:divBdr>
        </w:div>
        <w:div w:id="1814640106">
          <w:marLeft w:val="432"/>
          <w:marRight w:val="0"/>
          <w:marTop w:val="120"/>
          <w:marBottom w:val="0"/>
          <w:divBdr>
            <w:top w:val="none" w:sz="0" w:space="0" w:color="auto"/>
            <w:left w:val="none" w:sz="0" w:space="0" w:color="auto"/>
            <w:bottom w:val="none" w:sz="0" w:space="0" w:color="auto"/>
            <w:right w:val="none" w:sz="0" w:space="0" w:color="auto"/>
          </w:divBdr>
        </w:div>
      </w:divsChild>
    </w:div>
    <w:div w:id="53553615">
      <w:bodyDiv w:val="1"/>
      <w:marLeft w:val="0"/>
      <w:marRight w:val="0"/>
      <w:marTop w:val="0"/>
      <w:marBottom w:val="0"/>
      <w:divBdr>
        <w:top w:val="none" w:sz="0" w:space="0" w:color="auto"/>
        <w:left w:val="none" w:sz="0" w:space="0" w:color="auto"/>
        <w:bottom w:val="none" w:sz="0" w:space="0" w:color="auto"/>
        <w:right w:val="none" w:sz="0" w:space="0" w:color="auto"/>
      </w:divBdr>
      <w:divsChild>
        <w:div w:id="576598897">
          <w:marLeft w:val="432"/>
          <w:marRight w:val="0"/>
          <w:marTop w:val="120"/>
          <w:marBottom w:val="0"/>
          <w:divBdr>
            <w:top w:val="none" w:sz="0" w:space="0" w:color="auto"/>
            <w:left w:val="none" w:sz="0" w:space="0" w:color="auto"/>
            <w:bottom w:val="none" w:sz="0" w:space="0" w:color="auto"/>
            <w:right w:val="none" w:sz="0" w:space="0" w:color="auto"/>
          </w:divBdr>
        </w:div>
        <w:div w:id="1093551056">
          <w:marLeft w:val="432"/>
          <w:marRight w:val="0"/>
          <w:marTop w:val="120"/>
          <w:marBottom w:val="0"/>
          <w:divBdr>
            <w:top w:val="none" w:sz="0" w:space="0" w:color="auto"/>
            <w:left w:val="none" w:sz="0" w:space="0" w:color="auto"/>
            <w:bottom w:val="none" w:sz="0" w:space="0" w:color="auto"/>
            <w:right w:val="none" w:sz="0" w:space="0" w:color="auto"/>
          </w:divBdr>
        </w:div>
        <w:div w:id="1446971713">
          <w:marLeft w:val="432"/>
          <w:marRight w:val="0"/>
          <w:marTop w:val="120"/>
          <w:marBottom w:val="0"/>
          <w:divBdr>
            <w:top w:val="none" w:sz="0" w:space="0" w:color="auto"/>
            <w:left w:val="none" w:sz="0" w:space="0" w:color="auto"/>
            <w:bottom w:val="none" w:sz="0" w:space="0" w:color="auto"/>
            <w:right w:val="none" w:sz="0" w:space="0" w:color="auto"/>
          </w:divBdr>
        </w:div>
        <w:div w:id="1534033342">
          <w:marLeft w:val="432"/>
          <w:marRight w:val="0"/>
          <w:marTop w:val="120"/>
          <w:marBottom w:val="0"/>
          <w:divBdr>
            <w:top w:val="none" w:sz="0" w:space="0" w:color="auto"/>
            <w:left w:val="none" w:sz="0" w:space="0" w:color="auto"/>
            <w:bottom w:val="none" w:sz="0" w:space="0" w:color="auto"/>
            <w:right w:val="none" w:sz="0" w:space="0" w:color="auto"/>
          </w:divBdr>
        </w:div>
        <w:div w:id="2086293937">
          <w:marLeft w:val="432"/>
          <w:marRight w:val="0"/>
          <w:marTop w:val="120"/>
          <w:marBottom w:val="0"/>
          <w:divBdr>
            <w:top w:val="none" w:sz="0" w:space="0" w:color="auto"/>
            <w:left w:val="none" w:sz="0" w:space="0" w:color="auto"/>
            <w:bottom w:val="none" w:sz="0" w:space="0" w:color="auto"/>
            <w:right w:val="none" w:sz="0" w:space="0" w:color="auto"/>
          </w:divBdr>
        </w:div>
      </w:divsChild>
    </w:div>
    <w:div w:id="172191733">
      <w:bodyDiv w:val="1"/>
      <w:marLeft w:val="0"/>
      <w:marRight w:val="0"/>
      <w:marTop w:val="0"/>
      <w:marBottom w:val="0"/>
      <w:divBdr>
        <w:top w:val="none" w:sz="0" w:space="0" w:color="auto"/>
        <w:left w:val="none" w:sz="0" w:space="0" w:color="auto"/>
        <w:bottom w:val="none" w:sz="0" w:space="0" w:color="auto"/>
        <w:right w:val="none" w:sz="0" w:space="0" w:color="auto"/>
      </w:divBdr>
      <w:divsChild>
        <w:div w:id="125467570">
          <w:marLeft w:val="0"/>
          <w:marRight w:val="0"/>
          <w:marTop w:val="0"/>
          <w:marBottom w:val="0"/>
          <w:divBdr>
            <w:top w:val="single" w:sz="6" w:space="0" w:color="333333"/>
            <w:left w:val="none" w:sz="0" w:space="0" w:color="auto"/>
            <w:bottom w:val="single" w:sz="6" w:space="0" w:color="333333"/>
            <w:right w:val="none" w:sz="0" w:space="0" w:color="auto"/>
          </w:divBdr>
        </w:div>
      </w:divsChild>
    </w:div>
    <w:div w:id="363793416">
      <w:bodyDiv w:val="1"/>
      <w:marLeft w:val="0"/>
      <w:marRight w:val="0"/>
      <w:marTop w:val="0"/>
      <w:marBottom w:val="0"/>
      <w:divBdr>
        <w:top w:val="none" w:sz="0" w:space="0" w:color="auto"/>
        <w:left w:val="none" w:sz="0" w:space="0" w:color="auto"/>
        <w:bottom w:val="none" w:sz="0" w:space="0" w:color="auto"/>
        <w:right w:val="none" w:sz="0" w:space="0" w:color="auto"/>
      </w:divBdr>
      <w:divsChild>
        <w:div w:id="1499880572">
          <w:marLeft w:val="0"/>
          <w:marRight w:val="0"/>
          <w:marTop w:val="0"/>
          <w:marBottom w:val="0"/>
          <w:divBdr>
            <w:top w:val="none" w:sz="0" w:space="0" w:color="auto"/>
            <w:left w:val="none" w:sz="0" w:space="0" w:color="auto"/>
            <w:bottom w:val="none" w:sz="0" w:space="0" w:color="auto"/>
            <w:right w:val="none" w:sz="0" w:space="0" w:color="auto"/>
          </w:divBdr>
        </w:div>
      </w:divsChild>
    </w:div>
    <w:div w:id="400450073">
      <w:bodyDiv w:val="1"/>
      <w:marLeft w:val="0"/>
      <w:marRight w:val="0"/>
      <w:marTop w:val="0"/>
      <w:marBottom w:val="0"/>
      <w:divBdr>
        <w:top w:val="none" w:sz="0" w:space="0" w:color="auto"/>
        <w:left w:val="none" w:sz="0" w:space="0" w:color="auto"/>
        <w:bottom w:val="none" w:sz="0" w:space="0" w:color="auto"/>
        <w:right w:val="none" w:sz="0" w:space="0" w:color="auto"/>
      </w:divBdr>
      <w:divsChild>
        <w:div w:id="932129265">
          <w:marLeft w:val="432"/>
          <w:marRight w:val="0"/>
          <w:marTop w:val="120"/>
          <w:marBottom w:val="0"/>
          <w:divBdr>
            <w:top w:val="none" w:sz="0" w:space="0" w:color="auto"/>
            <w:left w:val="none" w:sz="0" w:space="0" w:color="auto"/>
            <w:bottom w:val="none" w:sz="0" w:space="0" w:color="auto"/>
            <w:right w:val="none" w:sz="0" w:space="0" w:color="auto"/>
          </w:divBdr>
        </w:div>
        <w:div w:id="1361932773">
          <w:marLeft w:val="432"/>
          <w:marRight w:val="0"/>
          <w:marTop w:val="120"/>
          <w:marBottom w:val="0"/>
          <w:divBdr>
            <w:top w:val="none" w:sz="0" w:space="0" w:color="auto"/>
            <w:left w:val="none" w:sz="0" w:space="0" w:color="auto"/>
            <w:bottom w:val="none" w:sz="0" w:space="0" w:color="auto"/>
            <w:right w:val="none" w:sz="0" w:space="0" w:color="auto"/>
          </w:divBdr>
        </w:div>
      </w:divsChild>
    </w:div>
    <w:div w:id="463698588">
      <w:bodyDiv w:val="1"/>
      <w:marLeft w:val="0"/>
      <w:marRight w:val="0"/>
      <w:marTop w:val="0"/>
      <w:marBottom w:val="0"/>
      <w:divBdr>
        <w:top w:val="none" w:sz="0" w:space="0" w:color="auto"/>
        <w:left w:val="none" w:sz="0" w:space="0" w:color="auto"/>
        <w:bottom w:val="none" w:sz="0" w:space="0" w:color="auto"/>
        <w:right w:val="none" w:sz="0" w:space="0" w:color="auto"/>
      </w:divBdr>
      <w:divsChild>
        <w:div w:id="14617992">
          <w:marLeft w:val="432"/>
          <w:marRight w:val="0"/>
          <w:marTop w:val="120"/>
          <w:marBottom w:val="0"/>
          <w:divBdr>
            <w:top w:val="none" w:sz="0" w:space="0" w:color="auto"/>
            <w:left w:val="none" w:sz="0" w:space="0" w:color="auto"/>
            <w:bottom w:val="none" w:sz="0" w:space="0" w:color="auto"/>
            <w:right w:val="none" w:sz="0" w:space="0" w:color="auto"/>
          </w:divBdr>
        </w:div>
        <w:div w:id="300885521">
          <w:marLeft w:val="432"/>
          <w:marRight w:val="0"/>
          <w:marTop w:val="120"/>
          <w:marBottom w:val="0"/>
          <w:divBdr>
            <w:top w:val="none" w:sz="0" w:space="0" w:color="auto"/>
            <w:left w:val="none" w:sz="0" w:space="0" w:color="auto"/>
            <w:bottom w:val="none" w:sz="0" w:space="0" w:color="auto"/>
            <w:right w:val="none" w:sz="0" w:space="0" w:color="auto"/>
          </w:divBdr>
        </w:div>
      </w:divsChild>
    </w:div>
    <w:div w:id="504830077">
      <w:bodyDiv w:val="1"/>
      <w:marLeft w:val="0"/>
      <w:marRight w:val="0"/>
      <w:marTop w:val="0"/>
      <w:marBottom w:val="0"/>
      <w:divBdr>
        <w:top w:val="none" w:sz="0" w:space="0" w:color="auto"/>
        <w:left w:val="none" w:sz="0" w:space="0" w:color="auto"/>
        <w:bottom w:val="none" w:sz="0" w:space="0" w:color="auto"/>
        <w:right w:val="none" w:sz="0" w:space="0" w:color="auto"/>
      </w:divBdr>
    </w:div>
    <w:div w:id="564873874">
      <w:bodyDiv w:val="1"/>
      <w:marLeft w:val="0"/>
      <w:marRight w:val="0"/>
      <w:marTop w:val="0"/>
      <w:marBottom w:val="0"/>
      <w:divBdr>
        <w:top w:val="none" w:sz="0" w:space="0" w:color="auto"/>
        <w:left w:val="none" w:sz="0" w:space="0" w:color="auto"/>
        <w:bottom w:val="none" w:sz="0" w:space="0" w:color="auto"/>
        <w:right w:val="none" w:sz="0" w:space="0" w:color="auto"/>
      </w:divBdr>
      <w:divsChild>
        <w:div w:id="1051685420">
          <w:marLeft w:val="0"/>
          <w:marRight w:val="0"/>
          <w:marTop w:val="0"/>
          <w:marBottom w:val="0"/>
          <w:divBdr>
            <w:top w:val="none" w:sz="0" w:space="0" w:color="auto"/>
            <w:left w:val="none" w:sz="0" w:space="0" w:color="auto"/>
            <w:bottom w:val="none" w:sz="0" w:space="0" w:color="auto"/>
            <w:right w:val="none" w:sz="0" w:space="0" w:color="auto"/>
          </w:divBdr>
          <w:divsChild>
            <w:div w:id="210315019">
              <w:marLeft w:val="0"/>
              <w:marRight w:val="0"/>
              <w:marTop w:val="0"/>
              <w:marBottom w:val="0"/>
              <w:divBdr>
                <w:top w:val="none" w:sz="0" w:space="0" w:color="auto"/>
                <w:left w:val="none" w:sz="0" w:space="0" w:color="auto"/>
                <w:bottom w:val="none" w:sz="0" w:space="0" w:color="auto"/>
                <w:right w:val="none" w:sz="0" w:space="0" w:color="auto"/>
              </w:divBdr>
            </w:div>
            <w:div w:id="754979146">
              <w:marLeft w:val="0"/>
              <w:marRight w:val="0"/>
              <w:marTop w:val="0"/>
              <w:marBottom w:val="0"/>
              <w:divBdr>
                <w:top w:val="none" w:sz="0" w:space="0" w:color="auto"/>
                <w:left w:val="none" w:sz="0" w:space="0" w:color="auto"/>
                <w:bottom w:val="none" w:sz="0" w:space="0" w:color="auto"/>
                <w:right w:val="none" w:sz="0" w:space="0" w:color="auto"/>
              </w:divBdr>
            </w:div>
            <w:div w:id="784694997">
              <w:marLeft w:val="0"/>
              <w:marRight w:val="0"/>
              <w:marTop w:val="0"/>
              <w:marBottom w:val="0"/>
              <w:divBdr>
                <w:top w:val="none" w:sz="0" w:space="0" w:color="auto"/>
                <w:left w:val="none" w:sz="0" w:space="0" w:color="auto"/>
                <w:bottom w:val="none" w:sz="0" w:space="0" w:color="auto"/>
                <w:right w:val="none" w:sz="0" w:space="0" w:color="auto"/>
              </w:divBdr>
            </w:div>
            <w:div w:id="1133642071">
              <w:marLeft w:val="0"/>
              <w:marRight w:val="0"/>
              <w:marTop w:val="0"/>
              <w:marBottom w:val="0"/>
              <w:divBdr>
                <w:top w:val="none" w:sz="0" w:space="0" w:color="auto"/>
                <w:left w:val="none" w:sz="0" w:space="0" w:color="auto"/>
                <w:bottom w:val="none" w:sz="0" w:space="0" w:color="auto"/>
                <w:right w:val="none" w:sz="0" w:space="0" w:color="auto"/>
              </w:divBdr>
            </w:div>
            <w:div w:id="1307777163">
              <w:marLeft w:val="0"/>
              <w:marRight w:val="0"/>
              <w:marTop w:val="0"/>
              <w:marBottom w:val="0"/>
              <w:divBdr>
                <w:top w:val="none" w:sz="0" w:space="0" w:color="auto"/>
                <w:left w:val="none" w:sz="0" w:space="0" w:color="auto"/>
                <w:bottom w:val="none" w:sz="0" w:space="0" w:color="auto"/>
                <w:right w:val="none" w:sz="0" w:space="0" w:color="auto"/>
              </w:divBdr>
            </w:div>
            <w:div w:id="1530098162">
              <w:marLeft w:val="0"/>
              <w:marRight w:val="0"/>
              <w:marTop w:val="0"/>
              <w:marBottom w:val="0"/>
              <w:divBdr>
                <w:top w:val="none" w:sz="0" w:space="0" w:color="auto"/>
                <w:left w:val="none" w:sz="0" w:space="0" w:color="auto"/>
                <w:bottom w:val="none" w:sz="0" w:space="0" w:color="auto"/>
                <w:right w:val="none" w:sz="0" w:space="0" w:color="auto"/>
              </w:divBdr>
            </w:div>
            <w:div w:id="1829443914">
              <w:marLeft w:val="0"/>
              <w:marRight w:val="0"/>
              <w:marTop w:val="0"/>
              <w:marBottom w:val="0"/>
              <w:divBdr>
                <w:top w:val="none" w:sz="0" w:space="0" w:color="auto"/>
                <w:left w:val="none" w:sz="0" w:space="0" w:color="auto"/>
                <w:bottom w:val="none" w:sz="0" w:space="0" w:color="auto"/>
                <w:right w:val="none" w:sz="0" w:space="0" w:color="auto"/>
              </w:divBdr>
            </w:div>
            <w:div w:id="2014062125">
              <w:marLeft w:val="0"/>
              <w:marRight w:val="0"/>
              <w:marTop w:val="0"/>
              <w:marBottom w:val="0"/>
              <w:divBdr>
                <w:top w:val="none" w:sz="0" w:space="0" w:color="auto"/>
                <w:left w:val="none" w:sz="0" w:space="0" w:color="auto"/>
                <w:bottom w:val="none" w:sz="0" w:space="0" w:color="auto"/>
                <w:right w:val="none" w:sz="0" w:space="0" w:color="auto"/>
              </w:divBdr>
            </w:div>
            <w:div w:id="212626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18047">
      <w:bodyDiv w:val="1"/>
      <w:marLeft w:val="0"/>
      <w:marRight w:val="0"/>
      <w:marTop w:val="0"/>
      <w:marBottom w:val="0"/>
      <w:divBdr>
        <w:top w:val="none" w:sz="0" w:space="0" w:color="auto"/>
        <w:left w:val="none" w:sz="0" w:space="0" w:color="auto"/>
        <w:bottom w:val="none" w:sz="0" w:space="0" w:color="auto"/>
        <w:right w:val="none" w:sz="0" w:space="0" w:color="auto"/>
      </w:divBdr>
      <w:divsChild>
        <w:div w:id="172957552">
          <w:marLeft w:val="432"/>
          <w:marRight w:val="0"/>
          <w:marTop w:val="120"/>
          <w:marBottom w:val="0"/>
          <w:divBdr>
            <w:top w:val="none" w:sz="0" w:space="0" w:color="auto"/>
            <w:left w:val="none" w:sz="0" w:space="0" w:color="auto"/>
            <w:bottom w:val="none" w:sz="0" w:space="0" w:color="auto"/>
            <w:right w:val="none" w:sz="0" w:space="0" w:color="auto"/>
          </w:divBdr>
        </w:div>
        <w:div w:id="1442800911">
          <w:marLeft w:val="432"/>
          <w:marRight w:val="0"/>
          <w:marTop w:val="120"/>
          <w:marBottom w:val="0"/>
          <w:divBdr>
            <w:top w:val="none" w:sz="0" w:space="0" w:color="auto"/>
            <w:left w:val="none" w:sz="0" w:space="0" w:color="auto"/>
            <w:bottom w:val="none" w:sz="0" w:space="0" w:color="auto"/>
            <w:right w:val="none" w:sz="0" w:space="0" w:color="auto"/>
          </w:divBdr>
        </w:div>
        <w:div w:id="1773210606">
          <w:marLeft w:val="432"/>
          <w:marRight w:val="0"/>
          <w:marTop w:val="120"/>
          <w:marBottom w:val="0"/>
          <w:divBdr>
            <w:top w:val="none" w:sz="0" w:space="0" w:color="auto"/>
            <w:left w:val="none" w:sz="0" w:space="0" w:color="auto"/>
            <w:bottom w:val="none" w:sz="0" w:space="0" w:color="auto"/>
            <w:right w:val="none" w:sz="0" w:space="0" w:color="auto"/>
          </w:divBdr>
        </w:div>
      </w:divsChild>
    </w:div>
    <w:div w:id="611282439">
      <w:bodyDiv w:val="1"/>
      <w:marLeft w:val="0"/>
      <w:marRight w:val="0"/>
      <w:marTop w:val="0"/>
      <w:marBottom w:val="0"/>
      <w:divBdr>
        <w:top w:val="none" w:sz="0" w:space="0" w:color="auto"/>
        <w:left w:val="none" w:sz="0" w:space="0" w:color="auto"/>
        <w:bottom w:val="none" w:sz="0" w:space="0" w:color="auto"/>
        <w:right w:val="none" w:sz="0" w:space="0" w:color="auto"/>
      </w:divBdr>
      <w:divsChild>
        <w:div w:id="1125850">
          <w:marLeft w:val="432"/>
          <w:marRight w:val="0"/>
          <w:marTop w:val="120"/>
          <w:marBottom w:val="0"/>
          <w:divBdr>
            <w:top w:val="none" w:sz="0" w:space="0" w:color="auto"/>
            <w:left w:val="none" w:sz="0" w:space="0" w:color="auto"/>
            <w:bottom w:val="none" w:sz="0" w:space="0" w:color="auto"/>
            <w:right w:val="none" w:sz="0" w:space="0" w:color="auto"/>
          </w:divBdr>
        </w:div>
        <w:div w:id="305553079">
          <w:marLeft w:val="432"/>
          <w:marRight w:val="0"/>
          <w:marTop w:val="120"/>
          <w:marBottom w:val="0"/>
          <w:divBdr>
            <w:top w:val="none" w:sz="0" w:space="0" w:color="auto"/>
            <w:left w:val="none" w:sz="0" w:space="0" w:color="auto"/>
            <w:bottom w:val="none" w:sz="0" w:space="0" w:color="auto"/>
            <w:right w:val="none" w:sz="0" w:space="0" w:color="auto"/>
          </w:divBdr>
        </w:div>
        <w:div w:id="414012468">
          <w:marLeft w:val="864"/>
          <w:marRight w:val="0"/>
          <w:marTop w:val="100"/>
          <w:marBottom w:val="0"/>
          <w:divBdr>
            <w:top w:val="none" w:sz="0" w:space="0" w:color="auto"/>
            <w:left w:val="none" w:sz="0" w:space="0" w:color="auto"/>
            <w:bottom w:val="none" w:sz="0" w:space="0" w:color="auto"/>
            <w:right w:val="none" w:sz="0" w:space="0" w:color="auto"/>
          </w:divBdr>
        </w:div>
        <w:div w:id="581179366">
          <w:marLeft w:val="432"/>
          <w:marRight w:val="0"/>
          <w:marTop w:val="120"/>
          <w:marBottom w:val="0"/>
          <w:divBdr>
            <w:top w:val="none" w:sz="0" w:space="0" w:color="auto"/>
            <w:left w:val="none" w:sz="0" w:space="0" w:color="auto"/>
            <w:bottom w:val="none" w:sz="0" w:space="0" w:color="auto"/>
            <w:right w:val="none" w:sz="0" w:space="0" w:color="auto"/>
          </w:divBdr>
        </w:div>
        <w:div w:id="648049028">
          <w:marLeft w:val="864"/>
          <w:marRight w:val="0"/>
          <w:marTop w:val="100"/>
          <w:marBottom w:val="0"/>
          <w:divBdr>
            <w:top w:val="none" w:sz="0" w:space="0" w:color="auto"/>
            <w:left w:val="none" w:sz="0" w:space="0" w:color="auto"/>
            <w:bottom w:val="none" w:sz="0" w:space="0" w:color="auto"/>
            <w:right w:val="none" w:sz="0" w:space="0" w:color="auto"/>
          </w:divBdr>
        </w:div>
        <w:div w:id="922643920">
          <w:marLeft w:val="864"/>
          <w:marRight w:val="0"/>
          <w:marTop w:val="100"/>
          <w:marBottom w:val="0"/>
          <w:divBdr>
            <w:top w:val="none" w:sz="0" w:space="0" w:color="auto"/>
            <w:left w:val="none" w:sz="0" w:space="0" w:color="auto"/>
            <w:bottom w:val="none" w:sz="0" w:space="0" w:color="auto"/>
            <w:right w:val="none" w:sz="0" w:space="0" w:color="auto"/>
          </w:divBdr>
        </w:div>
        <w:div w:id="988436620">
          <w:marLeft w:val="864"/>
          <w:marRight w:val="0"/>
          <w:marTop w:val="100"/>
          <w:marBottom w:val="0"/>
          <w:divBdr>
            <w:top w:val="none" w:sz="0" w:space="0" w:color="auto"/>
            <w:left w:val="none" w:sz="0" w:space="0" w:color="auto"/>
            <w:bottom w:val="none" w:sz="0" w:space="0" w:color="auto"/>
            <w:right w:val="none" w:sz="0" w:space="0" w:color="auto"/>
          </w:divBdr>
        </w:div>
        <w:div w:id="1131752576">
          <w:marLeft w:val="864"/>
          <w:marRight w:val="0"/>
          <w:marTop w:val="100"/>
          <w:marBottom w:val="0"/>
          <w:divBdr>
            <w:top w:val="none" w:sz="0" w:space="0" w:color="auto"/>
            <w:left w:val="none" w:sz="0" w:space="0" w:color="auto"/>
            <w:bottom w:val="none" w:sz="0" w:space="0" w:color="auto"/>
            <w:right w:val="none" w:sz="0" w:space="0" w:color="auto"/>
          </w:divBdr>
        </w:div>
        <w:div w:id="1297179143">
          <w:marLeft w:val="864"/>
          <w:marRight w:val="0"/>
          <w:marTop w:val="100"/>
          <w:marBottom w:val="0"/>
          <w:divBdr>
            <w:top w:val="none" w:sz="0" w:space="0" w:color="auto"/>
            <w:left w:val="none" w:sz="0" w:space="0" w:color="auto"/>
            <w:bottom w:val="none" w:sz="0" w:space="0" w:color="auto"/>
            <w:right w:val="none" w:sz="0" w:space="0" w:color="auto"/>
          </w:divBdr>
        </w:div>
        <w:div w:id="1629824576">
          <w:marLeft w:val="432"/>
          <w:marRight w:val="0"/>
          <w:marTop w:val="120"/>
          <w:marBottom w:val="0"/>
          <w:divBdr>
            <w:top w:val="none" w:sz="0" w:space="0" w:color="auto"/>
            <w:left w:val="none" w:sz="0" w:space="0" w:color="auto"/>
            <w:bottom w:val="none" w:sz="0" w:space="0" w:color="auto"/>
            <w:right w:val="none" w:sz="0" w:space="0" w:color="auto"/>
          </w:divBdr>
        </w:div>
        <w:div w:id="2012676126">
          <w:marLeft w:val="864"/>
          <w:marRight w:val="0"/>
          <w:marTop w:val="100"/>
          <w:marBottom w:val="0"/>
          <w:divBdr>
            <w:top w:val="none" w:sz="0" w:space="0" w:color="auto"/>
            <w:left w:val="none" w:sz="0" w:space="0" w:color="auto"/>
            <w:bottom w:val="none" w:sz="0" w:space="0" w:color="auto"/>
            <w:right w:val="none" w:sz="0" w:space="0" w:color="auto"/>
          </w:divBdr>
        </w:div>
        <w:div w:id="2043363262">
          <w:marLeft w:val="864"/>
          <w:marRight w:val="0"/>
          <w:marTop w:val="100"/>
          <w:marBottom w:val="0"/>
          <w:divBdr>
            <w:top w:val="none" w:sz="0" w:space="0" w:color="auto"/>
            <w:left w:val="none" w:sz="0" w:space="0" w:color="auto"/>
            <w:bottom w:val="none" w:sz="0" w:space="0" w:color="auto"/>
            <w:right w:val="none" w:sz="0" w:space="0" w:color="auto"/>
          </w:divBdr>
        </w:div>
      </w:divsChild>
    </w:div>
    <w:div w:id="718556111">
      <w:bodyDiv w:val="1"/>
      <w:marLeft w:val="0"/>
      <w:marRight w:val="0"/>
      <w:marTop w:val="0"/>
      <w:marBottom w:val="0"/>
      <w:divBdr>
        <w:top w:val="none" w:sz="0" w:space="0" w:color="auto"/>
        <w:left w:val="none" w:sz="0" w:space="0" w:color="auto"/>
        <w:bottom w:val="none" w:sz="0" w:space="0" w:color="auto"/>
        <w:right w:val="none" w:sz="0" w:space="0" w:color="auto"/>
      </w:divBdr>
    </w:div>
    <w:div w:id="737173428">
      <w:bodyDiv w:val="1"/>
      <w:marLeft w:val="0"/>
      <w:marRight w:val="0"/>
      <w:marTop w:val="0"/>
      <w:marBottom w:val="0"/>
      <w:divBdr>
        <w:top w:val="none" w:sz="0" w:space="0" w:color="auto"/>
        <w:left w:val="none" w:sz="0" w:space="0" w:color="auto"/>
        <w:bottom w:val="none" w:sz="0" w:space="0" w:color="auto"/>
        <w:right w:val="none" w:sz="0" w:space="0" w:color="auto"/>
      </w:divBdr>
      <w:divsChild>
        <w:div w:id="1135609317">
          <w:marLeft w:val="432"/>
          <w:marRight w:val="0"/>
          <w:marTop w:val="120"/>
          <w:marBottom w:val="0"/>
          <w:divBdr>
            <w:top w:val="none" w:sz="0" w:space="0" w:color="auto"/>
            <w:left w:val="none" w:sz="0" w:space="0" w:color="auto"/>
            <w:bottom w:val="none" w:sz="0" w:space="0" w:color="auto"/>
            <w:right w:val="none" w:sz="0" w:space="0" w:color="auto"/>
          </w:divBdr>
        </w:div>
        <w:div w:id="1137911862">
          <w:marLeft w:val="432"/>
          <w:marRight w:val="0"/>
          <w:marTop w:val="120"/>
          <w:marBottom w:val="0"/>
          <w:divBdr>
            <w:top w:val="none" w:sz="0" w:space="0" w:color="auto"/>
            <w:left w:val="none" w:sz="0" w:space="0" w:color="auto"/>
            <w:bottom w:val="none" w:sz="0" w:space="0" w:color="auto"/>
            <w:right w:val="none" w:sz="0" w:space="0" w:color="auto"/>
          </w:divBdr>
        </w:div>
        <w:div w:id="1363241541">
          <w:marLeft w:val="432"/>
          <w:marRight w:val="0"/>
          <w:marTop w:val="120"/>
          <w:marBottom w:val="0"/>
          <w:divBdr>
            <w:top w:val="none" w:sz="0" w:space="0" w:color="auto"/>
            <w:left w:val="none" w:sz="0" w:space="0" w:color="auto"/>
            <w:bottom w:val="none" w:sz="0" w:space="0" w:color="auto"/>
            <w:right w:val="none" w:sz="0" w:space="0" w:color="auto"/>
          </w:divBdr>
        </w:div>
        <w:div w:id="1425423088">
          <w:marLeft w:val="432"/>
          <w:marRight w:val="0"/>
          <w:marTop w:val="120"/>
          <w:marBottom w:val="0"/>
          <w:divBdr>
            <w:top w:val="none" w:sz="0" w:space="0" w:color="auto"/>
            <w:left w:val="none" w:sz="0" w:space="0" w:color="auto"/>
            <w:bottom w:val="none" w:sz="0" w:space="0" w:color="auto"/>
            <w:right w:val="none" w:sz="0" w:space="0" w:color="auto"/>
          </w:divBdr>
        </w:div>
        <w:div w:id="1445340597">
          <w:marLeft w:val="432"/>
          <w:marRight w:val="0"/>
          <w:marTop w:val="120"/>
          <w:marBottom w:val="0"/>
          <w:divBdr>
            <w:top w:val="none" w:sz="0" w:space="0" w:color="auto"/>
            <w:left w:val="none" w:sz="0" w:space="0" w:color="auto"/>
            <w:bottom w:val="none" w:sz="0" w:space="0" w:color="auto"/>
            <w:right w:val="none" w:sz="0" w:space="0" w:color="auto"/>
          </w:divBdr>
        </w:div>
      </w:divsChild>
    </w:div>
    <w:div w:id="829447913">
      <w:bodyDiv w:val="1"/>
      <w:marLeft w:val="0"/>
      <w:marRight w:val="0"/>
      <w:marTop w:val="0"/>
      <w:marBottom w:val="0"/>
      <w:divBdr>
        <w:top w:val="none" w:sz="0" w:space="0" w:color="auto"/>
        <w:left w:val="none" w:sz="0" w:space="0" w:color="auto"/>
        <w:bottom w:val="none" w:sz="0" w:space="0" w:color="auto"/>
        <w:right w:val="none" w:sz="0" w:space="0" w:color="auto"/>
      </w:divBdr>
      <w:divsChild>
        <w:div w:id="52313016">
          <w:marLeft w:val="432"/>
          <w:marRight w:val="0"/>
          <w:marTop w:val="120"/>
          <w:marBottom w:val="0"/>
          <w:divBdr>
            <w:top w:val="none" w:sz="0" w:space="0" w:color="auto"/>
            <w:left w:val="none" w:sz="0" w:space="0" w:color="auto"/>
            <w:bottom w:val="none" w:sz="0" w:space="0" w:color="auto"/>
            <w:right w:val="none" w:sz="0" w:space="0" w:color="auto"/>
          </w:divBdr>
        </w:div>
        <w:div w:id="1185316593">
          <w:marLeft w:val="432"/>
          <w:marRight w:val="0"/>
          <w:marTop w:val="120"/>
          <w:marBottom w:val="0"/>
          <w:divBdr>
            <w:top w:val="none" w:sz="0" w:space="0" w:color="auto"/>
            <w:left w:val="none" w:sz="0" w:space="0" w:color="auto"/>
            <w:bottom w:val="none" w:sz="0" w:space="0" w:color="auto"/>
            <w:right w:val="none" w:sz="0" w:space="0" w:color="auto"/>
          </w:divBdr>
        </w:div>
        <w:div w:id="1197308821">
          <w:marLeft w:val="432"/>
          <w:marRight w:val="0"/>
          <w:marTop w:val="120"/>
          <w:marBottom w:val="0"/>
          <w:divBdr>
            <w:top w:val="none" w:sz="0" w:space="0" w:color="auto"/>
            <w:left w:val="none" w:sz="0" w:space="0" w:color="auto"/>
            <w:bottom w:val="none" w:sz="0" w:space="0" w:color="auto"/>
            <w:right w:val="none" w:sz="0" w:space="0" w:color="auto"/>
          </w:divBdr>
        </w:div>
        <w:div w:id="1555894301">
          <w:marLeft w:val="432"/>
          <w:marRight w:val="0"/>
          <w:marTop w:val="120"/>
          <w:marBottom w:val="0"/>
          <w:divBdr>
            <w:top w:val="none" w:sz="0" w:space="0" w:color="auto"/>
            <w:left w:val="none" w:sz="0" w:space="0" w:color="auto"/>
            <w:bottom w:val="none" w:sz="0" w:space="0" w:color="auto"/>
            <w:right w:val="none" w:sz="0" w:space="0" w:color="auto"/>
          </w:divBdr>
        </w:div>
        <w:div w:id="1715809910">
          <w:marLeft w:val="432"/>
          <w:marRight w:val="0"/>
          <w:marTop w:val="120"/>
          <w:marBottom w:val="0"/>
          <w:divBdr>
            <w:top w:val="none" w:sz="0" w:space="0" w:color="auto"/>
            <w:left w:val="none" w:sz="0" w:space="0" w:color="auto"/>
            <w:bottom w:val="none" w:sz="0" w:space="0" w:color="auto"/>
            <w:right w:val="none" w:sz="0" w:space="0" w:color="auto"/>
          </w:divBdr>
        </w:div>
        <w:div w:id="1844857231">
          <w:marLeft w:val="432"/>
          <w:marRight w:val="0"/>
          <w:marTop w:val="120"/>
          <w:marBottom w:val="0"/>
          <w:divBdr>
            <w:top w:val="none" w:sz="0" w:space="0" w:color="auto"/>
            <w:left w:val="none" w:sz="0" w:space="0" w:color="auto"/>
            <w:bottom w:val="none" w:sz="0" w:space="0" w:color="auto"/>
            <w:right w:val="none" w:sz="0" w:space="0" w:color="auto"/>
          </w:divBdr>
        </w:div>
      </w:divsChild>
    </w:div>
    <w:div w:id="840507075">
      <w:bodyDiv w:val="1"/>
      <w:marLeft w:val="0"/>
      <w:marRight w:val="0"/>
      <w:marTop w:val="0"/>
      <w:marBottom w:val="0"/>
      <w:divBdr>
        <w:top w:val="none" w:sz="0" w:space="0" w:color="auto"/>
        <w:left w:val="none" w:sz="0" w:space="0" w:color="auto"/>
        <w:bottom w:val="none" w:sz="0" w:space="0" w:color="auto"/>
        <w:right w:val="none" w:sz="0" w:space="0" w:color="auto"/>
      </w:divBdr>
      <w:divsChild>
        <w:div w:id="627518220">
          <w:marLeft w:val="432"/>
          <w:marRight w:val="0"/>
          <w:marTop w:val="120"/>
          <w:marBottom w:val="0"/>
          <w:divBdr>
            <w:top w:val="none" w:sz="0" w:space="0" w:color="auto"/>
            <w:left w:val="none" w:sz="0" w:space="0" w:color="auto"/>
            <w:bottom w:val="none" w:sz="0" w:space="0" w:color="auto"/>
            <w:right w:val="none" w:sz="0" w:space="0" w:color="auto"/>
          </w:divBdr>
        </w:div>
        <w:div w:id="1768036435">
          <w:marLeft w:val="432"/>
          <w:marRight w:val="0"/>
          <w:marTop w:val="120"/>
          <w:marBottom w:val="0"/>
          <w:divBdr>
            <w:top w:val="none" w:sz="0" w:space="0" w:color="auto"/>
            <w:left w:val="none" w:sz="0" w:space="0" w:color="auto"/>
            <w:bottom w:val="none" w:sz="0" w:space="0" w:color="auto"/>
            <w:right w:val="none" w:sz="0" w:space="0" w:color="auto"/>
          </w:divBdr>
        </w:div>
      </w:divsChild>
    </w:div>
    <w:div w:id="843327226">
      <w:bodyDiv w:val="1"/>
      <w:marLeft w:val="0"/>
      <w:marRight w:val="0"/>
      <w:marTop w:val="0"/>
      <w:marBottom w:val="0"/>
      <w:divBdr>
        <w:top w:val="none" w:sz="0" w:space="0" w:color="auto"/>
        <w:left w:val="none" w:sz="0" w:space="0" w:color="auto"/>
        <w:bottom w:val="none" w:sz="0" w:space="0" w:color="auto"/>
        <w:right w:val="none" w:sz="0" w:space="0" w:color="auto"/>
      </w:divBdr>
      <w:divsChild>
        <w:div w:id="327755834">
          <w:marLeft w:val="432"/>
          <w:marRight w:val="0"/>
          <w:marTop w:val="120"/>
          <w:marBottom w:val="0"/>
          <w:divBdr>
            <w:top w:val="none" w:sz="0" w:space="0" w:color="auto"/>
            <w:left w:val="none" w:sz="0" w:space="0" w:color="auto"/>
            <w:bottom w:val="none" w:sz="0" w:space="0" w:color="auto"/>
            <w:right w:val="none" w:sz="0" w:space="0" w:color="auto"/>
          </w:divBdr>
        </w:div>
        <w:div w:id="359666500">
          <w:marLeft w:val="432"/>
          <w:marRight w:val="0"/>
          <w:marTop w:val="120"/>
          <w:marBottom w:val="0"/>
          <w:divBdr>
            <w:top w:val="none" w:sz="0" w:space="0" w:color="auto"/>
            <w:left w:val="none" w:sz="0" w:space="0" w:color="auto"/>
            <w:bottom w:val="none" w:sz="0" w:space="0" w:color="auto"/>
            <w:right w:val="none" w:sz="0" w:space="0" w:color="auto"/>
          </w:divBdr>
        </w:div>
        <w:div w:id="935795781">
          <w:marLeft w:val="432"/>
          <w:marRight w:val="0"/>
          <w:marTop w:val="120"/>
          <w:marBottom w:val="0"/>
          <w:divBdr>
            <w:top w:val="none" w:sz="0" w:space="0" w:color="auto"/>
            <w:left w:val="none" w:sz="0" w:space="0" w:color="auto"/>
            <w:bottom w:val="none" w:sz="0" w:space="0" w:color="auto"/>
            <w:right w:val="none" w:sz="0" w:space="0" w:color="auto"/>
          </w:divBdr>
        </w:div>
        <w:div w:id="1435125482">
          <w:marLeft w:val="432"/>
          <w:marRight w:val="0"/>
          <w:marTop w:val="120"/>
          <w:marBottom w:val="0"/>
          <w:divBdr>
            <w:top w:val="none" w:sz="0" w:space="0" w:color="auto"/>
            <w:left w:val="none" w:sz="0" w:space="0" w:color="auto"/>
            <w:bottom w:val="none" w:sz="0" w:space="0" w:color="auto"/>
            <w:right w:val="none" w:sz="0" w:space="0" w:color="auto"/>
          </w:divBdr>
        </w:div>
      </w:divsChild>
    </w:div>
    <w:div w:id="891161108">
      <w:bodyDiv w:val="1"/>
      <w:marLeft w:val="0"/>
      <w:marRight w:val="0"/>
      <w:marTop w:val="0"/>
      <w:marBottom w:val="0"/>
      <w:divBdr>
        <w:top w:val="none" w:sz="0" w:space="0" w:color="auto"/>
        <w:left w:val="none" w:sz="0" w:space="0" w:color="auto"/>
        <w:bottom w:val="none" w:sz="0" w:space="0" w:color="auto"/>
        <w:right w:val="none" w:sz="0" w:space="0" w:color="auto"/>
      </w:divBdr>
      <w:divsChild>
        <w:div w:id="263654391">
          <w:marLeft w:val="432"/>
          <w:marRight w:val="0"/>
          <w:marTop w:val="120"/>
          <w:marBottom w:val="0"/>
          <w:divBdr>
            <w:top w:val="none" w:sz="0" w:space="0" w:color="auto"/>
            <w:left w:val="none" w:sz="0" w:space="0" w:color="auto"/>
            <w:bottom w:val="none" w:sz="0" w:space="0" w:color="auto"/>
            <w:right w:val="none" w:sz="0" w:space="0" w:color="auto"/>
          </w:divBdr>
        </w:div>
        <w:div w:id="538129119">
          <w:marLeft w:val="432"/>
          <w:marRight w:val="0"/>
          <w:marTop w:val="120"/>
          <w:marBottom w:val="0"/>
          <w:divBdr>
            <w:top w:val="none" w:sz="0" w:space="0" w:color="auto"/>
            <w:left w:val="none" w:sz="0" w:space="0" w:color="auto"/>
            <w:bottom w:val="none" w:sz="0" w:space="0" w:color="auto"/>
            <w:right w:val="none" w:sz="0" w:space="0" w:color="auto"/>
          </w:divBdr>
        </w:div>
        <w:div w:id="753665849">
          <w:marLeft w:val="432"/>
          <w:marRight w:val="0"/>
          <w:marTop w:val="120"/>
          <w:marBottom w:val="0"/>
          <w:divBdr>
            <w:top w:val="none" w:sz="0" w:space="0" w:color="auto"/>
            <w:left w:val="none" w:sz="0" w:space="0" w:color="auto"/>
            <w:bottom w:val="none" w:sz="0" w:space="0" w:color="auto"/>
            <w:right w:val="none" w:sz="0" w:space="0" w:color="auto"/>
          </w:divBdr>
        </w:div>
        <w:div w:id="848442886">
          <w:marLeft w:val="432"/>
          <w:marRight w:val="0"/>
          <w:marTop w:val="120"/>
          <w:marBottom w:val="0"/>
          <w:divBdr>
            <w:top w:val="none" w:sz="0" w:space="0" w:color="auto"/>
            <w:left w:val="none" w:sz="0" w:space="0" w:color="auto"/>
            <w:bottom w:val="none" w:sz="0" w:space="0" w:color="auto"/>
            <w:right w:val="none" w:sz="0" w:space="0" w:color="auto"/>
          </w:divBdr>
        </w:div>
        <w:div w:id="1078479628">
          <w:marLeft w:val="432"/>
          <w:marRight w:val="0"/>
          <w:marTop w:val="120"/>
          <w:marBottom w:val="0"/>
          <w:divBdr>
            <w:top w:val="none" w:sz="0" w:space="0" w:color="auto"/>
            <w:left w:val="none" w:sz="0" w:space="0" w:color="auto"/>
            <w:bottom w:val="none" w:sz="0" w:space="0" w:color="auto"/>
            <w:right w:val="none" w:sz="0" w:space="0" w:color="auto"/>
          </w:divBdr>
        </w:div>
        <w:div w:id="1279140454">
          <w:marLeft w:val="432"/>
          <w:marRight w:val="0"/>
          <w:marTop w:val="120"/>
          <w:marBottom w:val="0"/>
          <w:divBdr>
            <w:top w:val="none" w:sz="0" w:space="0" w:color="auto"/>
            <w:left w:val="none" w:sz="0" w:space="0" w:color="auto"/>
            <w:bottom w:val="none" w:sz="0" w:space="0" w:color="auto"/>
            <w:right w:val="none" w:sz="0" w:space="0" w:color="auto"/>
          </w:divBdr>
        </w:div>
        <w:div w:id="1579751716">
          <w:marLeft w:val="432"/>
          <w:marRight w:val="0"/>
          <w:marTop w:val="120"/>
          <w:marBottom w:val="0"/>
          <w:divBdr>
            <w:top w:val="none" w:sz="0" w:space="0" w:color="auto"/>
            <w:left w:val="none" w:sz="0" w:space="0" w:color="auto"/>
            <w:bottom w:val="none" w:sz="0" w:space="0" w:color="auto"/>
            <w:right w:val="none" w:sz="0" w:space="0" w:color="auto"/>
          </w:divBdr>
        </w:div>
        <w:div w:id="1724677486">
          <w:marLeft w:val="432"/>
          <w:marRight w:val="0"/>
          <w:marTop w:val="120"/>
          <w:marBottom w:val="0"/>
          <w:divBdr>
            <w:top w:val="none" w:sz="0" w:space="0" w:color="auto"/>
            <w:left w:val="none" w:sz="0" w:space="0" w:color="auto"/>
            <w:bottom w:val="none" w:sz="0" w:space="0" w:color="auto"/>
            <w:right w:val="none" w:sz="0" w:space="0" w:color="auto"/>
          </w:divBdr>
        </w:div>
        <w:div w:id="2065250288">
          <w:marLeft w:val="432"/>
          <w:marRight w:val="0"/>
          <w:marTop w:val="120"/>
          <w:marBottom w:val="0"/>
          <w:divBdr>
            <w:top w:val="none" w:sz="0" w:space="0" w:color="auto"/>
            <w:left w:val="none" w:sz="0" w:space="0" w:color="auto"/>
            <w:bottom w:val="none" w:sz="0" w:space="0" w:color="auto"/>
            <w:right w:val="none" w:sz="0" w:space="0" w:color="auto"/>
          </w:divBdr>
        </w:div>
      </w:divsChild>
    </w:div>
    <w:div w:id="921569642">
      <w:bodyDiv w:val="1"/>
      <w:marLeft w:val="0"/>
      <w:marRight w:val="0"/>
      <w:marTop w:val="0"/>
      <w:marBottom w:val="0"/>
      <w:divBdr>
        <w:top w:val="none" w:sz="0" w:space="0" w:color="auto"/>
        <w:left w:val="none" w:sz="0" w:space="0" w:color="auto"/>
        <w:bottom w:val="none" w:sz="0" w:space="0" w:color="auto"/>
        <w:right w:val="none" w:sz="0" w:space="0" w:color="auto"/>
      </w:divBdr>
      <w:divsChild>
        <w:div w:id="8798294">
          <w:marLeft w:val="432"/>
          <w:marRight w:val="0"/>
          <w:marTop w:val="120"/>
          <w:marBottom w:val="0"/>
          <w:divBdr>
            <w:top w:val="none" w:sz="0" w:space="0" w:color="auto"/>
            <w:left w:val="none" w:sz="0" w:space="0" w:color="auto"/>
            <w:bottom w:val="none" w:sz="0" w:space="0" w:color="auto"/>
            <w:right w:val="none" w:sz="0" w:space="0" w:color="auto"/>
          </w:divBdr>
        </w:div>
        <w:div w:id="157304279">
          <w:marLeft w:val="432"/>
          <w:marRight w:val="0"/>
          <w:marTop w:val="120"/>
          <w:marBottom w:val="0"/>
          <w:divBdr>
            <w:top w:val="none" w:sz="0" w:space="0" w:color="auto"/>
            <w:left w:val="none" w:sz="0" w:space="0" w:color="auto"/>
            <w:bottom w:val="none" w:sz="0" w:space="0" w:color="auto"/>
            <w:right w:val="none" w:sz="0" w:space="0" w:color="auto"/>
          </w:divBdr>
        </w:div>
        <w:div w:id="526870985">
          <w:marLeft w:val="432"/>
          <w:marRight w:val="0"/>
          <w:marTop w:val="120"/>
          <w:marBottom w:val="0"/>
          <w:divBdr>
            <w:top w:val="none" w:sz="0" w:space="0" w:color="auto"/>
            <w:left w:val="none" w:sz="0" w:space="0" w:color="auto"/>
            <w:bottom w:val="none" w:sz="0" w:space="0" w:color="auto"/>
            <w:right w:val="none" w:sz="0" w:space="0" w:color="auto"/>
          </w:divBdr>
        </w:div>
        <w:div w:id="663822060">
          <w:marLeft w:val="432"/>
          <w:marRight w:val="0"/>
          <w:marTop w:val="120"/>
          <w:marBottom w:val="0"/>
          <w:divBdr>
            <w:top w:val="none" w:sz="0" w:space="0" w:color="auto"/>
            <w:left w:val="none" w:sz="0" w:space="0" w:color="auto"/>
            <w:bottom w:val="none" w:sz="0" w:space="0" w:color="auto"/>
            <w:right w:val="none" w:sz="0" w:space="0" w:color="auto"/>
          </w:divBdr>
        </w:div>
        <w:div w:id="1448891782">
          <w:marLeft w:val="432"/>
          <w:marRight w:val="0"/>
          <w:marTop w:val="120"/>
          <w:marBottom w:val="0"/>
          <w:divBdr>
            <w:top w:val="none" w:sz="0" w:space="0" w:color="auto"/>
            <w:left w:val="none" w:sz="0" w:space="0" w:color="auto"/>
            <w:bottom w:val="none" w:sz="0" w:space="0" w:color="auto"/>
            <w:right w:val="none" w:sz="0" w:space="0" w:color="auto"/>
          </w:divBdr>
        </w:div>
      </w:divsChild>
    </w:div>
    <w:div w:id="991370813">
      <w:bodyDiv w:val="1"/>
      <w:marLeft w:val="0"/>
      <w:marRight w:val="0"/>
      <w:marTop w:val="0"/>
      <w:marBottom w:val="0"/>
      <w:divBdr>
        <w:top w:val="none" w:sz="0" w:space="0" w:color="auto"/>
        <w:left w:val="none" w:sz="0" w:space="0" w:color="auto"/>
        <w:bottom w:val="none" w:sz="0" w:space="0" w:color="auto"/>
        <w:right w:val="none" w:sz="0" w:space="0" w:color="auto"/>
      </w:divBdr>
    </w:div>
    <w:div w:id="1021201323">
      <w:bodyDiv w:val="1"/>
      <w:marLeft w:val="0"/>
      <w:marRight w:val="0"/>
      <w:marTop w:val="0"/>
      <w:marBottom w:val="0"/>
      <w:divBdr>
        <w:top w:val="none" w:sz="0" w:space="0" w:color="auto"/>
        <w:left w:val="none" w:sz="0" w:space="0" w:color="auto"/>
        <w:bottom w:val="none" w:sz="0" w:space="0" w:color="auto"/>
        <w:right w:val="none" w:sz="0" w:space="0" w:color="auto"/>
      </w:divBdr>
    </w:div>
    <w:div w:id="1035422775">
      <w:bodyDiv w:val="1"/>
      <w:marLeft w:val="0"/>
      <w:marRight w:val="0"/>
      <w:marTop w:val="0"/>
      <w:marBottom w:val="0"/>
      <w:divBdr>
        <w:top w:val="none" w:sz="0" w:space="0" w:color="auto"/>
        <w:left w:val="none" w:sz="0" w:space="0" w:color="auto"/>
        <w:bottom w:val="none" w:sz="0" w:space="0" w:color="auto"/>
        <w:right w:val="none" w:sz="0" w:space="0" w:color="auto"/>
      </w:divBdr>
    </w:div>
    <w:div w:id="1062211808">
      <w:bodyDiv w:val="1"/>
      <w:marLeft w:val="0"/>
      <w:marRight w:val="0"/>
      <w:marTop w:val="0"/>
      <w:marBottom w:val="0"/>
      <w:divBdr>
        <w:top w:val="none" w:sz="0" w:space="0" w:color="auto"/>
        <w:left w:val="none" w:sz="0" w:space="0" w:color="auto"/>
        <w:bottom w:val="none" w:sz="0" w:space="0" w:color="auto"/>
        <w:right w:val="none" w:sz="0" w:space="0" w:color="auto"/>
      </w:divBdr>
    </w:div>
    <w:div w:id="1076897629">
      <w:bodyDiv w:val="1"/>
      <w:marLeft w:val="0"/>
      <w:marRight w:val="0"/>
      <w:marTop w:val="0"/>
      <w:marBottom w:val="0"/>
      <w:divBdr>
        <w:top w:val="none" w:sz="0" w:space="0" w:color="auto"/>
        <w:left w:val="none" w:sz="0" w:space="0" w:color="auto"/>
        <w:bottom w:val="none" w:sz="0" w:space="0" w:color="auto"/>
        <w:right w:val="none" w:sz="0" w:space="0" w:color="auto"/>
      </w:divBdr>
    </w:div>
    <w:div w:id="1113935030">
      <w:bodyDiv w:val="1"/>
      <w:marLeft w:val="0"/>
      <w:marRight w:val="0"/>
      <w:marTop w:val="0"/>
      <w:marBottom w:val="0"/>
      <w:divBdr>
        <w:top w:val="none" w:sz="0" w:space="0" w:color="auto"/>
        <w:left w:val="none" w:sz="0" w:space="0" w:color="auto"/>
        <w:bottom w:val="none" w:sz="0" w:space="0" w:color="auto"/>
        <w:right w:val="none" w:sz="0" w:space="0" w:color="auto"/>
      </w:divBdr>
      <w:divsChild>
        <w:div w:id="1058238438">
          <w:marLeft w:val="0"/>
          <w:marRight w:val="0"/>
          <w:marTop w:val="0"/>
          <w:marBottom w:val="0"/>
          <w:divBdr>
            <w:top w:val="none" w:sz="0" w:space="0" w:color="auto"/>
            <w:left w:val="none" w:sz="0" w:space="0" w:color="auto"/>
            <w:bottom w:val="none" w:sz="0" w:space="0" w:color="auto"/>
            <w:right w:val="none" w:sz="0" w:space="0" w:color="auto"/>
          </w:divBdr>
        </w:div>
      </w:divsChild>
    </w:div>
    <w:div w:id="1319455307">
      <w:bodyDiv w:val="1"/>
      <w:marLeft w:val="0"/>
      <w:marRight w:val="0"/>
      <w:marTop w:val="0"/>
      <w:marBottom w:val="0"/>
      <w:divBdr>
        <w:top w:val="none" w:sz="0" w:space="0" w:color="auto"/>
        <w:left w:val="none" w:sz="0" w:space="0" w:color="auto"/>
        <w:bottom w:val="none" w:sz="0" w:space="0" w:color="auto"/>
        <w:right w:val="none" w:sz="0" w:space="0" w:color="auto"/>
      </w:divBdr>
    </w:div>
    <w:div w:id="1357803354">
      <w:bodyDiv w:val="1"/>
      <w:marLeft w:val="0"/>
      <w:marRight w:val="0"/>
      <w:marTop w:val="0"/>
      <w:marBottom w:val="0"/>
      <w:divBdr>
        <w:top w:val="none" w:sz="0" w:space="0" w:color="auto"/>
        <w:left w:val="none" w:sz="0" w:space="0" w:color="auto"/>
        <w:bottom w:val="none" w:sz="0" w:space="0" w:color="auto"/>
        <w:right w:val="none" w:sz="0" w:space="0" w:color="auto"/>
      </w:divBdr>
      <w:divsChild>
        <w:div w:id="827091126">
          <w:marLeft w:val="432"/>
          <w:marRight w:val="0"/>
          <w:marTop w:val="120"/>
          <w:marBottom w:val="0"/>
          <w:divBdr>
            <w:top w:val="none" w:sz="0" w:space="0" w:color="auto"/>
            <w:left w:val="none" w:sz="0" w:space="0" w:color="auto"/>
            <w:bottom w:val="none" w:sz="0" w:space="0" w:color="auto"/>
            <w:right w:val="none" w:sz="0" w:space="0" w:color="auto"/>
          </w:divBdr>
        </w:div>
        <w:div w:id="1085028696">
          <w:marLeft w:val="432"/>
          <w:marRight w:val="0"/>
          <w:marTop w:val="120"/>
          <w:marBottom w:val="0"/>
          <w:divBdr>
            <w:top w:val="none" w:sz="0" w:space="0" w:color="auto"/>
            <w:left w:val="none" w:sz="0" w:space="0" w:color="auto"/>
            <w:bottom w:val="none" w:sz="0" w:space="0" w:color="auto"/>
            <w:right w:val="none" w:sz="0" w:space="0" w:color="auto"/>
          </w:divBdr>
        </w:div>
        <w:div w:id="1812863215">
          <w:marLeft w:val="432"/>
          <w:marRight w:val="0"/>
          <w:marTop w:val="120"/>
          <w:marBottom w:val="0"/>
          <w:divBdr>
            <w:top w:val="none" w:sz="0" w:space="0" w:color="auto"/>
            <w:left w:val="none" w:sz="0" w:space="0" w:color="auto"/>
            <w:bottom w:val="none" w:sz="0" w:space="0" w:color="auto"/>
            <w:right w:val="none" w:sz="0" w:space="0" w:color="auto"/>
          </w:divBdr>
        </w:div>
        <w:div w:id="1848715457">
          <w:marLeft w:val="864"/>
          <w:marRight w:val="0"/>
          <w:marTop w:val="100"/>
          <w:marBottom w:val="0"/>
          <w:divBdr>
            <w:top w:val="none" w:sz="0" w:space="0" w:color="auto"/>
            <w:left w:val="none" w:sz="0" w:space="0" w:color="auto"/>
            <w:bottom w:val="none" w:sz="0" w:space="0" w:color="auto"/>
            <w:right w:val="none" w:sz="0" w:space="0" w:color="auto"/>
          </w:divBdr>
        </w:div>
        <w:div w:id="1898399007">
          <w:marLeft w:val="432"/>
          <w:marRight w:val="0"/>
          <w:marTop w:val="120"/>
          <w:marBottom w:val="0"/>
          <w:divBdr>
            <w:top w:val="none" w:sz="0" w:space="0" w:color="auto"/>
            <w:left w:val="none" w:sz="0" w:space="0" w:color="auto"/>
            <w:bottom w:val="none" w:sz="0" w:space="0" w:color="auto"/>
            <w:right w:val="none" w:sz="0" w:space="0" w:color="auto"/>
          </w:divBdr>
        </w:div>
        <w:div w:id="1932353546">
          <w:marLeft w:val="864"/>
          <w:marRight w:val="0"/>
          <w:marTop w:val="100"/>
          <w:marBottom w:val="0"/>
          <w:divBdr>
            <w:top w:val="none" w:sz="0" w:space="0" w:color="auto"/>
            <w:left w:val="none" w:sz="0" w:space="0" w:color="auto"/>
            <w:bottom w:val="none" w:sz="0" w:space="0" w:color="auto"/>
            <w:right w:val="none" w:sz="0" w:space="0" w:color="auto"/>
          </w:divBdr>
        </w:div>
        <w:div w:id="1977640885">
          <w:marLeft w:val="864"/>
          <w:marRight w:val="0"/>
          <w:marTop w:val="100"/>
          <w:marBottom w:val="0"/>
          <w:divBdr>
            <w:top w:val="none" w:sz="0" w:space="0" w:color="auto"/>
            <w:left w:val="none" w:sz="0" w:space="0" w:color="auto"/>
            <w:bottom w:val="none" w:sz="0" w:space="0" w:color="auto"/>
            <w:right w:val="none" w:sz="0" w:space="0" w:color="auto"/>
          </w:divBdr>
        </w:div>
        <w:div w:id="2080860008">
          <w:marLeft w:val="864"/>
          <w:marRight w:val="0"/>
          <w:marTop w:val="100"/>
          <w:marBottom w:val="0"/>
          <w:divBdr>
            <w:top w:val="none" w:sz="0" w:space="0" w:color="auto"/>
            <w:left w:val="none" w:sz="0" w:space="0" w:color="auto"/>
            <w:bottom w:val="none" w:sz="0" w:space="0" w:color="auto"/>
            <w:right w:val="none" w:sz="0" w:space="0" w:color="auto"/>
          </w:divBdr>
        </w:div>
        <w:div w:id="2091921621">
          <w:marLeft w:val="432"/>
          <w:marRight w:val="0"/>
          <w:marTop w:val="120"/>
          <w:marBottom w:val="0"/>
          <w:divBdr>
            <w:top w:val="none" w:sz="0" w:space="0" w:color="auto"/>
            <w:left w:val="none" w:sz="0" w:space="0" w:color="auto"/>
            <w:bottom w:val="none" w:sz="0" w:space="0" w:color="auto"/>
            <w:right w:val="none" w:sz="0" w:space="0" w:color="auto"/>
          </w:divBdr>
        </w:div>
      </w:divsChild>
    </w:div>
    <w:div w:id="1361663076">
      <w:bodyDiv w:val="1"/>
      <w:marLeft w:val="0"/>
      <w:marRight w:val="0"/>
      <w:marTop w:val="0"/>
      <w:marBottom w:val="0"/>
      <w:divBdr>
        <w:top w:val="none" w:sz="0" w:space="0" w:color="auto"/>
        <w:left w:val="none" w:sz="0" w:space="0" w:color="auto"/>
        <w:bottom w:val="none" w:sz="0" w:space="0" w:color="auto"/>
        <w:right w:val="none" w:sz="0" w:space="0" w:color="auto"/>
      </w:divBdr>
    </w:div>
    <w:div w:id="1434935195">
      <w:bodyDiv w:val="1"/>
      <w:marLeft w:val="0"/>
      <w:marRight w:val="0"/>
      <w:marTop w:val="0"/>
      <w:marBottom w:val="0"/>
      <w:divBdr>
        <w:top w:val="none" w:sz="0" w:space="0" w:color="auto"/>
        <w:left w:val="none" w:sz="0" w:space="0" w:color="auto"/>
        <w:bottom w:val="none" w:sz="0" w:space="0" w:color="auto"/>
        <w:right w:val="none" w:sz="0" w:space="0" w:color="auto"/>
      </w:divBdr>
      <w:divsChild>
        <w:div w:id="593977861">
          <w:marLeft w:val="864"/>
          <w:marRight w:val="0"/>
          <w:marTop w:val="100"/>
          <w:marBottom w:val="0"/>
          <w:divBdr>
            <w:top w:val="none" w:sz="0" w:space="0" w:color="auto"/>
            <w:left w:val="none" w:sz="0" w:space="0" w:color="auto"/>
            <w:bottom w:val="none" w:sz="0" w:space="0" w:color="auto"/>
            <w:right w:val="none" w:sz="0" w:space="0" w:color="auto"/>
          </w:divBdr>
        </w:div>
        <w:div w:id="617642445">
          <w:marLeft w:val="432"/>
          <w:marRight w:val="0"/>
          <w:marTop w:val="120"/>
          <w:marBottom w:val="0"/>
          <w:divBdr>
            <w:top w:val="none" w:sz="0" w:space="0" w:color="auto"/>
            <w:left w:val="none" w:sz="0" w:space="0" w:color="auto"/>
            <w:bottom w:val="none" w:sz="0" w:space="0" w:color="auto"/>
            <w:right w:val="none" w:sz="0" w:space="0" w:color="auto"/>
          </w:divBdr>
        </w:div>
        <w:div w:id="929506837">
          <w:marLeft w:val="864"/>
          <w:marRight w:val="0"/>
          <w:marTop w:val="100"/>
          <w:marBottom w:val="0"/>
          <w:divBdr>
            <w:top w:val="none" w:sz="0" w:space="0" w:color="auto"/>
            <w:left w:val="none" w:sz="0" w:space="0" w:color="auto"/>
            <w:bottom w:val="none" w:sz="0" w:space="0" w:color="auto"/>
            <w:right w:val="none" w:sz="0" w:space="0" w:color="auto"/>
          </w:divBdr>
        </w:div>
        <w:div w:id="1371682912">
          <w:marLeft w:val="432"/>
          <w:marRight w:val="0"/>
          <w:marTop w:val="120"/>
          <w:marBottom w:val="0"/>
          <w:divBdr>
            <w:top w:val="none" w:sz="0" w:space="0" w:color="auto"/>
            <w:left w:val="none" w:sz="0" w:space="0" w:color="auto"/>
            <w:bottom w:val="none" w:sz="0" w:space="0" w:color="auto"/>
            <w:right w:val="none" w:sz="0" w:space="0" w:color="auto"/>
          </w:divBdr>
        </w:div>
        <w:div w:id="1776706221">
          <w:marLeft w:val="864"/>
          <w:marRight w:val="0"/>
          <w:marTop w:val="100"/>
          <w:marBottom w:val="0"/>
          <w:divBdr>
            <w:top w:val="none" w:sz="0" w:space="0" w:color="auto"/>
            <w:left w:val="none" w:sz="0" w:space="0" w:color="auto"/>
            <w:bottom w:val="none" w:sz="0" w:space="0" w:color="auto"/>
            <w:right w:val="none" w:sz="0" w:space="0" w:color="auto"/>
          </w:divBdr>
        </w:div>
        <w:div w:id="1802068939">
          <w:marLeft w:val="432"/>
          <w:marRight w:val="0"/>
          <w:marTop w:val="120"/>
          <w:marBottom w:val="0"/>
          <w:divBdr>
            <w:top w:val="none" w:sz="0" w:space="0" w:color="auto"/>
            <w:left w:val="none" w:sz="0" w:space="0" w:color="auto"/>
            <w:bottom w:val="none" w:sz="0" w:space="0" w:color="auto"/>
            <w:right w:val="none" w:sz="0" w:space="0" w:color="auto"/>
          </w:divBdr>
        </w:div>
      </w:divsChild>
    </w:div>
    <w:div w:id="1552882046">
      <w:bodyDiv w:val="1"/>
      <w:marLeft w:val="0"/>
      <w:marRight w:val="0"/>
      <w:marTop w:val="0"/>
      <w:marBottom w:val="0"/>
      <w:divBdr>
        <w:top w:val="none" w:sz="0" w:space="0" w:color="auto"/>
        <w:left w:val="none" w:sz="0" w:space="0" w:color="auto"/>
        <w:bottom w:val="none" w:sz="0" w:space="0" w:color="auto"/>
        <w:right w:val="none" w:sz="0" w:space="0" w:color="auto"/>
      </w:divBdr>
      <w:divsChild>
        <w:div w:id="126165858">
          <w:marLeft w:val="432"/>
          <w:marRight w:val="0"/>
          <w:marTop w:val="120"/>
          <w:marBottom w:val="0"/>
          <w:divBdr>
            <w:top w:val="none" w:sz="0" w:space="0" w:color="auto"/>
            <w:left w:val="none" w:sz="0" w:space="0" w:color="auto"/>
            <w:bottom w:val="none" w:sz="0" w:space="0" w:color="auto"/>
            <w:right w:val="none" w:sz="0" w:space="0" w:color="auto"/>
          </w:divBdr>
        </w:div>
        <w:div w:id="202375975">
          <w:marLeft w:val="432"/>
          <w:marRight w:val="0"/>
          <w:marTop w:val="120"/>
          <w:marBottom w:val="0"/>
          <w:divBdr>
            <w:top w:val="none" w:sz="0" w:space="0" w:color="auto"/>
            <w:left w:val="none" w:sz="0" w:space="0" w:color="auto"/>
            <w:bottom w:val="none" w:sz="0" w:space="0" w:color="auto"/>
            <w:right w:val="none" w:sz="0" w:space="0" w:color="auto"/>
          </w:divBdr>
        </w:div>
        <w:div w:id="210264300">
          <w:marLeft w:val="432"/>
          <w:marRight w:val="0"/>
          <w:marTop w:val="120"/>
          <w:marBottom w:val="0"/>
          <w:divBdr>
            <w:top w:val="none" w:sz="0" w:space="0" w:color="auto"/>
            <w:left w:val="none" w:sz="0" w:space="0" w:color="auto"/>
            <w:bottom w:val="none" w:sz="0" w:space="0" w:color="auto"/>
            <w:right w:val="none" w:sz="0" w:space="0" w:color="auto"/>
          </w:divBdr>
        </w:div>
        <w:div w:id="240137743">
          <w:marLeft w:val="432"/>
          <w:marRight w:val="0"/>
          <w:marTop w:val="120"/>
          <w:marBottom w:val="0"/>
          <w:divBdr>
            <w:top w:val="none" w:sz="0" w:space="0" w:color="auto"/>
            <w:left w:val="none" w:sz="0" w:space="0" w:color="auto"/>
            <w:bottom w:val="none" w:sz="0" w:space="0" w:color="auto"/>
            <w:right w:val="none" w:sz="0" w:space="0" w:color="auto"/>
          </w:divBdr>
        </w:div>
        <w:div w:id="811362664">
          <w:marLeft w:val="432"/>
          <w:marRight w:val="0"/>
          <w:marTop w:val="120"/>
          <w:marBottom w:val="0"/>
          <w:divBdr>
            <w:top w:val="none" w:sz="0" w:space="0" w:color="auto"/>
            <w:left w:val="none" w:sz="0" w:space="0" w:color="auto"/>
            <w:bottom w:val="none" w:sz="0" w:space="0" w:color="auto"/>
            <w:right w:val="none" w:sz="0" w:space="0" w:color="auto"/>
          </w:divBdr>
        </w:div>
        <w:div w:id="815686814">
          <w:marLeft w:val="432"/>
          <w:marRight w:val="0"/>
          <w:marTop w:val="120"/>
          <w:marBottom w:val="0"/>
          <w:divBdr>
            <w:top w:val="none" w:sz="0" w:space="0" w:color="auto"/>
            <w:left w:val="none" w:sz="0" w:space="0" w:color="auto"/>
            <w:bottom w:val="none" w:sz="0" w:space="0" w:color="auto"/>
            <w:right w:val="none" w:sz="0" w:space="0" w:color="auto"/>
          </w:divBdr>
        </w:div>
        <w:div w:id="1060984109">
          <w:marLeft w:val="432"/>
          <w:marRight w:val="0"/>
          <w:marTop w:val="120"/>
          <w:marBottom w:val="0"/>
          <w:divBdr>
            <w:top w:val="none" w:sz="0" w:space="0" w:color="auto"/>
            <w:left w:val="none" w:sz="0" w:space="0" w:color="auto"/>
            <w:bottom w:val="none" w:sz="0" w:space="0" w:color="auto"/>
            <w:right w:val="none" w:sz="0" w:space="0" w:color="auto"/>
          </w:divBdr>
        </w:div>
        <w:div w:id="1846246515">
          <w:marLeft w:val="432"/>
          <w:marRight w:val="0"/>
          <w:marTop w:val="120"/>
          <w:marBottom w:val="0"/>
          <w:divBdr>
            <w:top w:val="none" w:sz="0" w:space="0" w:color="auto"/>
            <w:left w:val="none" w:sz="0" w:space="0" w:color="auto"/>
            <w:bottom w:val="none" w:sz="0" w:space="0" w:color="auto"/>
            <w:right w:val="none" w:sz="0" w:space="0" w:color="auto"/>
          </w:divBdr>
        </w:div>
      </w:divsChild>
    </w:div>
    <w:div w:id="1595939524">
      <w:bodyDiv w:val="1"/>
      <w:marLeft w:val="0"/>
      <w:marRight w:val="0"/>
      <w:marTop w:val="0"/>
      <w:marBottom w:val="0"/>
      <w:divBdr>
        <w:top w:val="none" w:sz="0" w:space="0" w:color="auto"/>
        <w:left w:val="none" w:sz="0" w:space="0" w:color="auto"/>
        <w:bottom w:val="none" w:sz="0" w:space="0" w:color="auto"/>
        <w:right w:val="none" w:sz="0" w:space="0" w:color="auto"/>
      </w:divBdr>
      <w:divsChild>
        <w:div w:id="821238372">
          <w:marLeft w:val="432"/>
          <w:marRight w:val="0"/>
          <w:marTop w:val="120"/>
          <w:marBottom w:val="0"/>
          <w:divBdr>
            <w:top w:val="none" w:sz="0" w:space="0" w:color="auto"/>
            <w:left w:val="none" w:sz="0" w:space="0" w:color="auto"/>
            <w:bottom w:val="none" w:sz="0" w:space="0" w:color="auto"/>
            <w:right w:val="none" w:sz="0" w:space="0" w:color="auto"/>
          </w:divBdr>
        </w:div>
        <w:div w:id="977494053">
          <w:marLeft w:val="864"/>
          <w:marRight w:val="0"/>
          <w:marTop w:val="100"/>
          <w:marBottom w:val="0"/>
          <w:divBdr>
            <w:top w:val="none" w:sz="0" w:space="0" w:color="auto"/>
            <w:left w:val="none" w:sz="0" w:space="0" w:color="auto"/>
            <w:bottom w:val="none" w:sz="0" w:space="0" w:color="auto"/>
            <w:right w:val="none" w:sz="0" w:space="0" w:color="auto"/>
          </w:divBdr>
        </w:div>
        <w:div w:id="1071080147">
          <w:marLeft w:val="864"/>
          <w:marRight w:val="0"/>
          <w:marTop w:val="100"/>
          <w:marBottom w:val="0"/>
          <w:divBdr>
            <w:top w:val="none" w:sz="0" w:space="0" w:color="auto"/>
            <w:left w:val="none" w:sz="0" w:space="0" w:color="auto"/>
            <w:bottom w:val="none" w:sz="0" w:space="0" w:color="auto"/>
            <w:right w:val="none" w:sz="0" w:space="0" w:color="auto"/>
          </w:divBdr>
        </w:div>
        <w:div w:id="1181090135">
          <w:marLeft w:val="432"/>
          <w:marRight w:val="0"/>
          <w:marTop w:val="120"/>
          <w:marBottom w:val="0"/>
          <w:divBdr>
            <w:top w:val="none" w:sz="0" w:space="0" w:color="auto"/>
            <w:left w:val="none" w:sz="0" w:space="0" w:color="auto"/>
            <w:bottom w:val="none" w:sz="0" w:space="0" w:color="auto"/>
            <w:right w:val="none" w:sz="0" w:space="0" w:color="auto"/>
          </w:divBdr>
        </w:div>
        <w:div w:id="1678577264">
          <w:marLeft w:val="864"/>
          <w:marRight w:val="0"/>
          <w:marTop w:val="100"/>
          <w:marBottom w:val="0"/>
          <w:divBdr>
            <w:top w:val="none" w:sz="0" w:space="0" w:color="auto"/>
            <w:left w:val="none" w:sz="0" w:space="0" w:color="auto"/>
            <w:bottom w:val="none" w:sz="0" w:space="0" w:color="auto"/>
            <w:right w:val="none" w:sz="0" w:space="0" w:color="auto"/>
          </w:divBdr>
        </w:div>
        <w:div w:id="2121753343">
          <w:marLeft w:val="432"/>
          <w:marRight w:val="0"/>
          <w:marTop w:val="120"/>
          <w:marBottom w:val="0"/>
          <w:divBdr>
            <w:top w:val="none" w:sz="0" w:space="0" w:color="auto"/>
            <w:left w:val="none" w:sz="0" w:space="0" w:color="auto"/>
            <w:bottom w:val="none" w:sz="0" w:space="0" w:color="auto"/>
            <w:right w:val="none" w:sz="0" w:space="0" w:color="auto"/>
          </w:divBdr>
        </w:div>
      </w:divsChild>
    </w:div>
    <w:div w:id="1645817136">
      <w:bodyDiv w:val="1"/>
      <w:marLeft w:val="0"/>
      <w:marRight w:val="0"/>
      <w:marTop w:val="0"/>
      <w:marBottom w:val="0"/>
      <w:divBdr>
        <w:top w:val="none" w:sz="0" w:space="0" w:color="auto"/>
        <w:left w:val="none" w:sz="0" w:space="0" w:color="auto"/>
        <w:bottom w:val="none" w:sz="0" w:space="0" w:color="auto"/>
        <w:right w:val="none" w:sz="0" w:space="0" w:color="auto"/>
      </w:divBdr>
      <w:divsChild>
        <w:div w:id="1945720207">
          <w:marLeft w:val="0"/>
          <w:marRight w:val="0"/>
          <w:marTop w:val="0"/>
          <w:marBottom w:val="0"/>
          <w:divBdr>
            <w:top w:val="none" w:sz="0" w:space="0" w:color="auto"/>
            <w:left w:val="none" w:sz="0" w:space="0" w:color="auto"/>
            <w:bottom w:val="none" w:sz="0" w:space="0" w:color="auto"/>
            <w:right w:val="none" w:sz="0" w:space="0" w:color="auto"/>
          </w:divBdr>
          <w:divsChild>
            <w:div w:id="344788689">
              <w:marLeft w:val="0"/>
              <w:marRight w:val="0"/>
              <w:marTop w:val="0"/>
              <w:marBottom w:val="0"/>
              <w:divBdr>
                <w:top w:val="none" w:sz="0" w:space="0" w:color="auto"/>
                <w:left w:val="none" w:sz="0" w:space="0" w:color="auto"/>
                <w:bottom w:val="none" w:sz="0" w:space="0" w:color="auto"/>
                <w:right w:val="none" w:sz="0" w:space="0" w:color="auto"/>
              </w:divBdr>
            </w:div>
            <w:div w:id="424691212">
              <w:marLeft w:val="0"/>
              <w:marRight w:val="0"/>
              <w:marTop w:val="0"/>
              <w:marBottom w:val="0"/>
              <w:divBdr>
                <w:top w:val="none" w:sz="0" w:space="0" w:color="auto"/>
                <w:left w:val="none" w:sz="0" w:space="0" w:color="auto"/>
                <w:bottom w:val="none" w:sz="0" w:space="0" w:color="auto"/>
                <w:right w:val="none" w:sz="0" w:space="0" w:color="auto"/>
              </w:divBdr>
            </w:div>
            <w:div w:id="564217002">
              <w:marLeft w:val="0"/>
              <w:marRight w:val="0"/>
              <w:marTop w:val="0"/>
              <w:marBottom w:val="0"/>
              <w:divBdr>
                <w:top w:val="none" w:sz="0" w:space="0" w:color="auto"/>
                <w:left w:val="none" w:sz="0" w:space="0" w:color="auto"/>
                <w:bottom w:val="none" w:sz="0" w:space="0" w:color="auto"/>
                <w:right w:val="none" w:sz="0" w:space="0" w:color="auto"/>
              </w:divBdr>
            </w:div>
            <w:div w:id="956067207">
              <w:marLeft w:val="0"/>
              <w:marRight w:val="0"/>
              <w:marTop w:val="0"/>
              <w:marBottom w:val="0"/>
              <w:divBdr>
                <w:top w:val="none" w:sz="0" w:space="0" w:color="auto"/>
                <w:left w:val="none" w:sz="0" w:space="0" w:color="auto"/>
                <w:bottom w:val="none" w:sz="0" w:space="0" w:color="auto"/>
                <w:right w:val="none" w:sz="0" w:space="0" w:color="auto"/>
              </w:divBdr>
            </w:div>
            <w:div w:id="1244417342">
              <w:marLeft w:val="0"/>
              <w:marRight w:val="0"/>
              <w:marTop w:val="0"/>
              <w:marBottom w:val="0"/>
              <w:divBdr>
                <w:top w:val="none" w:sz="0" w:space="0" w:color="auto"/>
                <w:left w:val="none" w:sz="0" w:space="0" w:color="auto"/>
                <w:bottom w:val="none" w:sz="0" w:space="0" w:color="auto"/>
                <w:right w:val="none" w:sz="0" w:space="0" w:color="auto"/>
              </w:divBdr>
            </w:div>
            <w:div w:id="1253128596">
              <w:marLeft w:val="0"/>
              <w:marRight w:val="0"/>
              <w:marTop w:val="0"/>
              <w:marBottom w:val="0"/>
              <w:divBdr>
                <w:top w:val="none" w:sz="0" w:space="0" w:color="auto"/>
                <w:left w:val="none" w:sz="0" w:space="0" w:color="auto"/>
                <w:bottom w:val="none" w:sz="0" w:space="0" w:color="auto"/>
                <w:right w:val="none" w:sz="0" w:space="0" w:color="auto"/>
              </w:divBdr>
            </w:div>
            <w:div w:id="1762095083">
              <w:marLeft w:val="0"/>
              <w:marRight w:val="0"/>
              <w:marTop w:val="0"/>
              <w:marBottom w:val="0"/>
              <w:divBdr>
                <w:top w:val="none" w:sz="0" w:space="0" w:color="auto"/>
                <w:left w:val="none" w:sz="0" w:space="0" w:color="auto"/>
                <w:bottom w:val="none" w:sz="0" w:space="0" w:color="auto"/>
                <w:right w:val="none" w:sz="0" w:space="0" w:color="auto"/>
              </w:divBdr>
            </w:div>
            <w:div w:id="2082873931">
              <w:marLeft w:val="0"/>
              <w:marRight w:val="0"/>
              <w:marTop w:val="0"/>
              <w:marBottom w:val="0"/>
              <w:divBdr>
                <w:top w:val="none" w:sz="0" w:space="0" w:color="auto"/>
                <w:left w:val="none" w:sz="0" w:space="0" w:color="auto"/>
                <w:bottom w:val="none" w:sz="0" w:space="0" w:color="auto"/>
                <w:right w:val="none" w:sz="0" w:space="0" w:color="auto"/>
              </w:divBdr>
            </w:div>
            <w:div w:id="209369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732559">
      <w:bodyDiv w:val="1"/>
      <w:marLeft w:val="0"/>
      <w:marRight w:val="0"/>
      <w:marTop w:val="0"/>
      <w:marBottom w:val="0"/>
      <w:divBdr>
        <w:top w:val="none" w:sz="0" w:space="0" w:color="auto"/>
        <w:left w:val="none" w:sz="0" w:space="0" w:color="auto"/>
        <w:bottom w:val="none" w:sz="0" w:space="0" w:color="auto"/>
        <w:right w:val="none" w:sz="0" w:space="0" w:color="auto"/>
      </w:divBdr>
      <w:divsChild>
        <w:div w:id="358045996">
          <w:marLeft w:val="432"/>
          <w:marRight w:val="0"/>
          <w:marTop w:val="120"/>
          <w:marBottom w:val="0"/>
          <w:divBdr>
            <w:top w:val="none" w:sz="0" w:space="0" w:color="auto"/>
            <w:left w:val="none" w:sz="0" w:space="0" w:color="auto"/>
            <w:bottom w:val="none" w:sz="0" w:space="0" w:color="auto"/>
            <w:right w:val="none" w:sz="0" w:space="0" w:color="auto"/>
          </w:divBdr>
        </w:div>
        <w:div w:id="872881415">
          <w:marLeft w:val="432"/>
          <w:marRight w:val="0"/>
          <w:marTop w:val="120"/>
          <w:marBottom w:val="0"/>
          <w:divBdr>
            <w:top w:val="none" w:sz="0" w:space="0" w:color="auto"/>
            <w:left w:val="none" w:sz="0" w:space="0" w:color="auto"/>
            <w:bottom w:val="none" w:sz="0" w:space="0" w:color="auto"/>
            <w:right w:val="none" w:sz="0" w:space="0" w:color="auto"/>
          </w:divBdr>
        </w:div>
        <w:div w:id="1262682885">
          <w:marLeft w:val="432"/>
          <w:marRight w:val="0"/>
          <w:marTop w:val="120"/>
          <w:marBottom w:val="0"/>
          <w:divBdr>
            <w:top w:val="none" w:sz="0" w:space="0" w:color="auto"/>
            <w:left w:val="none" w:sz="0" w:space="0" w:color="auto"/>
            <w:bottom w:val="none" w:sz="0" w:space="0" w:color="auto"/>
            <w:right w:val="none" w:sz="0" w:space="0" w:color="auto"/>
          </w:divBdr>
        </w:div>
        <w:div w:id="2070687663">
          <w:marLeft w:val="432"/>
          <w:marRight w:val="0"/>
          <w:marTop w:val="120"/>
          <w:marBottom w:val="0"/>
          <w:divBdr>
            <w:top w:val="none" w:sz="0" w:space="0" w:color="auto"/>
            <w:left w:val="none" w:sz="0" w:space="0" w:color="auto"/>
            <w:bottom w:val="none" w:sz="0" w:space="0" w:color="auto"/>
            <w:right w:val="none" w:sz="0" w:space="0" w:color="auto"/>
          </w:divBdr>
        </w:div>
      </w:divsChild>
    </w:div>
    <w:div w:id="1878855806">
      <w:bodyDiv w:val="1"/>
      <w:marLeft w:val="0"/>
      <w:marRight w:val="0"/>
      <w:marTop w:val="0"/>
      <w:marBottom w:val="0"/>
      <w:divBdr>
        <w:top w:val="none" w:sz="0" w:space="0" w:color="auto"/>
        <w:left w:val="none" w:sz="0" w:space="0" w:color="auto"/>
        <w:bottom w:val="none" w:sz="0" w:space="0" w:color="auto"/>
        <w:right w:val="none" w:sz="0" w:space="0" w:color="auto"/>
      </w:divBdr>
    </w:div>
    <w:div w:id="1915701718">
      <w:bodyDiv w:val="1"/>
      <w:marLeft w:val="0"/>
      <w:marRight w:val="0"/>
      <w:marTop w:val="0"/>
      <w:marBottom w:val="0"/>
      <w:divBdr>
        <w:top w:val="none" w:sz="0" w:space="0" w:color="auto"/>
        <w:left w:val="none" w:sz="0" w:space="0" w:color="auto"/>
        <w:bottom w:val="none" w:sz="0" w:space="0" w:color="auto"/>
        <w:right w:val="none" w:sz="0" w:space="0" w:color="auto"/>
      </w:divBdr>
      <w:divsChild>
        <w:div w:id="168493350">
          <w:marLeft w:val="432"/>
          <w:marRight w:val="0"/>
          <w:marTop w:val="120"/>
          <w:marBottom w:val="0"/>
          <w:divBdr>
            <w:top w:val="none" w:sz="0" w:space="0" w:color="auto"/>
            <w:left w:val="none" w:sz="0" w:space="0" w:color="auto"/>
            <w:bottom w:val="none" w:sz="0" w:space="0" w:color="auto"/>
            <w:right w:val="none" w:sz="0" w:space="0" w:color="auto"/>
          </w:divBdr>
        </w:div>
        <w:div w:id="433983186">
          <w:marLeft w:val="432"/>
          <w:marRight w:val="0"/>
          <w:marTop w:val="120"/>
          <w:marBottom w:val="0"/>
          <w:divBdr>
            <w:top w:val="none" w:sz="0" w:space="0" w:color="auto"/>
            <w:left w:val="none" w:sz="0" w:space="0" w:color="auto"/>
            <w:bottom w:val="none" w:sz="0" w:space="0" w:color="auto"/>
            <w:right w:val="none" w:sz="0" w:space="0" w:color="auto"/>
          </w:divBdr>
        </w:div>
        <w:div w:id="1054933429">
          <w:marLeft w:val="432"/>
          <w:marRight w:val="0"/>
          <w:marTop w:val="120"/>
          <w:marBottom w:val="0"/>
          <w:divBdr>
            <w:top w:val="none" w:sz="0" w:space="0" w:color="auto"/>
            <w:left w:val="none" w:sz="0" w:space="0" w:color="auto"/>
            <w:bottom w:val="none" w:sz="0" w:space="0" w:color="auto"/>
            <w:right w:val="none" w:sz="0" w:space="0" w:color="auto"/>
          </w:divBdr>
        </w:div>
        <w:div w:id="1750342689">
          <w:marLeft w:val="432"/>
          <w:marRight w:val="0"/>
          <w:marTop w:val="120"/>
          <w:marBottom w:val="0"/>
          <w:divBdr>
            <w:top w:val="none" w:sz="0" w:space="0" w:color="auto"/>
            <w:left w:val="none" w:sz="0" w:space="0" w:color="auto"/>
            <w:bottom w:val="none" w:sz="0" w:space="0" w:color="auto"/>
            <w:right w:val="none" w:sz="0" w:space="0" w:color="auto"/>
          </w:divBdr>
        </w:div>
        <w:div w:id="1889292242">
          <w:marLeft w:val="432"/>
          <w:marRight w:val="0"/>
          <w:marTop w:val="120"/>
          <w:marBottom w:val="0"/>
          <w:divBdr>
            <w:top w:val="none" w:sz="0" w:space="0" w:color="auto"/>
            <w:left w:val="none" w:sz="0" w:space="0" w:color="auto"/>
            <w:bottom w:val="none" w:sz="0" w:space="0" w:color="auto"/>
            <w:right w:val="none" w:sz="0" w:space="0" w:color="auto"/>
          </w:divBdr>
        </w:div>
      </w:divsChild>
    </w:div>
    <w:div w:id="2003921291">
      <w:bodyDiv w:val="1"/>
      <w:marLeft w:val="0"/>
      <w:marRight w:val="0"/>
      <w:marTop w:val="0"/>
      <w:marBottom w:val="0"/>
      <w:divBdr>
        <w:top w:val="none" w:sz="0" w:space="0" w:color="auto"/>
        <w:left w:val="none" w:sz="0" w:space="0" w:color="auto"/>
        <w:bottom w:val="none" w:sz="0" w:space="0" w:color="auto"/>
        <w:right w:val="none" w:sz="0" w:space="0" w:color="auto"/>
      </w:divBdr>
    </w:div>
    <w:div w:id="2021009203">
      <w:bodyDiv w:val="1"/>
      <w:marLeft w:val="0"/>
      <w:marRight w:val="0"/>
      <w:marTop w:val="0"/>
      <w:marBottom w:val="0"/>
      <w:divBdr>
        <w:top w:val="none" w:sz="0" w:space="0" w:color="auto"/>
        <w:left w:val="none" w:sz="0" w:space="0" w:color="auto"/>
        <w:bottom w:val="none" w:sz="0" w:space="0" w:color="auto"/>
        <w:right w:val="none" w:sz="0" w:space="0" w:color="auto"/>
      </w:divBdr>
      <w:divsChild>
        <w:div w:id="320236992">
          <w:marLeft w:val="432"/>
          <w:marRight w:val="0"/>
          <w:marTop w:val="120"/>
          <w:marBottom w:val="0"/>
          <w:divBdr>
            <w:top w:val="none" w:sz="0" w:space="0" w:color="auto"/>
            <w:left w:val="none" w:sz="0" w:space="0" w:color="auto"/>
            <w:bottom w:val="none" w:sz="0" w:space="0" w:color="auto"/>
            <w:right w:val="none" w:sz="0" w:space="0" w:color="auto"/>
          </w:divBdr>
        </w:div>
        <w:div w:id="1981836746">
          <w:marLeft w:val="432"/>
          <w:marRight w:val="0"/>
          <w:marTop w:val="120"/>
          <w:marBottom w:val="0"/>
          <w:divBdr>
            <w:top w:val="none" w:sz="0" w:space="0" w:color="auto"/>
            <w:left w:val="none" w:sz="0" w:space="0" w:color="auto"/>
            <w:bottom w:val="none" w:sz="0" w:space="0" w:color="auto"/>
            <w:right w:val="none" w:sz="0" w:space="0" w:color="auto"/>
          </w:divBdr>
        </w:div>
      </w:divsChild>
    </w:div>
    <w:div w:id="2027514037">
      <w:bodyDiv w:val="1"/>
      <w:marLeft w:val="0"/>
      <w:marRight w:val="0"/>
      <w:marTop w:val="0"/>
      <w:marBottom w:val="0"/>
      <w:divBdr>
        <w:top w:val="none" w:sz="0" w:space="0" w:color="auto"/>
        <w:left w:val="none" w:sz="0" w:space="0" w:color="auto"/>
        <w:bottom w:val="none" w:sz="0" w:space="0" w:color="auto"/>
        <w:right w:val="none" w:sz="0" w:space="0" w:color="auto"/>
      </w:divBdr>
      <w:divsChild>
        <w:div w:id="1033575519">
          <w:marLeft w:val="432"/>
          <w:marRight w:val="0"/>
          <w:marTop w:val="120"/>
          <w:marBottom w:val="0"/>
          <w:divBdr>
            <w:top w:val="none" w:sz="0" w:space="0" w:color="auto"/>
            <w:left w:val="none" w:sz="0" w:space="0" w:color="auto"/>
            <w:bottom w:val="none" w:sz="0" w:space="0" w:color="auto"/>
            <w:right w:val="none" w:sz="0" w:space="0" w:color="auto"/>
          </w:divBdr>
        </w:div>
        <w:div w:id="2140997343">
          <w:marLeft w:val="432"/>
          <w:marRight w:val="0"/>
          <w:marTop w:val="120"/>
          <w:marBottom w:val="0"/>
          <w:divBdr>
            <w:top w:val="none" w:sz="0" w:space="0" w:color="auto"/>
            <w:left w:val="none" w:sz="0" w:space="0" w:color="auto"/>
            <w:bottom w:val="none" w:sz="0" w:space="0" w:color="auto"/>
            <w:right w:val="none" w:sz="0" w:space="0" w:color="auto"/>
          </w:divBdr>
        </w:div>
      </w:divsChild>
    </w:div>
    <w:div w:id="2122675949">
      <w:bodyDiv w:val="1"/>
      <w:marLeft w:val="0"/>
      <w:marRight w:val="0"/>
      <w:marTop w:val="0"/>
      <w:marBottom w:val="0"/>
      <w:divBdr>
        <w:top w:val="none" w:sz="0" w:space="0" w:color="auto"/>
        <w:left w:val="none" w:sz="0" w:space="0" w:color="auto"/>
        <w:bottom w:val="none" w:sz="0" w:space="0" w:color="auto"/>
        <w:right w:val="none" w:sz="0" w:space="0" w:color="auto"/>
      </w:divBdr>
    </w:div>
    <w:div w:id="2128427116">
      <w:bodyDiv w:val="1"/>
      <w:marLeft w:val="0"/>
      <w:marRight w:val="0"/>
      <w:marTop w:val="0"/>
      <w:marBottom w:val="0"/>
      <w:divBdr>
        <w:top w:val="none" w:sz="0" w:space="0" w:color="auto"/>
        <w:left w:val="none" w:sz="0" w:space="0" w:color="auto"/>
        <w:bottom w:val="none" w:sz="0" w:space="0" w:color="auto"/>
        <w:right w:val="none" w:sz="0" w:space="0" w:color="auto"/>
      </w:divBdr>
      <w:divsChild>
        <w:div w:id="1231962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faghihimani@utoronto.ca"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F5D90-9250-4E39-8A0D-1BA842F84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23</Pages>
  <Words>8048</Words>
  <Characters>45876</Characters>
  <Application>Microsoft Office Word</Application>
  <DocSecurity>0</DocSecurity>
  <Lines>382</Lines>
  <Paragraphs>107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Toshiba</Company>
  <LinksUpToDate>false</LinksUpToDate>
  <CharactersWithSpaces>53817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Useer</dc:creator>
  <cp:keywords/>
  <dc:description/>
  <cp:lastModifiedBy>naveen eluru</cp:lastModifiedBy>
  <cp:revision>22</cp:revision>
  <cp:lastPrinted>2018-08-13T16:09:00Z</cp:lastPrinted>
  <dcterms:created xsi:type="dcterms:W3CDTF">2018-05-23T16:33:00Z</dcterms:created>
  <dcterms:modified xsi:type="dcterms:W3CDTF">2018-08-13T16:09:00Z</dcterms:modified>
</cp:coreProperties>
</file>