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5A6B5" w14:textId="3A3E9C4C" w:rsidR="005A48AE" w:rsidRDefault="00A4319F" w:rsidP="00BE77F1">
      <w:pPr>
        <w:jc w:val="center"/>
        <w:rPr>
          <w:b/>
          <w:bCs/>
          <w:sz w:val="28"/>
          <w:szCs w:val="24"/>
        </w:rPr>
      </w:pPr>
      <w:r>
        <w:rPr>
          <w:b/>
          <w:bCs/>
          <w:sz w:val="28"/>
          <w:szCs w:val="24"/>
        </w:rPr>
        <w:t xml:space="preserve">A Comprehensive County </w:t>
      </w:r>
      <w:r w:rsidR="007B08B8">
        <w:rPr>
          <w:b/>
          <w:bCs/>
          <w:sz w:val="28"/>
          <w:szCs w:val="24"/>
        </w:rPr>
        <w:t>L</w:t>
      </w:r>
      <w:r>
        <w:rPr>
          <w:b/>
          <w:bCs/>
          <w:sz w:val="28"/>
          <w:szCs w:val="24"/>
        </w:rPr>
        <w:t xml:space="preserve">evel </w:t>
      </w:r>
      <w:r w:rsidR="006B44DA">
        <w:rPr>
          <w:b/>
          <w:bCs/>
          <w:sz w:val="28"/>
          <w:szCs w:val="24"/>
        </w:rPr>
        <w:t xml:space="preserve">Model </w:t>
      </w:r>
      <w:r>
        <w:rPr>
          <w:b/>
          <w:bCs/>
          <w:sz w:val="28"/>
          <w:szCs w:val="24"/>
        </w:rPr>
        <w:t xml:space="preserve">to Identify Factors Affecting Hospital Capacity and Predict Future </w:t>
      </w:r>
      <w:r w:rsidR="007E36EA">
        <w:rPr>
          <w:b/>
          <w:bCs/>
          <w:sz w:val="28"/>
          <w:szCs w:val="24"/>
        </w:rPr>
        <w:t xml:space="preserve">Hospital </w:t>
      </w:r>
      <w:r>
        <w:rPr>
          <w:b/>
          <w:bCs/>
          <w:sz w:val="28"/>
          <w:szCs w:val="24"/>
        </w:rPr>
        <w:t>Demand</w:t>
      </w:r>
    </w:p>
    <w:p w14:paraId="2F4F868A" w14:textId="77777777" w:rsidR="00BE77F1" w:rsidRDefault="00BE77F1" w:rsidP="00BE77F1">
      <w:pPr>
        <w:rPr>
          <w:b/>
        </w:rPr>
      </w:pPr>
    </w:p>
    <w:p w14:paraId="18E933E0" w14:textId="77777777" w:rsidR="00BE77F1" w:rsidRDefault="00BE77F1" w:rsidP="00BE77F1">
      <w:pPr>
        <w:rPr>
          <w:b/>
        </w:rPr>
      </w:pPr>
    </w:p>
    <w:p w14:paraId="4577E6C0" w14:textId="77777777" w:rsidR="00BE77F1" w:rsidRPr="00C310F5" w:rsidRDefault="00BE77F1" w:rsidP="00BE77F1">
      <w:pPr>
        <w:rPr>
          <w:b/>
        </w:rPr>
      </w:pPr>
      <w:r w:rsidRPr="00C310F5">
        <w:rPr>
          <w:b/>
        </w:rPr>
        <w:t xml:space="preserve">Tanmoy Bhowmik* </w:t>
      </w:r>
    </w:p>
    <w:p w14:paraId="23DC2D71" w14:textId="77777777" w:rsidR="00BE77F1" w:rsidRPr="00C310F5" w:rsidRDefault="00BE77F1" w:rsidP="00BE77F1">
      <w:r>
        <w:t>Post-Doctoral Scholar</w:t>
      </w:r>
    </w:p>
    <w:p w14:paraId="50C80BC9" w14:textId="77777777" w:rsidR="00BE77F1" w:rsidRPr="00C310F5" w:rsidRDefault="00BE77F1" w:rsidP="00BE77F1">
      <w:r w:rsidRPr="00C310F5">
        <w:t>Department of Civil, Environmental &amp; Construction Engineering</w:t>
      </w:r>
      <w:r>
        <w:t>,</w:t>
      </w:r>
      <w:r w:rsidRPr="00C310F5">
        <w:t xml:space="preserve"> University of Central Florida </w:t>
      </w:r>
    </w:p>
    <w:p w14:paraId="2325E736" w14:textId="77777777" w:rsidR="00374268" w:rsidRDefault="00BE77F1" w:rsidP="00BE77F1">
      <w:r w:rsidRPr="00C310F5">
        <w:t xml:space="preserve">Tel: 407-927-6574; Fax: </w:t>
      </w:r>
      <w:proofErr w:type="gramStart"/>
      <w:r w:rsidRPr="00C310F5">
        <w:t>1-407-823-3315;</w:t>
      </w:r>
      <w:proofErr w:type="gramEnd"/>
      <w:r w:rsidRPr="00C310F5">
        <w:t xml:space="preserve"> </w:t>
      </w:r>
    </w:p>
    <w:p w14:paraId="2578FFA7" w14:textId="453F2972" w:rsidR="00BE77F1" w:rsidRPr="00C310F5" w:rsidRDefault="00BE77F1" w:rsidP="00BE77F1">
      <w:pPr>
        <w:rPr>
          <w:b/>
        </w:rPr>
      </w:pPr>
      <w:r w:rsidRPr="00C310F5">
        <w:t>Email:</w:t>
      </w:r>
      <w:r w:rsidRPr="00C310F5">
        <w:rPr>
          <w:b/>
        </w:rPr>
        <w:t xml:space="preserve"> </w:t>
      </w:r>
      <w:hyperlink r:id="rId8" w:history="1">
        <w:r w:rsidRPr="00C310F5">
          <w:rPr>
            <w:rStyle w:val="Hyperlink"/>
            <w:bCs/>
          </w:rPr>
          <w:t>tanmoy78@knights.ucf.edu</w:t>
        </w:r>
      </w:hyperlink>
      <w:r w:rsidRPr="00C310F5">
        <w:rPr>
          <w:bCs/>
        </w:rPr>
        <w:t xml:space="preserve"> </w:t>
      </w:r>
    </w:p>
    <w:p w14:paraId="2DF47725" w14:textId="77777777" w:rsidR="00BE77F1" w:rsidRDefault="00BE77F1" w:rsidP="00BE77F1">
      <w:proofErr w:type="spellStart"/>
      <w:r w:rsidRPr="00764120">
        <w:t>ORCiD</w:t>
      </w:r>
      <w:proofErr w:type="spellEnd"/>
      <w:r w:rsidRPr="00764120">
        <w:t xml:space="preserve"> number: 0000-0002-0258-1692</w:t>
      </w:r>
    </w:p>
    <w:p w14:paraId="168B993D" w14:textId="77777777" w:rsidR="00BE77F1" w:rsidRDefault="00BE77F1" w:rsidP="00BE77F1"/>
    <w:p w14:paraId="10D8A0B7" w14:textId="77777777" w:rsidR="00BE77F1" w:rsidRDefault="00BE77F1" w:rsidP="00BE77F1">
      <w:pPr>
        <w:rPr>
          <w:b/>
        </w:rPr>
      </w:pPr>
    </w:p>
    <w:p w14:paraId="619A4CB1" w14:textId="77777777" w:rsidR="00BE77F1" w:rsidRPr="00C310F5" w:rsidRDefault="00BE77F1" w:rsidP="00BE77F1">
      <w:pPr>
        <w:rPr>
          <w:b/>
        </w:rPr>
      </w:pPr>
      <w:r w:rsidRPr="00C310F5">
        <w:rPr>
          <w:b/>
        </w:rPr>
        <w:t>Naveen Eluru</w:t>
      </w:r>
    </w:p>
    <w:p w14:paraId="777D15B0" w14:textId="77777777" w:rsidR="00BE77F1" w:rsidRPr="00C310F5" w:rsidRDefault="00BE77F1" w:rsidP="00BE77F1">
      <w:r w:rsidRPr="00C310F5">
        <w:t>Professor</w:t>
      </w:r>
    </w:p>
    <w:p w14:paraId="14B5F6A7" w14:textId="77777777" w:rsidR="00BE77F1" w:rsidRPr="00C310F5" w:rsidRDefault="00BE77F1" w:rsidP="00BE77F1">
      <w:r w:rsidRPr="00C310F5">
        <w:t>Department of Civil, Environmental &amp; Construction Engineering, University of Central Florida</w:t>
      </w:r>
    </w:p>
    <w:p w14:paraId="7951D73E" w14:textId="77777777" w:rsidR="00374268" w:rsidRDefault="00BE77F1" w:rsidP="00BE77F1">
      <w:r w:rsidRPr="00C310F5">
        <w:t xml:space="preserve">Tel: 407-823-4815; Fax: </w:t>
      </w:r>
      <w:proofErr w:type="gramStart"/>
      <w:r w:rsidRPr="00C310F5">
        <w:t>407-823-3315;</w:t>
      </w:r>
      <w:proofErr w:type="gramEnd"/>
      <w:r w:rsidRPr="00C310F5">
        <w:t xml:space="preserve"> </w:t>
      </w:r>
    </w:p>
    <w:p w14:paraId="23C425EF" w14:textId="0023D292" w:rsidR="00BE77F1" w:rsidRPr="00C310F5" w:rsidRDefault="00BE77F1" w:rsidP="00BE77F1">
      <w:r w:rsidRPr="00C310F5">
        <w:t xml:space="preserve">Email: </w:t>
      </w:r>
      <w:hyperlink r:id="rId9" w:history="1">
        <w:r w:rsidRPr="00C310F5">
          <w:rPr>
            <w:rStyle w:val="Hyperlink"/>
          </w:rPr>
          <w:t>naveen.eluru@ucf.edu</w:t>
        </w:r>
      </w:hyperlink>
    </w:p>
    <w:p w14:paraId="36EFFD51" w14:textId="77777777" w:rsidR="00BE77F1" w:rsidRPr="00780B09" w:rsidRDefault="00BE77F1" w:rsidP="00BE77F1">
      <w:proofErr w:type="spellStart"/>
      <w:r w:rsidRPr="00D0101D">
        <w:t>ORCiD</w:t>
      </w:r>
      <w:proofErr w:type="spellEnd"/>
      <w:r w:rsidRPr="00D0101D">
        <w:t xml:space="preserve"> number</w:t>
      </w:r>
      <w:r>
        <w:t xml:space="preserve">: </w:t>
      </w:r>
      <w:r w:rsidRPr="00901CA1">
        <w:t>0000-0003-1221-4113</w:t>
      </w:r>
    </w:p>
    <w:p w14:paraId="43EFE702" w14:textId="5EA5CA89" w:rsidR="00BE77F1" w:rsidRDefault="00BE77F1" w:rsidP="00BE77F1"/>
    <w:p w14:paraId="5908F18C" w14:textId="77777777" w:rsidR="00870B83" w:rsidRDefault="00870B83" w:rsidP="00870B83">
      <w:r w:rsidRPr="00C310F5">
        <w:rPr>
          <w:rFonts w:eastAsia="Times New Roman"/>
        </w:rPr>
        <w:t>*Corresponding author</w:t>
      </w:r>
    </w:p>
    <w:p w14:paraId="1957D166" w14:textId="77777777" w:rsidR="00870B83" w:rsidRDefault="00870B83" w:rsidP="00BE77F1"/>
    <w:p w14:paraId="3AF31CF2" w14:textId="1BAA3BE5" w:rsidR="00BE77F1" w:rsidRDefault="00BE77F1" w:rsidP="00BE77F1"/>
    <w:p w14:paraId="6CC87AB5" w14:textId="62186CA2" w:rsidR="00BE77F1" w:rsidRDefault="00BE77F1" w:rsidP="00BE77F1"/>
    <w:p w14:paraId="5E0C7EDB" w14:textId="206B8901" w:rsidR="00BE77F1" w:rsidRDefault="00BE77F1" w:rsidP="00BE77F1"/>
    <w:p w14:paraId="58739EFD" w14:textId="66A72F84" w:rsidR="00BE77F1" w:rsidRDefault="00BE77F1" w:rsidP="00BE77F1"/>
    <w:p w14:paraId="220AB9B0" w14:textId="77777777" w:rsidR="001D1EB3" w:rsidRDefault="001D1EB3" w:rsidP="001D1EB3">
      <w:pPr>
        <w:pStyle w:val="Heading1"/>
        <w:sectPr w:rsidR="001D1EB3">
          <w:footerReference w:type="default" r:id="rId10"/>
          <w:pgSz w:w="12240" w:h="15840"/>
          <w:pgMar w:top="1440" w:right="1440" w:bottom="1440" w:left="1440" w:header="720" w:footer="720" w:gutter="0"/>
          <w:cols w:space="720"/>
          <w:docGrid w:linePitch="360"/>
        </w:sectPr>
      </w:pPr>
    </w:p>
    <w:p w14:paraId="70C6BE22" w14:textId="555C9207" w:rsidR="001D1EB3" w:rsidRDefault="00CD0D38" w:rsidP="001D1EB3">
      <w:pPr>
        <w:pStyle w:val="Heading1"/>
      </w:pPr>
      <w:r>
        <w:lastRenderedPageBreak/>
        <w:t>ABSTRACT</w:t>
      </w:r>
    </w:p>
    <w:p w14:paraId="1DD66C0A" w14:textId="4A0567E9" w:rsidR="001C19FA" w:rsidRPr="00A13757" w:rsidRDefault="00595864" w:rsidP="001C19FA">
      <w:bookmarkStart w:id="0" w:name="_Hlk82903179"/>
      <w:r w:rsidRPr="00595864">
        <w:t xml:space="preserve">The sustained COVID-19 case numbers and the associated hospitalizations have placed a substantial burden on health care ecosystem comprising of hospitals, clinics, </w:t>
      </w:r>
      <w:proofErr w:type="gramStart"/>
      <w:r w:rsidRPr="00595864">
        <w:t>doctors</w:t>
      </w:r>
      <w:proofErr w:type="gramEnd"/>
      <w:r w:rsidRPr="00595864">
        <w:t xml:space="preserve"> and nurses. However, as of today, only a small number of studies have examined detailed hospitalization data from a planning perspective</w:t>
      </w:r>
      <w:r w:rsidR="00441722" w:rsidRPr="00441722">
        <w:t xml:space="preserve">. </w:t>
      </w:r>
      <w:bookmarkEnd w:id="0"/>
      <w:r w:rsidR="005925E4">
        <w:t>T</w:t>
      </w:r>
      <w:r w:rsidR="00441722" w:rsidRPr="00725D63">
        <w:t xml:space="preserve">he </w:t>
      </w:r>
      <w:r w:rsidR="001C19FA" w:rsidRPr="00725D63">
        <w:t>current study develops a comprehensive framework for understanding the critical factors associated with county level hospitalization and ICU usage rates across the US employing a host of independent variables.</w:t>
      </w:r>
      <w:r w:rsidR="001C19FA" w:rsidRPr="001C19FA">
        <w:t xml:space="preserve"> </w:t>
      </w:r>
      <w:r w:rsidR="001C19FA">
        <w:t xml:space="preserve">Drawing from the recently released </w:t>
      </w:r>
      <w:r w:rsidR="001C19FA" w:rsidRPr="008F631C">
        <w:rPr>
          <w:rFonts w:cs="Times New Roman"/>
          <w:szCs w:val="24"/>
        </w:rPr>
        <w:t xml:space="preserve">Department of Health and Human </w:t>
      </w:r>
      <w:r w:rsidR="00F702D1">
        <w:rPr>
          <w:rFonts w:cs="Times New Roman"/>
          <w:szCs w:val="24"/>
        </w:rPr>
        <w:t>S</w:t>
      </w:r>
      <w:r w:rsidR="001C19FA" w:rsidRPr="008F631C">
        <w:rPr>
          <w:rFonts w:cs="Times New Roman"/>
          <w:szCs w:val="24"/>
        </w:rPr>
        <w:t xml:space="preserve">ervices </w:t>
      </w:r>
      <w:r w:rsidR="001C19FA">
        <w:rPr>
          <w:rFonts w:cs="Times New Roman"/>
          <w:szCs w:val="24"/>
        </w:rPr>
        <w:t xml:space="preserve">weekly </w:t>
      </w:r>
      <w:r w:rsidR="001C19FA" w:rsidRPr="008F631C">
        <w:rPr>
          <w:rFonts w:cs="Times New Roman"/>
          <w:szCs w:val="24"/>
        </w:rPr>
        <w:t xml:space="preserve">hospitalization </w:t>
      </w:r>
      <w:r w:rsidR="001C19FA">
        <w:rPr>
          <w:rFonts w:cs="Times New Roman"/>
          <w:szCs w:val="24"/>
        </w:rPr>
        <w:t>data, w</w:t>
      </w:r>
      <w:r w:rsidR="001C19FA">
        <w:t>e study the overall hospitalization and ICU usage</w:t>
      </w:r>
      <w:r w:rsidR="00A13757">
        <w:t xml:space="preserve"> </w:t>
      </w:r>
      <w:r w:rsidR="00A13757">
        <w:rPr>
          <w:rFonts w:cs="Times New Roman"/>
          <w:szCs w:val="24"/>
        </w:rPr>
        <w:t>–</w:t>
      </w:r>
      <w:r w:rsidR="001C19FA">
        <w:t xml:space="preserve"> </w:t>
      </w:r>
      <w:r w:rsidR="00A13757">
        <w:rPr>
          <w:rFonts w:cs="Times New Roman"/>
          <w:szCs w:val="24"/>
        </w:rPr>
        <w:t>not only COVID-19 hospitalizations.</w:t>
      </w:r>
      <w:r w:rsidR="00A13757" w:rsidRPr="00A13757">
        <w:rPr>
          <w:rFonts w:cs="Times New Roman"/>
          <w:szCs w:val="24"/>
        </w:rPr>
        <w:t xml:space="preserve"> </w:t>
      </w:r>
      <w:r w:rsidR="00A13757">
        <w:rPr>
          <w:rFonts w:cs="Times New Roman"/>
          <w:szCs w:val="24"/>
        </w:rPr>
        <w:t xml:space="preserve">Developing a framework that examines overall hospitalizations and ICU usage can better reflect the plausible hospital system recovery path to pre-COVID level hospitalization trends. </w:t>
      </w:r>
      <w:r w:rsidR="001C19FA" w:rsidRPr="00FD5729">
        <w:t xml:space="preserve">The models are </w:t>
      </w:r>
      <w:r w:rsidR="001C19FA">
        <w:t xml:space="preserve">subsequently </w:t>
      </w:r>
      <w:r w:rsidR="001C19FA" w:rsidRPr="00FD5729">
        <w:t xml:space="preserve">employed to generate predictions for </w:t>
      </w:r>
      <w:r w:rsidR="001C19FA">
        <w:t xml:space="preserve">county level </w:t>
      </w:r>
      <w:r w:rsidR="001C19FA" w:rsidRPr="00FD5729">
        <w:t xml:space="preserve">hospitalization and ICU usage rates </w:t>
      </w:r>
      <w:r w:rsidR="001C19FA">
        <w:t>in</w:t>
      </w:r>
      <w:r w:rsidR="001C19FA" w:rsidRPr="00FD5729">
        <w:t xml:space="preserve"> </w:t>
      </w:r>
      <w:r w:rsidR="00051CA2">
        <w:t xml:space="preserve">the </w:t>
      </w:r>
      <w:r w:rsidR="001C19FA" w:rsidRPr="00FD5729">
        <w:t xml:space="preserve">future under </w:t>
      </w:r>
      <w:r w:rsidR="002D3570">
        <w:t>several</w:t>
      </w:r>
      <w:r w:rsidR="001C19FA" w:rsidRPr="00FD5729">
        <w:t xml:space="preserve"> COVID-19 transmission scenarios considering </w:t>
      </w:r>
      <w:r w:rsidR="001C19FA">
        <w:t xml:space="preserve">the </w:t>
      </w:r>
      <w:r w:rsidR="00A6249D">
        <w:t xml:space="preserve">emergence of </w:t>
      </w:r>
      <w:r w:rsidR="001C19FA">
        <w:t xml:space="preserve">new </w:t>
      </w:r>
      <w:r w:rsidR="00A6249D">
        <w:t xml:space="preserve">COVID-19 </w:t>
      </w:r>
      <w:r w:rsidR="001C19FA">
        <w:t xml:space="preserve">variants and </w:t>
      </w:r>
      <w:r w:rsidR="001C19FA" w:rsidRPr="00FD5729">
        <w:t xml:space="preserve">vaccination </w:t>
      </w:r>
      <w:r w:rsidR="00A6249D">
        <w:t>rates</w:t>
      </w:r>
      <w:r w:rsidR="001C19FA" w:rsidRPr="00FD5729">
        <w:t>.</w:t>
      </w:r>
      <w:r w:rsidR="001C19FA" w:rsidRPr="009132C6">
        <w:rPr>
          <w:rFonts w:cs="Times New Roman"/>
          <w:szCs w:val="24"/>
        </w:rPr>
        <w:t xml:space="preserve"> </w:t>
      </w:r>
      <w:r w:rsidR="001C19FA">
        <w:rPr>
          <w:rFonts w:cs="Times New Roman"/>
          <w:szCs w:val="24"/>
        </w:rPr>
        <w:t xml:space="preserve">The exercise allows us to identify vulnerable counties and regions under stress with high hospitalization and ICU rates that can be assisted with remedial measures. Further, the model will allow hospitals to understand evolving displaced non-COVID hospital demand. </w:t>
      </w:r>
    </w:p>
    <w:p w14:paraId="77D57231" w14:textId="45FB6F1C" w:rsidR="001C19FA" w:rsidRDefault="001C19FA" w:rsidP="001C19FA"/>
    <w:p w14:paraId="57B5EFA9" w14:textId="6E1ABF29" w:rsidR="001D1EB3" w:rsidRDefault="001D1EB3" w:rsidP="001D1EB3">
      <w:r w:rsidRPr="002F0C9B">
        <w:rPr>
          <w:i/>
          <w:iCs/>
        </w:rPr>
        <w:t>Keywords</w:t>
      </w:r>
      <w:r>
        <w:t xml:space="preserve">: COVID-19, </w:t>
      </w:r>
      <w:r w:rsidR="003B5CB6">
        <w:t>hospitalization</w:t>
      </w:r>
      <w:r>
        <w:t xml:space="preserve"> rate, </w:t>
      </w:r>
      <w:r w:rsidR="003B5CB6">
        <w:t>ICU usage</w:t>
      </w:r>
      <w:r>
        <w:t xml:space="preserve"> rate, </w:t>
      </w:r>
      <w:r w:rsidR="003B5CB6">
        <w:t xml:space="preserve">non-COVID patients, pessimistic </w:t>
      </w:r>
      <w:proofErr w:type="gramStart"/>
      <w:r w:rsidR="003B5CB6">
        <w:t>scenario</w:t>
      </w:r>
      <w:proofErr w:type="gramEnd"/>
      <w:r w:rsidR="00CC4CE9">
        <w:t xml:space="preserve"> and</w:t>
      </w:r>
      <w:r w:rsidR="003B5CB6">
        <w:t xml:space="preserve"> optimistic scenario</w:t>
      </w:r>
    </w:p>
    <w:p w14:paraId="2D60A509" w14:textId="77777777" w:rsidR="00870B83" w:rsidRDefault="00870B83" w:rsidP="00BE77F1"/>
    <w:p w14:paraId="779B11D7" w14:textId="77777777" w:rsidR="00802FA6" w:rsidRDefault="00802FA6" w:rsidP="00BE77F1"/>
    <w:p w14:paraId="4CF52986" w14:textId="1D1CDEC6" w:rsidR="00802FA6" w:rsidRDefault="00802FA6" w:rsidP="00BE77F1">
      <w:pPr>
        <w:sectPr w:rsidR="00802FA6">
          <w:pgSz w:w="12240" w:h="15840"/>
          <w:pgMar w:top="1440" w:right="1440" w:bottom="1440" w:left="1440" w:header="720" w:footer="720" w:gutter="0"/>
          <w:cols w:space="720"/>
          <w:docGrid w:linePitch="360"/>
        </w:sectPr>
      </w:pPr>
    </w:p>
    <w:p w14:paraId="5FD2FF3F" w14:textId="4C703986" w:rsidR="00181113" w:rsidRDefault="00DC5064" w:rsidP="00181113">
      <w:pPr>
        <w:pStyle w:val="Heading1"/>
      </w:pPr>
      <w:r>
        <w:lastRenderedPageBreak/>
        <w:t>INTRODUCTION</w:t>
      </w:r>
    </w:p>
    <w:p w14:paraId="1F65C2F1" w14:textId="3516D75C" w:rsidR="00B52BEB" w:rsidRDefault="009E71E3" w:rsidP="00B52BEB">
      <w:r>
        <w:t xml:space="preserve">The </w:t>
      </w:r>
      <w:r w:rsidR="00AF6768">
        <w:t>Corona Virus Disease (</w:t>
      </w:r>
      <w:r>
        <w:t>COVID</w:t>
      </w:r>
      <w:r w:rsidR="00324446">
        <w:t>-19</w:t>
      </w:r>
      <w:r w:rsidR="00AF6768">
        <w:t>)</w:t>
      </w:r>
      <w:r>
        <w:t xml:space="preserve"> </w:t>
      </w:r>
      <w:r w:rsidR="00FC3F89">
        <w:t xml:space="preserve">continues to significantly burden social, economic and health systems across the world. As of </w:t>
      </w:r>
      <w:r w:rsidR="00131E42">
        <w:t>February</w:t>
      </w:r>
      <w:r w:rsidR="00FC3F89">
        <w:t xml:space="preserve"> 2021, the number of confirmed cases in the </w:t>
      </w:r>
      <w:r w:rsidR="00DC0E16">
        <w:t>w</w:t>
      </w:r>
      <w:r w:rsidR="00FC3F89">
        <w:t>orld have surpassed 100 million while US alone accounts for about a quarter of these cases</w:t>
      </w:r>
      <w:r w:rsidR="008B02B1">
        <w:fldChar w:fldCharType="begin" w:fldLock="1"/>
      </w:r>
      <w:r w:rsidR="0000524D">
        <w:instrText>ADDIN CSL_CITATION {"citationItems":[{"id":"ITEM-1","itemData":{"URL":"https://www.worldometers.info/coronavirus/country/us/","accessed":{"date-parts":[["2021","1","25"]]},"container-title":"Worldometer","id":"ITEM-1","issued":{"date-parts":[["2020"]]},"title":"United States Coronavirus: 8,387,799 Cases and 224,730 Deaths ","type":"webpage"},"uris":["http://www.mendeley.com/documents/?uuid=5d9027c2-e405-39db-bb35-8eb957347ed3"]}],"mendeley":{"formattedCitation":"&lt;sup&gt;1&lt;/sup&gt;","plainTextFormattedCitation":"1","previouslyFormattedCitation":"&lt;sup&gt;1&lt;/sup&gt;"},"properties":{"noteIndex":0},"schema":"https://github.com/citation-style-language/schema/raw/master/csl-citation.json"}</w:instrText>
      </w:r>
      <w:r w:rsidR="008B02B1">
        <w:fldChar w:fldCharType="separate"/>
      </w:r>
      <w:r w:rsidR="00725D63" w:rsidRPr="00725D63">
        <w:rPr>
          <w:noProof/>
          <w:vertAlign w:val="superscript"/>
        </w:rPr>
        <w:t>1</w:t>
      </w:r>
      <w:r w:rsidR="008B02B1">
        <w:fldChar w:fldCharType="end"/>
      </w:r>
      <w:r w:rsidR="00781A42">
        <w:t xml:space="preserve">. </w:t>
      </w:r>
      <w:r w:rsidR="004C3486">
        <w:t xml:space="preserve">In fact, </w:t>
      </w:r>
      <w:r w:rsidR="00D81EA9">
        <w:t>nearly half of the 2</w:t>
      </w:r>
      <w:r w:rsidR="00941B71">
        <w:t>8</w:t>
      </w:r>
      <w:r w:rsidR="00D81EA9">
        <w:t xml:space="preserve"> million cases </w:t>
      </w:r>
      <w:r w:rsidR="004C3486">
        <w:t xml:space="preserve">were </w:t>
      </w:r>
      <w:r w:rsidR="00D81EA9">
        <w:t xml:space="preserve">reported in the past three months. </w:t>
      </w:r>
      <w:r w:rsidR="0057422E">
        <w:t xml:space="preserve">The total fatalities </w:t>
      </w:r>
      <w:r w:rsidR="00B52BEB">
        <w:t xml:space="preserve">in the US </w:t>
      </w:r>
      <w:r w:rsidR="0057422E">
        <w:t xml:space="preserve">associated with COVID-19 have crossed </w:t>
      </w:r>
      <w:r w:rsidR="0087538D">
        <w:t>5</w:t>
      </w:r>
      <w:r w:rsidR="0057422E">
        <w:t>00,000 while daily deaths have averaged nearly 4000 in recent weeks</w:t>
      </w:r>
      <w:r w:rsidR="00426B66">
        <w:fldChar w:fldCharType="begin" w:fldLock="1"/>
      </w:r>
      <w:r w:rsidR="0000524D">
        <w:instrText>ADDIN CSL_CITATION {"citationItems":[{"id":"ITEM-1","itemData":{"URL":"https://www.marketwatch.com/story/more-than-4000-lives-lost-to-covid-in-us-in-a-single-day-exceeding-death-toll-from-911-attacks-2021-01-08","accessed":{"date-parts":[["2021","1","25"]]},"id":"ITEM-1","issued":{"date-parts":[["0"]]},"title":"More than 4,000 U.S. lives lost to COVID in single day, exceeding death toll from 9/11 attacks - MarketWatch","type":"webpage"},"uris":["http://www.mendeley.com/documents/?uuid=b8741abf-87f7-33d0-9cb5-58ef7575c4b5"]}],"mendeley":{"formattedCitation":"&lt;sup&gt;2&lt;/sup&gt;","plainTextFormattedCitation":"2","previouslyFormattedCitation":"&lt;sup&gt;2&lt;/sup&gt;"},"properties":{"noteIndex":0},"schema":"https://github.com/citation-style-language/schema/raw/master/csl-citation.json"}</w:instrText>
      </w:r>
      <w:r w:rsidR="00426B66">
        <w:fldChar w:fldCharType="separate"/>
      </w:r>
      <w:r w:rsidR="00725D63" w:rsidRPr="00725D63">
        <w:rPr>
          <w:noProof/>
          <w:vertAlign w:val="superscript"/>
        </w:rPr>
        <w:t>2</w:t>
      </w:r>
      <w:r w:rsidR="00426B66">
        <w:fldChar w:fldCharType="end"/>
      </w:r>
      <w:r w:rsidR="00981291">
        <w:t>.</w:t>
      </w:r>
      <w:r w:rsidR="00981291" w:rsidRPr="00981291">
        <w:t xml:space="preserve"> </w:t>
      </w:r>
      <w:r w:rsidR="007F601B">
        <w:t>Further</w:t>
      </w:r>
      <w:r w:rsidR="00B93407">
        <w:t>, hospitalization</w:t>
      </w:r>
      <w:r w:rsidR="006C0632">
        <w:t xml:space="preserve"> rates</w:t>
      </w:r>
      <w:r w:rsidR="00B93407">
        <w:t xml:space="preserve"> have </w:t>
      </w:r>
      <w:r w:rsidR="006506C5">
        <w:t>experience</w:t>
      </w:r>
      <w:r w:rsidR="00F41F7B">
        <w:t>d</w:t>
      </w:r>
      <w:r w:rsidR="006506C5">
        <w:t xml:space="preserve"> </w:t>
      </w:r>
      <w:r w:rsidR="00B93407">
        <w:t xml:space="preserve">a staggering </w:t>
      </w:r>
      <w:r w:rsidR="006506C5">
        <w:t xml:space="preserve">rise </w:t>
      </w:r>
      <w:r w:rsidR="007F601B">
        <w:t xml:space="preserve">with </w:t>
      </w:r>
      <w:r w:rsidR="006506C5">
        <w:t xml:space="preserve">a peak of about </w:t>
      </w:r>
      <w:r w:rsidR="007F601B">
        <w:t>1</w:t>
      </w:r>
      <w:r w:rsidR="006506C5">
        <w:t>3</w:t>
      </w:r>
      <w:r w:rsidR="00F41F7B">
        <w:t>2</w:t>
      </w:r>
      <w:r w:rsidR="007F601B">
        <w:t xml:space="preserve"> thousand COVID patients hospitalized</w:t>
      </w:r>
      <w:r w:rsidR="006C0632">
        <w:t xml:space="preserve"> </w:t>
      </w:r>
      <w:r w:rsidR="00FB0624">
        <w:fldChar w:fldCharType="begin" w:fldLock="1"/>
      </w:r>
      <w:r w:rsidR="0000524D">
        <w:instrText>ADDIN CSL_CITATION {"citationItems":[{"id":"ITEM-1","itemData":{"URL":"https://www.wsj.com/livecoverage/covid-2021-01-04","accessed":{"date-parts":[["2021","1","25"]]},"id":"ITEM-1","issued":{"date-parts":[["0"]]},"title":"U.S. Covid-19 Hospitalizations Hit Record - WSJ.com","type":"webpage"},"uris":["http://www.mendeley.com/documents/?uuid=3ed2f06b-ba68-31d4-b650-bee38a860362"]},{"id":"ITEM-2","itemData":{"URL":"https://covidtracking.com/data/state/arizona","accessed":{"date-parts":[["2021","1","25"]]},"id":"ITEM-2","issued":{"date-parts":[["0"]]},"title":"Arizona | The COVID Tracking Project","type":"webpage"},"uris":["http://www.mendeley.com/documents/?uuid=984223d6-92b0-3c8c-b744-581f02909e76"]}],"mendeley":{"formattedCitation":"&lt;sup&gt;3,4&lt;/sup&gt;","plainTextFormattedCitation":"3,4","previouslyFormattedCitation":"&lt;sup&gt;3,4&lt;/sup&gt;"},"properties":{"noteIndex":0},"schema":"https://github.com/citation-style-language/schema/raw/master/csl-citation.json"}</w:instrText>
      </w:r>
      <w:r w:rsidR="00FB0624">
        <w:fldChar w:fldCharType="separate"/>
      </w:r>
      <w:r w:rsidR="00725D63" w:rsidRPr="00725D63">
        <w:rPr>
          <w:noProof/>
          <w:vertAlign w:val="superscript"/>
        </w:rPr>
        <w:t>3,4</w:t>
      </w:r>
      <w:r w:rsidR="00FB0624">
        <w:fldChar w:fldCharType="end"/>
      </w:r>
      <w:r w:rsidR="00B93407">
        <w:t xml:space="preserve">. </w:t>
      </w:r>
      <w:r w:rsidR="007F601B">
        <w:t xml:space="preserve">Intensive care units (ICUs) are also alarmingly short on space with nearly 33% of the ICUs at a </w:t>
      </w:r>
      <w:r w:rsidR="00B52BEB">
        <w:t>more</w:t>
      </w:r>
      <w:r w:rsidR="007F601B">
        <w:t xml:space="preserve"> than 80% occupancy </w:t>
      </w:r>
      <w:r w:rsidR="007F601B">
        <w:fldChar w:fldCharType="begin" w:fldLock="1"/>
      </w:r>
      <w:r w:rsidR="0000524D">
        <w:instrText>ADDIN CSL_CITATION {"citationItems":[{"id":"ITEM-1","itemData":{"URL":"https://www.fiercehealthcare.com/hospitals/study-hospitals-at-or-near-full-covid-19-icu-capacity-increase-by-90-over-past-few-months","accessed":{"date-parts":[["2021","1","25"]]},"id":"ITEM-1","issued":{"date-parts":[["0"]]},"title":"Study: Hospitals at or near full COVID-19 ICU capacity increase by 90% over past few months | FierceHealthcare","type":"webpage"},"uris":["http://www.mendeley.com/documents/?uuid=aa074eb9-bffe-3327-bd53-adefe502243b"]}],"mendeley":{"formattedCitation":"&lt;sup&gt;5&lt;/sup&gt;","plainTextFormattedCitation":"5","previouslyFormattedCitation":"&lt;sup&gt;5&lt;/sup&gt;"},"properties":{"noteIndex":0},"schema":"https://github.com/citation-style-language/schema/raw/master/csl-citation.json"}</w:instrText>
      </w:r>
      <w:r w:rsidR="007F601B">
        <w:fldChar w:fldCharType="separate"/>
      </w:r>
      <w:r w:rsidR="00725D63" w:rsidRPr="00725D63">
        <w:rPr>
          <w:noProof/>
          <w:vertAlign w:val="superscript"/>
        </w:rPr>
        <w:t>5</w:t>
      </w:r>
      <w:r w:rsidR="007F601B">
        <w:fldChar w:fldCharType="end"/>
      </w:r>
      <w:r w:rsidR="007F601B">
        <w:t xml:space="preserve"> </w:t>
      </w:r>
      <w:r w:rsidR="00B52BEB">
        <w:t xml:space="preserve">and </w:t>
      </w:r>
      <w:r w:rsidR="007F601B">
        <w:t xml:space="preserve">a </w:t>
      </w:r>
      <w:r w:rsidR="00B52BEB">
        <w:t xml:space="preserve">subset of these </w:t>
      </w:r>
      <w:r w:rsidR="007F601B">
        <w:t xml:space="preserve">ICUs at nearly full occupancy. It is an understatement to suggest that the sustained COVID-19 case numbers and the associated hospitalizations have placed a substantial burden on health care ecosystem comprising of hospitals, clinics, </w:t>
      </w:r>
      <w:proofErr w:type="gramStart"/>
      <w:r w:rsidR="007F601B">
        <w:t>doctors</w:t>
      </w:r>
      <w:proofErr w:type="gramEnd"/>
      <w:r w:rsidR="007F601B">
        <w:t xml:space="preserve"> and nurses. </w:t>
      </w:r>
      <w:r w:rsidR="004E0764">
        <w:t xml:space="preserve">The hospital systems have been overwhelmed with COVID-19 cases contributing </w:t>
      </w:r>
      <w:proofErr w:type="gramStart"/>
      <w:r w:rsidR="004E0764">
        <w:t>in</w:t>
      </w:r>
      <w:proofErr w:type="gramEnd"/>
      <w:r w:rsidR="004E0764">
        <w:t xml:space="preserve"> the range of 20-50% of the hospitalizations at various facilities.</w:t>
      </w:r>
      <w:r w:rsidR="003A265E">
        <w:t xml:space="preserve"> </w:t>
      </w:r>
      <w:r w:rsidR="00B52BEB">
        <w:t>An oft neglected aspect of COVID-19 impacts includes members of the community not contracting COVID-19 but being affected by it. For example, the increasing COVID-19 cases has potentially affected non-</w:t>
      </w:r>
      <w:r w:rsidR="002F5BE3">
        <w:t xml:space="preserve">COVID </w:t>
      </w:r>
      <w:r w:rsidR="00B52BEB">
        <w:t xml:space="preserve">hospitalizations </w:t>
      </w:r>
      <w:proofErr w:type="gramStart"/>
      <w:r w:rsidR="00B52BEB">
        <w:t>i.e.</w:t>
      </w:r>
      <w:proofErr w:type="gramEnd"/>
      <w:r w:rsidR="00B52BEB">
        <w:t xml:space="preserve"> patients are either delaying elective procedures or are being forced to </w:t>
      </w:r>
      <w:r w:rsidR="00FF09D1">
        <w:t>reschedule</w:t>
      </w:r>
      <w:r w:rsidR="00B52BEB">
        <w:t xml:space="preserve"> due to lack of availability in hospitals in some regions. A study conducted in UK </w:t>
      </w:r>
      <w:r w:rsidR="00B52BEB">
        <w:fldChar w:fldCharType="begin" w:fldLock="1"/>
      </w:r>
      <w:r w:rsidR="0000524D">
        <w:instrText>ADDIN CSL_CITATION {"citationItems":[{"id":"ITEM-1","itemData":{"URL":"https://www.medicalnewstoday.com/articles/study-investigates-non-covid-19-deaths-during-the-pandemic#Excess-deaths","accessed":{"date-parts":[["2021","1","25"]]},"id":"ITEM-1","issued":{"date-parts":[["0"]]},"title":"Study investigates non-COVID-19 deaths during the pandemic","type":"webpage"},"uris":["http://www.mendeley.com/documents/?uuid=1583c346-1103-3829-9574-b00f3dc5f06b"]}],"mendeley":{"formattedCitation":"&lt;sup&gt;6&lt;/sup&gt;","plainTextFormattedCitation":"6","previouslyFormattedCitation":"&lt;sup&gt;6&lt;/sup&gt;"},"properties":{"noteIndex":0},"schema":"https://github.com/citation-style-language/schema/raw/master/csl-citation.json"}</w:instrText>
      </w:r>
      <w:r w:rsidR="00B52BEB">
        <w:fldChar w:fldCharType="separate"/>
      </w:r>
      <w:r w:rsidR="00725D63" w:rsidRPr="00725D63">
        <w:rPr>
          <w:noProof/>
          <w:vertAlign w:val="superscript"/>
        </w:rPr>
        <w:t>6</w:t>
      </w:r>
      <w:r w:rsidR="00B52BEB">
        <w:fldChar w:fldCharType="end"/>
      </w:r>
      <w:r w:rsidR="00B52BEB">
        <w:t xml:space="preserve"> already anticipated an increase in cancer deaths due to the reduced cancer service triggered by the </w:t>
      </w:r>
      <w:r w:rsidR="00F41F7B">
        <w:t>evolving</w:t>
      </w:r>
      <w:r w:rsidR="00B52BEB">
        <w:t xml:space="preserve"> COVID-19 pandemic. The </w:t>
      </w:r>
      <w:r w:rsidR="00B45092">
        <w:t>e</w:t>
      </w:r>
      <w:r w:rsidR="00B52BEB">
        <w:t xml:space="preserve">ffect of these delays </w:t>
      </w:r>
      <w:proofErr w:type="gramStart"/>
      <w:r w:rsidR="00B52BEB">
        <w:t>are</w:t>
      </w:r>
      <w:proofErr w:type="gramEnd"/>
      <w:r w:rsidR="00B52BEB">
        <w:t xml:space="preserve"> likely to extend </w:t>
      </w:r>
      <w:r w:rsidR="0015416F">
        <w:t xml:space="preserve">for </w:t>
      </w:r>
      <w:r w:rsidR="00B52BEB">
        <w:t xml:space="preserve">months (if not years) after COVID-19 cases are </w:t>
      </w:r>
      <w:r w:rsidR="00FF09D1">
        <w:t xml:space="preserve">brought </w:t>
      </w:r>
      <w:r w:rsidR="00B52BEB">
        <w:t xml:space="preserve">under control. </w:t>
      </w:r>
    </w:p>
    <w:p w14:paraId="780039DF" w14:textId="4DC95885" w:rsidR="0015416F" w:rsidRDefault="007F601B" w:rsidP="004C3486">
      <w:pPr>
        <w:ind w:firstLine="720"/>
      </w:pPr>
      <w:r>
        <w:t>The emergency use authorization of two vaccines (Pfizer</w:t>
      </w:r>
      <w:r w:rsidR="00F41F7B">
        <w:t xml:space="preserve">-BioNTech </w:t>
      </w:r>
      <w:r>
        <w:t>and Moderna) offer</w:t>
      </w:r>
      <w:r w:rsidR="00EC2A10">
        <w:t>s</w:t>
      </w:r>
      <w:r>
        <w:t xml:space="preserve"> a potential path to </w:t>
      </w:r>
      <w:r w:rsidR="0015416F">
        <w:t>bringing the virus under control</w:t>
      </w:r>
      <w:r>
        <w:t xml:space="preserve">. While the initial vaccination </w:t>
      </w:r>
      <w:r w:rsidR="004C3486">
        <w:t xml:space="preserve">rates </w:t>
      </w:r>
      <w:r>
        <w:t xml:space="preserve">in </w:t>
      </w:r>
      <w:r w:rsidR="004C3486">
        <w:t xml:space="preserve">the </w:t>
      </w:r>
      <w:r>
        <w:t>US w</w:t>
      </w:r>
      <w:r w:rsidR="004C3486">
        <w:t>ere</w:t>
      </w:r>
      <w:r>
        <w:t xml:space="preserve"> slower than anticipated, in recent days, a vaccination rate above 1 million shots per day has been regularly achieved. Even with this </w:t>
      </w:r>
      <w:r w:rsidR="0015416F">
        <w:t xml:space="preserve">impressive </w:t>
      </w:r>
      <w:r>
        <w:t>vaccination rate</w:t>
      </w:r>
      <w:r w:rsidR="0015416F">
        <w:t>,</w:t>
      </w:r>
      <w:r>
        <w:t xml:space="preserve"> achieving herd immunity could potentially </w:t>
      </w:r>
      <w:r w:rsidR="004C3486">
        <w:t>happen only</w:t>
      </w:r>
      <w:r>
        <w:t xml:space="preserve"> in the early fall months. </w:t>
      </w:r>
      <w:r w:rsidR="00EC1A74">
        <w:t xml:space="preserve">Further, </w:t>
      </w:r>
      <w:r>
        <w:t>as new variants of COVID-19 arise with significantly higher transmissibility</w:t>
      </w:r>
      <w:r w:rsidR="007A0177">
        <w:t xml:space="preserve"> </w:t>
      </w:r>
      <w:r w:rsidR="007A0177">
        <w:fldChar w:fldCharType="begin" w:fldLock="1"/>
      </w:r>
      <w:r w:rsidR="0000524D">
        <w:instrText>ADDIN CSL_CITATION {"citationItems":[{"id":"ITEM-1","itemData":{"URL":"https://www.cdc.gov/coronavirus/2019-ncov/transmission/variant.html","accessed":{"date-parts":[["2021","1","31"]]},"id":"ITEM-1","issued":{"date-parts":[["0"]]},"title":"New Variants of the Virus that Causes COVID-19 | CDC","type":"webpage"},"uris":["http://www.mendeley.com/documents/?uuid=77b697b2-c6a2-3736-901e-80e5e0bdeca7"]}],"mendeley":{"formattedCitation":"&lt;sup&gt;7&lt;/sup&gt;","plainTextFormattedCitation":"7","previouslyFormattedCitation":"&lt;sup&gt;7&lt;/sup&gt;"},"properties":{"noteIndex":0},"schema":"https://github.com/citation-style-language/schema/raw/master/csl-citation.json"}</w:instrText>
      </w:r>
      <w:r w:rsidR="007A0177">
        <w:fldChar w:fldCharType="separate"/>
      </w:r>
      <w:r w:rsidR="00725D63" w:rsidRPr="00725D63">
        <w:rPr>
          <w:noProof/>
          <w:vertAlign w:val="superscript"/>
        </w:rPr>
        <w:t>7</w:t>
      </w:r>
      <w:r w:rsidR="007A0177">
        <w:fldChar w:fldCharType="end"/>
      </w:r>
      <w:r>
        <w:t xml:space="preserve">, there is a need to </w:t>
      </w:r>
      <w:r w:rsidR="00EC1A74">
        <w:t xml:space="preserve">maintain our guard in monitoring the cases and resulting consequences (hospitalizations and fatalities). </w:t>
      </w:r>
      <w:r w:rsidR="00EC2A10">
        <w:t>Under these circumstance</w:t>
      </w:r>
      <w:r w:rsidR="0015416F">
        <w:t>s</w:t>
      </w:r>
      <w:r w:rsidR="00EC2A10">
        <w:t>, there is a need to examine</w:t>
      </w:r>
      <w:r w:rsidR="0015416F">
        <w:t xml:space="preserve"> </w:t>
      </w:r>
      <w:r w:rsidR="00604AC4">
        <w:t>hospitalization and ICU bed usage rates</w:t>
      </w:r>
      <w:r w:rsidR="00EC2A10">
        <w:t xml:space="preserve"> for two reasons. </w:t>
      </w:r>
      <w:r w:rsidR="00EC2A10" w:rsidRPr="009A74A7">
        <w:rPr>
          <w:u w:val="single"/>
        </w:rPr>
        <w:t>First</w:t>
      </w:r>
      <w:r w:rsidR="00EC2A10">
        <w:t>, to ensure there are adequate hospital facilities for COVID-19 patients until we significantly reduce the threat of the virus</w:t>
      </w:r>
      <w:r w:rsidR="0015416F">
        <w:t>.</w:t>
      </w:r>
      <w:r w:rsidR="00EC2A10">
        <w:t xml:space="preserve"> </w:t>
      </w:r>
      <w:r w:rsidR="00EC2A10" w:rsidRPr="009A74A7">
        <w:rPr>
          <w:u w:val="single"/>
        </w:rPr>
        <w:t>Second</w:t>
      </w:r>
      <w:r w:rsidR="00EC2A10">
        <w:t>, an understanding of hospitalization trends over time will allow us to examine the time when hospital systems can revert to pre-</w:t>
      </w:r>
      <w:r w:rsidR="00FC2F13">
        <w:t>COVID</w:t>
      </w:r>
      <w:r w:rsidR="00EC2A10">
        <w:t xml:space="preserve"> demand.</w:t>
      </w:r>
      <w:r w:rsidR="002C13B7">
        <w:t xml:space="preserve"> The stabilization of the hospital system will only occur after the displaced health needs of non-</w:t>
      </w:r>
      <w:r w:rsidR="00FC2F13" w:rsidRPr="00FC2F13">
        <w:t xml:space="preserve"> </w:t>
      </w:r>
      <w:r w:rsidR="00FC2F13">
        <w:t xml:space="preserve">COVID </w:t>
      </w:r>
      <w:r w:rsidR="002C13B7">
        <w:t xml:space="preserve">patients (delayed surgeries and treatments) are addressed. </w:t>
      </w:r>
      <w:r w:rsidR="004C3486">
        <w:t xml:space="preserve">Towards addressing these </w:t>
      </w:r>
      <w:proofErr w:type="gramStart"/>
      <w:r w:rsidR="004C3486">
        <w:t>aforementioned challenges</w:t>
      </w:r>
      <w:proofErr w:type="gramEnd"/>
      <w:r w:rsidR="00024C56">
        <w:t xml:space="preserve">, the current study develops a comprehensive framework for understanding the critical factors associated with </w:t>
      </w:r>
      <w:r w:rsidR="004C3486">
        <w:t xml:space="preserve">county level hospitalization and ICU usage rates across the US. We estimate the overall hospitalization and ICU usage as two components: (1) COVID-19 hospitalization and ICU </w:t>
      </w:r>
      <w:r w:rsidR="0015416F">
        <w:t xml:space="preserve">per capita rates </w:t>
      </w:r>
      <w:r w:rsidR="004C3486">
        <w:t xml:space="preserve">and (2) non-COVID hospitalization and ICU </w:t>
      </w:r>
      <w:r w:rsidR="0015416F">
        <w:t xml:space="preserve">per capita </w:t>
      </w:r>
      <w:r w:rsidR="004C3486">
        <w:t xml:space="preserve">rates. The consideration of two components (as opposed to the total rate) will allow us to recognize the </w:t>
      </w:r>
      <w:r w:rsidR="0015416F">
        <w:t xml:space="preserve">distinct </w:t>
      </w:r>
      <w:r w:rsidR="004C3486">
        <w:t xml:space="preserve">impact of various factors on each component. The estimated models </w:t>
      </w:r>
      <w:r w:rsidR="0015416F">
        <w:t xml:space="preserve">are </w:t>
      </w:r>
      <w:r w:rsidR="004C3486">
        <w:t>employed to generate predictions for hospitalization and ICU usage rates into the future under a host of COVID-19 transmission scenarios</w:t>
      </w:r>
      <w:r w:rsidR="008531A8">
        <w:t xml:space="preserve"> considering </w:t>
      </w:r>
      <w:r w:rsidR="009A74A7">
        <w:t xml:space="preserve">the new variants of COVID-19 and </w:t>
      </w:r>
      <w:r w:rsidR="008531A8">
        <w:t>vaccination impacts</w:t>
      </w:r>
      <w:r w:rsidR="004C3486">
        <w:t xml:space="preserve">. </w:t>
      </w:r>
    </w:p>
    <w:p w14:paraId="1E75A9FA" w14:textId="44E59BA4" w:rsidR="0079736C" w:rsidRDefault="008531A8" w:rsidP="00003B03">
      <w:pPr>
        <w:ind w:firstLine="720"/>
        <w:rPr>
          <w:rFonts w:cs="Times New Roman"/>
          <w:szCs w:val="24"/>
        </w:rPr>
      </w:pPr>
      <w:r>
        <w:rPr>
          <w:rFonts w:cs="Times New Roman"/>
          <w:szCs w:val="24"/>
        </w:rPr>
        <w:t>A significant amount of research has been conducted on understanding COVID-19 transmission</w:t>
      </w:r>
      <w:r w:rsidR="00CF0F1E">
        <w:rPr>
          <w:rFonts w:cs="Times New Roman"/>
          <w:szCs w:val="24"/>
        </w:rPr>
        <w:t xml:space="preserve"> </w:t>
      </w:r>
      <w:r w:rsidR="00A82766">
        <w:rPr>
          <w:rFonts w:cs="Times New Roman"/>
          <w:szCs w:val="24"/>
        </w:rPr>
        <w:t>(see</w:t>
      </w:r>
      <w:r w:rsidR="00A82766">
        <w:rPr>
          <w:rFonts w:cs="Times New Roman"/>
          <w:szCs w:val="24"/>
        </w:rPr>
        <w:fldChar w:fldCharType="begin" w:fldLock="1"/>
      </w:r>
      <w:r w:rsidR="00F665EB">
        <w:rPr>
          <w:rFonts w:cs="Times New Roman"/>
          <w:szCs w:val="24"/>
        </w:rPr>
        <w:instrText>ADDIN CSL_CITATION {"citationItems":[{"id":"ITEM-1","itemData":{"DOI":"10.1101/2020.08.03.20164137","abstract":"Background: Several research efforts have evaluated the impact of various factors including a) socio-demographics, (b) health indicators, (c) mobility trends, and (d) health care infrastructure attributes on COVID-19 transmission and mortality rate. However, earlier research focused only on a subset of variable groups (predominantly one or two) that can contribute to the COVID-19 transmission/mortality rate. The current study effort is designed to remedy this by analyzing COVID-19 transmission/mortality rates considering a comprehensive set of factors in a unified framework. Method: We study two per capita dependent variables: (1) daily COVID-19 transmission rates and (2) total COVID-19 mortality rates. The first variable is modeled using a linear mixed model while the later dimension is analyzed using a linear regression approach. The model results are augmented with a sensitivity analysis to predict the impact of mobility restrictions at a county level. Findings: Several county level factors including proportion of African-Americans, income inequality, health indicators associated with Asthma, Cancer, HIV and heart disease, percentage of stay at home individuals, testing infrastructure and Intensive Care Unit capacity impact transmission and/or mortality rates. From the policy analysis, we find that enforcing a stay at home order that can ensure a 50% stay at home rate can result in a potential reduction of about 30% in daily cases. Interpretation: The model framework developed can be employed by government agencies to evaluate the influence of reduced mobility on transmission rates at a county level while accommodating for various county specific factors. Based on our policy analysis, the study findings support a county level stay at home order for regions currently experiencing a surge in transmission. The model framework can also be employed to identify vulnerable counties that need to be prioritized based on health indicators for current support and/or preferential vaccination plans (when available).","author":[{"dropping-particle":"","family":"Bhowmik","given":"Tanmoy","non-dropping-particle":"","parse-names":false,"suffix":""},{"dropping-particle":"","family":"Tirtha","given":"Sudipta Dey","non-dropping-particle":"","parse-names":false,"suffix":""},{"dropping-particle":"","family":"Iraganaboina","given":"Naveen Chandra","non-dropping-particle":"","parse-names":false,"suffix":""},{"dropping-particle":"","family":"Eluru","given":"Naveen","non-dropping-particle":"","parse-names":false,"suffix":""}],"container-title":"medRxiv","id":"ITEM-1","issued":{"date-parts":[["2020"]]},"title":"A comprehensive analysis of COVID-19 transmission and fatality rates at the county level in the United States considering socio-demographics, health indicators, mobility trends and health care infrastructure attributes","type":"article-journal"},"uris":["http://www.mendeley.com/documents/?uuid=f351c73a-be65-3c50-8c60-c2e9ac1a09ce"]},{"id":"ITEM-2","itemData":{"DOI":"10.1016/S1473-3099(20)30553-3","ISSN":"14744457","PMID":"32621869","abstract":"Background: Within 4 months of COVID-19 first being reported in the USA, it spread to every state and to more than 90% of all counties. During this period, the US COVID-19 response was highly decentralised, with stay-at-home directives issued by state and local officials, subject to varying levels of enforcement. The absence of a centralised policy and timeline combined with the complex dynamics of human mobility and the variable intensity of local outbreaks makes assessing the effect of large-scale social distancing on COVID-19 transmission in the USA a challenge. Methods: We used daily mobility data derived from aggregated and anonymised cell (mobile) phone data, provided by Teralytics (Zürich, Switzerland) from Jan 1 to April 20, 2020, to capture real-time trends in movement patterns for each US county, and used these data to generate a social distancing metric. We used epidemiological data to compute the COVID-19 growth rate ratio for a given county on a given day. Using these metrics, we evaluated how social distancing, measured by the relative change in mobility, affected the rate of new infections in the 25 counties in the USA with the highest number of confirmed cases on April 16, 2020, by fitting a statistical model for each county. Findings: Our analysis revealed that mobility patterns are strongly correlated with decreased COVID-19 case growth rates for the most affected counties in the USA, with Pearson correlation coefficients above 0·7 for 20 of the 25 counties evaluated. Additionally, the effect of changes in mobility patterns, which dropped by 35–63% relative to the normal conditions, on COVID-19 transmission are not likely to be perceptible for 9–12 days, and potentially up to 3 weeks, which is consistent with the incubation time of severe acute respiratory syndrome coronavirus 2 plus additional time for reporting. We also show evidence that behavioural changes were already underway in many US counties days to weeks before state-level or local-level stay-at-home policies were implemented, implying that individuals anticipated public health directives where social distancing was adopted, despite a mixed political message. Interpretation: This study strongly supports a role of social distancing as an effective way to mitigate COVID-19 transmission in the USA. Until a COVID-19 vaccine is widely available, social distancing will remain one of the primary measures to combat disease spread, and these findings should serve to support more time…","author":[{"dropping-particle":"","family":"Badr","given":"Hamada S.","non-dropping-particle":"","parse-names":false,"suffix":""},{"dropping-particle":"","family":"Du","given":"Hongru","non-dropping-particle":"","parse-names":false,"suffix":""},{"dropping-particle":"","family":"Marshall","given":"Maximilian","non-dropping-particle":"","parse-names":false,"suffix":""},{"dropping-particle":"","family":"Dong","given":"Ensheng","non-dropping-particle":"","parse-names":false,"suffix":""},{"dropping-particle":"","family":"Squire","given":"Marietta M.","non-dropping-particle":"","parse-names":false,"suffix":""},{"dropping-particle":"","family":"Gardner","given":"Lauren M.","non-dropping-particle":"","parse-names":false,"suffix":""}],"container-title":"The Lancet Infectious Diseases","id":"ITEM-2","issue":"11","issued":{"date-parts":[["2020","11","1"]]},"page":"1247-1254","publisher":"Lancet Publishing Group","title":"Association between mobility patterns and COVID-19 transmission in the USA: a mathematical modelling study","type":"article-journal","volume":"20"},"uris":["http://www.mendeley.com/documents/?uuid=1cdf88c8-00b0-37a3-a303-450201bddcb1"]}],"mendeley":{"formattedCitation":"&lt;sup&gt;8,9&lt;/sup&gt;","plainTextFormattedCitation":"8,9","previouslyFormattedCitation":"&lt;sup&gt;8,9&lt;/sup&gt;"},"properties":{"noteIndex":0},"schema":"https://github.com/citation-style-language/schema/raw/master/csl-citation.json"}</w:instrText>
      </w:r>
      <w:r w:rsidR="00A82766">
        <w:rPr>
          <w:rFonts w:cs="Times New Roman"/>
          <w:szCs w:val="24"/>
        </w:rPr>
        <w:fldChar w:fldCharType="separate"/>
      </w:r>
      <w:r w:rsidR="00B44ACC" w:rsidRPr="00B44ACC">
        <w:rPr>
          <w:rFonts w:cs="Times New Roman"/>
          <w:noProof/>
          <w:szCs w:val="24"/>
          <w:vertAlign w:val="superscript"/>
        </w:rPr>
        <w:t>8,9</w:t>
      </w:r>
      <w:r w:rsidR="00A82766">
        <w:rPr>
          <w:rFonts w:cs="Times New Roman"/>
          <w:szCs w:val="24"/>
        </w:rPr>
        <w:fldChar w:fldCharType="end"/>
      </w:r>
      <w:r w:rsidR="00A82766">
        <w:rPr>
          <w:rFonts w:cs="Times New Roman"/>
          <w:szCs w:val="24"/>
        </w:rPr>
        <w:t xml:space="preserve"> for detail</w:t>
      </w:r>
      <w:r w:rsidR="00E05D4A">
        <w:rPr>
          <w:rFonts w:cs="Times New Roman"/>
          <w:szCs w:val="24"/>
        </w:rPr>
        <w:t>s</w:t>
      </w:r>
      <w:r w:rsidR="00A82766">
        <w:rPr>
          <w:rFonts w:cs="Times New Roman"/>
          <w:szCs w:val="24"/>
        </w:rPr>
        <w:t>)</w:t>
      </w:r>
      <w:r>
        <w:rPr>
          <w:rFonts w:cs="Times New Roman"/>
          <w:szCs w:val="24"/>
        </w:rPr>
        <w:t xml:space="preserve">. </w:t>
      </w:r>
      <w:r w:rsidR="004F0A84">
        <w:rPr>
          <w:rFonts w:cs="Times New Roman"/>
          <w:szCs w:val="24"/>
        </w:rPr>
        <w:t xml:space="preserve">However, only a limited amount of research has examined detailed hospitalization data </w:t>
      </w:r>
      <w:r w:rsidR="004F0A84">
        <w:rPr>
          <w:rFonts w:cs="Times New Roman"/>
          <w:szCs w:val="24"/>
        </w:rPr>
        <w:fldChar w:fldCharType="begin" w:fldLock="1"/>
      </w:r>
      <w:r w:rsidR="00F665EB">
        <w:rPr>
          <w:rFonts w:cs="Times New Roman"/>
          <w:szCs w:val="24"/>
        </w:rPr>
        <w:instrText>ADDIN CSL_CITATION {"citationItems":[{"id":"ITEM-1","itemData":{"DOI":"10.3390/ijerph17145210","ISSN":"16604601","PMID":"32707674","abstract":"(1) Background: To evaluate the level of hospital bed numbers in U.S. states relative to other countries using a new method for evaluating bed numbers, and to determine if this is sufficient for universal health care during a major Covid-19 epidemic in all states (2) Methods: Hospital bed numbers in each state were compared using a new international comparison methodology. Covid-19 deaths per 100 hospital beds were used as a proxy for bed capacity pressures. (3) Results: Hospital bed numbers show large variation between U.S. states and half of the states have equivalent beds to those in developing countries. Relatively low population density in over half of US states appeared to have limited the spread of Covid-19 thus averting a potential major hospital capacity crisis. (4) Conclusions: Many U.S. states had too few beds to cope with a major Covid-19 epidemic, but this was averted by low population density in many states, which seemed to limit the spread of the virus.","author":[{"dropping-particle":"","family":"Jones","given":"Rodney P.","non-dropping-particle":"","parse-names":false,"suffix":""}],"container-title":"International Journal of Environmental Research and Public Health","id":"ITEM-1","issue":"14","issued":{"date-parts":[["2020"]]},"page":"1-14","title":"Would the United States have had too few beds for universal emergency care in the event of a more widespread Covid-19 epidemic?","type":"article-journal","volume":"17"},"uris":["http://www.mendeley.com/documents/?uuid=232964dd-521c-448f-b551-6dbd7ac279f4"]},{"id":"ITEM-2","itemData":{"abstract":"As COVID-19 spreads across the United States, concerns mount that the need for hospital beds will overwhelm national capacity, putting severe strains on the health care system and limiting access to necessary care. As federal, state, and local policymakers prepare for a potentially very large increase in demand for inpatient hospital care, they must understand how existing bed capacity varies across states and communities.","author":[{"dropping-particle":"","family":"Blavin","given":"F.","non-dropping-particle":"","parse-names":false,"suffix":""},{"dropping-particle":"","family":"Arnos D.","given":"","non-dropping-particle":"","parse-names":false,"suffix":""}],"container-title":"Rober Wood Johnson Foundation","id":"ITEM-2","issued":{"date-parts":[["2020"]]},"page":"1-7","title":"Hospital Readiness for COVID-19: Analysis of Bed Capacity and How it Varies Across the Country - RWJF","type":"article-journal"},"uris":["http://www.mendeley.com/documents/?uuid=dc0b132e-340b-46fb-ae61-0e5f2b351f58"]},{"id":"ITEM-3","itemData":{"DOI":"10.1093/cid/ciaa1419","ISSN":"1058-4838","abstract":"BACKGROUND Data on risk factors for COVID-19-associated hospitalization are needed to guide prevention efforts and clinical care. We sought to identify factors independently associated with COVID-19-associated hospitalizations. METHODS U.</w:instrText>
      </w:r>
      <w:r w:rsidR="00F665EB">
        <w:rPr>
          <w:rFonts w:cs="Times New Roman" w:hint="eastAsia"/>
          <w:szCs w:val="24"/>
        </w:rPr>
        <w:instrText>S. community-dwelling adults (</w:instrText>
      </w:r>
      <w:r w:rsidR="00F665EB">
        <w:rPr>
          <w:rFonts w:cs="Times New Roman" w:hint="eastAsia"/>
          <w:szCs w:val="24"/>
        </w:rPr>
        <w:instrText>≥</w:instrText>
      </w:r>
      <w:r w:rsidR="00F665EB">
        <w:rPr>
          <w:rFonts w:cs="Times New Roman" w:hint="eastAsia"/>
          <w:szCs w:val="24"/>
        </w:rPr>
        <w:instrText>18 years) hospitalized with laboratory-confirmed COVID-19 during March 1-June 23, 2020 were identified from the COVID-19-Associated Hospitalization Surveillance Network (COVID-NET), a multi-state surveillance system. To calc</w:instrText>
      </w:r>
      <w:r w:rsidR="00F665EB">
        <w:rPr>
          <w:rFonts w:cs="Times New Roman"/>
          <w:szCs w:val="24"/>
        </w:rPr>
        <w:instrText>ulate hospitalization rates by age, sex, and race/ethnicity strata, COVID-NET data served as the numerator and Behavioral Risk Factor Surveillance System estimates served as the population denominator for characteristics of interest. Underlying medical co</w:instrText>
      </w:r>
      <w:r w:rsidR="00F665EB">
        <w:rPr>
          <w:rFonts w:cs="Times New Roman" w:hint="eastAsia"/>
          <w:szCs w:val="24"/>
        </w:rPr>
        <w:instrText xml:space="preserve">nditions examined included hypertension, coronary artery disease, history of stroke, diabetes, obesity [BMI </w:instrText>
      </w:r>
      <w:r w:rsidR="00F665EB">
        <w:rPr>
          <w:rFonts w:cs="Times New Roman" w:hint="eastAsia"/>
          <w:szCs w:val="24"/>
        </w:rPr>
        <w:instrText>≥</w:instrText>
      </w:r>
      <w:r w:rsidR="00F665EB">
        <w:rPr>
          <w:rFonts w:cs="Times New Roman" w:hint="eastAsia"/>
          <w:szCs w:val="24"/>
        </w:rPr>
        <w:instrText>30 kg/m 2], severe obesity [BMI</w:instrText>
      </w:r>
      <w:r w:rsidR="00F665EB">
        <w:rPr>
          <w:rFonts w:cs="Times New Roman" w:hint="eastAsia"/>
          <w:szCs w:val="24"/>
        </w:rPr>
        <w:instrText>≥</w:instrText>
      </w:r>
      <w:r w:rsidR="00F665EB">
        <w:rPr>
          <w:rFonts w:cs="Times New Roman" w:hint="eastAsia"/>
          <w:szCs w:val="24"/>
        </w:rPr>
        <w:instrText xml:space="preserve">40 kg/m 2], chronic kidney disease, asthma, and chronic obstructive pulmonary disease. Generalized Poisson regression models were used to calculate adjusted rate ratios (aRR) for hospitalization. RESULTS Among 5,416 adults, hospitalization rates were higher among those with </w:instrText>
      </w:r>
      <w:r w:rsidR="00F665EB">
        <w:rPr>
          <w:rFonts w:cs="Times New Roman" w:hint="eastAsia"/>
          <w:szCs w:val="24"/>
        </w:rPr>
        <w:instrText>≥</w:instrText>
      </w:r>
      <w:r w:rsidR="00F665EB">
        <w:rPr>
          <w:rFonts w:cs="Times New Roman" w:hint="eastAsia"/>
          <w:szCs w:val="24"/>
        </w:rPr>
        <w:instrText>3 underlying conditions (versus without)(aRR: 5.0; 95%CI: 3.9, 6.3), severe obesity (aRR:4.4;</w:instrText>
      </w:r>
      <w:r w:rsidR="00F665EB">
        <w:rPr>
          <w:rFonts w:cs="Times New Roman"/>
          <w:szCs w:val="24"/>
        </w:rPr>
        <w:instrText xml:space="preserve"> 95%CI: 3.4, 5.7), chronic kidney disease (aRR:4.0; 95%CI: 3.0, 5.2), diabetes (aRR:3.2; 95%CI: 2.5, 4.1), obesity (aRR:2.9; 95%CI: 2.3, 3.5), hypertension (aRR:2.8; 95%CI: 2.3, 3.4), and asthma (aRR:1.4; 95%CI: 1.1, 1.7), after adjusting for age, sex, an</w:instrText>
      </w:r>
      <w:r w:rsidR="00F665EB">
        <w:rPr>
          <w:rFonts w:cs="Times New Roman" w:hint="eastAsia"/>
          <w:szCs w:val="24"/>
        </w:rPr>
        <w:instrText xml:space="preserve">d race/ethnicity. Adjusting for the presence of an individual underlying medical condition, higher hospitalization rates were observed for adults aged </w:instrText>
      </w:r>
      <w:r w:rsidR="00F665EB">
        <w:rPr>
          <w:rFonts w:cs="Times New Roman" w:hint="eastAsia"/>
          <w:szCs w:val="24"/>
        </w:rPr>
        <w:instrText>≥</w:instrText>
      </w:r>
      <w:r w:rsidR="00F665EB">
        <w:rPr>
          <w:rFonts w:cs="Times New Roman" w:hint="eastAsia"/>
          <w:szCs w:val="24"/>
        </w:rPr>
        <w:instrText>65, 45-64 (versus 18-44 years), males (versus females), and non-Hispanic black and other race/ethniciti</w:instrText>
      </w:r>
      <w:r w:rsidR="00F665EB">
        <w:rPr>
          <w:rFonts w:cs="Times New Roman"/>
          <w:szCs w:val="24"/>
        </w:rPr>
        <w:instrText>es (versus non-Hispanic whites). CONCLUSION Our findings elucidate groups with higher hospitalization risk that may benefit from targeted preventive and therapeutic interventions.","author":[{"dropping-particle":"","family":"Ko","given":"Jean Y","non-dropping-particle":"","parse-names":false,"suffix":""},{"dropping-particle":"","family":"Danielson","given":"Melissa L","non-dropping-particle":"","parse-names":false,"suffix":""},{"dropping-particle":"","family":"Town","given":"Machell","non-dropping-particle":"","parse-names":false,"suffix":""},{"dropping-particle":"","family":"Derado","given":"Gordana","non-dropping-particle":"","parse-names":false,"suffix":""},{"dropping-particle":"","family":"Greenlund","given":"Kurt J","non-dropping-particle":"","parse-names":false,"suffix":""},{"dropping-particle":"","family":"Kirley","given":"Pam Daily","non-dropping-particle":"","parse-names":false,"suffix":""},{"dropping-particle":"","family":"Alden","given":"Nisha B","non-dropping-particle":"","parse-names":false,"suffix":""},{"dropping-particle":"","family":"Yousey-Hindes","given":"Kimberly","non-dropping-particle":"","parse-names":false,"suffix":""},{"dropping-particle":"","family":"Anderson","given":"Evan J","non-dropping-particle":"","parse-names":false,"suffix":""},{"dropping-particle":"","family":"Ryan","given":"Patricia A","non-dropping-particle":"","parse-names":false,"suffix":""},{"dropping-particle":"","family":"Kim","given":"Sue","non-dropping-particle":"","parse-names":false,"suffix":""},{"dropping-particle":"","family":"Lynfield","given":"Ruth","non-dropping-particle":"","parse-names":false,"suffix":""},{"dropping-particle":"","family":"Torres","given":"Salina M","non-dropping-particle":"","parse-names":false,"suffix":""},{"dropping-particle":"","family":"Barney","given":"Grant R","non-dropping-particle":"","parse-names":false,"suffix":""},{"dropping-particle":"","family":"Bennett","given":"Nancy M","non-dropping-particle":"","parse-names":false,"suffix":""},{"dropping-particle":"","family":"Sutton","given":"Melissa","non-dropping-particle":"","parse-names":false,"suffix":""},{"dropping-particle":"","family":"Talbot","given":"H Keipp","non-dropping-particle":"","parse-names":false,"suffix":""},{"dropping-particle":"","family":"Hill","given":"Mary","non-dropping-particle":"","parse-names":false,"suffix":""},{"dropping-particle":"","family":"Hall","given":"Aron J","non-dropping-particle":"","parse-names":false,"suffix":""},{"dropping-particle":"","family":"Fry","given":"Alicia M","non-dropping-particle":"","parse-names":false,"suffix":""},{"dropping-particle":"","family":"Garg","given":"Shikha","non-dropping-particle":"","parse-names":false,"suffix":""},{"dropping-particle":"","family":"Kim","given":"Lindsay","non-dropping-particle":"","parse-names":false,"suffix":""},{"dropping-particle":"","family":"Whitaker","given":"Michael","non-dropping-particle":"","parse-names":false,"suffix":""},{"dropping-particle":"","family":"O’Halloran","given":"Alissa","non-dropping-particle":"","parse-names":false,"suffix":""},{"dropping-particle":"","family":"Holstein","given":"Rachel","non-dropping-particle":"","parse-names":false,"suffix":""},{"dropping-particle":"","family":"Garvin","given":"William","non-dropping-particle":"","parse-names":false,"suffix":""},{"dropping-particle":"","family":"Chai","given":"Shua J","non-dropping-particle":"","parse-names":false,"suffix":""},{"dropping-particle":"","family":"Kawasaki","given":"Breanna","non-dropping-particle":"","parse-names":false,"suffix":""},{"dropping-particle":"","family":"Meek","given":"James","non-dropping-particle":"","parse-names":false,"suffix":""},{"dropping-particle":"","family":"Openo","given":"Kyle P","non-dropping-particle":"","parse-names":false,"suffix":""},{"dropping-particle":"","family":"Monroe","given":"Maya L","non-dropping-particle":"","parse-names":false,"suffix":""},{"dropping-particle":"","family":"Henderson","given":"Justin","non-dropping-particle":"","parse-names":false,"suffix":""},{"dropping-particle":"","family":"Como-Sabetti","given":"Kathy","non-dropping-particle":"","parse-names":false,"suffix":""},{"dropping-particle":"","family":"Davis","given":"Sarah Shrum","non-dropping-particle":"","parse-names":false,"suffix":""},{"dropping-particle":"","family":"Spina","given":"Nancy L","non-dropping-particle":"","parse-names":false,"suffix":""},{"dropping-particle":"","family":"Felsen","given":"Christina B","non-dropping-particle":"","parse-names":false,"suffix":""},{"dropping-particle":"","family":"West","given":"Nicole","non-dropping-particle":"","parse-names":false,"suffix":""},{"dropping-particle":"","family":"Schaffner","given":"William","non-dropping-particle":"","parse-names":false,"suffix":""},{"dropping-particle":"","family":"George","given":"Andrea","non-dropping-particle":"","parse-names":false,"suffix":""},{"dropping-particle":"","family":"Whitaker","given":"Michael","non-dropping-particle":"","parse-names":false,"suffix":""},{"dropping-particle":"","family":"O’Halloran","given":"Alissa","non-dropping-particle":"","parse-names":false,"suffix":""},{"dropping-particle":"","family":"Holstein","given":"Rachel","non-dropping-particle":"","parse-names":false,"suffix":""},{"dropping-particle":"","family":"Garvin","given":"William","non-dropping-particle":"","parse-names":false,"suffix":""},{"dropping-particle":"","family":"Chai","given":"Shua J","non-dropping-particle":"","parse-names":false,"suffix":""},{"dropping-particle":"","family":"Kawasaki","given":"Breanna","non-dropping-particle":"","parse-names":false,"suffix":""},{"dropping-particle":"","family":"Meek","given":"James","non-dropping-particle":"","parse-names":false,"suffix":""},{"dropping-particle":"","family":"Openo","given":"Kyle P","non-dropping-particle":"","parse-names":false,"suffix":""},{"dropping-particle":"","family":"Monroe","given":"Maya L","non-dropping-particle":"","parse-names":false,"suffix":""},{"dropping-particle":"","family":"Henderson","given":"Justin","non-dropping-particle":"","parse-names":false,"suffix":""},{"dropping-particle":"","family":"Como-Sabetti","given":"Kathy","non-dropping-particle":"","parse-names":false,"suffix":""},{"dropping-particle":"","family":"Davis","given":"Sarah Shrum","non-dropping-particle":"","parse-names":false,"suffix":""},{"dropping-particle":"","family":"Spina","given":"Nancy L","non-dropping-particle":"","parse-names":false,"suffix":""},{"dropping-particle":"","family":"Felsen","given":"Christina B","non-dropping-particle":"","parse-names":false,"suffix":""},{"dropping-particle":"","family":"West","given":"Nicole","non-dropping-particle":"","parse-names":false,"suffix":""},{"dropping-particle":"","family":"Schaffner","given":"William","non-dropping-particle":"","parse-names":false,"suffix":""},{"dropping-particle":"","family":"George","given":"Andrea","non-dropping-particle":"","parse-names":false,"suffix":""}],"container-title":"Clinical Infectious Diseases","id":"ITEM-3","issue":"Xx Xxxx","issued":{"date-parts":[["2020"]]},"page":"1-9","title":"Risk Factors for Coronavirus Disease 2019 (COVID-19)–Associated Hospitalization: COVID-19–Associated Hospitalization Surveillance Network and Behavioral Risk Factor Surveillance System","type":"article-journal","volume":"2019"},"uris":["http://www.mendeley.com/documents/?uuid=708e1892-b99d-469f-ac56-21456eb5e25b"]},{"id":"ITEM-4","itemData":{"DOI":"10.31219/osf.io/g8s96","ISSN":"1741-7015","author":[{"dropping-particle":"","family":"Verhagen","given":"Mark","non-dropping-particle":"","parse-names":false,"suffix":""},{"dropping-particle":"","family":"Brazel","given":"David","non-dropping-particle":"","parse-names":false,"suffix":""},{"dropping-particle":"","family":"Dowd","given":"Jennifer Beam","non-dropping-particle":"","parse-names":false,"suffix":""},{"dropping-particle":"","family":"Kashnitsky","given":"Ilya","non-dropping-particle":"","parse-names":false,"suffix":""},{"dropping-particle":"","family":"Mills","given":"Melinda","non-dropping-particle":"","parse-names":false,"suffix":""}],"container-title":"BMC Medicine","id":"ITEM-4","issued":{"date-parts":[["2020"]]},"page":"203","title":"Forecasting spatial, socioeconomic and demographic variation in COVID-19 health care demand in England and Wales","type":"article-journal","volume":"18"},"uris":["http://www.mendeley.com/documents/?uuid=14ac25af-b042-4037-b6e3-aeeb172242fe"]},{"id":"ITEM-5","itemData":{"DOI":"10.1101/2020.03.26.20044842","abstract":"COVID-19 threatens to overwhelm hospital facilities throughout the United States. We created an interactive, quantitative model that forecasts demand for COVID-19 related hospitalization based on county-level population characteristics, data from the literature on COVID-19, and data from online repositories. Using this information as well as user inputs, the model estimates a time series of demand for intensive care beds and acute care beds as well as the availability of those beds. The online model is designed to be intuitive and interactive so that local leaders with limited technical or epidemiological expertise may make decisions based on a variety of scenarios. This complements high-level models designed for public consumption and technically sophisticated models designed for use by epidemiologists. The model is actively being used by several academic medical centers and policy makers, and we believe that broader access will continue to aid community and hospital leaders in their response to COVID-19.","author":[{"dropping-particle":"","family":"Ferstad","given":"Johannes O.","non-dropping-particle":"","parse-names":false,"suffix":""},{"dropping-particle":"","family":"Gu","given":"Angela","non-dropping-particle":"","parse-names":false,"suffix":""},{"dropping-particle":"","family":"Lee","given":"Raymond Y.","non-dropping-particle":"","parse-names":false,"suffix":""},{"dropping-particle":"","family":"Thapa","given":"Isha","non-dropping-particle":"","parse-names":false,"suffix":""},{"dropping-particle":"","family":"Shin","given":"Andrew Y.","non-dropping-particle":"","parse-names":false,"suffix":""},{"dropping-particle":"","family":"Salomon","given":"Joshua A.","non-dropping-particle":"","parse-names":false,"suffix":""},{"dropping-particle":"","family":"Glynn","given":"Peter","non-dropping-particle":"","parse-names":false,"suffix":""},{"dropping-particle":"","family":"Shah","given":"Nigam H.","non-dropping-particle":"","parse-names":false,"suffix":""},{"dropping-particle":"","family":"Milstein","given":"Arnold","non-dropping-particle":"","parse-names":false,"suffix":""},{"dropping-particle":"","family":"Schulman","given":"Kevin","non-dropping-particle":"","parse-names":false,"suffix":""},{"dropping-particle":"","family":"Scheinker","given":"David","non-dropping-particle":"","parse-names":false,"suffix":""}],"container-title":"medRxiv","id":"ITEM-5","issued":{"date-parts":[["2020"]]},"title":"A model to forecast regional demand for COVID-19 related hospital beds","type":"article-journal"},"uris":["http://www.mendeley.com/documents/?uuid=c60d9ac0-5056-412d-beca-5ac996fb0756"]},{"id":"ITEM-6","itemData":{"DOI":"10.1101/2020.04.01.20049759","abstract":"Background As of March 26, 2020, the United States had the highest number of confirmed cases of Novel Coronavirus (COVID-19) of any country in the world. Hospital critical care is perhaps the most important medical system choke point in terms of preventing deaths in a disaster scenario such as the current COVID-19 pandemic. We therefore brought together previously established disease modeling estimates of the growth of the COVID-19 epidemic in the US under various social distancing contact reduction assumptions, with local estimates of the potential critical care surge response across all US counties. Methods Estimates of spatio-temporal COVID-19 demand and medical system critical care supply were calculated for all continental US counties. These estimates were statistically summarized and mapped for US counties, regions and urban versus non-urban areas. Estimates of COVID-19 infections and patients needing critical care were calculated from March 24, 2020 to April 24, 2020 for three different estimated population levels – 0%, 25%, and 50% – of contact reduction (through actions such as social distancing). Multiple national public and private datasets were linked and harmonized in order to calculate county-level critical care bed counts that included currently available beds and those that could be made available under four surge response scenarios – very low, low, medium, and high – as well as excess deaths stemming from inaccessible critical care. Results Surge response scenarios ranged from a very low total supply 77,588 critical care beds to a high total of 278,850 critical care beds. Over the four week study period, excess deaths from inaccessible critical care ranged from 24,688 in the very low response scenario to 13,268 in the high response scenario. Northeastern and urban counties were projected to be most affected by excess deaths due to critical care shortages, and counties in New York, Colorado, and Virginia were projected to exceed their critical care bed limits despite high levels of COVID-19 contact reduction. Over the four week study period, an estimated 12,203-19,594 excess deaths stemming from inaccessible critical care could be averted through greater preventive actions such as travel restrictions, publicly imposed contact precautions, greater availability of rapid testing for COVID-19, social distancing, self-isolation when sick, and similar interventions. An estimated 4,029-11,420 excess deaths stemming from inaccessible critical ca…","author":[{"dropping-particle":"","family":"Branas","given":"Charles C.","non-dropping-particle":"","parse-names":false,"suffix":""},{"dropping-particle":"","family":"Rundle","given":"Andrew","non-dropping-particle":"","parse-names":false,"suffix":""},{"dropping-particle":"","family":"Pei","given":"Sen","non-dropping-particle":"","parse-names":false,"suffix":""},{"dropping-particle":"","family":"Yang","given":"Wan","non-dropping-particle":"","parse-names":false,"suffix":""},{"dropping-particle":"","family":"Carr","given":"Brendan G.","non-dropping-particle":"","parse-names":false,"suffix":""},{"dropping-particle":"","family":"Sims","given":"Sarah","non-dropping-particle":"","parse-names":false,"suffix":""},{"dropping-particle":"","family":"Zebrowski","given":"Alexis","non-dropping-particle":"","parse-names":false,"suffix":""},{"dropping-particle":"","family":"Doorley","given":"Ronan","non-dropping-particle":"","parse-names":false,"suffix":""},{"dropping-particle":"","family":"Schluger","given":"Neil","non-dropping-particle":"","parse-names":false,"suffix":""},{"dropping-particle":"","family":"Quinn","given":"James W.","non-dropping-particle":"","parse-names":false,"suffix":""},{"dropping-particle":"","family":"Shaman","given":"Jeffrey","non-dropping-particle":"","parse-names":false,"suffix":""}],"container-title":"medRxiv","id":"ITEM-6","issued":{"date-parts":[["2020"]]},"page":"1-14","title":"Flattening the curve before it flattens us: hospital critical care capacity limits and mortality from novel coronavirus (SARS-CoV2) cases in US counties","type":"article-journal"},"uris":["http://www.mendeley.com/documents/?uuid=3e3aa24c-5572-4b1b-a01e-109b7a2e985c"]},{"id":"ITEM-7","itemData":{"author":[{"dropping-particle":"","family":"Zhang","given":"Teng","non-dropping-particle":"","parse-names":false,"suffix":""},{"dropping-particle":"","family":"Mcfarlane","given":"Kelly","non-dropping-particle":"","parse-names":false,"suffix":""},{"dropping-particle":"","family":"Vallon","given":"Jacqueline","non-dropping-particle":"","parse-names":false,"suffix":""},{"dropping-particle":"","family":"Ba","given":"B S","non-dropping-particle":"","parse-names":false,"suffix":""},{"dropping-particle":"","family":"Yang","given":"Linying","non-dropping-particle":"","parse-names":false,"suffix":""},{"dropping-particle":"","family":"Xie","given":"Jin","non-dropping-particle":"","parse-names":false,"suffix":""},{"dropping-particle":"","family":"Blanchet","given":"Jose","non-dropping-particle":"","parse-names":false,"suffix":""},{"dropping-particle":"","family":"Glynn","given":"Peter","non-dropping-particle":"","parse-names":false,"suffix":""},{"dropping-particle":"","family":"Staudenmayer","given":"Kristan","non-dropping-particle":"","parse-names":false,"suffix":""},{"dropping-particle":"","family":"Schulman","given":"Kevin","non-dropping-particle":"","parse-names":false,"suffix":""},{"dropping-particle":"","family":"Scheinker","given":"David","non-dropping-particle":"","parse-names":false,"suffix":""}],"id":"ITEM-7","issued":{"date-parts":[["2020"]]},"page":"24-28","title":"A model to estimate bed demand for COVID-19 related hospitalization Department of Management Science and Engineering , Stanford University School of Engineering , Stanford Graduate School of Business , Stanford , CA Harvard Medical School , Boston , MA In","type":"article-journal"},"uris":["http://www.mendeley.com/documents/?uuid=54c1cf2d-3971-4a15-8062-c394896edb0c"]},{"id":"ITEM-8","itemData":{"author":[{"dropping-particle":"","family":"Badger","given":"Doug","non-dropping-particle":"","parse-names":false,"suffix":""},{"dropping-particle":"","family":"Michel","given":"Norbert J","non-dropping-particle":"","parse-names":false,"suffix":""},{"dropping-particle":"","family":"Carolina","given":"North","non-dropping-particle":"","parse-names":false,"suffix":""},{"dropping-particle":"","family":"Carolina","given":"South","non-dropping-particle":"","parse-names":false,"suffix":""}],"id":"ITEM-8","issue":"3487","issued":{"date-parts":[["2020"]]},"title":"Coronavirus : Policymakers Should Augment Hospital Capacity Where Needed , Not Mandate Permanent Excess Capacity Arizona","type":"article-journal"},"uris":["http://www.mendeley.com/documents/?uuid=2f5ffed9-f065-4d44-9139-8eadc63efc21"]},{"id":"ITEM-9","itemData":{"DOI":"10.7326/M20-1260","ISSN":"15393704","PMID":"32259197","abstract":"BACKGROUND: The coronavirus disease 2019 (COVID-19) pandemic challenges hospital leaders to make time-sensitive, critical decisions about clinical operations and resource allocations. OBJECTIVE: To estimate the timing of surges in clinical demand and the best- and worst-case scenarios of local COVID-19-induced strain on hospital capacity, and thus inform clinical operations and staffing demands and identify when hospital capacity would be saturated. DESIGN: Monte Carlo simulation instantiation of a susceptible, infected, removed (SIR) model with a 1-day cycle. SETTING: 3 hospitals in an academic health system. PATIENTS: All people living in the greater Philadelphia region. MEASUREMENTS: The COVID-19 Hospital Impact Model (CHIME) (http://penn-chime.phl.io) SIR model was used to estimate the time from 23 March 2020 until hospital capacity would probably be exceeded, and the intensity of the surge, including for intensive care unit (ICU) beds and ventilators. RESULTS: Using patients with COVID-19 alone, CHIME estimated that it would be 31 to 53 days before demand exceeds existing hospital capacity. In best- and worst-case scenarios of surges in the number of patients with COVID-19, the needed total capacity for hospital beds would reach 3131 to 12 650 across the 3 hospitals, including 338 to 1608 ICU beds and 118 to 599 ventilators. LIMITATIONS: Model parameters were taken directly or derived from published data across heterogeneous populations and practice environments and from the health system's historical data. CHIME does not incorporate more transition states to model infection severity, social networks to model transmission dynamics, or geographic information to account for spatial patterns of human interaction. CONCLUSION: Publicly available and designed for hospital operations leaders, this modeling tool can inform preparations for capacity strain during the early days of a pandemic. PRIMARY FUNDING SOURCE: University of Pennsylvania Health System and the Palliative and Advanced Illness Research Center.","author":[{"dropping-particle":"","family":"Weissman","given":"Gary E.","non-dropping-particle":"","parse-names":false,"suffix":""},{"dropping-particle":"","family":"Crane-Droesch","given":"Andrew","non-dropping-particle":"","parse-names":false,"suffix":""},{"dropping-particle":"","family":"Chivers","given":"Corey","non-dropping-particle":"","parse-names":false,"suffix":""},{"dropping-particle":"","family":"Luong","given":"Thai Binh","non-dropping-particle":"","parse-names":false,"suffix":""},{"dropping-particle":"","family":"Hanish","given":"Asaf","non-dropping-particle":"","parse-names":false,"suffix":""},{"dropping-particle":"","family":"Levy","given":"Michael Z.","non-dropping-particle":"","parse-names":false,"suffix":""},{"dropping-particle":"","family":"Lubken","given":"Jason","non-dropping-particle":"","parse-names":false,"suffix":""},{"dropping-particle":"","family":"Becker","given":"Michael","non-dropping-particle":"","parse-names":false,"suffix":""},{"dropping-particle":"","family":"Draugelis","given":"Michael E.","non-dropping-particle":"","parse-names":false,"suffix":""},{"dropping-particle":"","family":"Anesi","given":"George L.","non-dropping-particle":"","parse-names":false,"suffix":""},{"dropping-particle":"","family":"Brennan","given":"Patrick J.","non-dropping-particle":"","parse-names":false,"suffix":""},{"dropping-particle":"","family":"Christie","given":"Jason D.","non-dropping-particle":"","parse-names":false,"suffix":""},{"dropping-particle":"","family":"Hanson","given":"C. William","non-dropping-particle":"","parse-names":false,"suffix":""},{"dropping-particle":"","family":"Mikkelsen","given":"Mark E.","non-dropping-particle":"","parse-names":false,"suffix":""},{"dropping-particle":"","family":"Halpern","given":"Scott D.","non-dropping-particle":"","parse-names":false,"suffix":""}],"container-title":"Annals of internal medicine","id":"ITEM-9","issue":"1","issued":{"date-parts":[["2020"]]},"page":"21-28","title":"Locally Informed Simulation to Predict Hospital Capacity Needs During the COVID-19 Pandemic","type":"article-journal","volume":"173"},"uris":["http://www.mendeley.com/documents/?uuid=6bc1d0b0-acf4-4f30-8699-65c46799110b"]},{"id":"ITEM-10","itemData":{"abstract":"1. Health, Education, and Welfare - General 2. Health, Education, and Welfare - Health 3. Health, Education, and Welfare - Health - Health Behavior 4. Health, Education, and Welfare - Health - Government Policy &amp;bull; Regulation &amp;bull; Public Health","author":[{"dropping-particle":"","family":"Cantor","given":"Jonathan H","non-dropping-particle":"","parse-names":false,"suffix":""},{"dropping-particle":"","family":"Whaley","given":"Christopher M","non-dropping-particle":"","parse-names":false,"suffix":""}],"id":"ITEM-10","issued":{"date-parts":[["2020"]]},"title":"THE IMPACT OF THE COVID-19 PANDEMIC AND","type":"article-journal"},"uris":["http://www.mendeley.com/documents/?uuid=999a35ab-1b77-4fcc-919a-b0a5aa0cf4bf"]}],"mendeley":{"formattedCitation":"&lt;sup&gt;10–19&lt;/sup&gt;","plainTextFormattedCitation":"10–19","previouslyFormattedCitation":"&lt;sup&gt;10–19&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10–19</w:t>
      </w:r>
      <w:r w:rsidR="004F0A84">
        <w:rPr>
          <w:rFonts w:cs="Times New Roman"/>
          <w:szCs w:val="24"/>
        </w:rPr>
        <w:fldChar w:fldCharType="end"/>
      </w:r>
      <w:r w:rsidR="004F0A84">
        <w:rPr>
          <w:rFonts w:cs="Times New Roman"/>
          <w:szCs w:val="24"/>
        </w:rPr>
        <w:t xml:space="preserve">, particularly from a </w:t>
      </w:r>
      <w:r w:rsidR="003A265E">
        <w:rPr>
          <w:rFonts w:cs="Times New Roman"/>
          <w:szCs w:val="24"/>
        </w:rPr>
        <w:t xml:space="preserve">public health </w:t>
      </w:r>
      <w:r w:rsidR="004F0A84">
        <w:rPr>
          <w:rFonts w:cs="Times New Roman"/>
          <w:szCs w:val="24"/>
        </w:rPr>
        <w:t xml:space="preserve">planning perspective </w:t>
      </w:r>
      <w:r w:rsidR="004F0A84">
        <w:rPr>
          <w:rFonts w:cs="Times New Roman"/>
          <w:szCs w:val="24"/>
        </w:rPr>
        <w:fldChar w:fldCharType="begin" w:fldLock="1"/>
      </w:r>
      <w:r w:rsidR="00F665EB">
        <w:rPr>
          <w:rFonts w:cs="Times New Roman"/>
          <w:szCs w:val="24"/>
        </w:rPr>
        <w:instrText>ADDIN CSL_CITATION {"citationItems":[{"id":"ITEM-1","itemData":{"DOI":"10.31219/osf.io/g8s96","ISSN":"1741-7015","author":[{"dropping-particle":"","family":"Verhagen","given":"Mark","non-dropping-particle":"","parse-names":false,"suffix":""},{"dropping-particle":"","family":"Brazel","given":"David","non-dropping-particle":"","parse-names":false,"suffix":""},{"dropping-particle":"","family":"Dowd","given":"Jennifer Beam","non-dropping-particle":"","parse-names":false,"suffix":""},{"dropping-particle":"","family":"Kashnitsky","given":"Ilya","non-dropping-particle":"","parse-names":false,"suffix":""},{"dropping-particle":"","family":"Mills","given":"Melinda","non-dropping-particle":"","parse-names":false,"suffix":""}],"container-title":"BMC Medicine","id":"ITEM-1","issued":{"date-parts":[["2020"]]},"page":"203","title":"Forecasting spatial, socioeconomic and demographic variation in COVID-19 health care demand in England and Wales","type":"article-journal","volume":"18"},"uris":["http://www.mendeley.com/documents/?uuid=14ac25af-b042-4037-b6e3-aeeb172242fe"]},{"id":"ITEM-2","itemData":{"DOI":"10.1101/2020.03.26.20044842","abstract":"COVID-19 threatens to overwhelm hospital facilities throughout the United States. We created an interactive, quantitative model that forecasts demand for COVID-19 related hospitalization based on county-level population characteristics, data from the literature on COVID-19, and data from online repositories. Using this information as well as user inputs, the model estimates a time series of demand for intensive care beds and acute care beds as well as the availability of those beds. The online model is designed to be intuitive and interactive so that local leaders with limited technical or epidemiological expertise may make decisions based on a variety of scenarios. This complements high-level models designed for public consumption and technically sophisticated models designed for use by epidemiologists. The model is actively being used by several academic medical centers and policy makers, and we believe that broader access will continue to aid community and hospital leaders in their response to COVID-19.","author":[{"dropping-particle":"","family":"Ferstad","given":"Johannes O.","non-dropping-particle":"","parse-names":false,"suffix":""},{"dropping-particle":"","family":"Gu","given":"Angela","non-dropping-particle":"","parse-names":false,"suffix":""},{"dropping-particle":"","family":"Lee","given":"Raymond Y.","non-dropping-particle":"","parse-names":false,"suffix":""},{"dropping-particle":"","family":"Thapa","given":"Isha","non-dropping-particle":"","parse-names":false,"suffix":""},{"dropping-particle":"","family":"Shin","given":"Andrew Y.","non-dropping-particle":"","parse-names":false,"suffix":""},{"dropping-particle":"","family":"Salomon","given":"Joshua A.","non-dropping-particle":"","parse-names":false,"suffix":""},{"dropping-particle":"","family":"Glynn","given":"Peter","non-dropping-particle":"","parse-names":false,"suffix":""},{"dropping-particle":"","family":"Shah","given":"Nigam H.","non-dropping-particle":"","parse-names":false,"suffix":""},{"dropping-particle":"","family":"Milstein","given":"Arnold","non-dropping-particle":"","parse-names":false,"suffix":""},{"dropping-particle":"","family":"Schulman","given":"Kevin","non-dropping-particle":"","parse-names":false,"suffix":""},{"dropping-particle":"","family":"Scheinker","given":"David","non-dropping-particle":"","parse-names":false,"suffix":""}],"container-title":"medRxiv","id":"ITEM-2","issued":{"date-parts":[["2020"]]},"title":"A model to forecast regional demand for COVID-19 related hospital beds","type":"article-journal"},"uris":["http://www.mendeley.com/documents/?uuid=c60d9ac0-5056-412d-beca-5ac996fb0756"]},{"id":"ITEM-3","itemData":{"author":[{"dropping-particle":"","family":"Zhang","given":"Teng","non-dropping-particle":"","parse-names":false,"suffix":""},{"dropping-particle":"","family":"Mcfarlane","given":"Kelly","non-dropping-particle":"","parse-names":false,"suffix":""},{"dropping-particle":"","family":"Vallon","given":"Jacqueline","non-dropping-particle":"","parse-names":false,"suffix":""},{"dropping-particle":"","family":"Ba","given":"B S","non-dropping-particle":"","parse-names":false,"suffix":""},{"dropping-particle":"","family":"Yang","given":"Linying","non-dropping-particle":"","parse-names":false,"suffix":""},{"dropping-particle":"","family":"Xie","given":"Jin","non-dropping-particle":"","parse-names":false,"suffix":""},{"dropping-particle":"","family":"Blanchet","given":"Jose","non-dropping-particle":"","parse-names":false,"suffix":""},{"dropping-particle":"","family":"Glynn","given":"Peter","non-dropping-particle":"","parse-names":false,"suffix":""},{"dropping-particle":"","family":"Staudenmayer","given":"Kristan","non-dropping-particle":"","parse-names":false,"suffix":""},{"dropping-particle":"","family":"Schulman","given":"Kevin","non-dropping-particle":"","parse-names":false,"suffix":""},{"dropping-particle":"","family":"Scheinker","given":"David","non-dropping-particle":"","parse-names":false,"suffix":""}],"id":"ITEM-3","issued":{"date-parts":[["2020"]]},"page":"24-28","title":"A model to estimate bed demand for COVID-19 related hospitalization Department of Management Science and Engineering , Stanford University School of Engineering , Stanford Graduate School of Business , Stanford , CA Harvard Medical School , Boston , MA In","type":"article-journal"},"uris":["http://www.mendeley.com/documents/?uuid=54c1cf2d-3971-4a15-8062-c394896edb0c"]},{"id":"ITEM-4","itemData":{"abstract":"1. Health, Education, and Welfare - General 2. Health, Education, and Welfare - Health 3. Health, Education, and Welfare - Health - Health Behavior 4. Health, Education, and Welfare - Health - Government Policy &amp;bull; Regulation &amp;bull; Public Health","author":[{"dropping-particle":"","family":"Cantor","given":"Jonathan H","non-dropping-particle":"","parse-names":false,"suffix":""},{"dropping-particle":"","family":"Whaley","given":"Christopher M","non-dropping-particle":"","parse-names":false,"suffix":""}],"id":"ITEM-4","issued":{"date-parts":[["2020"]]},"title":"THE IMPACT OF THE COVID-19 PANDEMIC AND","type":"article-journal"},"uris":["http://www.mendeley.com/documents/?uuid=999a35ab-1b77-4fcc-919a-b0a5aa0cf4bf"]}],"mendeley":{"formattedCitation":"&lt;sup&gt;13,14,16,19&lt;/sup&gt;","plainTextFormattedCitation":"13,14,16,19","previouslyFormattedCitation":"&lt;sup&gt;13,14,16,19&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13,14,16,19</w:t>
      </w:r>
      <w:r w:rsidR="004F0A84">
        <w:rPr>
          <w:rFonts w:cs="Times New Roman"/>
          <w:szCs w:val="24"/>
        </w:rPr>
        <w:fldChar w:fldCharType="end"/>
      </w:r>
      <w:r w:rsidR="004F0A84">
        <w:rPr>
          <w:rFonts w:cs="Times New Roman"/>
          <w:szCs w:val="24"/>
        </w:rPr>
        <w:t xml:space="preserve">.  At </w:t>
      </w:r>
      <w:r w:rsidR="00E05D4A">
        <w:rPr>
          <w:rFonts w:cs="Times New Roman"/>
          <w:szCs w:val="24"/>
        </w:rPr>
        <w:t xml:space="preserve">the </w:t>
      </w:r>
      <w:r w:rsidR="004F0A84">
        <w:rPr>
          <w:rFonts w:cs="Times New Roman"/>
          <w:szCs w:val="24"/>
        </w:rPr>
        <w:t>planning level, the studies considered the number of people admitted to hospital and ICU</w:t>
      </w:r>
      <w:r w:rsidR="00E05D4A">
        <w:rPr>
          <w:rFonts w:cs="Times New Roman"/>
          <w:szCs w:val="24"/>
        </w:rPr>
        <w:t>s</w:t>
      </w:r>
      <w:r w:rsidR="004F0A84">
        <w:rPr>
          <w:rFonts w:cs="Times New Roman"/>
          <w:szCs w:val="24"/>
        </w:rPr>
        <w:t xml:space="preserve"> due to </w:t>
      </w:r>
      <w:r w:rsidR="004F0A84">
        <w:rPr>
          <w:rFonts w:cs="Times New Roman"/>
          <w:szCs w:val="24"/>
        </w:rPr>
        <w:lastRenderedPageBreak/>
        <w:t xml:space="preserve">COVID-19 as </w:t>
      </w:r>
      <w:r w:rsidR="00B77F45">
        <w:rPr>
          <w:rFonts w:cs="Times New Roman"/>
          <w:szCs w:val="24"/>
        </w:rPr>
        <w:t>the</w:t>
      </w:r>
      <w:r w:rsidR="004F0A84">
        <w:rPr>
          <w:rFonts w:cs="Times New Roman"/>
          <w:szCs w:val="24"/>
        </w:rPr>
        <w:t xml:space="preserve"> response variable and employed either time series </w:t>
      </w:r>
      <w:r w:rsidR="004F0A84">
        <w:rPr>
          <w:rFonts w:cs="Times New Roman"/>
          <w:szCs w:val="24"/>
        </w:rPr>
        <w:fldChar w:fldCharType="begin" w:fldLock="1"/>
      </w:r>
      <w:r w:rsidR="00F665EB">
        <w:rPr>
          <w:rFonts w:cs="Times New Roman"/>
          <w:szCs w:val="24"/>
        </w:rPr>
        <w:instrText>ADDIN CSL_CITATION {"citationItems":[{"id":"ITEM-1","itemData":{"DOI":"10.1101/2020.03.26.20044842","abstract":"COVID-19 threatens to overwhelm hospital facilities throughout the United States. We created an interactive, quantitative model that forecasts demand for COVID-19 related hospitalization based on county-level population characteristics, data from the literature on COVID-19, and data from online repositories. Using this information as well as user inputs, the model estimates a time series of demand for intensive care beds and acute care beds as well as the availability of those beds. The online model is designed to be intuitive and interactive so that local leaders with limited technical or epidemiological expertise may make decisions based on a variety of scenarios. This complements high-level models designed for public consumption and technically sophisticated models designed for use by epidemiologists. The model is actively being used by several academic medical centers and policy makers, and we believe that broader access will continue to aid community and hospital leaders in their response to COVID-19.","author":[{"dropping-particle":"","family":"Ferstad","given":"Johannes O.","non-dropping-particle":"","parse-names":false,"suffix":""},{"dropping-particle":"","family":"Gu","given":"Angela","non-dropping-particle":"","parse-names":false,"suffix":""},{"dropping-particle":"","family":"Lee","given":"Raymond Y.","non-dropping-particle":"","parse-names":false,"suffix":""},{"dropping-particle":"","family":"Thapa","given":"Isha","non-dropping-particle":"","parse-names":false,"suffix":""},{"dropping-particle":"","family":"Shin","given":"Andrew Y.","non-dropping-particle":"","parse-names":false,"suffix":""},{"dropping-particle":"","family":"Salomon","given":"Joshua A.","non-dropping-particle":"","parse-names":false,"suffix":""},{"dropping-particle":"","family":"Glynn","given":"Peter","non-dropping-particle":"","parse-names":false,"suffix":""},{"dropping-particle":"","family":"Shah","given":"Nigam H.","non-dropping-particle":"","parse-names":false,"suffix":""},{"dropping-particle":"","family":"Milstein","given":"Arnold","non-dropping-particle":"","parse-names":false,"suffix":""},{"dropping-particle":"","family":"Schulman","given":"Kevin","non-dropping-particle":"","parse-names":false,"suffix":""},{"dropping-particle":"","family":"Scheinker","given":"David","non-dropping-particle":"","parse-names":false,"suffix":""}],"container-title":"medRxiv","id":"ITEM-1","issued":{"date-parts":[["2020"]]},"title":"A model to forecast regional demand for COVID-19 related hospital beds","type":"article-journal"},"uris":["http://www.mendeley.com/documents/?uuid=c60d9ac0-5056-412d-beca-5ac996fb0756"]},{"id":"ITEM-2","itemData":{"author":[{"dropping-particle":"","family":"Zhang","given":"Teng","non-dropping-particle":"","parse-names":false,"suffix":""},{"dropping-particle":"","family":"Mcfarlane","given":"Kelly","non-dropping-particle":"","parse-names":false,"suffix":""},{"dropping-particle":"","family":"Vallon","given":"Jacqueline","non-dropping-particle":"","parse-names":false,"suffix":""},{"dropping-particle":"","family":"Ba","given":"B S","non-dropping-particle":"","parse-names":false,"suffix":""},{"dropping-particle":"","family":"Yang","given":"Linying","non-dropping-particle":"","parse-names":false,"suffix":""},{"dropping-particle":"","family":"Xie","given":"Jin","non-dropping-particle":"","parse-names":false,"suffix":""},{"dropping-particle":"","family":"Blanchet","given":"Jose","non-dropping-particle":"","parse-names":false,"suffix":""},{"dropping-particle":"","family":"Glynn","given":"Peter","non-dropping-particle":"","parse-names":false,"suffix":""},{"dropping-particle":"","family":"Staudenmayer","given":"Kristan","non-dropping-particle":"","parse-names":false,"suffix":""},{"dropping-particle":"","family":"Schulman","given":"Kevin","non-dropping-particle":"","parse-names":false,"suffix":""},{"dropping-particle":"","family":"Scheinker","given":"David","non-dropping-particle":"","parse-names":false,"suffix":""}],"id":"ITEM-2","issued":{"date-parts":[["2020"]]},"page":"24-28","title":"A model to estimate bed demand for COVID-19 related hospitalization Department of Management Science and Engineering , Stanford University School of Engineering , Stanford Graduate School of Business , Stanford , CA Harvard Medical School , Boston , MA In","type":"article-journal"},"uris":["http://www.mendeley.com/documents/?uuid=54c1cf2d-3971-4a15-8062-c394896edb0c"]}],"mendeley":{"formattedCitation":"&lt;sup&gt;14,16&lt;/sup&gt;","plainTextFormattedCitation":"14,16","previouslyFormattedCitation":"&lt;sup&gt;14,16&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14,16</w:t>
      </w:r>
      <w:r w:rsidR="004F0A84">
        <w:rPr>
          <w:rFonts w:cs="Times New Roman"/>
          <w:szCs w:val="24"/>
        </w:rPr>
        <w:fldChar w:fldCharType="end"/>
      </w:r>
      <w:r w:rsidR="004F0A84">
        <w:rPr>
          <w:rFonts w:cs="Times New Roman"/>
          <w:szCs w:val="24"/>
        </w:rPr>
        <w:t xml:space="preserve">  or online interactive model</w:t>
      </w:r>
      <w:r w:rsidR="00E05D4A">
        <w:rPr>
          <w:rFonts w:cs="Times New Roman"/>
          <w:szCs w:val="24"/>
        </w:rPr>
        <w:t>s</w:t>
      </w:r>
      <w:r w:rsidR="004F0A84">
        <w:rPr>
          <w:rFonts w:cs="Times New Roman"/>
          <w:szCs w:val="24"/>
        </w:rPr>
        <w:t xml:space="preserve"> </w:t>
      </w:r>
      <w:r w:rsidR="004F0A84">
        <w:rPr>
          <w:rFonts w:cs="Times New Roman"/>
          <w:szCs w:val="24"/>
        </w:rPr>
        <w:fldChar w:fldCharType="begin" w:fldLock="1"/>
      </w:r>
      <w:r w:rsidR="00F665EB">
        <w:rPr>
          <w:rFonts w:cs="Times New Roman"/>
          <w:szCs w:val="24"/>
        </w:rPr>
        <w:instrText>ADDIN CSL_CITATION {"citationItems":[{"id":"ITEM-1","itemData":{"abstract":"1. Health, Education, and Welfare - General 2. Health, Education, and Welfare - Health 3. Health, Education, and Welfare - Health - Health Behavior 4. Health, Education, and Welfare - Health - Government Policy &amp;bull; Regulation &amp;bull; Public Health","author":[{"dropping-particle":"","family":"Cantor","given":"Jonathan H","non-dropping-particle":"","parse-names":false,"suffix":""},{"dropping-particle":"","family":"Whaley","given":"Christopher M","non-dropping-particle":"","parse-names":false,"suffix":""}],"id":"ITEM-1","issued":{"date-parts":[["2020"]]},"title":"THE IMPACT OF THE COVID-19 PANDEMIC AND","type":"article-journal"},"uris":["http://www.mendeley.com/documents/?uuid=999a35ab-1b77-4fcc-919a-b0a5aa0cf4bf"]},{"id":"ITEM-2","itemData":{"DOI":"10.31219/osf.io/g8s96","ISSN":"1741-7015","author":[{"dropping-particle":"","family":"Verhagen","given":"Mark","non-dropping-particle":"","parse-names":false,"suffix":""},{"dropping-particle":"","family":"Brazel","given":"David","non-dropping-particle":"","parse-names":false,"suffix":""},{"dropping-particle":"","family":"Dowd","given":"Jennifer Beam","non-dropping-particle":"","parse-names":false,"suffix":""},{"dropping-particle":"","family":"Kashnitsky","given":"Ilya","non-dropping-particle":"","parse-names":false,"suffix":""},{"dropping-particle":"","family":"Mills","given":"Melinda","non-dropping-particle":"","parse-names":false,"suffix":""}],"container-title":"BMC Medicine","id":"ITEM-2","issued":{"date-parts":[["2020"]]},"page":"203","title":"Forecasting spatial, socioeconomic and demographic variation in COVID-19 health care demand in England and Wales","type":"article-journal","volume":"18"},"uris":["http://www.mendeley.com/documents/?uuid=14ac25af-b042-4037-b6e3-aeeb172242fe"]}],"mendeley":{"formattedCitation":"&lt;sup&gt;13,19&lt;/sup&gt;","plainTextFormattedCitation":"13,19","previouslyFormattedCitation":"&lt;sup&gt;13,19&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13,19</w:t>
      </w:r>
      <w:r w:rsidR="004F0A84">
        <w:rPr>
          <w:rFonts w:cs="Times New Roman"/>
          <w:szCs w:val="24"/>
        </w:rPr>
        <w:fldChar w:fldCharType="end"/>
      </w:r>
      <w:r w:rsidR="004F0A84">
        <w:rPr>
          <w:rFonts w:cs="Times New Roman"/>
          <w:szCs w:val="24"/>
        </w:rPr>
        <w:t xml:space="preserve"> for their analysis. In terms of spatial resolution, different </w:t>
      </w:r>
      <w:r w:rsidR="00E05D4A">
        <w:rPr>
          <w:rFonts w:cs="Times New Roman"/>
          <w:szCs w:val="24"/>
        </w:rPr>
        <w:t>spatial resolutions</w:t>
      </w:r>
      <w:r w:rsidR="004F0A84">
        <w:rPr>
          <w:rFonts w:cs="Times New Roman"/>
          <w:szCs w:val="24"/>
        </w:rPr>
        <w:t xml:space="preserve"> are explored including region </w:t>
      </w:r>
      <w:r w:rsidR="004F0A84">
        <w:rPr>
          <w:rFonts w:cs="Times New Roman"/>
          <w:szCs w:val="24"/>
        </w:rPr>
        <w:fldChar w:fldCharType="begin" w:fldLock="1"/>
      </w:r>
      <w:r w:rsidR="00F665EB">
        <w:rPr>
          <w:rFonts w:cs="Times New Roman"/>
          <w:szCs w:val="24"/>
        </w:rPr>
        <w:instrText>ADDIN CSL_CITATION {"citationItems":[{"id":"ITEM-1","itemData":{"DOI":"10.1101/2020.03.26.20044842","abstract":"COVID-19 threatens to overwhelm hospital facilities throughout the United States. We created an interactive, quantitative model that forecasts demand for COVID-19 related hospitalization based on county-level population characteristics, data from the literature on COVID-19, and data from online repositories. Using this information as well as user inputs, the model estimates a time series of demand for intensive care beds and acute care beds as well as the availability of those beds. The online model is designed to be intuitive and interactive so that local leaders with limited technical or epidemiological expertise may make decisions based on a variety of scenarios. This complements high-level models designed for public consumption and technically sophisticated models designed for use by epidemiologists. The model is actively being used by several academic medical centers and policy makers, and we believe that broader access will continue to aid community and hospital leaders in their response to COVID-19.","author":[{"dropping-particle":"","family":"Ferstad","given":"Johannes O.","non-dropping-particle":"","parse-names":false,"suffix":""},{"dropping-particle":"","family":"Gu","given":"Angela","non-dropping-particle":"","parse-names":false,"suffix":""},{"dropping-particle":"","family":"Lee","given":"Raymond Y.","non-dropping-particle":"","parse-names":false,"suffix":""},{"dropping-particle":"","family":"Thapa","given":"Isha","non-dropping-particle":"","parse-names":false,"suffix":""},{"dropping-particle":"","family":"Shin","given":"Andrew Y.","non-dropping-particle":"","parse-names":false,"suffix":""},{"dropping-particle":"","family":"Salomon","given":"Joshua A.","non-dropping-particle":"","parse-names":false,"suffix":""},{"dropping-particle":"","family":"Glynn","given":"Peter","non-dropping-particle":"","parse-names":false,"suffix":""},{"dropping-particle":"","family":"Shah","given":"Nigam H.","non-dropping-particle":"","parse-names":false,"suffix":""},{"dropping-particle":"","family":"Milstein","given":"Arnold","non-dropping-particle":"","parse-names":false,"suffix":""},{"dropping-particle":"","family":"Schulman","given":"Kevin","non-dropping-particle":"","parse-names":false,"suffix":""},{"dropping-particle":"","family":"Scheinker","given":"David","non-dropping-particle":"","parse-names":false,"suffix":""}],"container-title":"medRxiv","id":"ITEM-1","issued":{"date-parts":[["2020"]]},"title":"A model to forecast regional demand for COVID-19 related hospital beds","type":"article-journal"},"uris":["http://www.mendeley.com/documents/?uuid=c60d9ac0-5056-412d-beca-5ac996fb0756"]}],"mendeley":{"formattedCitation":"&lt;sup&gt;14&lt;/sup&gt;","plainTextFormattedCitation":"14","previouslyFormattedCitation":"&lt;sup&gt;14&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14</w:t>
      </w:r>
      <w:r w:rsidR="004F0A84">
        <w:rPr>
          <w:rFonts w:cs="Times New Roman"/>
          <w:szCs w:val="24"/>
        </w:rPr>
        <w:fldChar w:fldCharType="end"/>
      </w:r>
      <w:r w:rsidR="004F0A84">
        <w:rPr>
          <w:rFonts w:cs="Times New Roman"/>
          <w:szCs w:val="24"/>
        </w:rPr>
        <w:t xml:space="preserve">, county </w:t>
      </w:r>
      <w:r w:rsidR="004F0A84">
        <w:rPr>
          <w:rFonts w:cs="Times New Roman"/>
          <w:szCs w:val="24"/>
        </w:rPr>
        <w:fldChar w:fldCharType="begin" w:fldLock="1"/>
      </w:r>
      <w:r w:rsidR="00F665EB">
        <w:rPr>
          <w:rFonts w:cs="Times New Roman"/>
          <w:szCs w:val="24"/>
        </w:rPr>
        <w:instrText>ADDIN CSL_CITATION {"citationItems":[{"id":"ITEM-1","itemData":{"abstract":"1. Health, Education, and Welfare - General 2. Health, Education, and Welfare - Health 3. Health, Education, and Welfare - Health - Health Behavior 4. Health, Education, and Welfare - Health - Government Policy &amp;bull; Regulation &amp;bull; Public Health","author":[{"dropping-particle":"","family":"Cantor","given":"Jonathan H","non-dropping-particle":"","parse-names":false,"suffix":""},{"dropping-particle":"","family":"Whaley","given":"Christopher M","non-dropping-particle":"","parse-names":false,"suffix":""}],"id":"ITEM-1","issued":{"date-parts":[["2020"]]},"title":"THE IMPACT OF THE COVID-19 PANDEMIC AND","type":"article-journal"},"uris":["http://www.mendeley.com/documents/?uuid=999a35ab-1b77-4fcc-919a-b0a5aa0cf4bf"]}],"mendeley":{"formattedCitation":"&lt;sup&gt;19&lt;/sup&gt;","plainTextFormattedCitation":"19","previouslyFormattedCitation":"&lt;sup&gt;19&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19</w:t>
      </w:r>
      <w:r w:rsidR="004F0A84">
        <w:rPr>
          <w:rFonts w:cs="Times New Roman"/>
          <w:szCs w:val="24"/>
        </w:rPr>
        <w:fldChar w:fldCharType="end"/>
      </w:r>
      <w:r w:rsidR="004F0A84">
        <w:rPr>
          <w:rFonts w:cs="Times New Roman"/>
          <w:szCs w:val="24"/>
        </w:rPr>
        <w:t xml:space="preserve">, country </w:t>
      </w:r>
      <w:r w:rsidR="004F0A84">
        <w:rPr>
          <w:rFonts w:cs="Times New Roman"/>
          <w:szCs w:val="24"/>
        </w:rPr>
        <w:fldChar w:fldCharType="begin" w:fldLock="1"/>
      </w:r>
      <w:r w:rsidR="00F665EB">
        <w:rPr>
          <w:rFonts w:cs="Times New Roman"/>
          <w:szCs w:val="24"/>
        </w:rPr>
        <w:instrText>ADDIN CSL_CITATION {"citationItems":[{"id":"ITEM-1","itemData":{"author":[{"dropping-particle":"","family":"Zhang","given":"Teng","non-dropping-particle":"","parse-names":false,"suffix":""},{"dropping-particle":"","family":"Mcfarlane","given":"Kelly","non-dropping-particle":"","parse-names":false,"suffix":""},{"dropping-particle":"","family":"Vallon","given":"Jacqueline","non-dropping-particle":"","parse-names":false,"suffix":""},{"dropping-particle":"","family":"Ba","given":"B S","non-dropping-particle":"","parse-names":false,"suffix":""},{"dropping-particle":"","family":"Yang","given":"Linying","non-dropping-particle":"","parse-names":false,"suffix":""},{"dropping-particle":"","family":"Xie","given":"Jin","non-dropping-particle":"","parse-names":false,"suffix":""},{"dropping-particle":"","family":"Blanchet","given":"Jose","non-dropping-particle":"","parse-names":false,"suffix":""},{"dropping-particle":"","family":"Glynn","given":"Peter","non-dropping-particle":"","parse-names":false,"suffix":""},{"dropping-particle":"","family":"Staudenmayer","given":"Kristan","non-dropping-particle":"","parse-names":false,"suffix":""},{"dropping-particle":"","family":"Schulman","given":"Kevin","non-dropping-particle":"","parse-names":false,"suffix":""},{"dropping-particle":"","family":"Scheinker","given":"David","non-dropping-particle":"","parse-names":false,"suffix":""}],"id":"ITEM-1","issued":{"date-parts":[["2020"]]},"page":"24-28","title":"A model to estimate bed demand for COVID-19 related hospitalization Department of Management Science and Engineering , Stanford University School of Engineering , Stanford Graduate School of Business , Stanford , CA Harvard Medical School , Boston , MA In","type":"article-journal"},"uris":["http://www.mendeley.com/documents/?uuid=54c1cf2d-3971-4a15-8062-c394896edb0c"]},{"id":"ITEM-2","itemData":{"DOI":"10.31219/osf.io/g8s96","ISSN":"1741-7015","author":[{"dropping-particle":"","family":"Verhagen","given":"Mark","non-dropping-particle":"","parse-names":false,"suffix":""},{"dropping-particle":"","family":"Brazel","given":"David","non-dropping-particle":"","parse-names":false,"suffix":""},{"dropping-particle":"","family":"Dowd","given":"Jennifer Beam","non-dropping-particle":"","parse-names":false,"suffix":""},{"dropping-particle":"","family":"Kashnitsky","given":"Ilya","non-dropping-particle":"","parse-names":false,"suffix":""},{"dropping-particle":"","family":"Mills","given":"Melinda","non-dropping-particle":"","parse-names":false,"suffix":""}],"container-title":"BMC Medicine","id":"ITEM-2","issued":{"date-parts":[["2020"]]},"page":"203","title":"Forecasting spatial, socioeconomic and demographic variation in COVID-19 health care demand in England and Wales","type":"article-journal","volume":"18"},"uris":["http://www.mendeley.com/documents/?uuid=14ac25af-b042-4037-b6e3-aeeb172242fe"]}],"mendeley":{"formattedCitation":"&lt;sup&gt;13,16&lt;/sup&gt;","plainTextFormattedCitation":"13,16","previouslyFormattedCitation":"&lt;sup&gt;13,16&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13,16</w:t>
      </w:r>
      <w:r w:rsidR="004F0A84">
        <w:rPr>
          <w:rFonts w:cs="Times New Roman"/>
          <w:szCs w:val="24"/>
        </w:rPr>
        <w:fldChar w:fldCharType="end"/>
      </w:r>
      <w:r w:rsidR="004F0A84">
        <w:rPr>
          <w:rFonts w:cs="Times New Roman"/>
          <w:szCs w:val="24"/>
        </w:rPr>
        <w:t xml:space="preserve"> and city </w:t>
      </w:r>
      <w:r w:rsidR="004F0A84">
        <w:rPr>
          <w:rFonts w:cs="Times New Roman"/>
          <w:szCs w:val="24"/>
        </w:rPr>
        <w:fldChar w:fldCharType="begin" w:fldLock="1"/>
      </w:r>
      <w:r w:rsidR="00F665EB">
        <w:rPr>
          <w:rFonts w:cs="Times New Roman"/>
          <w:szCs w:val="24"/>
        </w:rPr>
        <w:instrText>ADDIN CSL_CITATION {"citationItems":[{"id":"ITEM-1","itemData":{"DOI":"10.31219/osf.io/g8s96","ISSN":"1741-7015","author":[{"dropping-particle":"","family":"Verhagen","given":"Mark","non-dropping-particle":"","parse-names":false,"suffix":""},{"dropping-particle":"","family":"Brazel","given":"David","non-dropping-particle":"","parse-names":false,"suffix":""},{"dropping-particle":"","family":"Dowd","given":"Jennifer Beam","non-dropping-particle":"","parse-names":false,"suffix":""},{"dropping-particle":"","family":"Kashnitsky","given":"Ilya","non-dropping-particle":"","parse-names":false,"suffix":""},{"dropping-particle":"","family":"Mills","given":"Melinda","non-dropping-particle":"","parse-names":false,"suffix":""}],"container-title":"BMC Medicine","id":"ITEM-1","issued":{"date-parts":[["2020"]]},"page":"203","title":"Forecasting spatial, socioeconomic and demographic variation in COVID-19 health care demand in England and Wales","type":"article-journal","volume":"18"},"uris":["http://www.mendeley.com/documents/?uuid=14ac25af-b042-4037-b6e3-aeeb172242fe"]}],"mendeley":{"formattedCitation":"&lt;sup&gt;13&lt;/sup&gt;","plainTextFormattedCitation":"13","previouslyFormattedCitation":"&lt;sup&gt;13&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13</w:t>
      </w:r>
      <w:r w:rsidR="004F0A84">
        <w:rPr>
          <w:rFonts w:cs="Times New Roman"/>
          <w:szCs w:val="24"/>
        </w:rPr>
        <w:fldChar w:fldCharType="end"/>
      </w:r>
      <w:r w:rsidR="004F0A84">
        <w:rPr>
          <w:rFonts w:cs="Times New Roman"/>
          <w:szCs w:val="24"/>
        </w:rPr>
        <w:t>. With respect to independent variables, the</w:t>
      </w:r>
      <w:r w:rsidR="00E05D4A">
        <w:rPr>
          <w:rFonts w:cs="Times New Roman"/>
          <w:szCs w:val="24"/>
        </w:rPr>
        <w:t xml:space="preserve"> studies</w:t>
      </w:r>
      <w:r w:rsidR="004F0A84">
        <w:rPr>
          <w:rFonts w:cs="Times New Roman"/>
          <w:szCs w:val="24"/>
        </w:rPr>
        <w:t xml:space="preserve"> found different </w:t>
      </w:r>
      <w:r w:rsidR="00780FF5">
        <w:rPr>
          <w:rFonts w:cs="Times New Roman"/>
          <w:szCs w:val="24"/>
        </w:rPr>
        <w:t>factors</w:t>
      </w:r>
      <w:r w:rsidR="004F0A84">
        <w:rPr>
          <w:rFonts w:cs="Times New Roman"/>
          <w:szCs w:val="24"/>
        </w:rPr>
        <w:t xml:space="preserve"> </w:t>
      </w:r>
      <w:r w:rsidR="00E05D4A">
        <w:rPr>
          <w:rFonts w:cs="Times New Roman"/>
          <w:szCs w:val="24"/>
        </w:rPr>
        <w:t>affecting COVID</w:t>
      </w:r>
      <w:r w:rsidR="004F0A84">
        <w:rPr>
          <w:rFonts w:cs="Times New Roman"/>
          <w:szCs w:val="24"/>
        </w:rPr>
        <w:t xml:space="preserve"> hospitalization and ICU usage rate</w:t>
      </w:r>
      <w:r w:rsidR="00E05D4A">
        <w:rPr>
          <w:rFonts w:cs="Times New Roman"/>
          <w:szCs w:val="24"/>
        </w:rPr>
        <w:t xml:space="preserve">s </w:t>
      </w:r>
      <w:r w:rsidR="004F0A84">
        <w:rPr>
          <w:rFonts w:cs="Times New Roman"/>
          <w:szCs w:val="24"/>
        </w:rPr>
        <w:t>including demographics (particularly age and racial</w:t>
      </w:r>
      <w:r w:rsidR="008928E5" w:rsidRPr="008928E5">
        <w:rPr>
          <w:rFonts w:cs="Times New Roman"/>
          <w:szCs w:val="24"/>
        </w:rPr>
        <w:t xml:space="preserve"> </w:t>
      </w:r>
      <w:r w:rsidR="008928E5">
        <w:rPr>
          <w:rFonts w:cs="Times New Roman"/>
          <w:szCs w:val="24"/>
        </w:rPr>
        <w:t>distribution</w:t>
      </w:r>
      <w:r w:rsidR="004F0A84">
        <w:rPr>
          <w:rFonts w:cs="Times New Roman"/>
          <w:szCs w:val="24"/>
        </w:rPr>
        <w:t xml:space="preserve"> </w:t>
      </w:r>
      <w:r w:rsidR="004F0A84">
        <w:rPr>
          <w:rFonts w:cs="Times New Roman"/>
          <w:szCs w:val="24"/>
        </w:rPr>
        <w:fldChar w:fldCharType="begin" w:fldLock="1"/>
      </w:r>
      <w:r w:rsidR="00F665EB">
        <w:rPr>
          <w:rFonts w:cs="Times New Roman"/>
          <w:szCs w:val="24"/>
        </w:rPr>
        <w:instrText>ADDIN CSL_CITATION {"citationItems":[{"id":"ITEM-1","itemData":{"abstract":"1. Health, Education, and Welfare - General 2. Health, Education, and Welfare - Health 3. Health, Education, and Welfare - Health - Health Behavior 4. Health, Education, and Welfare - Health - Government Policy &amp;bull; Regulation &amp;bull; Public Health","author":[{"dropping-particle":"","family":"Cantor","given":"Jonathan H","non-dropping-particle":"","parse-names":false,"suffix":""},{"dropping-particle":"","family":"Whaley","given":"Christopher M","non-dropping-particle":"","parse-names":false,"suffix":""}],"id":"ITEM-1","issued":{"date-parts":[["2020"]]},"title":"THE IMPACT OF THE COVID-19 PANDEMIC AND","type":"article-journal"},"uris":["http://www.mendeley.com/documents/?uuid=999a35ab-1b77-4fcc-919a-b0a5aa0cf4bf"]},{"id":"ITEM-2","itemData":{"DOI":"10.31219/osf.io/g8s96","ISSN":"1741-7015","author":[{"dropping-particle":"","family":"Verhagen","given":"Mark","non-dropping-particle":"","parse-names":false,"suffix":""},{"dropping-particle":"","family":"Brazel","given":"David","non-dropping-particle":"","parse-names":false,"suffix":""},{"dropping-particle":"","family":"Dowd","given":"Jennifer Beam","non-dropping-particle":"","parse-names":false,"suffix":""},{"dropping-particle":"","family":"Kashnitsky","given":"Ilya","non-dropping-particle":"","parse-names":false,"suffix":""},{"dropping-particle":"","family":"Mills","given":"Melinda","non-dropping-particle":"","parse-names":false,"suffix":""}],"container-title":"BMC Medicine","id":"ITEM-2","issued":{"date-parts":[["2020"]]},"page":"203","title":"Forecasting spatial, socioeconomic and demographic variation in COVID-19 health care demand in England and Wales","type":"article-journal","volume":"18"},"uris":["http://www.mendeley.com/documents/?uuid=14ac25af-b042-4037-b6e3-aeeb172242fe"]}],"mendeley":{"formattedCitation":"&lt;sup&gt;13,19&lt;/sup&gt;","plainTextFormattedCitation":"13,19","previouslyFormattedCitation":"&lt;sup&gt;13,19&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13,19</w:t>
      </w:r>
      <w:r w:rsidR="004F0A84">
        <w:rPr>
          <w:rFonts w:cs="Times New Roman"/>
          <w:szCs w:val="24"/>
        </w:rPr>
        <w:fldChar w:fldCharType="end"/>
      </w:r>
      <w:r w:rsidR="003A66A8">
        <w:rPr>
          <w:rFonts w:cs="Times New Roman"/>
          <w:szCs w:val="24"/>
        </w:rPr>
        <w:t>)</w:t>
      </w:r>
      <w:r w:rsidR="006B0AE1">
        <w:rPr>
          <w:rFonts w:cs="Times New Roman"/>
          <w:szCs w:val="24"/>
        </w:rPr>
        <w:t>,</w:t>
      </w:r>
      <w:r w:rsidR="004F0A84">
        <w:rPr>
          <w:rFonts w:cs="Times New Roman"/>
          <w:szCs w:val="24"/>
        </w:rPr>
        <w:t xml:space="preserve"> </w:t>
      </w:r>
      <w:bookmarkStart w:id="1" w:name="_Hlk62984551"/>
      <w:r w:rsidR="004F0A84">
        <w:rPr>
          <w:rFonts w:cs="Times New Roman"/>
          <w:szCs w:val="24"/>
        </w:rPr>
        <w:t>mobility trends</w:t>
      </w:r>
      <w:bookmarkEnd w:id="1"/>
      <w:r w:rsidR="004F0A84">
        <w:rPr>
          <w:rFonts w:cs="Times New Roman"/>
          <w:szCs w:val="24"/>
        </w:rPr>
        <w:t xml:space="preserve"> </w:t>
      </w:r>
      <w:r w:rsidR="004F0A84">
        <w:rPr>
          <w:rFonts w:cs="Times New Roman"/>
          <w:szCs w:val="24"/>
        </w:rPr>
        <w:fldChar w:fldCharType="begin" w:fldLock="1"/>
      </w:r>
      <w:r w:rsidR="00F665EB">
        <w:rPr>
          <w:rFonts w:cs="Times New Roman"/>
          <w:szCs w:val="24"/>
        </w:rPr>
        <w:instrText>ADDIN CSL_CITATION {"citationItems":[{"id":"ITEM-1","itemData":{"abstract":"1. Health, Education, and Welfare - General 2. Health, Education, and Welfare - Health 3. Health, Education, and Welfare - Health - Health Behavior 4. Health, Education, and Welfare - Health - Government Policy &amp;bull; Regulation &amp;bull; Public Health","author":[{"dropping-particle":"","family":"Cantor","given":"Jonathan H","non-dropping-particle":"","parse-names":false,"suffix":""},{"dropping-particle":"","family":"Whaley","given":"Christopher M","non-dropping-particle":"","parse-names":false,"suffix":""}],"id":"ITEM-1","issued":{"date-parts":[["2020"]]},"title":"THE IMPACT OF THE COVID-19 PANDEMIC AND","type":"article-journal"},"uris":["http://www.mendeley.com/documents/?uuid=999a35ab-1b77-4fcc-919a-b0a5aa0cf4bf"]},{"id":"ITEM-2","itemData":{"DOI":"10.1101/2020.03.26.20044842","abstract":"COVID-19 threatens to overwhelm hospital facilities throughout the United States. We created an interactive, quantitative model that forecasts demand for COVID-19 related hospitalization based on county-level population characteristics, data from the literature on COVID-19, and data from online repositories. Using this information as well as user inputs, the model estimates a time series of demand for intensive care beds and acute care beds as well as the availability of those beds. The online model is designed to be intuitive and interactive so that local leaders with limited technical or epidemiological expertise may make decisions based on a variety of scenarios. This complements high-level models designed for public consumption and technically sophisticated models designed for use by epidemiologists. The model is actively being used by several academic medical centers and policy makers, and we believe that broader access will continue to aid community and hospital leaders in their response to COVID-19.","author":[{"dropping-particle":"","family":"Ferstad","given":"Johannes O.","non-dropping-particle":"","parse-names":false,"suffix":""},{"dropping-particle":"","family":"Gu","given":"Angela","non-dropping-particle":"","parse-names":false,"suffix":""},{"dropping-particle":"","family":"Lee","given":"Raymond Y.","non-dropping-particle":"","parse-names":false,"suffix":""},{"dropping-particle":"","family":"Thapa","given":"Isha","non-dropping-particle":"","parse-names":false,"suffix":""},{"dropping-particle":"","family":"Shin","given":"Andrew Y.","non-dropping-particle":"","parse-names":false,"suffix":""},{"dropping-particle":"","family":"Salomon","given":"Joshua A.","non-dropping-particle":"","parse-names":false,"suffix":""},{"dropping-particle":"","family":"Glynn","given":"Peter","non-dropping-particle":"","parse-names":false,"suffix":""},{"dropping-particle":"","family":"Shah","given":"Nigam H.","non-dropping-particle":"","parse-names":false,"suffix":""},{"dropping-particle":"","family":"Milstein","given":"Arnold","non-dropping-particle":"","parse-names":false,"suffix":""},{"dropping-particle":"","family":"Schulman","given":"Kevin","non-dropping-particle":"","parse-names":false,"suffix":""},{"dropping-particle":"","family":"Scheinker","given":"David","non-dropping-particle":"","parse-names":false,"suffix":""}],"container-title":"medRxiv","id":"ITEM-2","issued":{"date-parts":[["2020"]]},"title":"A model to forecast regional demand for COVID-19 related hospital beds","type":"article-journal"},"uris":["http://www.mendeley.com/documents/?uuid=c60d9ac0-5056-412d-beca-5ac996fb0756"]}],"mendeley":{"formattedCitation":"&lt;sup&gt;14,19&lt;/sup&gt;","plainTextFormattedCitation":"14,19","previouslyFormattedCitation":"&lt;sup&gt;14,19&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14,19</w:t>
      </w:r>
      <w:r w:rsidR="004F0A84">
        <w:rPr>
          <w:rFonts w:cs="Times New Roman"/>
          <w:szCs w:val="24"/>
        </w:rPr>
        <w:fldChar w:fldCharType="end"/>
      </w:r>
      <w:r w:rsidR="004F0A84">
        <w:rPr>
          <w:rFonts w:cs="Times New Roman"/>
          <w:szCs w:val="24"/>
        </w:rPr>
        <w:t xml:space="preserve"> and COVID-19 transmission rate</w:t>
      </w:r>
      <w:r w:rsidR="0079736C">
        <w:rPr>
          <w:rFonts w:cs="Times New Roman"/>
          <w:szCs w:val="24"/>
        </w:rPr>
        <w:t>s</w:t>
      </w:r>
      <w:r w:rsidR="004F0A84">
        <w:rPr>
          <w:rFonts w:cs="Times New Roman"/>
          <w:szCs w:val="24"/>
        </w:rPr>
        <w:t xml:space="preserve"> </w:t>
      </w:r>
      <w:r w:rsidR="004F0A84">
        <w:rPr>
          <w:rFonts w:cs="Times New Roman"/>
          <w:szCs w:val="24"/>
        </w:rPr>
        <w:fldChar w:fldCharType="begin" w:fldLock="1"/>
      </w:r>
      <w:r w:rsidR="00F665EB">
        <w:rPr>
          <w:rFonts w:cs="Times New Roman"/>
          <w:szCs w:val="24"/>
        </w:rPr>
        <w:instrText>ADDIN CSL_CITATION {"citationItems":[{"id":"ITEM-1","itemData":{"DOI":"10.1101/2020.03.26.20044842","abstract":"COVID-19 threatens to overwhelm hospital facilities throughout the United States. We created an interactive, quantitative model that forecasts demand for COVID-19 related hospitalization based on county-level population characteristics, data from the literature on COVID-19, and data from online repositories. Using this information as well as user inputs, the model estimates a time series of demand for intensive care beds and acute care beds as well as the availability of those beds. The online model is designed to be intuitive and interactive so that local leaders with limited technical or epidemiological expertise may make decisions based on a variety of scenarios. This complements high-level models designed for public consumption and technically sophisticated models designed for use by epidemiologists. The model is actively being used by several academic medical centers and policy makers, and we believe that broader access will continue to aid community and hospital leaders in their response to COVID-19.","author":[{"dropping-particle":"","family":"Ferstad","given":"Johannes O.","non-dropping-particle":"","parse-names":false,"suffix":""},{"dropping-particle":"","family":"Gu","given":"Angela","non-dropping-particle":"","parse-names":false,"suffix":""},{"dropping-particle":"","family":"Lee","given":"Raymond Y.","non-dropping-particle":"","parse-names":false,"suffix":""},{"dropping-particle":"","family":"Thapa","given":"Isha","non-dropping-particle":"","parse-names":false,"suffix":""},{"dropping-particle":"","family":"Shin","given":"Andrew Y.","non-dropping-particle":"","parse-names":false,"suffix":""},{"dropping-particle":"","family":"Salomon","given":"Joshua A.","non-dropping-particle":"","parse-names":false,"suffix":""},{"dropping-particle":"","family":"Glynn","given":"Peter","non-dropping-particle":"","parse-names":false,"suffix":""},{"dropping-particle":"","family":"Shah","given":"Nigam H.","non-dropping-particle":"","parse-names":false,"suffix":""},{"dropping-particle":"","family":"Milstein","given":"Arnold","non-dropping-particle":"","parse-names":false,"suffix":""},{"dropping-particle":"","family":"Schulman","given":"Kevin","non-dropping-particle":"","parse-names":false,"suffix":""},{"dropping-particle":"","family":"Scheinker","given":"David","non-dropping-particle":"","parse-names":false,"suffix":""}],"container-title":"medRxiv","id":"ITEM-1","issued":{"date-parts":[["2020"]]},"title":"A model to forecast regional demand for COVID-19 related hospital beds","type":"article-journal"},"uris":["http://www.mendeley.com/documents/?uuid=c60d9ac0-5056-412d-beca-5ac996fb0756"]},{"id":"ITEM-2","itemData":{"author":[{"dropping-particle":"","family":"Zhang","given":"Teng","non-dropping-particle":"","parse-names":false,"suffix":""},{"dropping-particle":"","family":"Mcfarlane","given":"Kelly","non-dropping-particle":"","parse-names":false,"suffix":""},{"dropping-particle":"","family":"Vallon","given":"Jacqueline","non-dropping-particle":"","parse-names":false,"suffix":""},{"dropping-particle":"","family":"Ba","given":"B S","non-dropping-particle":"","parse-names":false,"suffix":""},{"dropping-particle":"","family":"Yang","given":"Linying","non-dropping-particle":"","parse-names":false,"suffix":""},{"dropping-particle":"","family":"Xie","given":"Jin","non-dropping-particle":"","parse-names":false,"suffix":""},{"dropping-particle":"","family":"Blanchet","given":"Jose","non-dropping-particle":"","parse-names":false,"suffix":""},{"dropping-particle":"","family":"Glynn","given":"Peter","non-dropping-particle":"","parse-names":false,"suffix":""},{"dropping-particle":"","family":"Staudenmayer","given":"Kristan","non-dropping-particle":"","parse-names":false,"suffix":""},{"dropping-particle":"","family":"Schulman","given":"Kevin","non-dropping-particle":"","parse-names":false,"suffix":""},{"dropping-particle":"","family":"Scheinker","given":"David","non-dropping-particle":"","parse-names":false,"suffix":""}],"id":"ITEM-2","issued":{"date-parts":[["2020"]]},"page":"24-28","title":"A model to estimate bed demand for COVID-19 related hospitalization Department of Management Science and Engineering , Stanford University School of Engineering , Stanford Graduate School of Business , Stanford , CA Harvard Medical School , Boston , MA In","type":"article-journal"},"uris":["http://www.mendeley.com/documents/?uuid=54c1cf2d-3971-4a15-8062-c394896edb0c"]}],"mendeley":{"formattedCitation":"&lt;sup&gt;14,16&lt;/sup&gt;","plainTextFormattedCitation":"14,16","previouslyFormattedCitation":"&lt;sup&gt;14,16&lt;/sup&gt;"},"properties":{"noteIndex":0},"schema":"https://github.com/citation-style-language/schema/raw/master/csl-citation.json"}</w:instrText>
      </w:r>
      <w:r w:rsidR="004F0A84">
        <w:rPr>
          <w:rFonts w:cs="Times New Roman"/>
          <w:szCs w:val="24"/>
        </w:rPr>
        <w:fldChar w:fldCharType="separate"/>
      </w:r>
      <w:r w:rsidR="00B44ACC" w:rsidRPr="00B44ACC">
        <w:rPr>
          <w:rFonts w:cs="Times New Roman"/>
          <w:noProof/>
          <w:szCs w:val="24"/>
          <w:vertAlign w:val="superscript"/>
        </w:rPr>
        <w:t>14,16</w:t>
      </w:r>
      <w:r w:rsidR="004F0A84">
        <w:rPr>
          <w:rFonts w:cs="Times New Roman"/>
          <w:szCs w:val="24"/>
        </w:rPr>
        <w:fldChar w:fldCharType="end"/>
      </w:r>
      <w:r w:rsidR="004F0A84">
        <w:rPr>
          <w:rFonts w:cs="Times New Roman"/>
          <w:szCs w:val="24"/>
        </w:rPr>
        <w:t xml:space="preserve">. </w:t>
      </w:r>
      <w:r w:rsidR="006E0B01">
        <w:rPr>
          <w:rFonts w:cs="Times New Roman"/>
          <w:szCs w:val="24"/>
        </w:rPr>
        <w:t xml:space="preserve">Earlier research efforts on COVID hospitalizations offered several insights. However, given the evolving challenges of COVID-19 the research efforts are still in their infancy. </w:t>
      </w:r>
    </w:p>
    <w:p w14:paraId="7862910A" w14:textId="31A5000E" w:rsidR="006E0B01" w:rsidRDefault="006E0B01">
      <w:pPr>
        <w:ind w:firstLine="720"/>
        <w:rPr>
          <w:rFonts w:cs="Times New Roman"/>
          <w:szCs w:val="24"/>
        </w:rPr>
      </w:pPr>
      <w:r>
        <w:rPr>
          <w:rFonts w:cs="Times New Roman"/>
          <w:szCs w:val="24"/>
        </w:rPr>
        <w:t xml:space="preserve">The current research contributes to the burgeoning literature on COVID-19 hospitalization </w:t>
      </w:r>
      <w:r w:rsidR="009E225C">
        <w:rPr>
          <w:rFonts w:cs="Times New Roman"/>
          <w:szCs w:val="24"/>
        </w:rPr>
        <w:t>with the following objectives</w:t>
      </w:r>
      <w:r>
        <w:rPr>
          <w:rFonts w:cs="Times New Roman"/>
          <w:szCs w:val="24"/>
        </w:rPr>
        <w:t xml:space="preserve">. </w:t>
      </w:r>
      <w:r w:rsidRPr="00B03DD4">
        <w:rPr>
          <w:rFonts w:cs="Times New Roman"/>
          <w:i/>
          <w:szCs w:val="24"/>
          <w:u w:val="single"/>
        </w:rPr>
        <w:t>First</w:t>
      </w:r>
      <w:r>
        <w:rPr>
          <w:rFonts w:cs="Times New Roman"/>
          <w:szCs w:val="24"/>
        </w:rPr>
        <w:t xml:space="preserve">, national level hospitalization data with COVID-19 hospitalization rates at fine spatial resolution have not been easily available. A fine resolution national dataset can allow us to draw insights on the difference across communities that are severely affected relative to other communities. The current research draws on the recently released </w:t>
      </w:r>
      <w:r w:rsidRPr="008F631C">
        <w:rPr>
          <w:rFonts w:cs="Times New Roman"/>
          <w:szCs w:val="24"/>
        </w:rPr>
        <w:t xml:space="preserve">Department of Health and Human </w:t>
      </w:r>
      <w:r w:rsidR="00CA5AF0">
        <w:rPr>
          <w:rFonts w:cs="Times New Roman"/>
          <w:szCs w:val="24"/>
        </w:rPr>
        <w:t>S</w:t>
      </w:r>
      <w:r w:rsidRPr="008F631C">
        <w:rPr>
          <w:rFonts w:cs="Times New Roman"/>
          <w:szCs w:val="24"/>
        </w:rPr>
        <w:t>ervices (DHH</w:t>
      </w:r>
      <w:r w:rsidR="00CA5AF0">
        <w:rPr>
          <w:rFonts w:cs="Times New Roman"/>
          <w:szCs w:val="24"/>
        </w:rPr>
        <w:t>S</w:t>
      </w:r>
      <w:r w:rsidRPr="008F631C">
        <w:rPr>
          <w:rFonts w:cs="Times New Roman"/>
          <w:szCs w:val="24"/>
        </w:rPr>
        <w:t xml:space="preserve">) </w:t>
      </w:r>
      <w:r>
        <w:rPr>
          <w:rFonts w:cs="Times New Roman"/>
          <w:szCs w:val="24"/>
        </w:rPr>
        <w:t xml:space="preserve">weekly </w:t>
      </w:r>
      <w:r w:rsidRPr="008F631C">
        <w:rPr>
          <w:rFonts w:cs="Times New Roman"/>
          <w:szCs w:val="24"/>
        </w:rPr>
        <w:t xml:space="preserve">hospitalization </w:t>
      </w:r>
      <w:r w:rsidR="003A265E">
        <w:rPr>
          <w:rFonts w:cs="Times New Roman"/>
          <w:szCs w:val="24"/>
        </w:rPr>
        <w:t>data</w:t>
      </w:r>
      <w:r w:rsidR="003A265E" w:rsidRPr="008F631C">
        <w:rPr>
          <w:rFonts w:cs="Times New Roman"/>
          <w:szCs w:val="24"/>
        </w:rPr>
        <w:t xml:space="preserve"> </w:t>
      </w:r>
      <w:r>
        <w:rPr>
          <w:rFonts w:cs="Times New Roman"/>
          <w:szCs w:val="24"/>
        </w:rPr>
        <w:t xml:space="preserve">for our analysis. Further, the data employed covers hospitalization data </w:t>
      </w:r>
      <w:r w:rsidR="00D1189B">
        <w:rPr>
          <w:rFonts w:cs="Times New Roman"/>
          <w:szCs w:val="24"/>
        </w:rPr>
        <w:t xml:space="preserve">during the peak of the pandemic - </w:t>
      </w:r>
      <w:r>
        <w:rPr>
          <w:rFonts w:cs="Times New Roman"/>
          <w:szCs w:val="24"/>
        </w:rPr>
        <w:t>from August 28</w:t>
      </w:r>
      <w:r w:rsidRPr="001873E6">
        <w:rPr>
          <w:rFonts w:cs="Times New Roman"/>
          <w:szCs w:val="24"/>
          <w:vertAlign w:val="superscript"/>
        </w:rPr>
        <w:t>th</w:t>
      </w:r>
      <w:r w:rsidR="00276A70">
        <w:rPr>
          <w:rFonts w:cs="Times New Roman"/>
          <w:szCs w:val="24"/>
        </w:rPr>
        <w:t xml:space="preserve">, </w:t>
      </w:r>
      <w:proofErr w:type="gramStart"/>
      <w:r w:rsidR="00276A70">
        <w:rPr>
          <w:rFonts w:cs="Times New Roman"/>
          <w:szCs w:val="24"/>
        </w:rPr>
        <w:t>2020</w:t>
      </w:r>
      <w:proofErr w:type="gramEnd"/>
      <w:r w:rsidR="00896DE1">
        <w:rPr>
          <w:rFonts w:cs="Times New Roman"/>
          <w:szCs w:val="24"/>
        </w:rPr>
        <w:t xml:space="preserve"> </w:t>
      </w:r>
      <w:r>
        <w:rPr>
          <w:rFonts w:cs="Times New Roman"/>
          <w:szCs w:val="24"/>
        </w:rPr>
        <w:t>to January 22</w:t>
      </w:r>
      <w:r w:rsidRPr="00B03DD4">
        <w:rPr>
          <w:rFonts w:cs="Times New Roman"/>
          <w:szCs w:val="24"/>
          <w:vertAlign w:val="superscript"/>
        </w:rPr>
        <w:t>nd</w:t>
      </w:r>
      <w:r w:rsidR="00276A70">
        <w:rPr>
          <w:rFonts w:cs="Times New Roman"/>
          <w:szCs w:val="24"/>
        </w:rPr>
        <w:t>, 2021</w:t>
      </w:r>
      <w:r w:rsidR="00D1189B">
        <w:rPr>
          <w:rFonts w:cs="Times New Roman"/>
          <w:szCs w:val="24"/>
        </w:rPr>
        <w:t xml:space="preserve">-  with </w:t>
      </w:r>
      <w:r>
        <w:rPr>
          <w:rFonts w:cs="Times New Roman"/>
          <w:szCs w:val="24"/>
        </w:rPr>
        <w:t xml:space="preserve">21 weeks of data across each county. </w:t>
      </w:r>
    </w:p>
    <w:p w14:paraId="5938AEDE" w14:textId="6556C583" w:rsidR="00BD0E53" w:rsidRDefault="00D1189B" w:rsidP="00E05D4A">
      <w:pPr>
        <w:ind w:firstLine="720"/>
        <w:rPr>
          <w:rFonts w:cs="Times New Roman"/>
          <w:szCs w:val="24"/>
        </w:rPr>
      </w:pPr>
      <w:r w:rsidRPr="00B03DD4">
        <w:rPr>
          <w:rFonts w:cs="Times New Roman"/>
          <w:i/>
          <w:szCs w:val="24"/>
          <w:u w:val="single"/>
        </w:rPr>
        <w:t>Second</w:t>
      </w:r>
      <w:r>
        <w:rPr>
          <w:rFonts w:cs="Times New Roman"/>
          <w:szCs w:val="24"/>
        </w:rPr>
        <w:t xml:space="preserve">, the current study focuses on understanding the influence of COVID-19 on overall hospitalizations – not </w:t>
      </w:r>
      <w:r w:rsidR="0079736C">
        <w:rPr>
          <w:rFonts w:cs="Times New Roman"/>
          <w:szCs w:val="24"/>
        </w:rPr>
        <w:t xml:space="preserve">only </w:t>
      </w:r>
      <w:r>
        <w:rPr>
          <w:rFonts w:cs="Times New Roman"/>
          <w:szCs w:val="24"/>
        </w:rPr>
        <w:t xml:space="preserve">COVID-19 hospitalizations. </w:t>
      </w:r>
      <w:r w:rsidR="00796521">
        <w:rPr>
          <w:rFonts w:cs="Times New Roman"/>
          <w:szCs w:val="24"/>
        </w:rPr>
        <w:t xml:space="preserve">We recognize that the impact of COVID-19 on overall hospitalizations is going to </w:t>
      </w:r>
      <w:r w:rsidR="0079736C">
        <w:rPr>
          <w:rFonts w:cs="Times New Roman"/>
          <w:szCs w:val="24"/>
        </w:rPr>
        <w:t>persist</w:t>
      </w:r>
      <w:r w:rsidR="00796521">
        <w:rPr>
          <w:rFonts w:cs="Times New Roman"/>
          <w:szCs w:val="24"/>
        </w:rPr>
        <w:t xml:space="preserve"> even after the pandemic ends.</w:t>
      </w:r>
      <w:r w:rsidR="00BD0E53">
        <w:rPr>
          <w:rFonts w:cs="Times New Roman"/>
          <w:szCs w:val="24"/>
        </w:rPr>
        <w:t xml:space="preserve"> The displaced hospital demand during the pandemic will need to be addressed once COVID-19 cases reduce substantially. Thus, developing a framework that examines overall hospitalizations and ICU bed usage </w:t>
      </w:r>
      <w:proofErr w:type="gramStart"/>
      <w:r w:rsidR="00BD0E53">
        <w:rPr>
          <w:rFonts w:cs="Times New Roman"/>
          <w:szCs w:val="24"/>
        </w:rPr>
        <w:t>as a result of</w:t>
      </w:r>
      <w:proofErr w:type="gramEnd"/>
      <w:r w:rsidR="00BD0E53">
        <w:rPr>
          <w:rFonts w:cs="Times New Roman"/>
          <w:szCs w:val="24"/>
        </w:rPr>
        <w:t xml:space="preserve"> COVID and non-COVID hospitalizations can better reflect the </w:t>
      </w:r>
      <w:r w:rsidR="0079736C">
        <w:rPr>
          <w:rFonts w:cs="Times New Roman"/>
          <w:szCs w:val="24"/>
        </w:rPr>
        <w:t xml:space="preserve">plausible </w:t>
      </w:r>
      <w:r w:rsidR="00BD0E53">
        <w:rPr>
          <w:rFonts w:cs="Times New Roman"/>
          <w:szCs w:val="24"/>
        </w:rPr>
        <w:t xml:space="preserve">hospital system recovery </w:t>
      </w:r>
      <w:r w:rsidR="003A265E">
        <w:rPr>
          <w:rFonts w:cs="Times New Roman"/>
          <w:szCs w:val="24"/>
        </w:rPr>
        <w:t xml:space="preserve">path </w:t>
      </w:r>
      <w:r w:rsidR="00BD0E53">
        <w:rPr>
          <w:rFonts w:cs="Times New Roman"/>
          <w:szCs w:val="24"/>
        </w:rPr>
        <w:t>to pre-COVID level</w:t>
      </w:r>
      <w:r w:rsidR="0079736C">
        <w:rPr>
          <w:rFonts w:cs="Times New Roman"/>
          <w:szCs w:val="24"/>
        </w:rPr>
        <w:t xml:space="preserve"> hospitalization trends</w:t>
      </w:r>
      <w:r w:rsidR="00BD0E53">
        <w:rPr>
          <w:rFonts w:cs="Times New Roman"/>
          <w:szCs w:val="24"/>
        </w:rPr>
        <w:t xml:space="preserve">.  </w:t>
      </w:r>
    </w:p>
    <w:p w14:paraId="3CD581A4" w14:textId="0C5FEA33" w:rsidR="003E5DD0" w:rsidRDefault="00BD0E53" w:rsidP="00E05D4A">
      <w:pPr>
        <w:ind w:firstLine="720"/>
        <w:rPr>
          <w:rFonts w:cs="Times New Roman"/>
          <w:szCs w:val="24"/>
        </w:rPr>
      </w:pPr>
      <w:r w:rsidRPr="00B03DD4">
        <w:rPr>
          <w:rFonts w:cs="Times New Roman"/>
          <w:i/>
          <w:szCs w:val="24"/>
          <w:u w:val="single"/>
        </w:rPr>
        <w:t>Third</w:t>
      </w:r>
      <w:r>
        <w:rPr>
          <w:rFonts w:cs="Times New Roman"/>
          <w:szCs w:val="24"/>
        </w:rPr>
        <w:t>, earlier work on hospitalizations employed simple time series model</w:t>
      </w:r>
      <w:r w:rsidR="003E5DD0">
        <w:rPr>
          <w:rFonts w:cs="Times New Roman"/>
          <w:szCs w:val="24"/>
        </w:rPr>
        <w:t>s</w:t>
      </w:r>
      <w:r>
        <w:rPr>
          <w:rFonts w:cs="Times New Roman"/>
          <w:szCs w:val="24"/>
        </w:rPr>
        <w:t xml:space="preserve"> or focused on descriptive and visualization</w:t>
      </w:r>
      <w:r w:rsidR="003E5DD0">
        <w:rPr>
          <w:rFonts w:cs="Times New Roman"/>
          <w:szCs w:val="24"/>
        </w:rPr>
        <w:t xml:space="preserve"> exercises </w:t>
      </w:r>
      <w:r>
        <w:rPr>
          <w:rFonts w:cs="Times New Roman"/>
          <w:szCs w:val="24"/>
        </w:rPr>
        <w:t xml:space="preserve">to understand the association between hospitalization and other factors. In </w:t>
      </w:r>
      <w:r w:rsidR="003E5DD0">
        <w:rPr>
          <w:rFonts w:cs="Times New Roman"/>
          <w:szCs w:val="24"/>
        </w:rPr>
        <w:t>our study</w:t>
      </w:r>
      <w:r>
        <w:rPr>
          <w:rFonts w:cs="Times New Roman"/>
          <w:szCs w:val="24"/>
        </w:rPr>
        <w:t xml:space="preserve">, we </w:t>
      </w:r>
      <w:r w:rsidRPr="00515AA5">
        <w:rPr>
          <w:rFonts w:cs="Times New Roman"/>
          <w:szCs w:val="24"/>
        </w:rPr>
        <w:t xml:space="preserve">employ a robust modeling framework to analyze </w:t>
      </w:r>
      <w:r>
        <w:rPr>
          <w:rFonts w:cs="Times New Roman"/>
          <w:szCs w:val="24"/>
        </w:rPr>
        <w:t>the hospitalization and ICU usage</w:t>
      </w:r>
      <w:r w:rsidRPr="00515AA5">
        <w:rPr>
          <w:rFonts w:cs="Times New Roman"/>
          <w:szCs w:val="24"/>
        </w:rPr>
        <w:t xml:space="preserve"> demand </w:t>
      </w:r>
      <w:r>
        <w:rPr>
          <w:rFonts w:cs="Times New Roman"/>
          <w:szCs w:val="24"/>
        </w:rPr>
        <w:t xml:space="preserve">at a county level. Specifically, we adopt a mixed linear modelling approach </w:t>
      </w:r>
      <w:r>
        <w:rPr>
          <w:rFonts w:cs="Times New Roman"/>
          <w:szCs w:val="24"/>
        </w:rPr>
        <w:fldChar w:fldCharType="begin" w:fldLock="1"/>
      </w:r>
      <w:r w:rsidR="0000524D">
        <w:rPr>
          <w:rFonts w:cs="Times New Roman"/>
          <w:szCs w:val="24"/>
        </w:rPr>
        <w:instrText>ADDIN CSL_CITATION {"citationItems":[{"id":"ITEM-1","itemData":{"DOI":"10.1101/2020.08.03.20164137","abstract":"Background: Several research efforts have evaluated the impact of various factors including a) socio-demographics, (b) health indicators, (c) mobility trends, and (d) health care infrastructure attributes on COVID-19 transmission and mortality rate. However, earlier research focused only on a subset of variable groups (predominantly one or two) that can contribute to the COVID-19 transmission/mortality rate. The current study effort is designed to remedy this by analyzing COVID-19 transmission/mortality rates considering a comprehensive set of factors in a unified framework. Method: We study two per capita dependent variables: (1) daily COVID-19 transmission rates and (2) total COVID-19 mortality rates. The first variable is modeled using a linear mixed model while the later dimension is analyzed using a linear regression approach. The model results are augmented with a sensitivity analysis to predict the impact of mobility restrictions at a county level. Findings: Several county level factors including proportion of African-Americans, income inequality, health indicators associated with Asthma, Cancer, HIV and heart disease, percentage of stay at home individuals, testing infrastructure and Intensive Care Unit capacity impact transmission and/or mortality rates. From the policy analysis, we find that enforcing a stay at home order that can ensure a 50% stay at home rate can result in a potential reduction of about 30% in daily cases. Interpretation: The model framework developed can be employed by government agencies to evaluate the influence of reduced mobility on transmission rates at a county level while accommodating for various county specific factors. Based on our policy analysis, the study findings support a county level stay at home order for regions currently experiencing a surge in transmission. The model framework can also be employed to identify vulnerable counties that need to be prioritized based on health indicators for current support and/or preferential vaccination plans (when available).","author":[{"dropping-particle":"","family":"Bhowmik","given":"Tanmoy","non-dropping-particle":"","parse-names":false,"suffix":""},{"dropping-particle":"","family":"Tirtha","given":"Sudipta Dey","non-dropping-particle":"","parse-names":false,"suffix":""},{"dropping-particle":"","family":"Iraganaboina","given":"Naveen Chandra","non-dropping-particle":"","parse-names":false,"suffix":""},{"dropping-particle":"","family":"Eluru","given":"Naveen","non-dropping-particle":"","parse-names":false,"suffix":""}],"container-title":"medRxiv","id":"ITEM-1","issued":{"date-parts":[["2020"]]},"title":"A comprehensive analysis of COVID-19 transmission and fatality rates at the county level in the United States considering socio-demographics, health indicators, mobility trends and health care infrastructure attributes","type":"article-journal"},"uris":["http://www.mendeley.com/documents/?uuid=f351c73a-be65-3c50-8c60-c2e9ac1a09ce"]}],"mendeley":{"formattedCitation":"&lt;sup&gt;8&lt;/sup&gt;","plainTextFormattedCitation":"8","previouslyFormattedCitation":"&lt;sup&gt;8&lt;/sup&gt;"},"properties":{"noteIndex":0},"schema":"https://github.com/citation-style-language/schema/raw/master/csl-citation.json"}</w:instrText>
      </w:r>
      <w:r>
        <w:rPr>
          <w:rFonts w:cs="Times New Roman"/>
          <w:szCs w:val="24"/>
        </w:rPr>
        <w:fldChar w:fldCharType="separate"/>
      </w:r>
      <w:r w:rsidR="00725D63" w:rsidRPr="00725D63">
        <w:rPr>
          <w:rFonts w:cs="Times New Roman"/>
          <w:noProof/>
          <w:szCs w:val="24"/>
          <w:vertAlign w:val="superscript"/>
        </w:rPr>
        <w:t>8</w:t>
      </w:r>
      <w:r>
        <w:rPr>
          <w:rFonts w:cs="Times New Roman"/>
          <w:szCs w:val="24"/>
        </w:rPr>
        <w:fldChar w:fldCharType="end"/>
      </w:r>
      <w:r>
        <w:rPr>
          <w:rFonts w:cs="Times New Roman"/>
          <w:szCs w:val="24"/>
        </w:rPr>
        <w:t xml:space="preserve"> to account for the repeated </w:t>
      </w:r>
      <w:r w:rsidR="003E5DD0">
        <w:rPr>
          <w:rFonts w:cs="Times New Roman"/>
          <w:szCs w:val="24"/>
        </w:rPr>
        <w:t>observations at the count</w:t>
      </w:r>
      <w:r w:rsidR="003A265E">
        <w:rPr>
          <w:rFonts w:cs="Times New Roman"/>
          <w:szCs w:val="24"/>
        </w:rPr>
        <w:t>y</w:t>
      </w:r>
      <w:r w:rsidR="003E5DD0">
        <w:rPr>
          <w:rFonts w:cs="Times New Roman"/>
          <w:szCs w:val="24"/>
        </w:rPr>
        <w:t xml:space="preserve"> level</w:t>
      </w:r>
      <w:r>
        <w:rPr>
          <w:rFonts w:cs="Times New Roman"/>
          <w:szCs w:val="24"/>
        </w:rPr>
        <w:t xml:space="preserve"> (multiple weeks of data). </w:t>
      </w:r>
      <w:r w:rsidR="0079736C">
        <w:rPr>
          <w:rFonts w:cs="Times New Roman"/>
          <w:szCs w:val="24"/>
        </w:rPr>
        <w:t>F</w:t>
      </w:r>
      <w:r w:rsidR="003E5DD0">
        <w:rPr>
          <w:rFonts w:cs="Times New Roman"/>
          <w:szCs w:val="24"/>
        </w:rPr>
        <w:t>urther, the model estimation exercise is carried ou</w:t>
      </w:r>
      <w:r w:rsidR="0079736C">
        <w:rPr>
          <w:rFonts w:cs="Times New Roman"/>
          <w:szCs w:val="24"/>
        </w:rPr>
        <w:t>t</w:t>
      </w:r>
      <w:r w:rsidR="003E5DD0">
        <w:rPr>
          <w:rFonts w:cs="Times New Roman"/>
          <w:szCs w:val="24"/>
        </w:rPr>
        <w:t xml:space="preserve"> using a comprehensive list of county level independent variables including </w:t>
      </w:r>
      <w:r w:rsidR="003E5DD0" w:rsidRPr="001D5C5A">
        <w:rPr>
          <w:rFonts w:cs="Times New Roman"/>
          <w:szCs w:val="24"/>
        </w:rPr>
        <w:t>a)</w:t>
      </w:r>
      <w:r w:rsidR="003E5DD0">
        <w:rPr>
          <w:rFonts w:cs="Times New Roman"/>
          <w:szCs w:val="24"/>
        </w:rPr>
        <w:t xml:space="preserve"> </w:t>
      </w:r>
      <w:r w:rsidR="003E5DD0" w:rsidRPr="001D5C5A">
        <w:rPr>
          <w:rFonts w:cs="Times New Roman"/>
          <w:szCs w:val="24"/>
        </w:rPr>
        <w:t>COVID-19 transmission</w:t>
      </w:r>
      <w:r w:rsidR="003E5DD0">
        <w:rPr>
          <w:rFonts w:cs="Times New Roman"/>
          <w:szCs w:val="24"/>
        </w:rPr>
        <w:t xml:space="preserve"> related factors</w:t>
      </w:r>
      <w:r w:rsidR="003E5DD0" w:rsidRPr="001D5C5A">
        <w:rPr>
          <w:rFonts w:cs="Times New Roman"/>
          <w:szCs w:val="24"/>
        </w:rPr>
        <w:t>; b)</w:t>
      </w:r>
      <w:r w:rsidR="003E5DD0">
        <w:rPr>
          <w:rFonts w:cs="Times New Roman"/>
          <w:szCs w:val="24"/>
        </w:rPr>
        <w:t xml:space="preserve"> </w:t>
      </w:r>
      <w:r w:rsidR="003E5DD0" w:rsidRPr="001D5C5A">
        <w:rPr>
          <w:rFonts w:cs="Times New Roman"/>
          <w:szCs w:val="24"/>
        </w:rPr>
        <w:t>mobility trends; c) health indicators; d) demographics</w:t>
      </w:r>
      <w:r w:rsidR="003E5DD0">
        <w:rPr>
          <w:rFonts w:cs="Times New Roman"/>
          <w:szCs w:val="24"/>
        </w:rPr>
        <w:t xml:space="preserve">; </w:t>
      </w:r>
      <w:r w:rsidR="003E5DD0" w:rsidRPr="001D5C5A">
        <w:rPr>
          <w:rFonts w:cs="Times New Roman"/>
          <w:szCs w:val="24"/>
        </w:rPr>
        <w:t>e) spatial factors and f) temporal factors</w:t>
      </w:r>
      <w:r w:rsidR="00B56010">
        <w:rPr>
          <w:rFonts w:cs="Times New Roman"/>
          <w:szCs w:val="24"/>
        </w:rPr>
        <w:t>.</w:t>
      </w:r>
      <w:r w:rsidR="003E5DD0">
        <w:rPr>
          <w:rFonts w:cs="Times New Roman"/>
          <w:szCs w:val="24"/>
        </w:rPr>
        <w:t xml:space="preserve"> </w:t>
      </w:r>
      <w:r w:rsidR="00BD1D5B">
        <w:rPr>
          <w:rFonts w:cs="Times New Roman"/>
          <w:szCs w:val="24"/>
        </w:rPr>
        <w:t xml:space="preserve">The modeling approach will allow us to identify the factors that contribute to the </w:t>
      </w:r>
      <w:r w:rsidR="00BD1D5B" w:rsidRPr="004F3677">
        <w:t>overall hospitalization and ICU demand in US during the pandemic</w:t>
      </w:r>
      <w:r w:rsidR="00990ED6">
        <w:t>.</w:t>
      </w:r>
    </w:p>
    <w:p w14:paraId="2923D0D7" w14:textId="409658F6" w:rsidR="006E0B01" w:rsidRDefault="003E5DD0" w:rsidP="00E05D4A">
      <w:pPr>
        <w:ind w:firstLine="720"/>
        <w:rPr>
          <w:rFonts w:cs="Times New Roman"/>
          <w:szCs w:val="24"/>
        </w:rPr>
      </w:pPr>
      <w:r w:rsidRPr="00B03DD4">
        <w:rPr>
          <w:rFonts w:cs="Times New Roman"/>
          <w:i/>
          <w:szCs w:val="24"/>
          <w:u w:val="single"/>
        </w:rPr>
        <w:t>Finally</w:t>
      </w:r>
      <w:r>
        <w:rPr>
          <w:rFonts w:cs="Times New Roman"/>
          <w:szCs w:val="24"/>
        </w:rPr>
        <w:t xml:space="preserve">, the </w:t>
      </w:r>
      <w:r w:rsidR="00BD0E53" w:rsidRPr="00515AA5">
        <w:rPr>
          <w:rFonts w:cs="Times New Roman"/>
          <w:szCs w:val="24"/>
        </w:rPr>
        <w:t>model developed is employed to generate predictions</w:t>
      </w:r>
      <w:r w:rsidR="00BD0E53">
        <w:rPr>
          <w:rFonts w:cs="Times New Roman"/>
          <w:szCs w:val="24"/>
        </w:rPr>
        <w:t xml:space="preserve"> (at various spatial units including country, region, </w:t>
      </w:r>
      <w:proofErr w:type="gramStart"/>
      <w:r w:rsidR="00BD0E53">
        <w:rPr>
          <w:rFonts w:cs="Times New Roman"/>
          <w:szCs w:val="24"/>
        </w:rPr>
        <w:t>state</w:t>
      </w:r>
      <w:proofErr w:type="gramEnd"/>
      <w:r w:rsidR="00BD0E53">
        <w:rPr>
          <w:rFonts w:cs="Times New Roman"/>
          <w:szCs w:val="24"/>
        </w:rPr>
        <w:t xml:space="preserve"> and county)</w:t>
      </w:r>
      <w:r w:rsidR="00BD0E53" w:rsidRPr="00515AA5">
        <w:rPr>
          <w:rFonts w:cs="Times New Roman"/>
          <w:szCs w:val="24"/>
        </w:rPr>
        <w:t xml:space="preserve"> for </w:t>
      </w:r>
      <w:r w:rsidR="00BD0E53">
        <w:rPr>
          <w:rFonts w:cs="Times New Roman"/>
          <w:szCs w:val="24"/>
        </w:rPr>
        <w:t xml:space="preserve">hospital and ICU usage </w:t>
      </w:r>
      <w:r>
        <w:rPr>
          <w:rFonts w:cs="Times New Roman"/>
          <w:szCs w:val="24"/>
        </w:rPr>
        <w:t xml:space="preserve">for </w:t>
      </w:r>
      <w:r w:rsidR="00BD0E53">
        <w:rPr>
          <w:rFonts w:cs="Times New Roman"/>
          <w:szCs w:val="24"/>
        </w:rPr>
        <w:t xml:space="preserve">COVID and non-COVID patients </w:t>
      </w:r>
      <w:r w:rsidR="00BD0E53" w:rsidRPr="00515AA5">
        <w:rPr>
          <w:rFonts w:cs="Times New Roman"/>
          <w:szCs w:val="24"/>
        </w:rPr>
        <w:t xml:space="preserve">under </w:t>
      </w:r>
      <w:r>
        <w:rPr>
          <w:rFonts w:cs="Times New Roman"/>
          <w:szCs w:val="24"/>
        </w:rPr>
        <w:t xml:space="preserve">a host of future </w:t>
      </w:r>
      <w:r w:rsidR="00BD0E53" w:rsidRPr="00515AA5">
        <w:rPr>
          <w:rFonts w:cs="Times New Roman"/>
          <w:szCs w:val="24"/>
        </w:rPr>
        <w:t>scenarios of COVID-19 transmission</w:t>
      </w:r>
      <w:r>
        <w:rPr>
          <w:rFonts w:cs="Times New Roman"/>
          <w:szCs w:val="24"/>
        </w:rPr>
        <w:t xml:space="preserve">. The scenarios are generated considering potential influence of </w:t>
      </w:r>
      <w:r w:rsidR="00BD0E53">
        <w:t xml:space="preserve">vaccination </w:t>
      </w:r>
      <w:r>
        <w:t>and the uncertainty associated with COVID-19 variants</w:t>
      </w:r>
      <w:r w:rsidR="00BD0E53">
        <w:rPr>
          <w:rFonts w:cs="Times New Roman"/>
          <w:szCs w:val="24"/>
        </w:rPr>
        <w:t>.</w:t>
      </w:r>
      <w:r>
        <w:rPr>
          <w:rFonts w:cs="Times New Roman"/>
          <w:szCs w:val="24"/>
        </w:rPr>
        <w:t xml:space="preserve"> The exercise provides an understanding of how hospitalizations and ICU bed usage rates </w:t>
      </w:r>
      <w:r w:rsidR="0079736C">
        <w:rPr>
          <w:rFonts w:cs="Times New Roman"/>
          <w:szCs w:val="24"/>
        </w:rPr>
        <w:t xml:space="preserve">might possibly </w:t>
      </w:r>
      <w:r>
        <w:rPr>
          <w:rFonts w:cs="Times New Roman"/>
          <w:szCs w:val="24"/>
        </w:rPr>
        <w:t xml:space="preserve">vary over time across the country. </w:t>
      </w:r>
    </w:p>
    <w:p w14:paraId="0545AD97" w14:textId="77777777" w:rsidR="004C3BF3" w:rsidRDefault="004C3BF3" w:rsidP="00FB41DC"/>
    <w:p w14:paraId="5A42F95B" w14:textId="5F52C468" w:rsidR="00950980" w:rsidRDefault="00950980" w:rsidP="00950980">
      <w:pPr>
        <w:pStyle w:val="Heading1"/>
      </w:pPr>
      <w:r>
        <w:t>RESULT</w:t>
      </w:r>
      <w:r w:rsidR="00CA5AF0">
        <w:t>S</w:t>
      </w:r>
    </w:p>
    <w:p w14:paraId="519C7216" w14:textId="5465A39F" w:rsidR="009575DE" w:rsidRPr="00565893" w:rsidRDefault="00773E9F" w:rsidP="00773E9F">
      <w:pPr>
        <w:pStyle w:val="Heading2"/>
      </w:pPr>
      <w:r>
        <w:t xml:space="preserve">Data </w:t>
      </w:r>
      <w:r w:rsidR="009575DE">
        <w:t>Collection and Preparation</w:t>
      </w:r>
    </w:p>
    <w:p w14:paraId="79D19BE5" w14:textId="67AC607A" w:rsidR="009575DE" w:rsidRDefault="009575DE" w:rsidP="009575DE">
      <w:pPr>
        <w:rPr>
          <w:rFonts w:cs="Times New Roman"/>
          <w:szCs w:val="24"/>
        </w:rPr>
      </w:pPr>
      <w:r>
        <w:t xml:space="preserve">The primary focus of the analysis is to </w:t>
      </w:r>
      <w:r w:rsidR="007A064A">
        <w:t xml:space="preserve">study factors affecting two measures: 1) hospitalization rates (measured as </w:t>
      </w:r>
      <w:r>
        <w:t>number of beds</w:t>
      </w:r>
      <w:r w:rsidR="007A064A">
        <w:t xml:space="preserve"> used)</w:t>
      </w:r>
      <w:r>
        <w:t xml:space="preserve"> and </w:t>
      </w:r>
      <w:r w:rsidR="007A064A">
        <w:t xml:space="preserve">2) </w:t>
      </w:r>
      <w:r>
        <w:t>ICU</w:t>
      </w:r>
      <w:r w:rsidR="00F41F7B">
        <w:t>s</w:t>
      </w:r>
      <w:r>
        <w:t xml:space="preserve"> </w:t>
      </w:r>
      <w:r w:rsidR="007A064A">
        <w:t>used. In our analysis, we examine</w:t>
      </w:r>
      <w:r>
        <w:t xml:space="preserve"> </w:t>
      </w:r>
      <w:r w:rsidR="007A064A">
        <w:t xml:space="preserve">these measures for </w:t>
      </w:r>
      <w:r>
        <w:t xml:space="preserve">COVID and non-COVID patients. Hence, </w:t>
      </w:r>
      <w:r w:rsidR="00C21EFF">
        <w:t xml:space="preserve">a </w:t>
      </w:r>
      <w:r>
        <w:t xml:space="preserve">total </w:t>
      </w:r>
      <w:r w:rsidR="00C21EFF">
        <w:t xml:space="preserve">of </w:t>
      </w:r>
      <w:r>
        <w:t xml:space="preserve">4 </w:t>
      </w:r>
      <w:r w:rsidR="00C21EFF">
        <w:t xml:space="preserve">dependent </w:t>
      </w:r>
      <w:r>
        <w:t xml:space="preserve">variables are analyzed  including: </w:t>
      </w:r>
      <w:r w:rsidR="00FB7E36">
        <w:t xml:space="preserve">COVID-19 hospitalization and ICU </w:t>
      </w:r>
      <w:r w:rsidR="00412A58">
        <w:t xml:space="preserve">rate </w:t>
      </w:r>
      <w:r w:rsidR="00FB7E36">
        <w:t>per 100K population;  and non-</w:t>
      </w:r>
      <w:r w:rsidR="00FB7E36">
        <w:lastRenderedPageBreak/>
        <w:t xml:space="preserve">COVID hospitalization and ICU </w:t>
      </w:r>
      <w:r w:rsidR="00412A58">
        <w:t xml:space="preserve">rate </w:t>
      </w:r>
      <w:r w:rsidR="00FB7E36">
        <w:t xml:space="preserve">per 100K population. </w:t>
      </w:r>
      <w:r w:rsidR="00C21EFF">
        <w:t>The data for our analysis is drawn from the</w:t>
      </w:r>
      <w:r>
        <w:t xml:space="preserve"> </w:t>
      </w:r>
      <w:r>
        <w:rPr>
          <w:rFonts w:cs="Times New Roman"/>
          <w:szCs w:val="24"/>
        </w:rPr>
        <w:t>DHH</w:t>
      </w:r>
      <w:r w:rsidR="00CA5AF0">
        <w:rPr>
          <w:rFonts w:cs="Times New Roman"/>
          <w:szCs w:val="24"/>
        </w:rPr>
        <w:t>S</w:t>
      </w:r>
      <w:r>
        <w:rPr>
          <w:rFonts w:cs="Times New Roman"/>
          <w:szCs w:val="24"/>
        </w:rPr>
        <w:t xml:space="preserve"> </w:t>
      </w:r>
      <w:r w:rsidR="00C21EFF">
        <w:rPr>
          <w:rFonts w:cs="Times New Roman"/>
          <w:szCs w:val="24"/>
        </w:rPr>
        <w:t xml:space="preserve">database compiled from approximately 5,000 hospitals encompassing 2,462 counties in the country </w:t>
      </w:r>
      <w:r w:rsidR="00C21EFF">
        <w:rPr>
          <w:rFonts w:cs="Times New Roman"/>
          <w:szCs w:val="24"/>
        </w:rPr>
        <w:fldChar w:fldCharType="begin" w:fldLock="1"/>
      </w:r>
      <w:r w:rsidR="00D36A98">
        <w:rPr>
          <w:rFonts w:cs="Times New Roman"/>
          <w:szCs w:val="24"/>
        </w:rPr>
        <w:instrText>ADDIN CSL_CITATION {"citationItems":[{"id":"ITEM-1","itemData":{"URL":"https://healthdata.gov/Hospital/COVID-19-Reported-Patient-Impact-and-Hospital-Capa/anag-cw7u","accessed":{"date-parts":[["2021","1","25"]]},"id":"ITEM-1","issued":{"date-parts":[["0"]]},"title":"COVID-19 Reported Patient Impact and Hospital Capacity by Facility | HealthData.gov","type":"webpage"},"uris":["http://www.mendeley.com/documents/?uuid=89558ad4-8c33-3852-aaaf-60cb4f68bb61"]}],"mendeley":{"formattedCitation":"&lt;sup&gt;20&lt;/sup&gt;","plainTextFormattedCitation":"20","previouslyFormattedCitation":"&lt;sup&gt;20&lt;/sup&gt;"},"properties":{"noteIndex":0},"schema":"https://github.com/citation-style-language/schema/raw/master/csl-citation.json"}</w:instrText>
      </w:r>
      <w:r w:rsidR="00C21EFF">
        <w:rPr>
          <w:rFonts w:cs="Times New Roman"/>
          <w:szCs w:val="24"/>
        </w:rPr>
        <w:fldChar w:fldCharType="separate"/>
      </w:r>
      <w:r w:rsidR="00EE4BF1" w:rsidRPr="00EE4BF1">
        <w:rPr>
          <w:rFonts w:cs="Times New Roman"/>
          <w:noProof/>
          <w:szCs w:val="24"/>
          <w:vertAlign w:val="superscript"/>
        </w:rPr>
        <w:t>20</w:t>
      </w:r>
      <w:r w:rsidR="00C21EFF">
        <w:rPr>
          <w:rFonts w:cs="Times New Roman"/>
          <w:szCs w:val="24"/>
        </w:rPr>
        <w:fldChar w:fldCharType="end"/>
      </w:r>
      <w:r w:rsidR="00C21EFF">
        <w:rPr>
          <w:rFonts w:cs="Times New Roman"/>
          <w:szCs w:val="24"/>
        </w:rPr>
        <w:t>.</w:t>
      </w:r>
      <w:r w:rsidR="00D36A98">
        <w:rPr>
          <w:rFonts w:cs="Times New Roman"/>
          <w:szCs w:val="24"/>
        </w:rPr>
        <w:t>The dataset provides information on weekly hospitalization and ICU data from July</w:t>
      </w:r>
      <w:r w:rsidR="00CA5AF0">
        <w:rPr>
          <w:rFonts w:cs="Times New Roman"/>
          <w:szCs w:val="24"/>
        </w:rPr>
        <w:t xml:space="preserve"> </w:t>
      </w:r>
      <w:r w:rsidR="00D36A98">
        <w:rPr>
          <w:rFonts w:cs="Times New Roman"/>
          <w:szCs w:val="24"/>
        </w:rPr>
        <w:t>31</w:t>
      </w:r>
      <w:r w:rsidR="00D36A98">
        <w:rPr>
          <w:rFonts w:cs="Times New Roman"/>
          <w:szCs w:val="24"/>
          <w:vertAlign w:val="superscript"/>
        </w:rPr>
        <w:t>st</w:t>
      </w:r>
      <w:r w:rsidR="00D36A98">
        <w:rPr>
          <w:rFonts w:cs="Times New Roman"/>
          <w:szCs w:val="24"/>
        </w:rPr>
        <w:t>, 2020 through  January 22</w:t>
      </w:r>
      <w:r w:rsidR="00D36A98" w:rsidRPr="00B03DD4">
        <w:rPr>
          <w:rFonts w:cs="Times New Roman"/>
          <w:szCs w:val="24"/>
          <w:vertAlign w:val="superscript"/>
        </w:rPr>
        <w:t>nd</w:t>
      </w:r>
      <w:r w:rsidR="00D36A98">
        <w:rPr>
          <w:rFonts w:cs="Times New Roman"/>
          <w:szCs w:val="24"/>
        </w:rPr>
        <w:t xml:space="preserve">, 2021 (total 32 weeks data). </w:t>
      </w:r>
      <w:r>
        <w:rPr>
          <w:rFonts w:cs="Times New Roman"/>
          <w:szCs w:val="24"/>
        </w:rPr>
        <w:t xml:space="preserve">For the analysis, we aggregate the weekly level </w:t>
      </w:r>
      <w:r w:rsidR="004C5F4E">
        <w:rPr>
          <w:rFonts w:cs="Times New Roman"/>
          <w:szCs w:val="24"/>
        </w:rPr>
        <w:t xml:space="preserve">hospital </w:t>
      </w:r>
      <w:r>
        <w:rPr>
          <w:rFonts w:cs="Times New Roman"/>
          <w:szCs w:val="24"/>
        </w:rPr>
        <w:t xml:space="preserve">and ICU data at a county level and </w:t>
      </w:r>
      <w:r w:rsidR="00431D57">
        <w:rPr>
          <w:rFonts w:cs="Times New Roman"/>
          <w:szCs w:val="24"/>
        </w:rPr>
        <w:t xml:space="preserve">consider </w:t>
      </w:r>
      <w:r>
        <w:rPr>
          <w:rFonts w:cs="Times New Roman"/>
          <w:szCs w:val="24"/>
        </w:rPr>
        <w:t xml:space="preserve">their natural </w:t>
      </w:r>
      <w:r>
        <w:t xml:space="preserve">logarithm to generate the final dependent variables. </w:t>
      </w:r>
    </w:p>
    <w:p w14:paraId="3B6C2CD3" w14:textId="675BF539" w:rsidR="00A9704C" w:rsidRDefault="00F3630E" w:rsidP="0047498E">
      <w:pPr>
        <w:ind w:firstLine="720"/>
      </w:pPr>
      <w:r>
        <w:rPr>
          <w:rFonts w:cs="Times New Roman"/>
          <w:szCs w:val="24"/>
        </w:rPr>
        <w:t xml:space="preserve">In terms of independent variables, the following six broad categories are considered: </w:t>
      </w:r>
      <w:r w:rsidRPr="001D5C5A">
        <w:rPr>
          <w:rFonts w:cs="Times New Roman"/>
          <w:szCs w:val="24"/>
        </w:rPr>
        <w:t>COVID-19 transmission</w:t>
      </w:r>
      <w:r>
        <w:rPr>
          <w:rFonts w:cs="Times New Roman"/>
          <w:szCs w:val="24"/>
        </w:rPr>
        <w:t xml:space="preserve"> related factors</w:t>
      </w:r>
      <w:r w:rsidRPr="001D5C5A">
        <w:rPr>
          <w:rFonts w:cs="Times New Roman"/>
          <w:szCs w:val="24"/>
        </w:rPr>
        <w:t>; mobility trends; health indicators; demographics</w:t>
      </w:r>
      <w:r>
        <w:rPr>
          <w:rFonts w:cs="Times New Roman"/>
          <w:szCs w:val="24"/>
        </w:rPr>
        <w:t xml:space="preserve">; </w:t>
      </w:r>
      <w:r w:rsidRPr="001D5C5A">
        <w:rPr>
          <w:rFonts w:cs="Times New Roman"/>
          <w:szCs w:val="24"/>
        </w:rPr>
        <w:t>spatial factors and temporal factors</w:t>
      </w:r>
      <w:r>
        <w:rPr>
          <w:rFonts w:cs="Times New Roman"/>
          <w:szCs w:val="24"/>
        </w:rPr>
        <w:t xml:space="preserve">. </w:t>
      </w:r>
      <w:r w:rsidR="004C5F4E">
        <w:rPr>
          <w:rFonts w:cs="Times New Roman"/>
          <w:szCs w:val="24"/>
        </w:rPr>
        <w:t>A</w:t>
      </w:r>
      <w:r w:rsidR="00A965AE">
        <w:rPr>
          <w:rFonts w:cs="Times New Roman"/>
          <w:szCs w:val="24"/>
        </w:rPr>
        <w:t>n exhaustive list o</w:t>
      </w:r>
      <w:r w:rsidR="004C5F4E">
        <w:rPr>
          <w:rFonts w:cs="Times New Roman"/>
          <w:szCs w:val="24"/>
        </w:rPr>
        <w:t xml:space="preserve">f these variables </w:t>
      </w:r>
      <w:proofErr w:type="gramStart"/>
      <w:r w:rsidR="00A965AE">
        <w:rPr>
          <w:rFonts w:cs="Times New Roman"/>
          <w:szCs w:val="24"/>
        </w:rPr>
        <w:t>are</w:t>
      </w:r>
      <w:proofErr w:type="gramEnd"/>
      <w:r w:rsidR="00A965AE">
        <w:rPr>
          <w:rFonts w:cs="Times New Roman"/>
          <w:szCs w:val="24"/>
        </w:rPr>
        <w:t xml:space="preserve"> </w:t>
      </w:r>
      <w:r w:rsidR="004C5F4E">
        <w:rPr>
          <w:rFonts w:cs="Times New Roman"/>
          <w:szCs w:val="24"/>
        </w:rPr>
        <w:t xml:space="preserve">presented in Table 1. </w:t>
      </w:r>
      <w:bookmarkStart w:id="2" w:name="_Hlk82915691"/>
      <w:r w:rsidR="00CA5AF0">
        <w:rPr>
          <w:rFonts w:cs="Times New Roman"/>
          <w:szCs w:val="24"/>
        </w:rPr>
        <w:t xml:space="preserve">A detailed description of </w:t>
      </w:r>
      <w:r w:rsidR="00EE4BF1">
        <w:rPr>
          <w:rFonts w:cs="Times New Roman"/>
          <w:szCs w:val="24"/>
        </w:rPr>
        <w:t>the independent variables considered in the study</w:t>
      </w:r>
      <w:r w:rsidR="00CA5AF0">
        <w:rPr>
          <w:rFonts w:cs="Times New Roman"/>
          <w:szCs w:val="24"/>
        </w:rPr>
        <w:t xml:space="preserve"> is available in our earlier work </w:t>
      </w:r>
      <w:r w:rsidR="00CA5AF0">
        <w:rPr>
          <w:rFonts w:cs="Times New Roman"/>
          <w:szCs w:val="24"/>
        </w:rPr>
        <w:fldChar w:fldCharType="begin" w:fldLock="1"/>
      </w:r>
      <w:r w:rsidR="00CA5AF0">
        <w:rPr>
          <w:rFonts w:cs="Times New Roman"/>
          <w:szCs w:val="24"/>
        </w:rPr>
        <w:instrText>ADDIN CSL_CITATION {"citationItems":[{"id":"ITEM-1","itemData":{"DOI":"10.1101/2020.08.03.20164137","abstract":"Background: Several research efforts have evaluated the impact of various factors including a) socio-demographics, (b) health indicators, (c) mobility trends, and (d) health care infrastructure attributes on COVID-19 transmission and mortality rate. However, earlier research focused only on a subset of variable groups (predominantly one or two) that can contribute to the COVID-19 transmission/mortality rate. The current study effort is designed to remedy this by analyzing COVID-19 transmission/mortality rates considering a comprehensive set of factors in a unified framework. Method: We study two per capita dependent variables: (1) daily COVID-19 transmission rates and (2) total COVID-19 mortality rates. The first variable is modeled using a linear mixed model while the later dimension is analyzed using a linear regression approach. The model results are augmented with a sensitivity analysis to predict the impact of mobility restrictions at a county level. Findings: Several county level factors including proportion of African-Americans, income inequality, health indicators associated with Asthma, Cancer, HIV and heart disease, percentage of stay at home individuals, testing infrastructure and Intensive Care Unit capacity impact transmission and/or mortality rates. From the policy analysis, we find that enforcing a stay at home order that can ensure a 50% stay at home rate can result in a potential reduction of about 30% in daily cases. Interpretation: The model framework developed can be employed by government agencies to evaluate the influence of reduced mobility on transmission rates at a county level while accommodating for various county specific factors. Based on our policy analysis, the study findings support a county level stay at home order for regions currently experiencing a surge in transmission. The model framework can also be employed to identify vulnerable counties that need to be prioritized based on health indicators for current support and/or preferential vaccination plans (when available).","author":[{"dropping-particle":"","family":"Bhowmik","given":"Tanmoy","non-dropping-particle":"","parse-names":false,"suffix":""},{"dropping-particle":"","family":"Tirtha","given":"Sudipta Dey","non-dropping-particle":"","parse-names":false,"suffix":""},{"dropping-particle":"","family":"Iraganaboina","given":"Naveen Chandra","non-dropping-particle":"","parse-names":false,"suffix":""},{"dropping-particle":"","family":"Eluru","given":"Naveen","non-dropping-particle":"","parse-names":false,"suffix":""}],"container-title":"medRxiv","id":"ITEM-1","issued":{"date-parts":[["2020"]]},"title":"A comprehensive analysis of COVID-19 transmission and fatality rates at the county level in the United States considering socio-demographics, health indicators, mobility trends and health care infrastructure attributes","type":"article-journal"},"uris":["http://www.mendeley.com/documents/?uuid=f351c73a-be65-3c50-8c60-c2e9ac1a09ce"]}],"mendeley":{"formattedCitation":"&lt;sup&gt;8&lt;/sup&gt;","plainTextFormattedCitation":"8","previouslyFormattedCitation":"&lt;sup&gt;8&lt;/sup&gt;"},"properties":{"noteIndex":0},"schema":"https://github.com/citation-style-language/schema/raw/master/csl-citation.json"}</w:instrText>
      </w:r>
      <w:r w:rsidR="00CA5AF0">
        <w:rPr>
          <w:rFonts w:cs="Times New Roman"/>
          <w:szCs w:val="24"/>
        </w:rPr>
        <w:fldChar w:fldCharType="separate"/>
      </w:r>
      <w:r w:rsidR="00CA5AF0" w:rsidRPr="00EE4BF1">
        <w:rPr>
          <w:rFonts w:cs="Times New Roman"/>
          <w:noProof/>
          <w:szCs w:val="24"/>
          <w:vertAlign w:val="superscript"/>
        </w:rPr>
        <w:t>8</w:t>
      </w:r>
      <w:r w:rsidR="00CA5AF0">
        <w:rPr>
          <w:rFonts w:cs="Times New Roman"/>
          <w:szCs w:val="24"/>
        </w:rPr>
        <w:fldChar w:fldCharType="end"/>
      </w:r>
      <w:r w:rsidR="00EE4BF1">
        <w:rPr>
          <w:rFonts w:cs="Times New Roman"/>
          <w:szCs w:val="24"/>
        </w:rPr>
        <w:t xml:space="preserve">. </w:t>
      </w:r>
      <w:bookmarkEnd w:id="2"/>
      <w:r w:rsidR="009575DE">
        <w:rPr>
          <w:rFonts w:cs="Times New Roman"/>
          <w:szCs w:val="24"/>
        </w:rPr>
        <w:t>Within the COVID-19 related factors, we consider different measure</w:t>
      </w:r>
      <w:r w:rsidR="00FD47D3">
        <w:rPr>
          <w:rFonts w:cs="Times New Roman"/>
          <w:szCs w:val="24"/>
        </w:rPr>
        <w:t>s</w:t>
      </w:r>
      <w:r w:rsidR="009575DE">
        <w:rPr>
          <w:rFonts w:cs="Times New Roman"/>
          <w:szCs w:val="24"/>
        </w:rPr>
        <w:t xml:space="preserve"> including</w:t>
      </w:r>
      <w:r w:rsidR="009575DE" w:rsidRPr="00D02F1F">
        <w:rPr>
          <w:rFonts w:cs="Times New Roman"/>
          <w:szCs w:val="24"/>
        </w:rPr>
        <w:t xml:space="preserve"> </w:t>
      </w:r>
      <w:r w:rsidR="00FD47D3">
        <w:rPr>
          <w:rFonts w:cs="Times New Roman"/>
          <w:szCs w:val="24"/>
        </w:rPr>
        <w:t xml:space="preserve">county level </w:t>
      </w:r>
      <w:r w:rsidR="009575DE">
        <w:rPr>
          <w:rFonts w:cs="Times New Roman"/>
          <w:szCs w:val="24"/>
        </w:rPr>
        <w:t xml:space="preserve">weekly COVID-19 transmission rate, </w:t>
      </w:r>
      <w:r w:rsidR="000A65B3">
        <w:rPr>
          <w:rFonts w:cs="Times New Roman"/>
          <w:szCs w:val="24"/>
        </w:rPr>
        <w:t xml:space="preserve">percentage  </w:t>
      </w:r>
      <w:r w:rsidR="009575DE">
        <w:rPr>
          <w:rFonts w:cs="Times New Roman"/>
          <w:szCs w:val="24"/>
        </w:rPr>
        <w:t xml:space="preserve">change in the virus transmission rate compared to the </w:t>
      </w:r>
      <w:r w:rsidR="00FD47D3">
        <w:rPr>
          <w:rFonts w:cs="Times New Roman"/>
          <w:szCs w:val="24"/>
        </w:rPr>
        <w:t xml:space="preserve">preceding </w:t>
      </w:r>
      <w:proofErr w:type="gramStart"/>
      <w:r w:rsidR="009575DE">
        <w:rPr>
          <w:rFonts w:cs="Times New Roman"/>
          <w:szCs w:val="24"/>
        </w:rPr>
        <w:t>3 week</w:t>
      </w:r>
      <w:proofErr w:type="gramEnd"/>
      <w:r w:rsidR="00FD47D3">
        <w:rPr>
          <w:rFonts w:cs="Times New Roman"/>
          <w:szCs w:val="24"/>
        </w:rPr>
        <w:t xml:space="preserve"> average</w:t>
      </w:r>
      <w:r w:rsidR="009575DE">
        <w:rPr>
          <w:rFonts w:cs="Times New Roman"/>
          <w:szCs w:val="24"/>
        </w:rPr>
        <w:t xml:space="preserve">, </w:t>
      </w:r>
      <w:r w:rsidR="00FD47D3">
        <w:rPr>
          <w:rFonts w:cs="Times New Roman"/>
          <w:szCs w:val="24"/>
        </w:rPr>
        <w:t xml:space="preserve">and </w:t>
      </w:r>
      <w:r w:rsidR="00CA5AF0">
        <w:rPr>
          <w:rFonts w:cs="Times New Roman"/>
          <w:szCs w:val="24"/>
        </w:rPr>
        <w:t xml:space="preserve">an indicator variable for </w:t>
      </w:r>
      <w:r w:rsidR="009575DE">
        <w:rPr>
          <w:rFonts w:cs="Times New Roman"/>
          <w:szCs w:val="24"/>
        </w:rPr>
        <w:t xml:space="preserve">a </w:t>
      </w:r>
      <w:r w:rsidR="00CA5AF0">
        <w:rPr>
          <w:rFonts w:cs="Times New Roman"/>
          <w:szCs w:val="24"/>
        </w:rPr>
        <w:t xml:space="preserve">possible increase </w:t>
      </w:r>
      <w:r w:rsidR="009575DE">
        <w:rPr>
          <w:rFonts w:cs="Times New Roman"/>
          <w:szCs w:val="24"/>
        </w:rPr>
        <w:t xml:space="preserve">in COVID cases in </w:t>
      </w:r>
      <w:r w:rsidR="00CA5AF0">
        <w:rPr>
          <w:rFonts w:cs="Times New Roman"/>
          <w:szCs w:val="24"/>
        </w:rPr>
        <w:t xml:space="preserve">the </w:t>
      </w:r>
      <w:r w:rsidR="009575DE">
        <w:rPr>
          <w:rFonts w:cs="Times New Roman"/>
          <w:szCs w:val="24"/>
        </w:rPr>
        <w:t xml:space="preserve">last week. We collect the mobility trends from </w:t>
      </w:r>
      <w:proofErr w:type="spellStart"/>
      <w:r w:rsidR="009575DE">
        <w:t>PlaceIQ</w:t>
      </w:r>
      <w:proofErr w:type="spellEnd"/>
      <w:r w:rsidR="009575DE">
        <w:t xml:space="preserve"> </w:t>
      </w:r>
      <w:r w:rsidR="009575DE">
        <w:fldChar w:fldCharType="begin" w:fldLock="1"/>
      </w:r>
      <w:r w:rsidR="00EE4BF1">
        <w:instrText>ADDIN CSL_CITATION {"citationItems":[{"id":"ITEM-1","itemData":{"DOI":"10.3386/w27560","abstract":"Tracking human activity in real time and at fine spatial scale is particularly valuable during episodes such as the COVID-19 pandemic. In this paper, we discuss the suitability of smartphone data for quantifying movement and social contact. We show that these data cover broad sections of the US population and exhibit movement patterns similar to conventional survey data. We develop and make publicly available a location exposure index that summarizes county-to-county movements and a device exposure index that quantifies social contact within venues. We use these indices to document how pandemic-induced reductions in activity vary across people and places.","author":[{"dropping-particle":"","family":"Couture","given":"Victor","non-dropping-particle":"","parse-names":false,"suffix":""},{"dropping-particle":"","family":"Dingel","given":"Jonathan I","non-dropping-particle":"","parse-names":false,"suffix":""},{"dropping-particle":"","family":"Green","given":"Allison","non-dropping-particle":"","parse-names":false,"suffix":""},{"dropping-particle":"","family":"Handbury","given":"Jessie","non-dropping-particle":"","parse-names":false,"suffix":""},{"dropping-particle":"","family":"Williams","given":"Kevin R","non-dropping-particle":"","parse-names":false,"suffix":""}],"container-title":"NBER Working Paper Series","id":"ITEM-1","issue":"2241","issued":{"date-parts":[["2020"]]},"number":"35","title":"Measuring Movement and Social Contact With Smartphone Data : a Real-Time Application To Covid-19","type":"report","volume":"No. 27560"},"uris":["http://www.mendeley.com/documents/?uuid=8280ada3-ff97-4b1e-b873-ba9a2a4bd6c7"]}],"mendeley":{"formattedCitation":"&lt;sup&gt;21&lt;/sup&gt;","plainTextFormattedCitation":"21","previouslyFormattedCitation":"&lt;sup&gt;21&lt;/sup&gt;"},"properties":{"noteIndex":0},"schema":"https://github.com/citation-style-language/schema/raw/master/csl-citation.json"}</w:instrText>
      </w:r>
      <w:r w:rsidR="009575DE">
        <w:fldChar w:fldCharType="separate"/>
      </w:r>
      <w:r w:rsidR="00EE4BF1" w:rsidRPr="00EE4BF1">
        <w:rPr>
          <w:noProof/>
          <w:vertAlign w:val="superscript"/>
        </w:rPr>
        <w:t>21</w:t>
      </w:r>
      <w:r w:rsidR="009575DE">
        <w:fldChar w:fldCharType="end"/>
      </w:r>
      <w:r w:rsidR="009575DE">
        <w:t xml:space="preserve"> </w:t>
      </w:r>
      <w:r w:rsidR="002539A6">
        <w:t xml:space="preserve">dataset </w:t>
      </w:r>
      <w:r w:rsidR="00FD47D3">
        <w:t xml:space="preserve">that provides </w:t>
      </w:r>
      <w:r w:rsidR="009575DE">
        <w:t xml:space="preserve">daily exposure matrices through the smartphone movement data </w:t>
      </w:r>
      <w:r w:rsidR="00FD47D3">
        <w:t xml:space="preserve">for counties </w:t>
      </w:r>
      <w:r w:rsidR="009575DE">
        <w:t xml:space="preserve">with at least 100 devices </w:t>
      </w:r>
      <w:r w:rsidR="002539A6">
        <w:t xml:space="preserve">active </w:t>
      </w:r>
      <w:r w:rsidR="009575DE">
        <w:t xml:space="preserve">in a day. </w:t>
      </w:r>
      <w:r w:rsidR="00A9704C">
        <w:t xml:space="preserve">The </w:t>
      </w:r>
      <w:r w:rsidR="00D27BA6">
        <w:t xml:space="preserve">exposure </w:t>
      </w:r>
      <w:r w:rsidR="00A9704C">
        <w:t xml:space="preserve">data is </w:t>
      </w:r>
      <w:r w:rsidR="00D27BA6">
        <w:t xml:space="preserve">measured </w:t>
      </w:r>
      <w:r w:rsidR="00A9704C">
        <w:t xml:space="preserve">based on smartphone device </w:t>
      </w:r>
      <w:r w:rsidR="00D27BA6">
        <w:t xml:space="preserve">exposure computed as the exposure of a device to </w:t>
      </w:r>
      <w:r w:rsidR="00334C08">
        <w:t xml:space="preserve">distinct </w:t>
      </w:r>
      <w:r w:rsidR="00D27BA6">
        <w:t xml:space="preserve">other devices at a specific point of interest. </w:t>
      </w:r>
      <w:r w:rsidR="00334C08">
        <w:t>The exposure for all devices from a county are aggregated to generate a weekly average county level exposure metric</w:t>
      </w:r>
      <w:r w:rsidR="00334C08">
        <w:fldChar w:fldCharType="begin" w:fldLock="1"/>
      </w:r>
      <w:r w:rsidR="00334C08">
        <w:instrText>ADDIN CSL_CITATION {"citationItems":[{"id":"ITEM-1","itemData":{"DOI":"10.3386/w27560","abstract":"Tracking human activity in real time and at fine spatial scale is particularly valuable during episodes such as the COVID-19 pandemic. In this paper, we discuss the suitability of smartphone data for quantifying movement and social contact. We show that these data cover broad sections of the US population and exhibit movement patterns similar to conventional survey data. We develop and make publicly available a location exposure index that summarizes county-to-county movements and a device exposure index that quantifies social contact within venues. We use these indices to document how pandemic-induced reductions in activity vary across people and places.","author":[{"dropping-particle":"","family":"Couture","given":"Victor","non-dropping-particle":"","parse-names":false,"suffix":""},{"dropping-particle":"","family":"Dingel","given":"Jonathan I","non-dropping-particle":"","parse-names":false,"suffix":""},{"dropping-particle":"","family":"Green","given":"Allison","non-dropping-particle":"","parse-names":false,"suffix":""},{"dropping-particle":"","family":"Handbury","given":"Jessie","non-dropping-particle":"","parse-names":false,"suffix":""},{"dropping-particle":"","family":"Williams","given":"Kevin R","non-dropping-particle":"","parse-names":false,"suffix":""}],"container-title":"NBER Working Paper Series","id":"ITEM-1","issue":"2241","issued":{"date-parts":[["2020"]]},"number":"35","title":"Measuring Movement and Social Contact With Smartphone Data : a Real-Time Application To Covid-19","type":"report","volume":"No. 27560"},"uris":["http://www.mendeley.com/documents/?uuid=8280ada3-ff97-4b1e-b873-ba9a2a4bd6c7"]},{"id":"ITEM-2","itemData":{"DOI":"10.1101/2020.08.03.20164137","abstract":"Background: Several research efforts have evaluated the impact of various factors including a) socio-demographics, (b) health indicators, (c) mobility trends, and (d) health care infrastructure attributes on COVID-19 transmission and mortality rate. However, earlier research focused only on a subset of variable groups (predominantly one or two) that can contribute to the COVID-19 transmission/mortality rate. The current study effort is designed to remedy this by analyzing COVID-19 transmission/mortality rates considering a comprehensive set of factors in a unified framework. Method: We study two per capita dependent variables: (1) daily COVID-19 transmission rates and (2) total COVID-19 mortality rates. The first variable is modeled using a linear mixed model while the later dimension is analyzed using a linear regression approach. The model results are augmented with a sensitivity analysis to predict the impact of mobility restrictions at a county level. Findings: Several county level factors including proportion of African-Americans, income inequality, health indicators associated with Asthma, Cancer, HIV and heart disease, percentage of stay at home individuals, testing infrastructure and Intensive Care Unit capacity impact transmission and/or mortality rates. From the policy analysis, we find that enforcing a stay at home order that can ensure a 50% stay at home rate can result in a potential reduction of about 30% in daily cases. Interpretation: The model framework developed can be employed by government agencies to evaluate the influence of reduced mobility on transmission rates at a county level while accommodating for various county specific factors. Based on our policy analysis, the study findings support a county level stay at home order for regions currently experiencing a surge in transmission. The model framework can also be employed to identify vulnerable counties that need to be prioritized based on health indicators for current support and/or preferential vaccination plans (when available).","author":[{"dropping-particle":"","family":"Bhowmik","given":"Tanmoy","non-dropping-particle":"","parse-names":false,"suffix":""},{"dropping-particle":"","family":"Tirtha","given":"Sudipta Dey","non-dropping-particle":"","parse-names":false,"suffix":""},{"dropping-particle":"","family":"Iraganaboina","given":"Naveen Chandra","non-dropping-particle":"","parse-names":false,"suffix":""},{"dropping-particle":"","family":"Eluru","given":"Naveen","non-dropping-particle":"","parse-names":false,"suffix":""}],"container-title":"medRxiv","id":"ITEM-2","issued":{"date-parts":[["2020"]]},"title":"A comprehensive analysis of COVID-19 transmission and fatality rates at the county level in the United States considering socio-demographics, health indicators, mobility trends and health care infrastructure attributes","type":"article-journal"},"uris":["http://www.mendeley.com/documents/?uuid=f351c73a-be65-3c50-8c60-c2e9ac1a09ce"]}],"mendeley":{"formattedCitation":"&lt;sup&gt;8,21&lt;/sup&gt;","plainTextFormattedCitation":"8,21","previouslyFormattedCitation":"&lt;sup&gt;8,21&lt;/sup&gt;"},"properties":{"noteIndex":0},"schema":"https://github.com/citation-style-language/schema/raw/master/csl-citation.json"}</w:instrText>
      </w:r>
      <w:r w:rsidR="00334C08">
        <w:fldChar w:fldCharType="separate"/>
      </w:r>
      <w:r w:rsidR="00334C08" w:rsidRPr="00EE4BF1">
        <w:rPr>
          <w:noProof/>
          <w:vertAlign w:val="superscript"/>
        </w:rPr>
        <w:t>8,21</w:t>
      </w:r>
      <w:r w:rsidR="00334C08">
        <w:fldChar w:fldCharType="end"/>
      </w:r>
      <w:r w:rsidR="00334C08">
        <w:t xml:space="preserve">. </w:t>
      </w:r>
    </w:p>
    <w:p w14:paraId="077A20BA" w14:textId="06795224" w:rsidR="009575DE" w:rsidRDefault="00FD47D3" w:rsidP="0047498E">
      <w:pPr>
        <w:ind w:firstLine="720"/>
      </w:pPr>
      <w:r>
        <w:t xml:space="preserve">For our analysis, we selected </w:t>
      </w:r>
      <w:r w:rsidR="00CA2853">
        <w:t>the</w:t>
      </w:r>
      <w:r>
        <w:t xml:space="preserve"> </w:t>
      </w:r>
      <w:r w:rsidR="00334C08">
        <w:t xml:space="preserve">2,018 </w:t>
      </w:r>
      <w:r>
        <w:t xml:space="preserve">counties with mobility data </w:t>
      </w:r>
      <w:r w:rsidR="00334C08">
        <w:t>available</w:t>
      </w:r>
      <w:r w:rsidR="009575DE">
        <w:t xml:space="preserve">. Out of these 2,018 </w:t>
      </w:r>
      <w:r w:rsidR="009575DE" w:rsidRPr="00A814ED">
        <w:t xml:space="preserve">counties, there </w:t>
      </w:r>
      <w:r w:rsidR="00F41F7B">
        <w:t>was</w:t>
      </w:r>
      <w:r w:rsidR="00F41F7B" w:rsidRPr="00A814ED">
        <w:t xml:space="preserve"> </w:t>
      </w:r>
      <w:r w:rsidRPr="00A814ED">
        <w:t xml:space="preserve">a small sample of </w:t>
      </w:r>
      <w:r w:rsidR="009575DE" w:rsidRPr="00A814ED">
        <w:t>counties (</w:t>
      </w:r>
      <w:r w:rsidRPr="00A814ED">
        <w:t>~</w:t>
      </w:r>
      <w:r w:rsidR="009575DE" w:rsidRPr="00A814ED">
        <w:t>25</w:t>
      </w:r>
      <w:r w:rsidRPr="00A814ED">
        <w:t>0</w:t>
      </w:r>
      <w:r w:rsidR="009575DE" w:rsidRPr="00A814ED">
        <w:t xml:space="preserve">) </w:t>
      </w:r>
      <w:r w:rsidRPr="00A814ED">
        <w:t xml:space="preserve">that </w:t>
      </w:r>
      <w:r w:rsidR="009575DE" w:rsidRPr="00A814ED">
        <w:t>do not have any hospital</w:t>
      </w:r>
      <w:r w:rsidR="006F40A3" w:rsidRPr="00A814ED">
        <w:t>s</w:t>
      </w:r>
      <w:r w:rsidR="009575DE" w:rsidRPr="00A814ED">
        <w:t xml:space="preserve"> </w:t>
      </w:r>
      <w:r w:rsidRPr="00A814ED">
        <w:t xml:space="preserve">and </w:t>
      </w:r>
      <w:r w:rsidR="00334C08">
        <w:t xml:space="preserve">thus </w:t>
      </w:r>
      <w:r w:rsidR="009575DE" w:rsidRPr="00A814ED">
        <w:t xml:space="preserve">are excluded from </w:t>
      </w:r>
      <w:r w:rsidRPr="00A814ED">
        <w:t xml:space="preserve">our </w:t>
      </w:r>
      <w:r w:rsidR="009575DE" w:rsidRPr="00A814ED">
        <w:t xml:space="preserve">analysis. </w:t>
      </w:r>
      <w:bookmarkStart w:id="3" w:name="_Hlk82881795"/>
      <w:r w:rsidRPr="00A814ED">
        <w:t>T</w:t>
      </w:r>
      <w:r w:rsidR="009575DE" w:rsidRPr="00A814ED">
        <w:t xml:space="preserve">he final dataset </w:t>
      </w:r>
      <w:proofErr w:type="gramStart"/>
      <w:r w:rsidR="009575DE" w:rsidRPr="00A814ED">
        <w:t>consist</w:t>
      </w:r>
      <w:proofErr w:type="gramEnd"/>
      <w:r w:rsidR="009575DE" w:rsidRPr="00A814ED">
        <w:t xml:space="preserve"> of total 1,76</w:t>
      </w:r>
      <w:r w:rsidR="0072494E" w:rsidRPr="00A814ED">
        <w:t>5</w:t>
      </w:r>
      <w:r w:rsidR="009575DE" w:rsidRPr="00A814ED">
        <w:t xml:space="preserve"> counties</w:t>
      </w:r>
      <w:r w:rsidR="0045061D">
        <w:t xml:space="preserve"> (out of 3,142 counties in US)</w:t>
      </w:r>
      <w:r w:rsidR="009575DE" w:rsidRPr="00A814ED">
        <w:t xml:space="preserve"> with </w:t>
      </w:r>
      <w:r w:rsidR="00423D74" w:rsidRPr="00A814ED">
        <w:t>21</w:t>
      </w:r>
      <w:r w:rsidR="009575DE" w:rsidRPr="00A814ED">
        <w:t xml:space="preserve"> weeks of data </w:t>
      </w:r>
      <w:r w:rsidRPr="00A814ED">
        <w:t xml:space="preserve">(from </w:t>
      </w:r>
      <w:r w:rsidR="00A814ED" w:rsidRPr="00A814ED">
        <w:t>August 28</w:t>
      </w:r>
      <w:r w:rsidR="00A814ED" w:rsidRPr="00A814ED">
        <w:rPr>
          <w:vertAlign w:val="superscript"/>
        </w:rPr>
        <w:t>th</w:t>
      </w:r>
      <w:r w:rsidR="0045061D">
        <w:t>,2020</w:t>
      </w:r>
      <w:r w:rsidRPr="00A814ED">
        <w:t xml:space="preserve"> to </w:t>
      </w:r>
      <w:r w:rsidR="00A814ED" w:rsidRPr="00A814ED">
        <w:t>January 22</w:t>
      </w:r>
      <w:r w:rsidR="00A814ED" w:rsidRPr="00A814ED">
        <w:rPr>
          <w:vertAlign w:val="superscript"/>
        </w:rPr>
        <w:t>nd</w:t>
      </w:r>
      <w:r w:rsidR="0045061D">
        <w:t>,2021</w:t>
      </w:r>
      <w:r w:rsidRPr="00A814ED">
        <w:t xml:space="preserve">) </w:t>
      </w:r>
      <w:r w:rsidR="009575DE" w:rsidRPr="00A814ED">
        <w:t xml:space="preserve">for each county. </w:t>
      </w:r>
      <w:bookmarkEnd w:id="3"/>
      <w:r w:rsidR="008940BE">
        <w:t xml:space="preserve">It is important to recognize that </w:t>
      </w:r>
      <w:r w:rsidR="009575DE" w:rsidRPr="00A814ED">
        <w:t>these 1,76</w:t>
      </w:r>
      <w:r w:rsidR="0072494E" w:rsidRPr="00A814ED">
        <w:t>5</w:t>
      </w:r>
      <w:r w:rsidR="009575DE" w:rsidRPr="00A814ED">
        <w:t xml:space="preserve"> counties account for more than 95% of the</w:t>
      </w:r>
      <w:r w:rsidR="009575DE">
        <w:t xml:space="preserve"> US population</w:t>
      </w:r>
      <w:r w:rsidR="00BD40FC">
        <w:t xml:space="preserve"> and </w:t>
      </w:r>
      <w:r w:rsidR="00B430B8">
        <w:t>97</w:t>
      </w:r>
      <w:r w:rsidR="00BD40FC">
        <w:t>% of the reported COVID-19 cases</w:t>
      </w:r>
      <w:r w:rsidR="009575DE">
        <w:t>.</w:t>
      </w:r>
    </w:p>
    <w:p w14:paraId="33C13EAA" w14:textId="77777777" w:rsidR="00FA7CEE" w:rsidRPr="003E4E62" w:rsidRDefault="00FA7CEE" w:rsidP="0047498E">
      <w:pPr>
        <w:ind w:firstLine="720"/>
        <w:rPr>
          <w:rFonts w:cs="Times New Roman"/>
          <w:szCs w:val="24"/>
        </w:rPr>
      </w:pPr>
    </w:p>
    <w:p w14:paraId="12324C79" w14:textId="77777777" w:rsidR="00FA7CEE" w:rsidRPr="00C31B32" w:rsidRDefault="00FA7CEE" w:rsidP="00F476B8">
      <w:pPr>
        <w:jc w:val="center"/>
        <w:rPr>
          <w:b/>
          <w:bCs/>
          <w:szCs w:val="24"/>
        </w:rPr>
      </w:pPr>
      <w:r>
        <w:rPr>
          <w:b/>
          <w:bCs/>
          <w:szCs w:val="24"/>
        </w:rPr>
        <w:t>T</w:t>
      </w:r>
      <w:r w:rsidRPr="00C31B32">
        <w:rPr>
          <w:b/>
          <w:bCs/>
          <w:szCs w:val="24"/>
        </w:rPr>
        <w:t xml:space="preserve">able 1 </w:t>
      </w:r>
      <w:r w:rsidRPr="001D672F">
        <w:rPr>
          <w:szCs w:val="24"/>
        </w:rPr>
        <w:t>Descriptive Statistics of the Dependent and Independent Variables</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147"/>
        <w:gridCol w:w="877"/>
        <w:gridCol w:w="1602"/>
        <w:gridCol w:w="933"/>
      </w:tblGrid>
      <w:tr w:rsidR="00FA7CEE" w:rsidRPr="005E3A54" w14:paraId="1EB56549" w14:textId="77777777" w:rsidTr="005E3A54">
        <w:trPr>
          <w:trHeight w:val="216"/>
        </w:trPr>
        <w:tc>
          <w:tcPr>
            <w:tcW w:w="2561" w:type="pct"/>
            <w:tcBorders>
              <w:top w:val="double" w:sz="4" w:space="0" w:color="auto"/>
              <w:left w:val="double" w:sz="4" w:space="0" w:color="auto"/>
              <w:bottom w:val="double" w:sz="4" w:space="0" w:color="auto"/>
            </w:tcBorders>
            <w:shd w:val="clear" w:color="auto" w:fill="auto"/>
            <w:noWrap/>
            <w:vAlign w:val="center"/>
            <w:hideMark/>
          </w:tcPr>
          <w:p w14:paraId="2EAC776E" w14:textId="77777777" w:rsidR="00FA7CEE" w:rsidRPr="005E3A54" w:rsidRDefault="00FA7CEE" w:rsidP="00310473">
            <w:pPr>
              <w:jc w:val="center"/>
              <w:rPr>
                <w:rFonts w:eastAsia="Times New Roman" w:cs="Times New Roman"/>
                <w:b/>
                <w:bCs/>
                <w:color w:val="000000"/>
                <w:sz w:val="22"/>
              </w:rPr>
            </w:pPr>
            <w:r w:rsidRPr="005E3A54">
              <w:rPr>
                <w:rFonts w:eastAsia="Times New Roman" w:cs="Times New Roman"/>
                <w:b/>
                <w:bCs/>
                <w:color w:val="000000"/>
                <w:sz w:val="22"/>
              </w:rPr>
              <w:t>Variables</w:t>
            </w:r>
          </w:p>
        </w:tc>
        <w:tc>
          <w:tcPr>
            <w:tcW w:w="614" w:type="pct"/>
            <w:tcBorders>
              <w:top w:val="double" w:sz="4" w:space="0" w:color="auto"/>
              <w:bottom w:val="double" w:sz="4" w:space="0" w:color="auto"/>
            </w:tcBorders>
            <w:shd w:val="clear" w:color="auto" w:fill="auto"/>
            <w:noWrap/>
            <w:vAlign w:val="center"/>
            <w:hideMark/>
          </w:tcPr>
          <w:p w14:paraId="296E76A7" w14:textId="77777777" w:rsidR="00FA7CEE" w:rsidRPr="005E3A54" w:rsidRDefault="00FA7CEE" w:rsidP="00310473">
            <w:pPr>
              <w:jc w:val="center"/>
              <w:rPr>
                <w:rFonts w:eastAsia="Times New Roman" w:cs="Times New Roman"/>
                <w:b/>
                <w:bCs/>
                <w:color w:val="000000"/>
                <w:sz w:val="22"/>
              </w:rPr>
            </w:pPr>
            <w:r w:rsidRPr="005E3A54">
              <w:rPr>
                <w:rFonts w:eastAsia="Times New Roman" w:cs="Times New Roman"/>
                <w:b/>
                <w:bCs/>
                <w:color w:val="000000"/>
                <w:sz w:val="22"/>
              </w:rPr>
              <w:t>Source</w:t>
            </w:r>
          </w:p>
        </w:tc>
        <w:tc>
          <w:tcPr>
            <w:tcW w:w="469" w:type="pct"/>
            <w:tcBorders>
              <w:top w:val="double" w:sz="4" w:space="0" w:color="auto"/>
              <w:bottom w:val="double" w:sz="4" w:space="0" w:color="auto"/>
            </w:tcBorders>
            <w:shd w:val="clear" w:color="auto" w:fill="auto"/>
            <w:noWrap/>
            <w:vAlign w:val="center"/>
            <w:hideMark/>
          </w:tcPr>
          <w:p w14:paraId="0DCAA748" w14:textId="77777777" w:rsidR="00FA7CEE" w:rsidRPr="005E3A54" w:rsidRDefault="00FA7CEE" w:rsidP="00310473">
            <w:pPr>
              <w:jc w:val="center"/>
              <w:rPr>
                <w:rFonts w:eastAsia="Times New Roman" w:cs="Times New Roman"/>
                <w:b/>
                <w:bCs/>
                <w:color w:val="000000"/>
                <w:sz w:val="22"/>
              </w:rPr>
            </w:pPr>
            <w:r w:rsidRPr="005E3A54">
              <w:rPr>
                <w:rFonts w:eastAsia="Times New Roman" w:cs="Times New Roman"/>
                <w:b/>
                <w:bCs/>
                <w:color w:val="000000"/>
                <w:sz w:val="22"/>
              </w:rPr>
              <w:t>Mean</w:t>
            </w:r>
          </w:p>
        </w:tc>
        <w:tc>
          <w:tcPr>
            <w:tcW w:w="857" w:type="pct"/>
            <w:tcBorders>
              <w:top w:val="double" w:sz="4" w:space="0" w:color="auto"/>
              <w:bottom w:val="double" w:sz="4" w:space="0" w:color="auto"/>
            </w:tcBorders>
            <w:shd w:val="clear" w:color="auto" w:fill="auto"/>
            <w:noWrap/>
            <w:vAlign w:val="center"/>
            <w:hideMark/>
          </w:tcPr>
          <w:p w14:paraId="32803AFE" w14:textId="77777777" w:rsidR="00FA7CEE" w:rsidRPr="005E3A54" w:rsidRDefault="00FA7CEE" w:rsidP="00310473">
            <w:pPr>
              <w:jc w:val="center"/>
              <w:rPr>
                <w:rFonts w:eastAsia="Times New Roman" w:cs="Times New Roman"/>
                <w:b/>
                <w:bCs/>
                <w:color w:val="000000"/>
                <w:sz w:val="22"/>
              </w:rPr>
            </w:pPr>
            <w:r w:rsidRPr="005E3A54">
              <w:rPr>
                <w:rFonts w:eastAsia="Times New Roman" w:cs="Times New Roman"/>
                <w:b/>
                <w:bCs/>
                <w:color w:val="000000"/>
                <w:sz w:val="22"/>
              </w:rPr>
              <w:t>Min/Max</w:t>
            </w:r>
          </w:p>
        </w:tc>
        <w:tc>
          <w:tcPr>
            <w:tcW w:w="499" w:type="pct"/>
            <w:tcBorders>
              <w:top w:val="double" w:sz="4" w:space="0" w:color="auto"/>
              <w:right w:val="double" w:sz="4" w:space="0" w:color="auto"/>
            </w:tcBorders>
            <w:shd w:val="clear" w:color="auto" w:fill="auto"/>
            <w:noWrap/>
            <w:vAlign w:val="center"/>
            <w:hideMark/>
          </w:tcPr>
          <w:p w14:paraId="7C63E0D6" w14:textId="77777777" w:rsidR="00FA7CEE" w:rsidRPr="005E3A54" w:rsidRDefault="00FA7CEE" w:rsidP="00310473">
            <w:pPr>
              <w:jc w:val="center"/>
              <w:rPr>
                <w:rFonts w:eastAsia="Times New Roman" w:cs="Times New Roman"/>
                <w:b/>
                <w:bCs/>
                <w:color w:val="000000"/>
                <w:sz w:val="22"/>
              </w:rPr>
            </w:pPr>
            <w:r w:rsidRPr="005E3A54">
              <w:rPr>
                <w:rFonts w:eastAsia="Times New Roman" w:cs="Times New Roman"/>
                <w:b/>
                <w:bCs/>
                <w:color w:val="000000"/>
                <w:sz w:val="22"/>
              </w:rPr>
              <w:t>Sample Size</w:t>
            </w:r>
          </w:p>
        </w:tc>
      </w:tr>
      <w:tr w:rsidR="00FA7CEE" w:rsidRPr="005E3A54" w14:paraId="5882861A" w14:textId="77777777" w:rsidTr="005E3A54">
        <w:trPr>
          <w:trHeight w:val="216"/>
        </w:trPr>
        <w:tc>
          <w:tcPr>
            <w:tcW w:w="5000" w:type="pct"/>
            <w:gridSpan w:val="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FFB5898" w14:textId="77777777" w:rsidR="00FA7CEE" w:rsidRPr="005E3A54" w:rsidRDefault="00FA7CEE" w:rsidP="00310473">
            <w:pPr>
              <w:jc w:val="center"/>
              <w:rPr>
                <w:rFonts w:eastAsia="Times New Roman" w:cs="Times New Roman"/>
                <w:b/>
                <w:bCs/>
                <w:color w:val="000000"/>
                <w:sz w:val="22"/>
              </w:rPr>
            </w:pPr>
            <w:r w:rsidRPr="005E3A54">
              <w:rPr>
                <w:rFonts w:eastAsia="Times New Roman" w:cs="Times New Roman"/>
                <w:b/>
                <w:bCs/>
                <w:color w:val="000000"/>
                <w:sz w:val="22"/>
              </w:rPr>
              <w:t>Dependent Variables</w:t>
            </w:r>
          </w:p>
        </w:tc>
      </w:tr>
      <w:tr w:rsidR="00FA7CEE" w:rsidRPr="005E3A54" w14:paraId="423943B5" w14:textId="77777777" w:rsidTr="005E3A54">
        <w:trPr>
          <w:trHeight w:val="216"/>
        </w:trPr>
        <w:tc>
          <w:tcPr>
            <w:tcW w:w="2561" w:type="pct"/>
            <w:tcBorders>
              <w:top w:val="double" w:sz="4" w:space="0" w:color="auto"/>
              <w:left w:val="double" w:sz="4" w:space="0" w:color="auto"/>
            </w:tcBorders>
            <w:shd w:val="clear" w:color="auto" w:fill="auto"/>
            <w:noWrap/>
            <w:vAlign w:val="center"/>
            <w:hideMark/>
          </w:tcPr>
          <w:p w14:paraId="225F66D8"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Ln (COVID hospitalization rater per 100k)</w:t>
            </w:r>
          </w:p>
        </w:tc>
        <w:tc>
          <w:tcPr>
            <w:tcW w:w="614" w:type="pct"/>
            <w:tcBorders>
              <w:top w:val="double" w:sz="4" w:space="0" w:color="auto"/>
            </w:tcBorders>
            <w:shd w:val="clear" w:color="auto" w:fill="auto"/>
            <w:noWrap/>
            <w:vAlign w:val="center"/>
            <w:hideMark/>
          </w:tcPr>
          <w:p w14:paraId="40F92650" w14:textId="77777777" w:rsidR="00FA7CEE" w:rsidRPr="005E3A54" w:rsidRDefault="00FA7CEE" w:rsidP="00310473">
            <w:pPr>
              <w:jc w:val="center"/>
              <w:rPr>
                <w:rFonts w:eastAsia="Times New Roman" w:cs="Times New Roman"/>
                <w:color w:val="000000"/>
                <w:sz w:val="22"/>
                <w:vertAlign w:val="superscript"/>
              </w:rPr>
            </w:pPr>
            <w:proofErr w:type="spellStart"/>
            <w:r w:rsidRPr="005E3A54">
              <w:rPr>
                <w:rFonts w:eastAsia="Times New Roman" w:cs="Times New Roman"/>
                <w:color w:val="000000"/>
                <w:sz w:val="22"/>
              </w:rPr>
              <w:t>DPH</w:t>
            </w:r>
            <w:r w:rsidRPr="005E3A54">
              <w:rPr>
                <w:rFonts w:eastAsia="Times New Roman" w:cs="Times New Roman"/>
                <w:color w:val="000000"/>
                <w:sz w:val="22"/>
                <w:vertAlign w:val="superscript"/>
              </w:rPr>
              <w:t>a</w:t>
            </w:r>
            <w:proofErr w:type="spellEnd"/>
          </w:p>
        </w:tc>
        <w:tc>
          <w:tcPr>
            <w:tcW w:w="469" w:type="pct"/>
            <w:tcBorders>
              <w:top w:val="double" w:sz="4" w:space="0" w:color="auto"/>
            </w:tcBorders>
            <w:shd w:val="clear" w:color="auto" w:fill="auto"/>
            <w:noWrap/>
            <w:vAlign w:val="center"/>
          </w:tcPr>
          <w:p w14:paraId="313FAD98"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1.935</w:t>
            </w:r>
          </w:p>
        </w:tc>
        <w:tc>
          <w:tcPr>
            <w:tcW w:w="857" w:type="pct"/>
            <w:tcBorders>
              <w:top w:val="double" w:sz="4" w:space="0" w:color="auto"/>
            </w:tcBorders>
            <w:shd w:val="clear" w:color="auto" w:fill="auto"/>
            <w:noWrap/>
            <w:vAlign w:val="center"/>
            <w:hideMark/>
          </w:tcPr>
          <w:p w14:paraId="72F37496"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0.000/7.525</w:t>
            </w:r>
          </w:p>
        </w:tc>
        <w:tc>
          <w:tcPr>
            <w:tcW w:w="499" w:type="pct"/>
            <w:tcBorders>
              <w:top w:val="double" w:sz="4" w:space="0" w:color="auto"/>
              <w:right w:val="double" w:sz="4" w:space="0" w:color="auto"/>
            </w:tcBorders>
            <w:shd w:val="clear" w:color="auto" w:fill="auto"/>
            <w:noWrap/>
            <w:vAlign w:val="center"/>
            <w:hideMark/>
          </w:tcPr>
          <w:p w14:paraId="00CC8C9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37,065</w:t>
            </w:r>
          </w:p>
        </w:tc>
      </w:tr>
      <w:tr w:rsidR="00FA7CEE" w:rsidRPr="005E3A54" w14:paraId="6716204D" w14:textId="77777777" w:rsidTr="005E3A54">
        <w:trPr>
          <w:trHeight w:val="216"/>
        </w:trPr>
        <w:tc>
          <w:tcPr>
            <w:tcW w:w="2561" w:type="pct"/>
            <w:tcBorders>
              <w:left w:val="double" w:sz="4" w:space="0" w:color="auto"/>
            </w:tcBorders>
            <w:shd w:val="clear" w:color="auto" w:fill="auto"/>
            <w:noWrap/>
            <w:vAlign w:val="center"/>
            <w:hideMark/>
          </w:tcPr>
          <w:p w14:paraId="29E756F7"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Ln (</w:t>
            </w:r>
            <w:proofErr w:type="spellStart"/>
            <w:r w:rsidRPr="005E3A54">
              <w:rPr>
                <w:rFonts w:eastAsia="Times New Roman" w:cs="Times New Roman"/>
                <w:color w:val="000000"/>
                <w:sz w:val="22"/>
              </w:rPr>
              <w:t>non COVID</w:t>
            </w:r>
            <w:proofErr w:type="spellEnd"/>
            <w:r w:rsidRPr="005E3A54">
              <w:rPr>
                <w:rFonts w:eastAsia="Times New Roman" w:cs="Times New Roman"/>
                <w:color w:val="000000"/>
                <w:sz w:val="22"/>
              </w:rPr>
              <w:t xml:space="preserve"> hospitalization rater per 100k)</w:t>
            </w:r>
          </w:p>
        </w:tc>
        <w:tc>
          <w:tcPr>
            <w:tcW w:w="614" w:type="pct"/>
            <w:shd w:val="clear" w:color="auto" w:fill="auto"/>
            <w:noWrap/>
            <w:hideMark/>
          </w:tcPr>
          <w:p w14:paraId="2B00095D"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DPH</w:t>
            </w:r>
          </w:p>
        </w:tc>
        <w:tc>
          <w:tcPr>
            <w:tcW w:w="469" w:type="pct"/>
            <w:shd w:val="clear" w:color="auto" w:fill="auto"/>
            <w:noWrap/>
            <w:vAlign w:val="center"/>
          </w:tcPr>
          <w:p w14:paraId="3B740123"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4.069</w:t>
            </w:r>
          </w:p>
        </w:tc>
        <w:tc>
          <w:tcPr>
            <w:tcW w:w="857" w:type="pct"/>
            <w:shd w:val="clear" w:color="auto" w:fill="auto"/>
            <w:noWrap/>
            <w:hideMark/>
          </w:tcPr>
          <w:p w14:paraId="6C5C7913"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0.000/8.341</w:t>
            </w:r>
          </w:p>
        </w:tc>
        <w:tc>
          <w:tcPr>
            <w:tcW w:w="499" w:type="pct"/>
            <w:tcBorders>
              <w:right w:val="double" w:sz="4" w:space="0" w:color="auto"/>
            </w:tcBorders>
            <w:shd w:val="clear" w:color="auto" w:fill="auto"/>
            <w:noWrap/>
            <w:hideMark/>
          </w:tcPr>
          <w:p w14:paraId="329DB42E"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37,065</w:t>
            </w:r>
          </w:p>
        </w:tc>
      </w:tr>
      <w:tr w:rsidR="00FA7CEE" w:rsidRPr="005E3A54" w14:paraId="1BE17362" w14:textId="77777777" w:rsidTr="005E3A54">
        <w:trPr>
          <w:trHeight w:val="216"/>
        </w:trPr>
        <w:tc>
          <w:tcPr>
            <w:tcW w:w="2561" w:type="pct"/>
            <w:tcBorders>
              <w:left w:val="double" w:sz="4" w:space="0" w:color="auto"/>
            </w:tcBorders>
            <w:shd w:val="clear" w:color="auto" w:fill="auto"/>
            <w:noWrap/>
            <w:vAlign w:val="center"/>
          </w:tcPr>
          <w:p w14:paraId="56E210C6"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Ln (COVID ICU rater per 100k)</w:t>
            </w:r>
          </w:p>
        </w:tc>
        <w:tc>
          <w:tcPr>
            <w:tcW w:w="614" w:type="pct"/>
            <w:shd w:val="clear" w:color="auto" w:fill="auto"/>
            <w:noWrap/>
          </w:tcPr>
          <w:p w14:paraId="39AA5DDD"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DPH</w:t>
            </w:r>
          </w:p>
        </w:tc>
        <w:tc>
          <w:tcPr>
            <w:tcW w:w="469" w:type="pct"/>
            <w:shd w:val="clear" w:color="auto" w:fill="auto"/>
            <w:noWrap/>
            <w:vAlign w:val="center"/>
          </w:tcPr>
          <w:p w14:paraId="57DFAA45"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0.752</w:t>
            </w:r>
          </w:p>
        </w:tc>
        <w:tc>
          <w:tcPr>
            <w:tcW w:w="857" w:type="pct"/>
            <w:shd w:val="clear" w:color="auto" w:fill="auto"/>
            <w:noWrap/>
          </w:tcPr>
          <w:p w14:paraId="3A9401BE"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0.000/6.995</w:t>
            </w:r>
          </w:p>
        </w:tc>
        <w:tc>
          <w:tcPr>
            <w:tcW w:w="499" w:type="pct"/>
            <w:tcBorders>
              <w:right w:val="double" w:sz="4" w:space="0" w:color="auto"/>
            </w:tcBorders>
            <w:shd w:val="clear" w:color="auto" w:fill="auto"/>
            <w:noWrap/>
          </w:tcPr>
          <w:p w14:paraId="5B13A658"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37,065</w:t>
            </w:r>
          </w:p>
        </w:tc>
      </w:tr>
      <w:tr w:rsidR="00FA7CEE" w:rsidRPr="005E3A54" w14:paraId="7C8C044C" w14:textId="77777777" w:rsidTr="005E3A54">
        <w:trPr>
          <w:trHeight w:val="216"/>
        </w:trPr>
        <w:tc>
          <w:tcPr>
            <w:tcW w:w="2561" w:type="pct"/>
            <w:tcBorders>
              <w:left w:val="double" w:sz="4" w:space="0" w:color="auto"/>
            </w:tcBorders>
            <w:shd w:val="clear" w:color="auto" w:fill="auto"/>
            <w:noWrap/>
            <w:vAlign w:val="center"/>
          </w:tcPr>
          <w:p w14:paraId="33144248"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Ln (non-COVID ICU rater per 100k)</w:t>
            </w:r>
          </w:p>
        </w:tc>
        <w:tc>
          <w:tcPr>
            <w:tcW w:w="614" w:type="pct"/>
            <w:shd w:val="clear" w:color="auto" w:fill="auto"/>
            <w:noWrap/>
          </w:tcPr>
          <w:p w14:paraId="2B3F892B"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DPH</w:t>
            </w:r>
          </w:p>
        </w:tc>
        <w:tc>
          <w:tcPr>
            <w:tcW w:w="469" w:type="pct"/>
            <w:shd w:val="clear" w:color="auto" w:fill="auto"/>
            <w:noWrap/>
            <w:vAlign w:val="center"/>
          </w:tcPr>
          <w:p w14:paraId="3F7DF543"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1.536</w:t>
            </w:r>
          </w:p>
        </w:tc>
        <w:tc>
          <w:tcPr>
            <w:tcW w:w="857" w:type="pct"/>
            <w:shd w:val="clear" w:color="auto" w:fill="auto"/>
            <w:noWrap/>
          </w:tcPr>
          <w:p w14:paraId="5E36DF7C"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0.000/6.752</w:t>
            </w:r>
          </w:p>
        </w:tc>
        <w:tc>
          <w:tcPr>
            <w:tcW w:w="499" w:type="pct"/>
            <w:tcBorders>
              <w:right w:val="double" w:sz="4" w:space="0" w:color="auto"/>
            </w:tcBorders>
            <w:shd w:val="clear" w:color="auto" w:fill="auto"/>
            <w:noWrap/>
          </w:tcPr>
          <w:p w14:paraId="7A287135"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37,065</w:t>
            </w:r>
          </w:p>
        </w:tc>
      </w:tr>
      <w:tr w:rsidR="00FA7CEE" w:rsidRPr="005E3A54" w14:paraId="365DDB28" w14:textId="77777777" w:rsidTr="005E3A54">
        <w:trPr>
          <w:trHeight w:val="216"/>
        </w:trPr>
        <w:tc>
          <w:tcPr>
            <w:tcW w:w="5000" w:type="pct"/>
            <w:gridSpan w:val="5"/>
            <w:tcBorders>
              <w:top w:val="double" w:sz="4" w:space="0" w:color="auto"/>
              <w:left w:val="double" w:sz="4" w:space="0" w:color="auto"/>
              <w:bottom w:val="double" w:sz="4" w:space="0" w:color="auto"/>
              <w:right w:val="double" w:sz="4" w:space="0" w:color="auto"/>
            </w:tcBorders>
            <w:shd w:val="clear" w:color="auto" w:fill="auto"/>
            <w:noWrap/>
            <w:vAlign w:val="center"/>
          </w:tcPr>
          <w:p w14:paraId="228DD62A"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b/>
                <w:bCs/>
                <w:color w:val="000000"/>
                <w:sz w:val="22"/>
              </w:rPr>
              <w:t>Independent Variables</w:t>
            </w:r>
          </w:p>
        </w:tc>
      </w:tr>
      <w:tr w:rsidR="00FA7CEE" w:rsidRPr="005E3A54" w14:paraId="19B47818" w14:textId="77777777" w:rsidTr="005E3A54">
        <w:trPr>
          <w:trHeight w:val="216"/>
        </w:trPr>
        <w:tc>
          <w:tcPr>
            <w:tcW w:w="5000" w:type="pct"/>
            <w:gridSpan w:val="5"/>
            <w:tcBorders>
              <w:top w:val="double" w:sz="4" w:space="0" w:color="auto"/>
              <w:left w:val="double" w:sz="4" w:space="0" w:color="auto"/>
              <w:bottom w:val="double" w:sz="4" w:space="0" w:color="auto"/>
              <w:right w:val="double" w:sz="4" w:space="0" w:color="auto"/>
            </w:tcBorders>
            <w:shd w:val="clear" w:color="auto" w:fill="auto"/>
            <w:noWrap/>
            <w:vAlign w:val="center"/>
          </w:tcPr>
          <w:p w14:paraId="49AD5576" w14:textId="77777777" w:rsidR="00FA7CEE" w:rsidRPr="005E3A54" w:rsidRDefault="00FA7CEE" w:rsidP="00310473">
            <w:pPr>
              <w:jc w:val="left"/>
              <w:rPr>
                <w:rFonts w:eastAsia="Times New Roman" w:cs="Times New Roman"/>
                <w:color w:val="000000"/>
                <w:sz w:val="22"/>
              </w:rPr>
            </w:pPr>
            <w:r w:rsidRPr="005E3A54">
              <w:rPr>
                <w:rFonts w:eastAsia="Times New Roman" w:cs="Times New Roman"/>
                <w:b/>
                <w:bCs/>
                <w:i/>
                <w:iCs/>
                <w:color w:val="000000"/>
                <w:sz w:val="22"/>
              </w:rPr>
              <w:t>COVID-19 related factors</w:t>
            </w:r>
          </w:p>
        </w:tc>
      </w:tr>
      <w:tr w:rsidR="00FA7CEE" w:rsidRPr="005E3A54" w14:paraId="3AED8894" w14:textId="77777777" w:rsidTr="005E3A54">
        <w:trPr>
          <w:trHeight w:val="216"/>
        </w:trPr>
        <w:tc>
          <w:tcPr>
            <w:tcW w:w="2561" w:type="pct"/>
            <w:tcBorders>
              <w:top w:val="double" w:sz="4" w:space="0" w:color="auto"/>
              <w:left w:val="double" w:sz="4" w:space="0" w:color="auto"/>
            </w:tcBorders>
            <w:shd w:val="clear" w:color="auto" w:fill="auto"/>
            <w:noWrap/>
            <w:vAlign w:val="center"/>
          </w:tcPr>
          <w:p w14:paraId="3B6FFD99"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 xml:space="preserve">COVID case per 100 people, 1 </w:t>
            </w:r>
            <w:proofErr w:type="gramStart"/>
            <w:r w:rsidRPr="005E3A54">
              <w:rPr>
                <w:rFonts w:eastAsia="Times New Roman" w:cs="Times New Roman"/>
                <w:color w:val="000000"/>
                <w:sz w:val="22"/>
              </w:rPr>
              <w:t>weeks</w:t>
            </w:r>
            <w:proofErr w:type="gramEnd"/>
            <w:r w:rsidRPr="005E3A54">
              <w:rPr>
                <w:rFonts w:eastAsia="Times New Roman" w:cs="Times New Roman"/>
                <w:color w:val="000000"/>
                <w:sz w:val="22"/>
              </w:rPr>
              <w:t xml:space="preserve"> lag</w:t>
            </w:r>
          </w:p>
        </w:tc>
        <w:tc>
          <w:tcPr>
            <w:tcW w:w="614" w:type="pct"/>
            <w:tcBorders>
              <w:top w:val="double" w:sz="4" w:space="0" w:color="auto"/>
            </w:tcBorders>
            <w:shd w:val="clear" w:color="auto" w:fill="auto"/>
            <w:noWrap/>
            <w:vAlign w:val="center"/>
          </w:tcPr>
          <w:p w14:paraId="526097FE" w14:textId="77777777" w:rsidR="00FA7CEE" w:rsidRPr="005E3A54" w:rsidRDefault="00FA7CEE" w:rsidP="00310473">
            <w:pPr>
              <w:jc w:val="center"/>
              <w:rPr>
                <w:rFonts w:eastAsia="Times New Roman" w:cs="Times New Roman"/>
                <w:color w:val="000000"/>
                <w:sz w:val="22"/>
                <w:vertAlign w:val="superscript"/>
              </w:rPr>
            </w:pPr>
            <w:r w:rsidRPr="005E3A54">
              <w:rPr>
                <w:rFonts w:eastAsia="Times New Roman" w:cs="Times New Roman"/>
                <w:color w:val="000000"/>
                <w:sz w:val="22"/>
              </w:rPr>
              <w:t>CSSE</w:t>
            </w:r>
          </w:p>
        </w:tc>
        <w:tc>
          <w:tcPr>
            <w:tcW w:w="469" w:type="pct"/>
            <w:tcBorders>
              <w:top w:val="double" w:sz="4" w:space="0" w:color="auto"/>
            </w:tcBorders>
            <w:shd w:val="clear" w:color="auto" w:fill="auto"/>
            <w:noWrap/>
            <w:vAlign w:val="center"/>
          </w:tcPr>
          <w:p w14:paraId="5EB3DB1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5.008</w:t>
            </w:r>
          </w:p>
        </w:tc>
        <w:tc>
          <w:tcPr>
            <w:tcW w:w="857" w:type="pct"/>
            <w:tcBorders>
              <w:top w:val="double" w:sz="4" w:space="0" w:color="auto"/>
            </w:tcBorders>
            <w:shd w:val="clear" w:color="auto" w:fill="auto"/>
            <w:noWrap/>
            <w:vAlign w:val="center"/>
          </w:tcPr>
          <w:p w14:paraId="34E7F55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0.000/4.560</w:t>
            </w:r>
          </w:p>
        </w:tc>
        <w:tc>
          <w:tcPr>
            <w:tcW w:w="499" w:type="pct"/>
            <w:tcBorders>
              <w:top w:val="double" w:sz="4" w:space="0" w:color="auto"/>
              <w:right w:val="double" w:sz="4" w:space="0" w:color="auto"/>
            </w:tcBorders>
            <w:shd w:val="clear" w:color="auto" w:fill="auto"/>
            <w:noWrap/>
            <w:vAlign w:val="center"/>
          </w:tcPr>
          <w:p w14:paraId="41BAEB9C"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37,065</w:t>
            </w:r>
          </w:p>
        </w:tc>
      </w:tr>
      <w:tr w:rsidR="00FA7CEE" w:rsidRPr="005E3A54" w14:paraId="767ED321" w14:textId="77777777" w:rsidTr="005E3A54">
        <w:trPr>
          <w:trHeight w:val="216"/>
        </w:trPr>
        <w:tc>
          <w:tcPr>
            <w:tcW w:w="2561" w:type="pct"/>
            <w:tcBorders>
              <w:top w:val="single" w:sz="4" w:space="0" w:color="auto"/>
              <w:left w:val="double" w:sz="4" w:space="0" w:color="auto"/>
            </w:tcBorders>
            <w:shd w:val="clear" w:color="auto" w:fill="auto"/>
            <w:noWrap/>
            <w:vAlign w:val="center"/>
          </w:tcPr>
          <w:p w14:paraId="459D657D"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COVID case per 100 people, 2 weeks lag</w:t>
            </w:r>
          </w:p>
        </w:tc>
        <w:tc>
          <w:tcPr>
            <w:tcW w:w="614" w:type="pct"/>
            <w:tcBorders>
              <w:top w:val="single" w:sz="4" w:space="0" w:color="auto"/>
            </w:tcBorders>
            <w:shd w:val="clear" w:color="auto" w:fill="auto"/>
            <w:noWrap/>
            <w:vAlign w:val="center"/>
          </w:tcPr>
          <w:p w14:paraId="424B507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CSSE</w:t>
            </w:r>
          </w:p>
        </w:tc>
        <w:tc>
          <w:tcPr>
            <w:tcW w:w="469" w:type="pct"/>
            <w:tcBorders>
              <w:top w:val="single" w:sz="4" w:space="0" w:color="auto"/>
            </w:tcBorders>
            <w:shd w:val="clear" w:color="auto" w:fill="auto"/>
            <w:noWrap/>
            <w:vAlign w:val="center"/>
          </w:tcPr>
          <w:p w14:paraId="5E59C555"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5.008</w:t>
            </w:r>
          </w:p>
        </w:tc>
        <w:tc>
          <w:tcPr>
            <w:tcW w:w="857" w:type="pct"/>
            <w:tcBorders>
              <w:top w:val="single" w:sz="4" w:space="0" w:color="auto"/>
            </w:tcBorders>
            <w:shd w:val="clear" w:color="auto" w:fill="auto"/>
            <w:noWrap/>
            <w:vAlign w:val="center"/>
          </w:tcPr>
          <w:p w14:paraId="34F4364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0.000/4.560</w:t>
            </w:r>
          </w:p>
        </w:tc>
        <w:tc>
          <w:tcPr>
            <w:tcW w:w="499" w:type="pct"/>
            <w:tcBorders>
              <w:top w:val="single" w:sz="4" w:space="0" w:color="auto"/>
              <w:right w:val="double" w:sz="4" w:space="0" w:color="auto"/>
            </w:tcBorders>
            <w:shd w:val="clear" w:color="auto" w:fill="auto"/>
            <w:noWrap/>
            <w:vAlign w:val="center"/>
          </w:tcPr>
          <w:p w14:paraId="17D2366E"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37,065</w:t>
            </w:r>
          </w:p>
        </w:tc>
      </w:tr>
      <w:tr w:rsidR="00FA7CEE" w:rsidRPr="005E3A54" w14:paraId="5B0722DC" w14:textId="77777777" w:rsidTr="005E3A54">
        <w:trPr>
          <w:trHeight w:val="216"/>
        </w:trPr>
        <w:tc>
          <w:tcPr>
            <w:tcW w:w="2561" w:type="pct"/>
            <w:tcBorders>
              <w:top w:val="single" w:sz="4" w:space="0" w:color="auto"/>
              <w:left w:val="double" w:sz="4" w:space="0" w:color="auto"/>
            </w:tcBorders>
            <w:shd w:val="clear" w:color="auto" w:fill="auto"/>
            <w:noWrap/>
            <w:vAlign w:val="center"/>
          </w:tcPr>
          <w:p w14:paraId="7A768987"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difference from 3 week moving average</w:t>
            </w:r>
          </w:p>
        </w:tc>
        <w:tc>
          <w:tcPr>
            <w:tcW w:w="614" w:type="pct"/>
            <w:tcBorders>
              <w:top w:val="single" w:sz="4" w:space="0" w:color="auto"/>
            </w:tcBorders>
            <w:shd w:val="clear" w:color="auto" w:fill="auto"/>
            <w:noWrap/>
            <w:vAlign w:val="center"/>
          </w:tcPr>
          <w:p w14:paraId="3086F9A7" w14:textId="77777777" w:rsidR="00FA7CEE" w:rsidRPr="005E3A54" w:rsidRDefault="00FA7CEE" w:rsidP="00310473">
            <w:pPr>
              <w:jc w:val="center"/>
              <w:rPr>
                <w:rFonts w:eastAsia="Times New Roman" w:cs="Times New Roman"/>
                <w:color w:val="000000"/>
                <w:sz w:val="22"/>
              </w:rPr>
            </w:pPr>
            <w:proofErr w:type="spellStart"/>
            <w:r w:rsidRPr="005E3A54">
              <w:rPr>
                <w:rFonts w:eastAsia="Times New Roman" w:cs="Times New Roman"/>
                <w:color w:val="000000"/>
                <w:sz w:val="22"/>
              </w:rPr>
              <w:t>CSSE</w:t>
            </w:r>
            <w:r w:rsidRPr="005E3A54">
              <w:rPr>
                <w:rFonts w:eastAsia="Times New Roman" w:cs="Times New Roman"/>
                <w:color w:val="000000"/>
                <w:sz w:val="22"/>
                <w:vertAlign w:val="superscript"/>
              </w:rPr>
              <w:t>b</w:t>
            </w:r>
            <w:proofErr w:type="spellEnd"/>
          </w:p>
        </w:tc>
        <w:tc>
          <w:tcPr>
            <w:tcW w:w="469" w:type="pct"/>
            <w:tcBorders>
              <w:top w:val="single" w:sz="4" w:space="0" w:color="auto"/>
            </w:tcBorders>
            <w:shd w:val="clear" w:color="auto" w:fill="auto"/>
            <w:noWrap/>
            <w:vAlign w:val="center"/>
          </w:tcPr>
          <w:p w14:paraId="45244E04"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0.086</w:t>
            </w:r>
          </w:p>
        </w:tc>
        <w:tc>
          <w:tcPr>
            <w:tcW w:w="857" w:type="pct"/>
            <w:tcBorders>
              <w:top w:val="single" w:sz="4" w:space="0" w:color="auto"/>
            </w:tcBorders>
            <w:shd w:val="clear" w:color="auto" w:fill="auto"/>
            <w:noWrap/>
            <w:vAlign w:val="center"/>
          </w:tcPr>
          <w:p w14:paraId="1CD1BAD5"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-1.000/2.002</w:t>
            </w:r>
          </w:p>
        </w:tc>
        <w:tc>
          <w:tcPr>
            <w:tcW w:w="499" w:type="pct"/>
            <w:tcBorders>
              <w:top w:val="single" w:sz="4" w:space="0" w:color="auto"/>
              <w:right w:val="double" w:sz="4" w:space="0" w:color="auto"/>
            </w:tcBorders>
            <w:shd w:val="clear" w:color="auto" w:fill="auto"/>
            <w:noWrap/>
            <w:vAlign w:val="center"/>
          </w:tcPr>
          <w:p w14:paraId="34F94CE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37,065</w:t>
            </w:r>
          </w:p>
        </w:tc>
      </w:tr>
      <w:tr w:rsidR="00FA7CEE" w:rsidRPr="005E3A54" w14:paraId="41DB65B0" w14:textId="77777777" w:rsidTr="005E3A54">
        <w:trPr>
          <w:trHeight w:val="216"/>
        </w:trPr>
        <w:tc>
          <w:tcPr>
            <w:tcW w:w="2561" w:type="pct"/>
            <w:tcBorders>
              <w:left w:val="double" w:sz="4" w:space="0" w:color="auto"/>
            </w:tcBorders>
            <w:shd w:val="clear" w:color="auto" w:fill="auto"/>
            <w:noWrap/>
            <w:vAlign w:val="center"/>
          </w:tcPr>
          <w:p w14:paraId="3BD14AEF" w14:textId="77777777" w:rsidR="00FA7CEE" w:rsidRPr="005E3A54" w:rsidRDefault="00FA7CEE" w:rsidP="00310473">
            <w:pPr>
              <w:ind w:left="150" w:hanging="6"/>
              <w:jc w:val="left"/>
              <w:rPr>
                <w:rFonts w:eastAsia="Times New Roman" w:cs="Times New Roman"/>
                <w:color w:val="000000"/>
                <w:sz w:val="22"/>
              </w:rPr>
            </w:pPr>
            <w:r w:rsidRPr="005E3A54">
              <w:rPr>
                <w:rFonts w:eastAsia="Times New Roman" w:cs="Times New Roman"/>
                <w:color w:val="000000"/>
                <w:sz w:val="22"/>
              </w:rPr>
              <w:t>Weekly COVID-19 cases higher than the moving average</w:t>
            </w:r>
          </w:p>
        </w:tc>
        <w:tc>
          <w:tcPr>
            <w:tcW w:w="614" w:type="pct"/>
            <w:shd w:val="clear" w:color="auto" w:fill="auto"/>
            <w:noWrap/>
            <w:vAlign w:val="center"/>
          </w:tcPr>
          <w:p w14:paraId="673473B6"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CSSE</w:t>
            </w:r>
          </w:p>
        </w:tc>
        <w:tc>
          <w:tcPr>
            <w:tcW w:w="469" w:type="pct"/>
            <w:shd w:val="clear" w:color="auto" w:fill="auto"/>
            <w:noWrap/>
            <w:vAlign w:val="center"/>
          </w:tcPr>
          <w:p w14:paraId="6247F27E"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0.587</w:t>
            </w:r>
          </w:p>
        </w:tc>
        <w:tc>
          <w:tcPr>
            <w:tcW w:w="857" w:type="pct"/>
            <w:shd w:val="clear" w:color="auto" w:fill="auto"/>
            <w:noWrap/>
            <w:vAlign w:val="center"/>
          </w:tcPr>
          <w:p w14:paraId="7D2EC2C2"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0.000/1.000</w:t>
            </w:r>
          </w:p>
        </w:tc>
        <w:tc>
          <w:tcPr>
            <w:tcW w:w="499" w:type="pct"/>
            <w:tcBorders>
              <w:right w:val="double" w:sz="4" w:space="0" w:color="auto"/>
            </w:tcBorders>
            <w:shd w:val="clear" w:color="auto" w:fill="auto"/>
            <w:noWrap/>
            <w:vAlign w:val="center"/>
          </w:tcPr>
          <w:p w14:paraId="05F27767"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37,065</w:t>
            </w:r>
          </w:p>
        </w:tc>
      </w:tr>
      <w:tr w:rsidR="00FA7CEE" w:rsidRPr="005E3A54" w14:paraId="52D95B4E" w14:textId="77777777" w:rsidTr="005E3A54">
        <w:trPr>
          <w:trHeight w:val="216"/>
        </w:trPr>
        <w:tc>
          <w:tcPr>
            <w:tcW w:w="5000" w:type="pct"/>
            <w:gridSpan w:val="5"/>
            <w:tcBorders>
              <w:top w:val="double" w:sz="4" w:space="0" w:color="auto"/>
              <w:left w:val="double" w:sz="4" w:space="0" w:color="auto"/>
              <w:bottom w:val="double" w:sz="4" w:space="0" w:color="auto"/>
              <w:right w:val="double" w:sz="4" w:space="0" w:color="auto"/>
            </w:tcBorders>
            <w:shd w:val="clear" w:color="auto" w:fill="auto"/>
            <w:noWrap/>
            <w:vAlign w:val="center"/>
          </w:tcPr>
          <w:p w14:paraId="18D8DE6B" w14:textId="77777777" w:rsidR="00FA7CEE" w:rsidRPr="005E3A54" w:rsidRDefault="00FA7CEE" w:rsidP="00310473">
            <w:pPr>
              <w:jc w:val="left"/>
              <w:rPr>
                <w:rFonts w:eastAsia="Times New Roman" w:cs="Times New Roman"/>
                <w:color w:val="000000"/>
                <w:sz w:val="22"/>
              </w:rPr>
            </w:pPr>
            <w:r w:rsidRPr="005E3A54">
              <w:rPr>
                <w:rFonts w:eastAsia="Times New Roman" w:cs="Times New Roman"/>
                <w:b/>
                <w:bCs/>
                <w:i/>
                <w:iCs/>
                <w:color w:val="000000"/>
                <w:sz w:val="22"/>
              </w:rPr>
              <w:t>Mobility Trends</w:t>
            </w:r>
          </w:p>
        </w:tc>
      </w:tr>
      <w:tr w:rsidR="00FA7CEE" w:rsidRPr="005E3A54" w14:paraId="27271E83" w14:textId="77777777" w:rsidTr="005E3A54">
        <w:trPr>
          <w:trHeight w:val="216"/>
        </w:trPr>
        <w:tc>
          <w:tcPr>
            <w:tcW w:w="2561" w:type="pct"/>
            <w:tcBorders>
              <w:top w:val="double" w:sz="4" w:space="0" w:color="auto"/>
              <w:left w:val="double" w:sz="4" w:space="0" w:color="auto"/>
              <w:bottom w:val="single" w:sz="4" w:space="0" w:color="auto"/>
            </w:tcBorders>
            <w:shd w:val="clear" w:color="auto" w:fill="auto"/>
            <w:noWrap/>
            <w:vAlign w:val="center"/>
          </w:tcPr>
          <w:p w14:paraId="77908E28"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Ln (Daily Average Exposure), 2 weeks lag</w:t>
            </w:r>
          </w:p>
        </w:tc>
        <w:tc>
          <w:tcPr>
            <w:tcW w:w="614" w:type="pct"/>
            <w:tcBorders>
              <w:top w:val="double" w:sz="4" w:space="0" w:color="auto"/>
              <w:bottom w:val="single" w:sz="4" w:space="0" w:color="auto"/>
            </w:tcBorders>
            <w:shd w:val="clear" w:color="auto" w:fill="auto"/>
            <w:noWrap/>
            <w:vAlign w:val="center"/>
          </w:tcPr>
          <w:p w14:paraId="7FAA9807" w14:textId="77777777" w:rsidR="00FA7CEE" w:rsidRPr="005E3A54" w:rsidRDefault="00FA7CEE" w:rsidP="00310473">
            <w:pPr>
              <w:jc w:val="center"/>
              <w:rPr>
                <w:rFonts w:eastAsia="Times New Roman" w:cs="Times New Roman"/>
                <w:color w:val="000000"/>
                <w:sz w:val="22"/>
              </w:rPr>
            </w:pPr>
            <w:proofErr w:type="spellStart"/>
            <w:r w:rsidRPr="005E3A54">
              <w:rPr>
                <w:rFonts w:eastAsia="Times New Roman" w:cs="Times New Roman"/>
                <w:color w:val="000000"/>
                <w:sz w:val="22"/>
              </w:rPr>
              <w:t>CEI</w:t>
            </w:r>
            <w:r w:rsidRPr="005E3A54">
              <w:rPr>
                <w:rFonts w:eastAsia="Times New Roman" w:cs="Times New Roman"/>
                <w:color w:val="000000"/>
                <w:sz w:val="22"/>
                <w:vertAlign w:val="superscript"/>
              </w:rPr>
              <w:t>c</w:t>
            </w:r>
            <w:proofErr w:type="spellEnd"/>
          </w:p>
        </w:tc>
        <w:tc>
          <w:tcPr>
            <w:tcW w:w="469" w:type="pct"/>
            <w:tcBorders>
              <w:top w:val="double" w:sz="4" w:space="0" w:color="auto"/>
              <w:bottom w:val="single" w:sz="4" w:space="0" w:color="auto"/>
            </w:tcBorders>
            <w:shd w:val="clear" w:color="auto" w:fill="auto"/>
            <w:noWrap/>
            <w:vAlign w:val="center"/>
          </w:tcPr>
          <w:p w14:paraId="4E973C5A"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4.536</w:t>
            </w:r>
          </w:p>
        </w:tc>
        <w:tc>
          <w:tcPr>
            <w:tcW w:w="857" w:type="pct"/>
            <w:tcBorders>
              <w:top w:val="double" w:sz="4" w:space="0" w:color="auto"/>
              <w:bottom w:val="single" w:sz="4" w:space="0" w:color="auto"/>
            </w:tcBorders>
            <w:shd w:val="clear" w:color="auto" w:fill="auto"/>
            <w:noWrap/>
          </w:tcPr>
          <w:p w14:paraId="1AF3339F"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2.319/6.841</w:t>
            </w:r>
          </w:p>
        </w:tc>
        <w:tc>
          <w:tcPr>
            <w:tcW w:w="499" w:type="pct"/>
            <w:tcBorders>
              <w:top w:val="double" w:sz="4" w:space="0" w:color="auto"/>
              <w:bottom w:val="single" w:sz="4" w:space="0" w:color="auto"/>
              <w:right w:val="double" w:sz="4" w:space="0" w:color="auto"/>
            </w:tcBorders>
            <w:shd w:val="clear" w:color="auto" w:fill="auto"/>
            <w:noWrap/>
            <w:vAlign w:val="center"/>
          </w:tcPr>
          <w:p w14:paraId="7F1015F4"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37,065</w:t>
            </w:r>
          </w:p>
        </w:tc>
      </w:tr>
      <w:tr w:rsidR="00FA7CEE" w:rsidRPr="005E3A54" w14:paraId="19DB0166" w14:textId="77777777" w:rsidTr="005E3A54">
        <w:trPr>
          <w:trHeight w:val="216"/>
        </w:trPr>
        <w:tc>
          <w:tcPr>
            <w:tcW w:w="2561" w:type="pct"/>
            <w:tcBorders>
              <w:top w:val="single" w:sz="4" w:space="0" w:color="auto"/>
              <w:left w:val="double" w:sz="4" w:space="0" w:color="auto"/>
              <w:bottom w:val="double" w:sz="4" w:space="0" w:color="auto"/>
            </w:tcBorders>
            <w:shd w:val="clear" w:color="auto" w:fill="auto"/>
            <w:noWrap/>
            <w:vAlign w:val="center"/>
          </w:tcPr>
          <w:p w14:paraId="22CA5E95"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Ln (Daily Average Exposure), 3 weeks lag</w:t>
            </w:r>
          </w:p>
        </w:tc>
        <w:tc>
          <w:tcPr>
            <w:tcW w:w="614" w:type="pct"/>
            <w:tcBorders>
              <w:top w:val="single" w:sz="4" w:space="0" w:color="auto"/>
              <w:bottom w:val="double" w:sz="4" w:space="0" w:color="auto"/>
            </w:tcBorders>
            <w:shd w:val="clear" w:color="auto" w:fill="auto"/>
            <w:noWrap/>
            <w:vAlign w:val="center"/>
          </w:tcPr>
          <w:p w14:paraId="489B4F8C"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CEI</w:t>
            </w:r>
          </w:p>
        </w:tc>
        <w:tc>
          <w:tcPr>
            <w:tcW w:w="469" w:type="pct"/>
            <w:tcBorders>
              <w:top w:val="single" w:sz="4" w:space="0" w:color="auto"/>
              <w:bottom w:val="double" w:sz="4" w:space="0" w:color="auto"/>
            </w:tcBorders>
            <w:shd w:val="clear" w:color="auto" w:fill="auto"/>
            <w:noWrap/>
            <w:vAlign w:val="center"/>
          </w:tcPr>
          <w:p w14:paraId="09478A66"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4.521</w:t>
            </w:r>
          </w:p>
        </w:tc>
        <w:tc>
          <w:tcPr>
            <w:tcW w:w="857" w:type="pct"/>
            <w:tcBorders>
              <w:top w:val="single" w:sz="4" w:space="0" w:color="auto"/>
              <w:bottom w:val="double" w:sz="4" w:space="0" w:color="auto"/>
            </w:tcBorders>
            <w:shd w:val="clear" w:color="auto" w:fill="auto"/>
            <w:noWrap/>
          </w:tcPr>
          <w:p w14:paraId="18952B0C"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2.324/6.841</w:t>
            </w:r>
          </w:p>
        </w:tc>
        <w:tc>
          <w:tcPr>
            <w:tcW w:w="499" w:type="pct"/>
            <w:tcBorders>
              <w:top w:val="single" w:sz="4" w:space="0" w:color="auto"/>
              <w:bottom w:val="double" w:sz="4" w:space="0" w:color="auto"/>
              <w:right w:val="double" w:sz="4" w:space="0" w:color="auto"/>
            </w:tcBorders>
            <w:shd w:val="clear" w:color="auto" w:fill="auto"/>
            <w:noWrap/>
            <w:vAlign w:val="center"/>
          </w:tcPr>
          <w:p w14:paraId="2DA1237B"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37,065</w:t>
            </w:r>
          </w:p>
        </w:tc>
      </w:tr>
      <w:tr w:rsidR="00FA7CEE" w:rsidRPr="005E3A54" w14:paraId="5947725A" w14:textId="77777777" w:rsidTr="005E3A54">
        <w:trPr>
          <w:trHeight w:val="216"/>
        </w:trPr>
        <w:tc>
          <w:tcPr>
            <w:tcW w:w="5000" w:type="pct"/>
            <w:gridSpan w:val="5"/>
            <w:tcBorders>
              <w:top w:val="double" w:sz="4" w:space="0" w:color="auto"/>
              <w:left w:val="double" w:sz="4" w:space="0" w:color="auto"/>
              <w:bottom w:val="double" w:sz="4" w:space="0" w:color="auto"/>
              <w:right w:val="double" w:sz="4" w:space="0" w:color="auto"/>
            </w:tcBorders>
            <w:shd w:val="clear" w:color="auto" w:fill="auto"/>
            <w:noWrap/>
            <w:vAlign w:val="center"/>
          </w:tcPr>
          <w:p w14:paraId="01D1661F" w14:textId="77777777" w:rsidR="00FA7CEE" w:rsidRPr="005E3A54" w:rsidRDefault="00FA7CEE" w:rsidP="00310473">
            <w:pPr>
              <w:rPr>
                <w:rFonts w:eastAsia="Times New Roman" w:cs="Times New Roman"/>
                <w:color w:val="000000"/>
                <w:sz w:val="22"/>
              </w:rPr>
            </w:pPr>
            <w:r w:rsidRPr="005E3A54">
              <w:rPr>
                <w:rFonts w:eastAsia="Times New Roman" w:cs="Times New Roman"/>
                <w:b/>
                <w:bCs/>
                <w:i/>
                <w:iCs/>
                <w:color w:val="000000"/>
                <w:sz w:val="22"/>
              </w:rPr>
              <w:t>Demographic Characteristics</w:t>
            </w:r>
          </w:p>
        </w:tc>
      </w:tr>
      <w:tr w:rsidR="00FA7CEE" w:rsidRPr="005E3A54" w14:paraId="5BE93EEC" w14:textId="77777777" w:rsidTr="005E3A54">
        <w:trPr>
          <w:trHeight w:val="216"/>
        </w:trPr>
        <w:tc>
          <w:tcPr>
            <w:tcW w:w="2561" w:type="pct"/>
            <w:tcBorders>
              <w:top w:val="double" w:sz="4" w:space="0" w:color="auto"/>
              <w:left w:val="double" w:sz="4" w:space="0" w:color="auto"/>
            </w:tcBorders>
            <w:shd w:val="clear" w:color="auto" w:fill="auto"/>
            <w:noWrap/>
          </w:tcPr>
          <w:p w14:paraId="24FABE4A"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Young people percentage</w:t>
            </w:r>
          </w:p>
        </w:tc>
        <w:tc>
          <w:tcPr>
            <w:tcW w:w="614" w:type="pct"/>
            <w:tcBorders>
              <w:top w:val="double" w:sz="4" w:space="0" w:color="auto"/>
            </w:tcBorders>
            <w:shd w:val="clear" w:color="auto" w:fill="auto"/>
            <w:noWrap/>
            <w:vAlign w:val="center"/>
          </w:tcPr>
          <w:p w14:paraId="4262F453" w14:textId="77777777" w:rsidR="00FA7CEE" w:rsidRPr="005E3A54" w:rsidRDefault="00FA7CEE" w:rsidP="00310473">
            <w:pPr>
              <w:jc w:val="center"/>
              <w:rPr>
                <w:rFonts w:eastAsia="Times New Roman" w:cs="Times New Roman"/>
                <w:color w:val="000000"/>
                <w:sz w:val="22"/>
                <w:vertAlign w:val="superscript"/>
              </w:rPr>
            </w:pPr>
            <w:proofErr w:type="spellStart"/>
            <w:r w:rsidRPr="005E3A54">
              <w:rPr>
                <w:rFonts w:eastAsia="Times New Roman" w:cs="Times New Roman"/>
                <w:color w:val="000000"/>
                <w:sz w:val="22"/>
              </w:rPr>
              <w:t>ACS</w:t>
            </w:r>
            <w:r w:rsidRPr="005E3A54">
              <w:rPr>
                <w:rFonts w:eastAsia="Times New Roman" w:cs="Times New Roman"/>
                <w:color w:val="000000"/>
                <w:sz w:val="22"/>
                <w:vertAlign w:val="superscript"/>
              </w:rPr>
              <w:t>d</w:t>
            </w:r>
            <w:proofErr w:type="spellEnd"/>
          </w:p>
        </w:tc>
        <w:tc>
          <w:tcPr>
            <w:tcW w:w="469" w:type="pct"/>
            <w:tcBorders>
              <w:top w:val="double" w:sz="4" w:space="0" w:color="auto"/>
            </w:tcBorders>
            <w:shd w:val="clear" w:color="auto" w:fill="auto"/>
            <w:noWrap/>
            <w:vAlign w:val="center"/>
          </w:tcPr>
          <w:p w14:paraId="6943ED04"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22.403</w:t>
            </w:r>
          </w:p>
        </w:tc>
        <w:tc>
          <w:tcPr>
            <w:tcW w:w="857" w:type="pct"/>
            <w:tcBorders>
              <w:top w:val="double" w:sz="4" w:space="0" w:color="auto"/>
            </w:tcBorders>
            <w:shd w:val="clear" w:color="auto" w:fill="auto"/>
            <w:noWrap/>
            <w:vAlign w:val="center"/>
          </w:tcPr>
          <w:p w14:paraId="6DE89CA0"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7.155/35.987</w:t>
            </w:r>
          </w:p>
        </w:tc>
        <w:tc>
          <w:tcPr>
            <w:tcW w:w="499" w:type="pct"/>
            <w:tcBorders>
              <w:top w:val="double" w:sz="4" w:space="0" w:color="auto"/>
              <w:right w:val="double" w:sz="4" w:space="0" w:color="auto"/>
            </w:tcBorders>
            <w:shd w:val="clear" w:color="auto" w:fill="auto"/>
            <w:noWrap/>
            <w:vAlign w:val="center"/>
          </w:tcPr>
          <w:p w14:paraId="0FCD8EBA"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5DDBD763" w14:textId="77777777" w:rsidTr="005E3A54">
        <w:trPr>
          <w:trHeight w:val="216"/>
        </w:trPr>
        <w:tc>
          <w:tcPr>
            <w:tcW w:w="2561" w:type="pct"/>
            <w:tcBorders>
              <w:left w:val="double" w:sz="4" w:space="0" w:color="auto"/>
            </w:tcBorders>
            <w:shd w:val="clear" w:color="auto" w:fill="auto"/>
            <w:noWrap/>
            <w:hideMark/>
          </w:tcPr>
          <w:p w14:paraId="1E1FDD45"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Hispanic percentage</w:t>
            </w:r>
          </w:p>
        </w:tc>
        <w:tc>
          <w:tcPr>
            <w:tcW w:w="614" w:type="pct"/>
            <w:shd w:val="clear" w:color="auto" w:fill="auto"/>
            <w:noWrap/>
            <w:vAlign w:val="center"/>
            <w:hideMark/>
          </w:tcPr>
          <w:p w14:paraId="47786B5F"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ACS</w:t>
            </w:r>
          </w:p>
        </w:tc>
        <w:tc>
          <w:tcPr>
            <w:tcW w:w="469" w:type="pct"/>
            <w:shd w:val="clear" w:color="auto" w:fill="auto"/>
            <w:noWrap/>
            <w:vAlign w:val="center"/>
          </w:tcPr>
          <w:p w14:paraId="71BBE40A"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10.015</w:t>
            </w:r>
          </w:p>
        </w:tc>
        <w:tc>
          <w:tcPr>
            <w:tcW w:w="857" w:type="pct"/>
            <w:shd w:val="clear" w:color="auto" w:fill="auto"/>
            <w:noWrap/>
            <w:vAlign w:val="center"/>
          </w:tcPr>
          <w:p w14:paraId="50284D3E"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0.653/96.322</w:t>
            </w:r>
          </w:p>
        </w:tc>
        <w:tc>
          <w:tcPr>
            <w:tcW w:w="499" w:type="pct"/>
            <w:tcBorders>
              <w:right w:val="double" w:sz="4" w:space="0" w:color="auto"/>
            </w:tcBorders>
            <w:shd w:val="clear" w:color="auto" w:fill="auto"/>
            <w:noWrap/>
            <w:vAlign w:val="center"/>
          </w:tcPr>
          <w:p w14:paraId="352815DF"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46F1269D" w14:textId="77777777" w:rsidTr="005E3A54">
        <w:trPr>
          <w:trHeight w:val="216"/>
        </w:trPr>
        <w:tc>
          <w:tcPr>
            <w:tcW w:w="2561" w:type="pct"/>
            <w:tcBorders>
              <w:left w:val="double" w:sz="4" w:space="0" w:color="auto"/>
            </w:tcBorders>
            <w:shd w:val="clear" w:color="auto" w:fill="auto"/>
            <w:noWrap/>
            <w:hideMark/>
          </w:tcPr>
          <w:p w14:paraId="55E2E6D3"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lastRenderedPageBreak/>
              <w:t>African American percentage</w:t>
            </w:r>
          </w:p>
        </w:tc>
        <w:tc>
          <w:tcPr>
            <w:tcW w:w="614" w:type="pct"/>
            <w:shd w:val="clear" w:color="auto" w:fill="auto"/>
            <w:noWrap/>
            <w:vAlign w:val="center"/>
            <w:hideMark/>
          </w:tcPr>
          <w:p w14:paraId="7CBE2223"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ACS</w:t>
            </w:r>
          </w:p>
        </w:tc>
        <w:tc>
          <w:tcPr>
            <w:tcW w:w="469" w:type="pct"/>
            <w:shd w:val="clear" w:color="auto" w:fill="auto"/>
            <w:noWrap/>
            <w:vAlign w:val="center"/>
          </w:tcPr>
          <w:p w14:paraId="253091BA"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9.720</w:t>
            </w:r>
          </w:p>
        </w:tc>
        <w:tc>
          <w:tcPr>
            <w:tcW w:w="857" w:type="pct"/>
            <w:shd w:val="clear" w:color="auto" w:fill="auto"/>
            <w:noWrap/>
            <w:vAlign w:val="center"/>
          </w:tcPr>
          <w:p w14:paraId="53534D88"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0.113/76.331</w:t>
            </w:r>
          </w:p>
        </w:tc>
        <w:tc>
          <w:tcPr>
            <w:tcW w:w="499" w:type="pct"/>
            <w:tcBorders>
              <w:right w:val="double" w:sz="4" w:space="0" w:color="auto"/>
            </w:tcBorders>
            <w:shd w:val="clear" w:color="auto" w:fill="auto"/>
            <w:noWrap/>
            <w:vAlign w:val="center"/>
          </w:tcPr>
          <w:p w14:paraId="3DD246C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497A935D" w14:textId="77777777" w:rsidTr="005E3A54">
        <w:trPr>
          <w:trHeight w:val="216"/>
        </w:trPr>
        <w:tc>
          <w:tcPr>
            <w:tcW w:w="2561" w:type="pct"/>
            <w:tcBorders>
              <w:left w:val="double" w:sz="4" w:space="0" w:color="auto"/>
            </w:tcBorders>
            <w:shd w:val="clear" w:color="auto" w:fill="auto"/>
            <w:noWrap/>
            <w:hideMark/>
          </w:tcPr>
          <w:p w14:paraId="2C634056"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Female percentage</w:t>
            </w:r>
          </w:p>
        </w:tc>
        <w:tc>
          <w:tcPr>
            <w:tcW w:w="614" w:type="pct"/>
            <w:shd w:val="clear" w:color="auto" w:fill="auto"/>
            <w:noWrap/>
            <w:vAlign w:val="center"/>
            <w:hideMark/>
          </w:tcPr>
          <w:p w14:paraId="76A7DAE9"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ACS</w:t>
            </w:r>
          </w:p>
        </w:tc>
        <w:tc>
          <w:tcPr>
            <w:tcW w:w="469" w:type="pct"/>
            <w:shd w:val="clear" w:color="auto" w:fill="auto"/>
            <w:noWrap/>
            <w:vAlign w:val="center"/>
          </w:tcPr>
          <w:p w14:paraId="20861B47"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50.348</w:t>
            </w:r>
          </w:p>
        </w:tc>
        <w:tc>
          <w:tcPr>
            <w:tcW w:w="857" w:type="pct"/>
            <w:shd w:val="clear" w:color="auto" w:fill="auto"/>
            <w:noWrap/>
            <w:vAlign w:val="center"/>
          </w:tcPr>
          <w:p w14:paraId="53D1255E"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37.041/56.145</w:t>
            </w:r>
          </w:p>
        </w:tc>
        <w:tc>
          <w:tcPr>
            <w:tcW w:w="499" w:type="pct"/>
            <w:tcBorders>
              <w:right w:val="double" w:sz="4" w:space="0" w:color="auto"/>
            </w:tcBorders>
            <w:shd w:val="clear" w:color="auto" w:fill="auto"/>
            <w:noWrap/>
            <w:vAlign w:val="center"/>
          </w:tcPr>
          <w:p w14:paraId="1993784B"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24CC9873" w14:textId="77777777" w:rsidTr="005E3A54">
        <w:trPr>
          <w:trHeight w:val="216"/>
        </w:trPr>
        <w:tc>
          <w:tcPr>
            <w:tcW w:w="2561" w:type="pct"/>
            <w:tcBorders>
              <w:left w:val="double" w:sz="4" w:space="0" w:color="auto"/>
            </w:tcBorders>
            <w:shd w:val="clear" w:color="auto" w:fill="auto"/>
            <w:noWrap/>
          </w:tcPr>
          <w:p w14:paraId="7E742083"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Ln (median income)</w:t>
            </w:r>
          </w:p>
        </w:tc>
        <w:tc>
          <w:tcPr>
            <w:tcW w:w="614" w:type="pct"/>
            <w:shd w:val="clear" w:color="auto" w:fill="auto"/>
            <w:noWrap/>
            <w:vAlign w:val="center"/>
          </w:tcPr>
          <w:p w14:paraId="4810379A"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ACS</w:t>
            </w:r>
          </w:p>
        </w:tc>
        <w:tc>
          <w:tcPr>
            <w:tcW w:w="469" w:type="pct"/>
            <w:shd w:val="clear" w:color="auto" w:fill="auto"/>
            <w:noWrap/>
            <w:vAlign w:val="center"/>
          </w:tcPr>
          <w:p w14:paraId="3131EC15"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10.866</w:t>
            </w:r>
          </w:p>
        </w:tc>
        <w:tc>
          <w:tcPr>
            <w:tcW w:w="857" w:type="pct"/>
            <w:shd w:val="clear" w:color="auto" w:fill="auto"/>
            <w:noWrap/>
            <w:vAlign w:val="center"/>
          </w:tcPr>
          <w:p w14:paraId="633AB300"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10.149/11.821</w:t>
            </w:r>
          </w:p>
        </w:tc>
        <w:tc>
          <w:tcPr>
            <w:tcW w:w="499" w:type="pct"/>
            <w:tcBorders>
              <w:right w:val="double" w:sz="4" w:space="0" w:color="auto"/>
            </w:tcBorders>
            <w:shd w:val="clear" w:color="auto" w:fill="auto"/>
            <w:noWrap/>
            <w:vAlign w:val="center"/>
          </w:tcPr>
          <w:p w14:paraId="5DF1EAE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57DE7BBD" w14:textId="77777777" w:rsidTr="005E3A54">
        <w:trPr>
          <w:trHeight w:val="216"/>
        </w:trPr>
        <w:tc>
          <w:tcPr>
            <w:tcW w:w="2561" w:type="pct"/>
            <w:tcBorders>
              <w:left w:val="double" w:sz="4" w:space="0" w:color="auto"/>
              <w:bottom w:val="double" w:sz="4" w:space="0" w:color="auto"/>
            </w:tcBorders>
            <w:shd w:val="clear" w:color="auto" w:fill="auto"/>
            <w:noWrap/>
            <w:vAlign w:val="center"/>
          </w:tcPr>
          <w:p w14:paraId="58013E08"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Income inequality ratio (80</w:t>
            </w:r>
            <w:r w:rsidRPr="005E3A54">
              <w:rPr>
                <w:rFonts w:eastAsia="Times New Roman" w:cs="Times New Roman"/>
                <w:color w:val="000000"/>
                <w:sz w:val="22"/>
                <w:vertAlign w:val="superscript"/>
              </w:rPr>
              <w:t>th</w:t>
            </w:r>
            <w:r w:rsidRPr="005E3A54">
              <w:rPr>
                <w:rFonts w:eastAsia="Times New Roman" w:cs="Times New Roman"/>
                <w:color w:val="000000"/>
                <w:sz w:val="22"/>
              </w:rPr>
              <w:t xml:space="preserve"> /20</w:t>
            </w:r>
            <w:r w:rsidRPr="005E3A54">
              <w:rPr>
                <w:rFonts w:eastAsia="Times New Roman" w:cs="Times New Roman"/>
                <w:color w:val="000000"/>
                <w:sz w:val="22"/>
                <w:vertAlign w:val="superscript"/>
              </w:rPr>
              <w:t>th</w:t>
            </w:r>
            <w:r w:rsidRPr="005E3A54">
              <w:rPr>
                <w:rFonts w:eastAsia="Times New Roman" w:cs="Times New Roman"/>
                <w:color w:val="000000"/>
                <w:sz w:val="22"/>
              </w:rPr>
              <w:t xml:space="preserve"> percentile)</w:t>
            </w:r>
          </w:p>
        </w:tc>
        <w:tc>
          <w:tcPr>
            <w:tcW w:w="614" w:type="pct"/>
            <w:tcBorders>
              <w:bottom w:val="double" w:sz="4" w:space="0" w:color="auto"/>
            </w:tcBorders>
            <w:shd w:val="clear" w:color="auto" w:fill="auto"/>
            <w:noWrap/>
            <w:vAlign w:val="center"/>
          </w:tcPr>
          <w:p w14:paraId="42B592F8" w14:textId="77777777" w:rsidR="00FA7CEE" w:rsidRPr="005E3A54" w:rsidRDefault="00FA7CEE" w:rsidP="00310473">
            <w:pPr>
              <w:jc w:val="center"/>
              <w:rPr>
                <w:rFonts w:eastAsia="Times New Roman" w:cs="Times New Roman"/>
                <w:color w:val="000000"/>
                <w:sz w:val="22"/>
              </w:rPr>
            </w:pPr>
            <w:proofErr w:type="spellStart"/>
            <w:r w:rsidRPr="005E3A54">
              <w:rPr>
                <w:rFonts w:eastAsia="Times New Roman" w:cs="Times New Roman"/>
                <w:color w:val="000000"/>
                <w:sz w:val="22"/>
              </w:rPr>
              <w:t>CHRR</w:t>
            </w:r>
            <w:r w:rsidRPr="005E3A54">
              <w:rPr>
                <w:rFonts w:eastAsia="Times New Roman" w:cs="Times New Roman"/>
                <w:color w:val="000000"/>
                <w:sz w:val="22"/>
                <w:vertAlign w:val="superscript"/>
              </w:rPr>
              <w:t>e</w:t>
            </w:r>
            <w:proofErr w:type="spellEnd"/>
          </w:p>
        </w:tc>
        <w:tc>
          <w:tcPr>
            <w:tcW w:w="469" w:type="pct"/>
            <w:tcBorders>
              <w:bottom w:val="double" w:sz="4" w:space="0" w:color="auto"/>
            </w:tcBorders>
            <w:shd w:val="clear" w:color="auto" w:fill="auto"/>
            <w:noWrap/>
            <w:vAlign w:val="center"/>
          </w:tcPr>
          <w:p w14:paraId="4AD41AAC"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4.540</w:t>
            </w:r>
          </w:p>
        </w:tc>
        <w:tc>
          <w:tcPr>
            <w:tcW w:w="857" w:type="pct"/>
            <w:tcBorders>
              <w:bottom w:val="double" w:sz="4" w:space="0" w:color="auto"/>
            </w:tcBorders>
            <w:shd w:val="clear" w:color="auto" w:fill="auto"/>
            <w:noWrap/>
            <w:vAlign w:val="center"/>
          </w:tcPr>
          <w:p w14:paraId="46100583"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2.987/9.148</w:t>
            </w:r>
          </w:p>
        </w:tc>
        <w:tc>
          <w:tcPr>
            <w:tcW w:w="499" w:type="pct"/>
            <w:tcBorders>
              <w:bottom w:val="double" w:sz="4" w:space="0" w:color="auto"/>
              <w:right w:val="double" w:sz="4" w:space="0" w:color="auto"/>
            </w:tcBorders>
            <w:shd w:val="clear" w:color="auto" w:fill="auto"/>
            <w:noWrap/>
            <w:vAlign w:val="center"/>
          </w:tcPr>
          <w:p w14:paraId="6FB041F0"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19488D1B" w14:textId="77777777" w:rsidTr="005E3A54">
        <w:trPr>
          <w:trHeight w:val="216"/>
        </w:trPr>
        <w:tc>
          <w:tcPr>
            <w:tcW w:w="5000" w:type="pct"/>
            <w:gridSpan w:val="5"/>
            <w:tcBorders>
              <w:top w:val="double" w:sz="4" w:space="0" w:color="auto"/>
              <w:left w:val="double" w:sz="4" w:space="0" w:color="auto"/>
              <w:right w:val="double" w:sz="4" w:space="0" w:color="auto"/>
            </w:tcBorders>
            <w:shd w:val="clear" w:color="auto" w:fill="auto"/>
            <w:noWrap/>
            <w:vAlign w:val="center"/>
            <w:hideMark/>
          </w:tcPr>
          <w:p w14:paraId="0D3DDCB4" w14:textId="77777777" w:rsidR="00FA7CEE" w:rsidRPr="005E3A54" w:rsidRDefault="00FA7CEE" w:rsidP="00310473">
            <w:pPr>
              <w:jc w:val="left"/>
              <w:rPr>
                <w:rFonts w:eastAsia="Times New Roman" w:cs="Times New Roman"/>
                <w:b/>
                <w:bCs/>
                <w:i/>
                <w:iCs/>
                <w:color w:val="000000"/>
                <w:sz w:val="22"/>
              </w:rPr>
            </w:pPr>
            <w:r w:rsidRPr="005E3A54">
              <w:rPr>
                <w:rFonts w:eastAsia="Times New Roman" w:cs="Times New Roman"/>
                <w:b/>
                <w:bCs/>
                <w:i/>
                <w:iCs/>
                <w:color w:val="000000"/>
                <w:sz w:val="22"/>
              </w:rPr>
              <w:t>Health Indicators</w:t>
            </w:r>
          </w:p>
        </w:tc>
      </w:tr>
      <w:tr w:rsidR="00FA7CEE" w:rsidRPr="005E3A54" w14:paraId="77C03D6A" w14:textId="77777777" w:rsidTr="005E3A54">
        <w:trPr>
          <w:trHeight w:val="216"/>
        </w:trPr>
        <w:tc>
          <w:tcPr>
            <w:tcW w:w="2561" w:type="pct"/>
            <w:tcBorders>
              <w:left w:val="double" w:sz="4" w:space="0" w:color="auto"/>
            </w:tcBorders>
            <w:shd w:val="clear" w:color="auto" w:fill="auto"/>
            <w:noWrap/>
            <w:vAlign w:val="center"/>
          </w:tcPr>
          <w:p w14:paraId="0F5A02A1"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Asthma % for &gt;= 18 years</w:t>
            </w:r>
          </w:p>
        </w:tc>
        <w:tc>
          <w:tcPr>
            <w:tcW w:w="614" w:type="pct"/>
            <w:shd w:val="clear" w:color="auto" w:fill="auto"/>
            <w:noWrap/>
            <w:vAlign w:val="center"/>
          </w:tcPr>
          <w:p w14:paraId="0B238859"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CDC</w:t>
            </w:r>
          </w:p>
        </w:tc>
        <w:tc>
          <w:tcPr>
            <w:tcW w:w="469" w:type="pct"/>
            <w:shd w:val="clear" w:color="auto" w:fill="auto"/>
            <w:noWrap/>
            <w:vAlign w:val="center"/>
          </w:tcPr>
          <w:p w14:paraId="6D327819"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9.417</w:t>
            </w:r>
          </w:p>
        </w:tc>
        <w:tc>
          <w:tcPr>
            <w:tcW w:w="857" w:type="pct"/>
            <w:shd w:val="clear" w:color="auto" w:fill="auto"/>
            <w:noWrap/>
            <w:vAlign w:val="center"/>
          </w:tcPr>
          <w:p w14:paraId="44365902"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7.400/12.300</w:t>
            </w:r>
          </w:p>
        </w:tc>
        <w:tc>
          <w:tcPr>
            <w:tcW w:w="499" w:type="pct"/>
            <w:tcBorders>
              <w:right w:val="double" w:sz="4" w:space="0" w:color="auto"/>
            </w:tcBorders>
            <w:shd w:val="clear" w:color="auto" w:fill="auto"/>
            <w:noWrap/>
            <w:vAlign w:val="center"/>
          </w:tcPr>
          <w:p w14:paraId="74017A5D"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3B239DB7" w14:textId="77777777" w:rsidTr="005E3A54">
        <w:trPr>
          <w:trHeight w:val="216"/>
        </w:trPr>
        <w:tc>
          <w:tcPr>
            <w:tcW w:w="2561" w:type="pct"/>
            <w:tcBorders>
              <w:left w:val="double" w:sz="4" w:space="0" w:color="auto"/>
            </w:tcBorders>
            <w:shd w:val="clear" w:color="auto" w:fill="auto"/>
            <w:noWrap/>
          </w:tcPr>
          <w:p w14:paraId="2501009F"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Ln (number of cardiovascular patients per 1000 Medicare beneficiaries)</w:t>
            </w:r>
          </w:p>
        </w:tc>
        <w:tc>
          <w:tcPr>
            <w:tcW w:w="614" w:type="pct"/>
            <w:shd w:val="clear" w:color="auto" w:fill="auto"/>
            <w:noWrap/>
            <w:vAlign w:val="center"/>
          </w:tcPr>
          <w:p w14:paraId="3281AA0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CHRR</w:t>
            </w:r>
          </w:p>
        </w:tc>
        <w:tc>
          <w:tcPr>
            <w:tcW w:w="469" w:type="pct"/>
            <w:shd w:val="clear" w:color="auto" w:fill="auto"/>
            <w:noWrap/>
            <w:vAlign w:val="center"/>
          </w:tcPr>
          <w:p w14:paraId="3363C4D3"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4.119</w:t>
            </w:r>
          </w:p>
        </w:tc>
        <w:tc>
          <w:tcPr>
            <w:tcW w:w="857" w:type="pct"/>
            <w:shd w:val="clear" w:color="auto" w:fill="auto"/>
            <w:noWrap/>
            <w:vAlign w:val="center"/>
          </w:tcPr>
          <w:p w14:paraId="1582B20A"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3.157/4.891</w:t>
            </w:r>
          </w:p>
        </w:tc>
        <w:tc>
          <w:tcPr>
            <w:tcW w:w="499" w:type="pct"/>
            <w:tcBorders>
              <w:right w:val="double" w:sz="4" w:space="0" w:color="auto"/>
            </w:tcBorders>
            <w:shd w:val="clear" w:color="auto" w:fill="auto"/>
            <w:noWrap/>
            <w:vAlign w:val="center"/>
          </w:tcPr>
          <w:p w14:paraId="51F4E5E0"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7B6BFCB4" w14:textId="77777777" w:rsidTr="005E3A54">
        <w:trPr>
          <w:trHeight w:val="216"/>
        </w:trPr>
        <w:tc>
          <w:tcPr>
            <w:tcW w:w="2561" w:type="pct"/>
            <w:tcBorders>
              <w:left w:val="double" w:sz="4" w:space="0" w:color="auto"/>
            </w:tcBorders>
            <w:shd w:val="clear" w:color="auto" w:fill="auto"/>
            <w:noWrap/>
          </w:tcPr>
          <w:p w14:paraId="60663910"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Hepatitis C Cases per 100K people</w:t>
            </w:r>
          </w:p>
        </w:tc>
        <w:tc>
          <w:tcPr>
            <w:tcW w:w="614" w:type="pct"/>
            <w:shd w:val="clear" w:color="auto" w:fill="auto"/>
            <w:noWrap/>
            <w:vAlign w:val="center"/>
          </w:tcPr>
          <w:p w14:paraId="4CA814DF" w14:textId="77777777" w:rsidR="00FA7CEE" w:rsidRPr="005E3A54" w:rsidRDefault="00FA7CEE" w:rsidP="00310473">
            <w:pPr>
              <w:jc w:val="center"/>
              <w:rPr>
                <w:rFonts w:eastAsia="Times New Roman" w:cs="Times New Roman"/>
                <w:color w:val="000000"/>
                <w:sz w:val="22"/>
              </w:rPr>
            </w:pPr>
            <w:proofErr w:type="spellStart"/>
            <w:r w:rsidRPr="005E3A54">
              <w:rPr>
                <w:rFonts w:eastAsia="Times New Roman" w:cs="Times New Roman"/>
                <w:color w:val="000000"/>
                <w:sz w:val="22"/>
              </w:rPr>
              <w:t>CDC</w:t>
            </w:r>
            <w:r w:rsidRPr="005E3A54">
              <w:rPr>
                <w:rFonts w:eastAsia="Times New Roman" w:cs="Times New Roman"/>
                <w:color w:val="000000"/>
                <w:sz w:val="22"/>
                <w:vertAlign w:val="superscript"/>
              </w:rPr>
              <w:t>f</w:t>
            </w:r>
            <w:proofErr w:type="spellEnd"/>
          </w:p>
        </w:tc>
        <w:tc>
          <w:tcPr>
            <w:tcW w:w="469" w:type="pct"/>
            <w:shd w:val="clear" w:color="auto" w:fill="auto"/>
            <w:noWrap/>
            <w:vAlign w:val="center"/>
          </w:tcPr>
          <w:p w14:paraId="673584BA"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1.064</w:t>
            </w:r>
          </w:p>
        </w:tc>
        <w:tc>
          <w:tcPr>
            <w:tcW w:w="857" w:type="pct"/>
            <w:shd w:val="clear" w:color="auto" w:fill="auto"/>
            <w:noWrap/>
            <w:vAlign w:val="center"/>
          </w:tcPr>
          <w:p w14:paraId="0B31CBFC"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0.000/5.600</w:t>
            </w:r>
          </w:p>
        </w:tc>
        <w:tc>
          <w:tcPr>
            <w:tcW w:w="499" w:type="pct"/>
            <w:tcBorders>
              <w:right w:val="double" w:sz="4" w:space="0" w:color="auto"/>
            </w:tcBorders>
            <w:shd w:val="clear" w:color="auto" w:fill="auto"/>
            <w:noWrap/>
            <w:vAlign w:val="center"/>
          </w:tcPr>
          <w:p w14:paraId="106B320E"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3A74F92D" w14:textId="77777777" w:rsidTr="005E3A54">
        <w:trPr>
          <w:trHeight w:val="216"/>
        </w:trPr>
        <w:tc>
          <w:tcPr>
            <w:tcW w:w="2561" w:type="pct"/>
            <w:tcBorders>
              <w:left w:val="double" w:sz="4" w:space="0" w:color="auto"/>
            </w:tcBorders>
            <w:shd w:val="clear" w:color="auto" w:fill="auto"/>
            <w:noWrap/>
          </w:tcPr>
          <w:p w14:paraId="78CA7960"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Ln (HIV rate per 100K People)</w:t>
            </w:r>
          </w:p>
        </w:tc>
        <w:tc>
          <w:tcPr>
            <w:tcW w:w="614" w:type="pct"/>
            <w:shd w:val="clear" w:color="auto" w:fill="auto"/>
            <w:noWrap/>
            <w:vAlign w:val="center"/>
          </w:tcPr>
          <w:p w14:paraId="0A9F5EF9"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CDC</w:t>
            </w:r>
          </w:p>
        </w:tc>
        <w:tc>
          <w:tcPr>
            <w:tcW w:w="469" w:type="pct"/>
            <w:shd w:val="clear" w:color="auto" w:fill="auto"/>
            <w:noWrap/>
            <w:vAlign w:val="center"/>
          </w:tcPr>
          <w:p w14:paraId="1F0B3D1E"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4.780</w:t>
            </w:r>
          </w:p>
        </w:tc>
        <w:tc>
          <w:tcPr>
            <w:tcW w:w="857" w:type="pct"/>
            <w:shd w:val="clear" w:color="auto" w:fill="auto"/>
            <w:noWrap/>
            <w:vAlign w:val="center"/>
          </w:tcPr>
          <w:p w14:paraId="0D346664"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0.723/7.859</w:t>
            </w:r>
          </w:p>
        </w:tc>
        <w:tc>
          <w:tcPr>
            <w:tcW w:w="499" w:type="pct"/>
            <w:tcBorders>
              <w:right w:val="double" w:sz="4" w:space="0" w:color="auto"/>
            </w:tcBorders>
            <w:shd w:val="clear" w:color="auto" w:fill="auto"/>
            <w:noWrap/>
            <w:vAlign w:val="center"/>
          </w:tcPr>
          <w:p w14:paraId="2E48D08A"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4AC93014" w14:textId="77777777" w:rsidTr="005E3A54">
        <w:trPr>
          <w:trHeight w:val="216"/>
        </w:trPr>
        <w:tc>
          <w:tcPr>
            <w:tcW w:w="2561" w:type="pct"/>
            <w:tcBorders>
              <w:left w:val="double" w:sz="4" w:space="0" w:color="auto"/>
            </w:tcBorders>
            <w:shd w:val="clear" w:color="auto" w:fill="auto"/>
            <w:noWrap/>
            <w:hideMark/>
          </w:tcPr>
          <w:p w14:paraId="34881248"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Ln (cancer rate per 100K People)</w:t>
            </w:r>
          </w:p>
        </w:tc>
        <w:tc>
          <w:tcPr>
            <w:tcW w:w="614" w:type="pct"/>
            <w:shd w:val="clear" w:color="auto" w:fill="auto"/>
            <w:noWrap/>
            <w:vAlign w:val="center"/>
            <w:hideMark/>
          </w:tcPr>
          <w:p w14:paraId="63323350"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CDC</w:t>
            </w:r>
          </w:p>
        </w:tc>
        <w:tc>
          <w:tcPr>
            <w:tcW w:w="469" w:type="pct"/>
            <w:shd w:val="clear" w:color="auto" w:fill="auto"/>
            <w:noWrap/>
            <w:vAlign w:val="center"/>
          </w:tcPr>
          <w:p w14:paraId="17E7782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6.119</w:t>
            </w:r>
          </w:p>
        </w:tc>
        <w:tc>
          <w:tcPr>
            <w:tcW w:w="857" w:type="pct"/>
            <w:shd w:val="clear" w:color="auto" w:fill="auto"/>
            <w:noWrap/>
            <w:vAlign w:val="center"/>
          </w:tcPr>
          <w:p w14:paraId="25F84B54"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5.489/6.436</w:t>
            </w:r>
          </w:p>
        </w:tc>
        <w:tc>
          <w:tcPr>
            <w:tcW w:w="499" w:type="pct"/>
            <w:tcBorders>
              <w:right w:val="double" w:sz="4" w:space="0" w:color="auto"/>
            </w:tcBorders>
            <w:shd w:val="clear" w:color="auto" w:fill="auto"/>
            <w:noWrap/>
            <w:vAlign w:val="center"/>
            <w:hideMark/>
          </w:tcPr>
          <w:p w14:paraId="416E97FA"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5D55011D" w14:textId="77777777" w:rsidTr="005E3A54">
        <w:trPr>
          <w:trHeight w:val="216"/>
        </w:trPr>
        <w:tc>
          <w:tcPr>
            <w:tcW w:w="5000" w:type="pct"/>
            <w:gridSpan w:val="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3465C70" w14:textId="77777777" w:rsidR="00FA7CEE" w:rsidRPr="005E3A54" w:rsidRDefault="00FA7CEE" w:rsidP="00310473">
            <w:pPr>
              <w:jc w:val="left"/>
              <w:rPr>
                <w:rFonts w:eastAsia="Times New Roman" w:cs="Times New Roman"/>
                <w:b/>
                <w:bCs/>
                <w:i/>
                <w:iCs/>
                <w:color w:val="000000"/>
                <w:sz w:val="22"/>
              </w:rPr>
            </w:pPr>
            <w:r w:rsidRPr="005E3A54">
              <w:rPr>
                <w:rFonts w:eastAsia="Times New Roman" w:cs="Times New Roman"/>
                <w:b/>
                <w:bCs/>
                <w:i/>
                <w:iCs/>
                <w:color w:val="000000"/>
                <w:sz w:val="22"/>
              </w:rPr>
              <w:t>Spatial factors</w:t>
            </w:r>
          </w:p>
        </w:tc>
      </w:tr>
      <w:tr w:rsidR="00FA7CEE" w:rsidRPr="005E3A54" w14:paraId="758FC7C7" w14:textId="77777777" w:rsidTr="005E3A54">
        <w:trPr>
          <w:trHeight w:val="216"/>
        </w:trPr>
        <w:tc>
          <w:tcPr>
            <w:tcW w:w="2561" w:type="pct"/>
            <w:tcBorders>
              <w:top w:val="double" w:sz="4" w:space="0" w:color="auto"/>
              <w:left w:val="double" w:sz="4" w:space="0" w:color="auto"/>
            </w:tcBorders>
            <w:shd w:val="clear" w:color="auto" w:fill="auto"/>
            <w:noWrap/>
            <w:vAlign w:val="center"/>
          </w:tcPr>
          <w:p w14:paraId="211899DE"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West region</w:t>
            </w:r>
          </w:p>
        </w:tc>
        <w:tc>
          <w:tcPr>
            <w:tcW w:w="614" w:type="pct"/>
            <w:tcBorders>
              <w:top w:val="double" w:sz="4" w:space="0" w:color="auto"/>
            </w:tcBorders>
            <w:shd w:val="clear" w:color="auto" w:fill="auto"/>
            <w:noWrap/>
            <w:vAlign w:val="center"/>
          </w:tcPr>
          <w:p w14:paraId="47D3957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USA map</w:t>
            </w:r>
          </w:p>
        </w:tc>
        <w:tc>
          <w:tcPr>
            <w:tcW w:w="469" w:type="pct"/>
            <w:tcBorders>
              <w:top w:val="double" w:sz="4" w:space="0" w:color="auto"/>
            </w:tcBorders>
            <w:shd w:val="clear" w:color="auto" w:fill="auto"/>
            <w:noWrap/>
            <w:vAlign w:val="center"/>
          </w:tcPr>
          <w:p w14:paraId="1B18E7F2"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0.120</w:t>
            </w:r>
          </w:p>
        </w:tc>
        <w:tc>
          <w:tcPr>
            <w:tcW w:w="857" w:type="pct"/>
            <w:tcBorders>
              <w:top w:val="double" w:sz="4" w:space="0" w:color="auto"/>
            </w:tcBorders>
            <w:shd w:val="clear" w:color="auto" w:fill="auto"/>
            <w:noWrap/>
          </w:tcPr>
          <w:p w14:paraId="2586E4DD"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0.000/1.000</w:t>
            </w:r>
          </w:p>
        </w:tc>
        <w:tc>
          <w:tcPr>
            <w:tcW w:w="499" w:type="pct"/>
            <w:tcBorders>
              <w:top w:val="double" w:sz="4" w:space="0" w:color="auto"/>
              <w:right w:val="double" w:sz="4" w:space="0" w:color="auto"/>
            </w:tcBorders>
            <w:shd w:val="clear" w:color="auto" w:fill="auto"/>
            <w:noWrap/>
            <w:vAlign w:val="center"/>
          </w:tcPr>
          <w:p w14:paraId="4306C3BB"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5241FC03" w14:textId="77777777" w:rsidTr="005E3A54">
        <w:trPr>
          <w:trHeight w:val="216"/>
        </w:trPr>
        <w:tc>
          <w:tcPr>
            <w:tcW w:w="2561" w:type="pct"/>
            <w:tcBorders>
              <w:top w:val="single" w:sz="4" w:space="0" w:color="auto"/>
              <w:left w:val="double" w:sz="4" w:space="0" w:color="auto"/>
            </w:tcBorders>
            <w:shd w:val="clear" w:color="auto" w:fill="auto"/>
            <w:noWrap/>
            <w:vAlign w:val="center"/>
          </w:tcPr>
          <w:p w14:paraId="27F01E3F"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Mid-West region</w:t>
            </w:r>
          </w:p>
        </w:tc>
        <w:tc>
          <w:tcPr>
            <w:tcW w:w="614" w:type="pct"/>
            <w:tcBorders>
              <w:top w:val="single" w:sz="4" w:space="0" w:color="auto"/>
            </w:tcBorders>
            <w:shd w:val="clear" w:color="auto" w:fill="auto"/>
            <w:noWrap/>
          </w:tcPr>
          <w:p w14:paraId="41C52197"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USA map</w:t>
            </w:r>
          </w:p>
        </w:tc>
        <w:tc>
          <w:tcPr>
            <w:tcW w:w="469" w:type="pct"/>
            <w:tcBorders>
              <w:top w:val="single" w:sz="4" w:space="0" w:color="auto"/>
            </w:tcBorders>
            <w:shd w:val="clear" w:color="auto" w:fill="auto"/>
            <w:noWrap/>
            <w:vAlign w:val="center"/>
          </w:tcPr>
          <w:p w14:paraId="42A67B5E"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0.108</w:t>
            </w:r>
          </w:p>
        </w:tc>
        <w:tc>
          <w:tcPr>
            <w:tcW w:w="857" w:type="pct"/>
            <w:tcBorders>
              <w:top w:val="single" w:sz="4" w:space="0" w:color="auto"/>
            </w:tcBorders>
            <w:shd w:val="clear" w:color="auto" w:fill="auto"/>
            <w:noWrap/>
          </w:tcPr>
          <w:p w14:paraId="07D7930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0.000/1.000</w:t>
            </w:r>
          </w:p>
        </w:tc>
        <w:tc>
          <w:tcPr>
            <w:tcW w:w="499" w:type="pct"/>
            <w:tcBorders>
              <w:top w:val="single" w:sz="4" w:space="0" w:color="auto"/>
              <w:right w:val="double" w:sz="4" w:space="0" w:color="auto"/>
            </w:tcBorders>
            <w:shd w:val="clear" w:color="auto" w:fill="auto"/>
            <w:noWrap/>
            <w:vAlign w:val="center"/>
          </w:tcPr>
          <w:p w14:paraId="742F3645"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421C9C9C" w14:textId="77777777" w:rsidTr="005E3A54">
        <w:trPr>
          <w:trHeight w:val="216"/>
        </w:trPr>
        <w:tc>
          <w:tcPr>
            <w:tcW w:w="2561" w:type="pct"/>
            <w:tcBorders>
              <w:top w:val="single" w:sz="4" w:space="0" w:color="auto"/>
              <w:left w:val="double" w:sz="4" w:space="0" w:color="auto"/>
            </w:tcBorders>
            <w:shd w:val="clear" w:color="auto" w:fill="auto"/>
            <w:noWrap/>
            <w:vAlign w:val="center"/>
          </w:tcPr>
          <w:p w14:paraId="486DDE2C"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North-East region</w:t>
            </w:r>
          </w:p>
        </w:tc>
        <w:tc>
          <w:tcPr>
            <w:tcW w:w="614" w:type="pct"/>
            <w:tcBorders>
              <w:top w:val="single" w:sz="4" w:space="0" w:color="auto"/>
            </w:tcBorders>
            <w:shd w:val="clear" w:color="auto" w:fill="auto"/>
            <w:noWrap/>
          </w:tcPr>
          <w:p w14:paraId="39F12B15"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USA map</w:t>
            </w:r>
          </w:p>
        </w:tc>
        <w:tc>
          <w:tcPr>
            <w:tcW w:w="469" w:type="pct"/>
            <w:tcBorders>
              <w:top w:val="single" w:sz="4" w:space="0" w:color="auto"/>
            </w:tcBorders>
            <w:shd w:val="clear" w:color="auto" w:fill="auto"/>
            <w:noWrap/>
            <w:vAlign w:val="center"/>
          </w:tcPr>
          <w:p w14:paraId="740E8A16"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0.308</w:t>
            </w:r>
          </w:p>
        </w:tc>
        <w:tc>
          <w:tcPr>
            <w:tcW w:w="857" w:type="pct"/>
            <w:tcBorders>
              <w:top w:val="single" w:sz="4" w:space="0" w:color="auto"/>
            </w:tcBorders>
            <w:shd w:val="clear" w:color="auto" w:fill="auto"/>
            <w:noWrap/>
          </w:tcPr>
          <w:p w14:paraId="6CD45671"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0.000/1.000</w:t>
            </w:r>
          </w:p>
        </w:tc>
        <w:tc>
          <w:tcPr>
            <w:tcW w:w="499" w:type="pct"/>
            <w:tcBorders>
              <w:top w:val="single" w:sz="4" w:space="0" w:color="auto"/>
              <w:right w:val="double" w:sz="4" w:space="0" w:color="auto"/>
            </w:tcBorders>
            <w:shd w:val="clear" w:color="auto" w:fill="auto"/>
            <w:noWrap/>
            <w:vAlign w:val="center"/>
          </w:tcPr>
          <w:p w14:paraId="29050EFC"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602BCDF5" w14:textId="77777777" w:rsidTr="005E3A54">
        <w:trPr>
          <w:trHeight w:val="216"/>
        </w:trPr>
        <w:tc>
          <w:tcPr>
            <w:tcW w:w="2561" w:type="pct"/>
            <w:tcBorders>
              <w:top w:val="single" w:sz="4" w:space="0" w:color="auto"/>
              <w:left w:val="double" w:sz="4" w:space="0" w:color="auto"/>
            </w:tcBorders>
            <w:shd w:val="clear" w:color="auto" w:fill="auto"/>
            <w:noWrap/>
            <w:vAlign w:val="center"/>
          </w:tcPr>
          <w:p w14:paraId="5EB0D5F3"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Top 10 tourist state</w:t>
            </w:r>
          </w:p>
        </w:tc>
        <w:tc>
          <w:tcPr>
            <w:tcW w:w="614" w:type="pct"/>
            <w:tcBorders>
              <w:top w:val="single" w:sz="4" w:space="0" w:color="auto"/>
            </w:tcBorders>
            <w:shd w:val="clear" w:color="auto" w:fill="auto"/>
            <w:noWrap/>
            <w:vAlign w:val="center"/>
          </w:tcPr>
          <w:p w14:paraId="410CBDD8"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CHRR</w:t>
            </w:r>
          </w:p>
        </w:tc>
        <w:tc>
          <w:tcPr>
            <w:tcW w:w="469" w:type="pct"/>
            <w:tcBorders>
              <w:top w:val="single" w:sz="4" w:space="0" w:color="auto"/>
            </w:tcBorders>
            <w:shd w:val="clear" w:color="auto" w:fill="auto"/>
            <w:noWrap/>
            <w:vAlign w:val="center"/>
          </w:tcPr>
          <w:p w14:paraId="20DBD6E5"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0.252</w:t>
            </w:r>
          </w:p>
        </w:tc>
        <w:tc>
          <w:tcPr>
            <w:tcW w:w="857" w:type="pct"/>
            <w:tcBorders>
              <w:top w:val="single" w:sz="4" w:space="0" w:color="auto"/>
            </w:tcBorders>
            <w:shd w:val="clear" w:color="auto" w:fill="auto"/>
            <w:noWrap/>
          </w:tcPr>
          <w:p w14:paraId="2CCFD759"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0.000/1.000</w:t>
            </w:r>
          </w:p>
        </w:tc>
        <w:tc>
          <w:tcPr>
            <w:tcW w:w="499" w:type="pct"/>
            <w:tcBorders>
              <w:top w:val="single" w:sz="4" w:space="0" w:color="auto"/>
              <w:right w:val="double" w:sz="4" w:space="0" w:color="auto"/>
            </w:tcBorders>
            <w:shd w:val="clear" w:color="auto" w:fill="auto"/>
            <w:noWrap/>
            <w:vAlign w:val="center"/>
          </w:tcPr>
          <w:p w14:paraId="3C854819"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r w:rsidR="00FA7CEE" w:rsidRPr="005E3A54" w14:paraId="0F8F3A2C" w14:textId="77777777" w:rsidTr="005E3A54">
        <w:trPr>
          <w:trHeight w:val="216"/>
        </w:trPr>
        <w:tc>
          <w:tcPr>
            <w:tcW w:w="2561" w:type="pct"/>
            <w:tcBorders>
              <w:left w:val="double" w:sz="4" w:space="0" w:color="auto"/>
            </w:tcBorders>
            <w:shd w:val="clear" w:color="auto" w:fill="auto"/>
            <w:noWrap/>
            <w:vAlign w:val="center"/>
            <w:hideMark/>
          </w:tcPr>
          <w:p w14:paraId="0B8918E8" w14:textId="77777777" w:rsidR="00FA7CEE" w:rsidRPr="005E3A54" w:rsidRDefault="00FA7CEE" w:rsidP="00310473">
            <w:pPr>
              <w:ind w:firstLine="144"/>
              <w:jc w:val="left"/>
              <w:rPr>
                <w:rFonts w:eastAsia="Times New Roman" w:cs="Times New Roman"/>
                <w:color w:val="000000"/>
                <w:sz w:val="22"/>
              </w:rPr>
            </w:pPr>
            <w:r w:rsidRPr="005E3A54">
              <w:rPr>
                <w:rFonts w:eastAsia="Times New Roman" w:cs="Times New Roman"/>
                <w:color w:val="000000"/>
                <w:sz w:val="22"/>
              </w:rPr>
              <w:t>Number of airports per 100k people</w:t>
            </w:r>
          </w:p>
        </w:tc>
        <w:tc>
          <w:tcPr>
            <w:tcW w:w="614" w:type="pct"/>
            <w:shd w:val="clear" w:color="auto" w:fill="auto"/>
            <w:noWrap/>
            <w:vAlign w:val="center"/>
            <w:hideMark/>
          </w:tcPr>
          <w:p w14:paraId="258D3B26"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CHRR</w:t>
            </w:r>
          </w:p>
        </w:tc>
        <w:tc>
          <w:tcPr>
            <w:tcW w:w="469" w:type="pct"/>
            <w:shd w:val="clear" w:color="auto" w:fill="auto"/>
            <w:noWrap/>
            <w:vAlign w:val="center"/>
          </w:tcPr>
          <w:p w14:paraId="3622E37E"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1.269</w:t>
            </w:r>
          </w:p>
        </w:tc>
        <w:tc>
          <w:tcPr>
            <w:tcW w:w="857" w:type="pct"/>
            <w:shd w:val="clear" w:color="auto" w:fill="auto"/>
            <w:noWrap/>
            <w:hideMark/>
          </w:tcPr>
          <w:p w14:paraId="737E2592"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0.000/24.927</w:t>
            </w:r>
          </w:p>
        </w:tc>
        <w:tc>
          <w:tcPr>
            <w:tcW w:w="499" w:type="pct"/>
            <w:tcBorders>
              <w:right w:val="double" w:sz="4" w:space="0" w:color="auto"/>
            </w:tcBorders>
            <w:shd w:val="clear" w:color="auto" w:fill="auto"/>
            <w:noWrap/>
            <w:vAlign w:val="center"/>
            <w:hideMark/>
          </w:tcPr>
          <w:p w14:paraId="49745936" w14:textId="77777777" w:rsidR="00FA7CEE" w:rsidRPr="005E3A54" w:rsidRDefault="00FA7CEE" w:rsidP="00310473">
            <w:pPr>
              <w:jc w:val="center"/>
              <w:rPr>
                <w:rFonts w:eastAsia="Times New Roman" w:cs="Times New Roman"/>
                <w:color w:val="000000"/>
                <w:sz w:val="22"/>
              </w:rPr>
            </w:pPr>
            <w:r w:rsidRPr="005E3A54">
              <w:rPr>
                <w:rFonts w:eastAsia="Times New Roman" w:cs="Times New Roman"/>
                <w:color w:val="000000"/>
                <w:sz w:val="22"/>
              </w:rPr>
              <w:t>1765</w:t>
            </w:r>
          </w:p>
        </w:tc>
      </w:tr>
    </w:tbl>
    <w:p w14:paraId="04B75D64" w14:textId="330799B2" w:rsidR="00FA7CEE" w:rsidRDefault="00FA7CEE" w:rsidP="00FA7CEE">
      <w:pPr>
        <w:rPr>
          <w:rFonts w:cs="Times New Roman"/>
          <w:sz w:val="20"/>
          <w:szCs w:val="20"/>
          <w:vertAlign w:val="superscript"/>
        </w:rPr>
      </w:pPr>
      <w:r>
        <w:rPr>
          <w:rFonts w:cs="Times New Roman"/>
          <w:i/>
          <w:iCs/>
          <w:sz w:val="20"/>
          <w:szCs w:val="20"/>
          <w:vertAlign w:val="superscript"/>
        </w:rPr>
        <w:t>b</w:t>
      </w:r>
      <w:r w:rsidRPr="00C86901">
        <w:rPr>
          <w:rFonts w:cs="Times New Roman"/>
          <w:i/>
          <w:iCs/>
          <w:sz w:val="20"/>
          <w:szCs w:val="20"/>
        </w:rPr>
        <w:t xml:space="preserve"> =</w:t>
      </w:r>
      <w:r>
        <w:rPr>
          <w:rFonts w:cs="Times New Roman"/>
          <w:i/>
          <w:iCs/>
          <w:sz w:val="20"/>
          <w:szCs w:val="20"/>
        </w:rPr>
        <w:t xml:space="preserve"> </w:t>
      </w:r>
      <w:r w:rsidRPr="00C018E3">
        <w:rPr>
          <w:rFonts w:cs="Times New Roman"/>
          <w:sz w:val="20"/>
          <w:szCs w:val="20"/>
        </w:rPr>
        <w:t>Department of Health and Human services</w:t>
      </w:r>
      <w:r>
        <w:rPr>
          <w:rFonts w:cs="Times New Roman"/>
          <w:sz w:val="20"/>
          <w:szCs w:val="20"/>
        </w:rPr>
        <w:t xml:space="preserve"> </w:t>
      </w:r>
      <w:r w:rsidRPr="00C018E3">
        <w:rPr>
          <w:rFonts w:cs="Times New Roman"/>
          <w:sz w:val="20"/>
          <w:szCs w:val="20"/>
        </w:rPr>
        <w:fldChar w:fldCharType="begin" w:fldLock="1"/>
      </w:r>
      <w:r w:rsidR="00D36A98">
        <w:rPr>
          <w:rFonts w:cs="Times New Roman"/>
          <w:sz w:val="20"/>
          <w:szCs w:val="20"/>
        </w:rPr>
        <w:instrText>ADDIN CSL_CITATION {"citationItems":[{"id":"ITEM-1","itemData":{"URL":"https://healthdata.gov/Hospital/COVID-19-Reported-Patient-Impact-and-Hospital-Capa/anag-cw7u","accessed":{"date-parts":[["2021","1","25"]]},"id":"ITEM-1","issued":{"date-parts":[["0"]]},"title":"COVID-19 Reported Patient Impact and Hospital Capacity by Facility | HealthData.gov","type":"webpage"},"uris":["http://www.mendeley.com/documents/?uuid=89558ad4-8c33-3852-aaaf-60cb4f68bb61"]}],"mendeley":{"formattedCitation":"&lt;sup&gt;20&lt;/sup&gt;","plainTextFormattedCitation":"20","previouslyFormattedCitation":"&lt;sup&gt;20&lt;/sup&gt;"},"properties":{"noteIndex":0},"schema":"https://github.com/citation-style-language/schema/raw/master/csl-citation.json"}</w:instrText>
      </w:r>
      <w:r w:rsidRPr="00C018E3">
        <w:rPr>
          <w:rFonts w:cs="Times New Roman"/>
          <w:sz w:val="20"/>
          <w:szCs w:val="20"/>
        </w:rPr>
        <w:fldChar w:fldCharType="separate"/>
      </w:r>
      <w:r w:rsidR="00EE4BF1" w:rsidRPr="00EE4BF1">
        <w:rPr>
          <w:rFonts w:cs="Times New Roman"/>
          <w:noProof/>
          <w:sz w:val="20"/>
          <w:szCs w:val="20"/>
          <w:vertAlign w:val="superscript"/>
        </w:rPr>
        <w:t>20</w:t>
      </w:r>
      <w:r w:rsidRPr="00C018E3">
        <w:rPr>
          <w:rFonts w:cs="Times New Roman"/>
          <w:sz w:val="20"/>
          <w:szCs w:val="20"/>
        </w:rPr>
        <w:fldChar w:fldCharType="end"/>
      </w:r>
      <w:r>
        <w:rPr>
          <w:rFonts w:cs="Times New Roman"/>
          <w:i/>
          <w:iCs/>
          <w:sz w:val="20"/>
          <w:szCs w:val="20"/>
        </w:rPr>
        <w:t xml:space="preserve">; </w:t>
      </w:r>
      <w:r>
        <w:rPr>
          <w:rFonts w:cs="Times New Roman"/>
          <w:i/>
          <w:iCs/>
          <w:sz w:val="20"/>
          <w:szCs w:val="20"/>
          <w:vertAlign w:val="superscript"/>
        </w:rPr>
        <w:t>b</w:t>
      </w:r>
      <w:r w:rsidRPr="00C86901">
        <w:rPr>
          <w:rFonts w:cs="Times New Roman"/>
          <w:i/>
          <w:iCs/>
          <w:sz w:val="20"/>
          <w:szCs w:val="20"/>
        </w:rPr>
        <w:t xml:space="preserve"> = </w:t>
      </w:r>
      <w:bookmarkStart w:id="4" w:name="_Hlk82960503"/>
      <w:r w:rsidRPr="00C86901">
        <w:rPr>
          <w:rFonts w:cs="Times New Roman"/>
          <w:sz w:val="20"/>
          <w:szCs w:val="20"/>
        </w:rPr>
        <w:t>Center for Systems Science and Engineering Coronavirus Resource Center at Johns Hopkins Universit</w:t>
      </w:r>
      <w:bookmarkEnd w:id="4"/>
      <w:r>
        <w:rPr>
          <w:rFonts w:cs="Times New Roman"/>
          <w:sz w:val="20"/>
          <w:szCs w:val="20"/>
        </w:rPr>
        <w:t xml:space="preserve">y </w:t>
      </w:r>
      <w:r>
        <w:rPr>
          <w:rFonts w:cs="Times New Roman"/>
          <w:sz w:val="20"/>
          <w:szCs w:val="20"/>
        </w:rPr>
        <w:fldChar w:fldCharType="begin" w:fldLock="1"/>
      </w:r>
      <w:r w:rsidR="00EE4BF1">
        <w:rPr>
          <w:rFonts w:cs="Times New Roman"/>
          <w:sz w:val="20"/>
          <w:szCs w:val="20"/>
        </w:rPr>
        <w:instrText>ADDIN CSL_CITATION {"citationItems":[{"id":"ITEM-1","itemData":{"URL":"https://coronavirus.jhu.edu/map.html","accessed":{"date-parts":[["2021","1","27"]]},"id":"ITEM-1","issued":{"date-parts":[["0"]]},"title":"COVID-19 Map - Johns Hopkins Coronavirus Resource Center","type":"webpage"},"uris":["http://www.mendeley.com/documents/?uuid=1c567780-b9b9-319d-b989-d0420b15394f"]}],"mendeley":{"formattedCitation":"&lt;sup&gt;22&lt;/sup&gt;","plainTextFormattedCitation":"22","previouslyFormattedCitation":"&lt;sup&gt;22&lt;/sup&gt;"},"properties":{"noteIndex":0},"schema":"https://github.com/citation-style-language/schema/raw/master/csl-citation.json"}</w:instrText>
      </w:r>
      <w:r>
        <w:rPr>
          <w:rFonts w:cs="Times New Roman"/>
          <w:sz w:val="20"/>
          <w:szCs w:val="20"/>
        </w:rPr>
        <w:fldChar w:fldCharType="separate"/>
      </w:r>
      <w:r w:rsidR="00EE4BF1" w:rsidRPr="00EE4BF1">
        <w:rPr>
          <w:rFonts w:cs="Times New Roman"/>
          <w:noProof/>
          <w:sz w:val="20"/>
          <w:szCs w:val="20"/>
          <w:vertAlign w:val="superscript"/>
        </w:rPr>
        <w:t>22</w:t>
      </w:r>
      <w:r>
        <w:rPr>
          <w:rFonts w:cs="Times New Roman"/>
          <w:sz w:val="20"/>
          <w:szCs w:val="20"/>
        </w:rPr>
        <w:fldChar w:fldCharType="end"/>
      </w:r>
      <w:r>
        <w:rPr>
          <w:rFonts w:cs="Times New Roman"/>
          <w:sz w:val="20"/>
          <w:szCs w:val="20"/>
        </w:rPr>
        <w:t xml:space="preserve">; </w:t>
      </w:r>
      <w:r>
        <w:rPr>
          <w:rFonts w:cs="Times New Roman"/>
          <w:i/>
          <w:iCs/>
          <w:sz w:val="20"/>
          <w:szCs w:val="20"/>
          <w:vertAlign w:val="superscript"/>
        </w:rPr>
        <w:t>c</w:t>
      </w:r>
      <w:r w:rsidRPr="00C86901">
        <w:rPr>
          <w:rFonts w:cs="Times New Roman"/>
          <w:i/>
          <w:iCs/>
          <w:sz w:val="20"/>
          <w:szCs w:val="20"/>
        </w:rPr>
        <w:t xml:space="preserve">= </w:t>
      </w:r>
      <w:r w:rsidRPr="00C86901">
        <w:rPr>
          <w:rFonts w:cs="Times New Roman"/>
          <w:sz w:val="20"/>
          <w:szCs w:val="20"/>
        </w:rPr>
        <w:t>COVID Exposure Indices</w:t>
      </w:r>
      <w:r>
        <w:rPr>
          <w:rFonts w:cs="Times New Roman"/>
          <w:sz w:val="20"/>
          <w:szCs w:val="20"/>
        </w:rPr>
        <w:t xml:space="preserve"> </w:t>
      </w:r>
      <w:r>
        <w:rPr>
          <w:rFonts w:cs="Times New Roman"/>
          <w:sz w:val="20"/>
          <w:szCs w:val="20"/>
        </w:rPr>
        <w:fldChar w:fldCharType="begin" w:fldLock="1"/>
      </w:r>
      <w:r w:rsidR="00EE4BF1">
        <w:rPr>
          <w:rFonts w:cs="Times New Roman"/>
          <w:sz w:val="20"/>
          <w:szCs w:val="20"/>
        </w:rPr>
        <w:instrText>ADDIN CSL_CITATION {"citationItems":[{"id":"ITEM-1","itemData":{"DOI":"10.3386/w27560","abstract":"Tracking human activity in real time and at fine spatial scale is particularly valuable during episodes such as the COVID-19 pandemic. In this paper, we discuss the suitability of smartphone data for quantifying movement and social contact. We show that these data cover broad sections of the US population and exhibit movement patterns similar to conventional survey data. We develop and make publicly available a location exposure index that summarizes county-to-county movements and a device exposure index that quantifies social contact within venues. We use these indices to document how pandemic-induced reductions in activity vary across people and places.","author":[{"dropping-particle":"","family":"Couture","given":"Victor","non-dropping-particle":"","parse-names":false,"suffix":""},{"dropping-particle":"","family":"Dingel","given":"Jonathan I","non-dropping-particle":"","parse-names":false,"suffix":""},{"dropping-particle":"","family":"Green","given":"Allison","non-dropping-particle":"","parse-names":false,"suffix":""},{"dropping-particle":"","family":"Handbury","given":"Jessie","non-dropping-particle":"","parse-names":false,"suffix":""},{"dropping-particle":"","family":"Williams","given":"Kevin R","non-dropping-particle":"","parse-names":false,"suffix":""}],"container-title":"NBER Working Paper Series","id":"ITEM-1","issue":"2241","issued":{"date-parts":[["2020"]]},"number":"35","title":"Measuring Movement and Social Contact With Smartphone Data : a Real-Time Application To Covid-19","type":"report","volume":"No. 27560"},"uris":["http://www.mendeley.com/documents/?uuid=8280ada3-ff97-4b1e-b873-ba9a2a4bd6c7"]}],"mendeley":{"formattedCitation":"&lt;sup&gt;21&lt;/sup&gt;","plainTextFormattedCitation":"21","previouslyFormattedCitation":"&lt;sup&gt;21&lt;/sup&gt;"},"properties":{"noteIndex":0},"schema":"https://github.com/citation-style-language/schema/raw/master/csl-citation.json"}</w:instrText>
      </w:r>
      <w:r>
        <w:rPr>
          <w:rFonts w:cs="Times New Roman"/>
          <w:sz w:val="20"/>
          <w:szCs w:val="20"/>
        </w:rPr>
        <w:fldChar w:fldCharType="separate"/>
      </w:r>
      <w:r w:rsidR="00EE4BF1" w:rsidRPr="00EE4BF1">
        <w:rPr>
          <w:rFonts w:cs="Times New Roman"/>
          <w:noProof/>
          <w:sz w:val="20"/>
          <w:szCs w:val="20"/>
          <w:vertAlign w:val="superscript"/>
        </w:rPr>
        <w:t>21</w:t>
      </w:r>
      <w:r>
        <w:rPr>
          <w:rFonts w:cs="Times New Roman"/>
          <w:sz w:val="20"/>
          <w:szCs w:val="20"/>
        </w:rPr>
        <w:fldChar w:fldCharType="end"/>
      </w:r>
      <w:r>
        <w:rPr>
          <w:rFonts w:cs="Times New Roman"/>
          <w:sz w:val="20"/>
          <w:szCs w:val="20"/>
        </w:rPr>
        <w:t>;</w:t>
      </w:r>
      <w:r w:rsidRPr="006E2E83">
        <w:rPr>
          <w:rFonts w:cs="Times New Roman"/>
          <w:i/>
          <w:iCs/>
          <w:sz w:val="20"/>
          <w:szCs w:val="20"/>
          <w:vertAlign w:val="superscript"/>
        </w:rPr>
        <w:t xml:space="preserve"> </w:t>
      </w:r>
      <w:r>
        <w:rPr>
          <w:rFonts w:cs="Times New Roman"/>
          <w:i/>
          <w:iCs/>
          <w:sz w:val="20"/>
          <w:szCs w:val="20"/>
          <w:vertAlign w:val="superscript"/>
        </w:rPr>
        <w:t>d</w:t>
      </w:r>
      <w:r w:rsidRPr="00C86901">
        <w:rPr>
          <w:rFonts w:cs="Times New Roman"/>
          <w:i/>
          <w:iCs/>
          <w:sz w:val="20"/>
          <w:szCs w:val="20"/>
        </w:rPr>
        <w:t xml:space="preserve"> =</w:t>
      </w:r>
      <w:r w:rsidRPr="00C86901">
        <w:rPr>
          <w:rFonts w:cs="Times New Roman"/>
          <w:sz w:val="20"/>
          <w:szCs w:val="20"/>
        </w:rPr>
        <w:t>American Community Survey</w:t>
      </w:r>
      <w:r>
        <w:rPr>
          <w:rFonts w:cs="Times New Roman"/>
          <w:sz w:val="20"/>
          <w:szCs w:val="20"/>
        </w:rPr>
        <w:t xml:space="preserve">;  </w:t>
      </w:r>
      <w:r>
        <w:rPr>
          <w:rFonts w:cs="Times New Roman"/>
          <w:i/>
          <w:iCs/>
          <w:sz w:val="20"/>
          <w:szCs w:val="20"/>
          <w:vertAlign w:val="superscript"/>
        </w:rPr>
        <w:t>e</w:t>
      </w:r>
      <w:r w:rsidRPr="00C86901">
        <w:rPr>
          <w:rFonts w:cs="Times New Roman"/>
          <w:i/>
          <w:iCs/>
          <w:sz w:val="20"/>
          <w:szCs w:val="20"/>
        </w:rPr>
        <w:t xml:space="preserve"> = </w:t>
      </w:r>
      <w:r w:rsidRPr="00C86901">
        <w:rPr>
          <w:rFonts w:cs="Times New Roman"/>
          <w:sz w:val="20"/>
          <w:szCs w:val="20"/>
        </w:rPr>
        <w:t>County Health Rankings &amp; Roadmaps</w:t>
      </w:r>
      <w:r>
        <w:rPr>
          <w:rFonts w:cs="Times New Roman"/>
          <w:sz w:val="20"/>
          <w:szCs w:val="20"/>
        </w:rPr>
        <w:t xml:space="preserve">; </w:t>
      </w:r>
      <w:r>
        <w:rPr>
          <w:rFonts w:cs="Times New Roman"/>
          <w:i/>
          <w:iCs/>
          <w:sz w:val="20"/>
          <w:szCs w:val="20"/>
          <w:vertAlign w:val="superscript"/>
        </w:rPr>
        <w:t>f</w:t>
      </w:r>
      <w:r w:rsidRPr="00C86901">
        <w:rPr>
          <w:rFonts w:cs="Times New Roman"/>
          <w:i/>
          <w:iCs/>
          <w:sz w:val="20"/>
          <w:szCs w:val="20"/>
        </w:rPr>
        <w:t xml:space="preserve">= </w:t>
      </w:r>
      <w:r w:rsidRPr="00C86901">
        <w:rPr>
          <w:rFonts w:cs="Times New Roman"/>
          <w:sz w:val="20"/>
          <w:szCs w:val="20"/>
        </w:rPr>
        <w:t>Central for Disease Control</w:t>
      </w:r>
      <w:r>
        <w:rPr>
          <w:rFonts w:cs="Times New Roman"/>
          <w:sz w:val="20"/>
          <w:szCs w:val="20"/>
        </w:rPr>
        <w:t xml:space="preserve"> </w:t>
      </w:r>
      <w:r w:rsidRPr="00C86901">
        <w:rPr>
          <w:rFonts w:cs="Times New Roman"/>
          <w:sz w:val="20"/>
          <w:szCs w:val="20"/>
        </w:rPr>
        <w:t xml:space="preserve"> System</w:t>
      </w:r>
      <w:r>
        <w:rPr>
          <w:rFonts w:cs="Times New Roman"/>
          <w:sz w:val="20"/>
          <w:szCs w:val="20"/>
        </w:rPr>
        <w:t>.</w:t>
      </w:r>
    </w:p>
    <w:p w14:paraId="3843CB37" w14:textId="77777777" w:rsidR="005E3A54" w:rsidRDefault="005E3A54" w:rsidP="00CE4E5C">
      <w:pPr>
        <w:ind w:firstLine="720"/>
      </w:pPr>
    </w:p>
    <w:p w14:paraId="59354ED6" w14:textId="62C0E03D" w:rsidR="00CE4E5C" w:rsidRDefault="00B26068" w:rsidP="00CE4E5C">
      <w:pPr>
        <w:ind w:firstLine="720"/>
      </w:pPr>
      <w:r>
        <w:t xml:space="preserve">A visual representation of salient characteristics of the data are presented in Figure 1. Specifically, we present </w:t>
      </w:r>
      <w:r w:rsidR="00EE75AA">
        <w:t xml:space="preserve">four different measures including </w:t>
      </w:r>
      <w:r>
        <w:t>a) hospitalization and ICU rate (total and by COVID patients), b) COVID-19 transmission rates, and c) average mobility exposure</w:t>
      </w:r>
      <w:r w:rsidR="00EE75AA">
        <w:t xml:space="preserve">. To conserve on space, we restrict ourselves </w:t>
      </w:r>
      <w:r w:rsidR="008940BE">
        <w:t>to</w:t>
      </w:r>
      <w:r w:rsidR="00EE75AA">
        <w:t xml:space="preserve"> presenting the measures for the </w:t>
      </w:r>
      <w:r w:rsidR="008940BE">
        <w:t>US</w:t>
      </w:r>
      <w:r w:rsidR="00EE75AA">
        <w:t xml:space="preserve"> and west region. </w:t>
      </w:r>
      <w:r w:rsidR="008940BE">
        <w:t xml:space="preserve">The corresponding statistics for </w:t>
      </w:r>
      <w:proofErr w:type="gramStart"/>
      <w:r w:rsidR="007D12AA">
        <w:t>Other</w:t>
      </w:r>
      <w:proofErr w:type="gramEnd"/>
      <w:r w:rsidR="007D12AA">
        <w:t xml:space="preserve"> regions’ are </w:t>
      </w:r>
      <w:r w:rsidR="008940BE">
        <w:t>provided</w:t>
      </w:r>
      <w:r w:rsidR="00AA41DB">
        <w:t xml:space="preserve"> </w:t>
      </w:r>
      <w:r w:rsidR="007D12AA">
        <w:t>in the supplemental material,</w:t>
      </w:r>
      <w:r w:rsidR="007D12AA" w:rsidRPr="007D12AA">
        <w:t xml:space="preserve"> </w:t>
      </w:r>
      <w:r w:rsidR="007D12AA">
        <w:t xml:space="preserve">Figure A.1 </w:t>
      </w:r>
      <w:r>
        <w:t xml:space="preserve">. From </w:t>
      </w:r>
      <w:r w:rsidR="008940BE">
        <w:t>F</w:t>
      </w:r>
      <w:r>
        <w:t>igure</w:t>
      </w:r>
      <w:r w:rsidR="008940BE">
        <w:t xml:space="preserve"> 1</w:t>
      </w:r>
      <w:r>
        <w:t xml:space="preserve">, we can observe how hospitals are inundated with COVID patients while the number of non-COVID patients are declining across the country. The situation is </w:t>
      </w:r>
      <w:r w:rsidR="004255D4">
        <w:t xml:space="preserve">particularly </w:t>
      </w:r>
      <w:r>
        <w:t xml:space="preserve">worse in the West region as hospital beds and ICU units are occupied with the influx of COVID-19 patients. </w:t>
      </w:r>
      <w:r w:rsidR="004255D4">
        <w:t>T</w:t>
      </w:r>
      <w:r>
        <w:t xml:space="preserve">he ICU capacity in the west region dropped to 10% with an availability of only 3 ICU beds per 100k people. </w:t>
      </w:r>
      <w:proofErr w:type="gramStart"/>
      <w:r>
        <w:t>All of</w:t>
      </w:r>
      <w:proofErr w:type="gramEnd"/>
      <w:r>
        <w:t xml:space="preserve"> these </w:t>
      </w:r>
      <w:r w:rsidR="004255D4">
        <w:t xml:space="preserve">measures </w:t>
      </w:r>
      <w:r>
        <w:t>clearly depict the challenging situation impacting the hospital sector</w:t>
      </w:r>
      <w:r w:rsidR="004255D4">
        <w:t xml:space="preserve"> due to</w:t>
      </w:r>
      <w:r>
        <w:t xml:space="preserve"> the pandemic. </w:t>
      </w:r>
      <w:r w:rsidR="00CE4E5C">
        <w:t xml:space="preserve">From the figure, we can also see that COVID 19 transmission rates continue to increase across the country with two surges in the month of </w:t>
      </w:r>
      <w:proofErr w:type="gramStart"/>
      <w:r w:rsidR="00CE4E5C">
        <w:t>November</w:t>
      </w:r>
      <w:r w:rsidR="007330D9">
        <w:t>,</w:t>
      </w:r>
      <w:proofErr w:type="gramEnd"/>
      <w:r w:rsidR="00FF3F6C">
        <w:t xml:space="preserve"> 2020</w:t>
      </w:r>
      <w:r w:rsidR="00CE4E5C">
        <w:t xml:space="preserve"> and December</w:t>
      </w:r>
      <w:r w:rsidR="0069141B">
        <w:t>,</w:t>
      </w:r>
      <w:r w:rsidR="001704CC">
        <w:t xml:space="preserve"> 2020</w:t>
      </w:r>
      <w:r w:rsidR="00CE4E5C">
        <w:t xml:space="preserve">. With respect to the mobility trends, the results indicate low mobility in the time periods August through November with a spike beginning in the middle of December that can be attributed to Christmas and New Year holiday associated gatherings.  </w:t>
      </w:r>
    </w:p>
    <w:p w14:paraId="65D57337" w14:textId="77777777" w:rsidR="007265DE" w:rsidRDefault="007265DE" w:rsidP="00B26068">
      <w:pPr>
        <w:ind w:firstLine="720"/>
      </w:pPr>
    </w:p>
    <w:p w14:paraId="76FC727E" w14:textId="77777777" w:rsidR="007265DE" w:rsidRDefault="007265DE" w:rsidP="00B26068">
      <w:pPr>
        <w:ind w:firstLine="720"/>
      </w:pPr>
    </w:p>
    <w:p w14:paraId="33AFE6AF" w14:textId="491BD847" w:rsidR="009575DE" w:rsidRDefault="006D3472" w:rsidP="009575DE">
      <w:pPr>
        <w:jc w:val="left"/>
      </w:pPr>
      <w:r>
        <w:rPr>
          <w:noProof/>
        </w:rPr>
        <w:lastRenderedPageBreak/>
        <w:drawing>
          <wp:inline distT="0" distB="0" distL="0" distR="0" wp14:anchorId="19DB187E" wp14:editId="24984434">
            <wp:extent cx="5894381" cy="45262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4381" cy="4526280"/>
                    </a:xfrm>
                    <a:prstGeom prst="rect">
                      <a:avLst/>
                    </a:prstGeom>
                    <a:noFill/>
                  </pic:spPr>
                </pic:pic>
              </a:graphicData>
            </a:graphic>
          </wp:inline>
        </w:drawing>
      </w:r>
    </w:p>
    <w:p w14:paraId="513DEEDA" w14:textId="665BA006" w:rsidR="009575DE" w:rsidRDefault="009575DE" w:rsidP="009575DE">
      <w:pPr>
        <w:jc w:val="center"/>
        <w:rPr>
          <w:rFonts w:cs="Times New Roman"/>
          <w:szCs w:val="24"/>
        </w:rPr>
      </w:pPr>
      <w:r w:rsidRPr="00A263EA">
        <w:rPr>
          <w:rFonts w:cs="Times New Roman"/>
          <w:b/>
          <w:bCs/>
          <w:szCs w:val="24"/>
        </w:rPr>
        <w:t>Figure 1:</w:t>
      </w:r>
      <w:r>
        <w:rPr>
          <w:rFonts w:cs="Times New Roman"/>
          <w:szCs w:val="24"/>
        </w:rPr>
        <w:t xml:space="preserve"> A Representation of the Hospitalization Trend</w:t>
      </w:r>
      <w:r w:rsidR="00F52BFC">
        <w:rPr>
          <w:rFonts w:cs="Times New Roman"/>
          <w:szCs w:val="24"/>
        </w:rPr>
        <w:t>s</w:t>
      </w:r>
      <w:r>
        <w:rPr>
          <w:rFonts w:cs="Times New Roman"/>
          <w:szCs w:val="24"/>
        </w:rPr>
        <w:t xml:space="preserve"> Across the Country and West Region</w:t>
      </w:r>
    </w:p>
    <w:p w14:paraId="682AA759" w14:textId="007E7DE0" w:rsidR="000B5F37" w:rsidRDefault="000B5F37" w:rsidP="009575DE">
      <w:pPr>
        <w:jc w:val="center"/>
        <w:rPr>
          <w:rFonts w:cs="Times New Roman"/>
          <w:szCs w:val="24"/>
        </w:rPr>
      </w:pPr>
    </w:p>
    <w:p w14:paraId="6BEDB00F" w14:textId="04D9D1A4" w:rsidR="009575DE" w:rsidRDefault="009575DE" w:rsidP="00773E9F">
      <w:pPr>
        <w:pStyle w:val="Heading2"/>
      </w:pPr>
      <w:r>
        <w:t>COVID-19 Hospitalization Model</w:t>
      </w:r>
      <w:r w:rsidR="00595456">
        <w:t xml:space="preserve"> Results</w:t>
      </w:r>
    </w:p>
    <w:p w14:paraId="1DE1A636" w14:textId="0E3EC10E" w:rsidR="00950980" w:rsidRDefault="00950980" w:rsidP="00950980">
      <w:pPr>
        <w:tabs>
          <w:tab w:val="left" w:pos="7980"/>
        </w:tabs>
      </w:pPr>
      <w:r>
        <w:t>Table 2 provides COVID and non-COVID hospitalization model estimates. We restrict ourselves to a discussion of COVID hospitalization models. The discussion of the results for the non-COVID hospitalization rate (Section A.1</w:t>
      </w:r>
      <w:proofErr w:type="gramStart"/>
      <w:r>
        <w:t>), and</w:t>
      </w:r>
      <w:proofErr w:type="gramEnd"/>
      <w:r>
        <w:t xml:space="preserve"> estimates for ICU rate models (Table A.1) are included in the supplemental materials. </w:t>
      </w:r>
    </w:p>
    <w:p w14:paraId="25ADF6CC" w14:textId="77777777" w:rsidR="00950980" w:rsidRPr="00950980" w:rsidRDefault="00950980" w:rsidP="00950980"/>
    <w:p w14:paraId="678E4466" w14:textId="77777777" w:rsidR="003B2C33" w:rsidRDefault="003B2C33" w:rsidP="003B2C33">
      <w:pPr>
        <w:rPr>
          <w:u w:val="single"/>
        </w:rPr>
      </w:pPr>
      <w:r w:rsidRPr="00BF1F15">
        <w:rPr>
          <w:u w:val="single"/>
        </w:rPr>
        <w:t>Intercept</w:t>
      </w:r>
      <w:r>
        <w:rPr>
          <w:u w:val="single"/>
        </w:rPr>
        <w:t>:</w:t>
      </w:r>
      <w:r w:rsidRPr="00B03DD4">
        <w:t xml:space="preserve"> The intercept does not have any substantive interpretation after adding other independent variables.</w:t>
      </w:r>
    </w:p>
    <w:p w14:paraId="3254CCBA" w14:textId="566E7BBF" w:rsidR="003B2C33" w:rsidRPr="003B2C33" w:rsidRDefault="003B2C33" w:rsidP="003B2C33"/>
    <w:p w14:paraId="3F558032" w14:textId="195EDC36" w:rsidR="003819EB" w:rsidRDefault="009575DE" w:rsidP="009575DE">
      <w:r w:rsidRPr="003547D5">
        <w:rPr>
          <w:u w:val="single"/>
        </w:rPr>
        <w:t>COVID-19 Related Factors:</w:t>
      </w:r>
      <w:r w:rsidRPr="003547D5">
        <w:t xml:space="preserve"> </w:t>
      </w:r>
      <w:r w:rsidR="003819EB">
        <w:t xml:space="preserve">The consideration of COVID-19 transmission rates in the model recognizes the delay of about 5 to 14 days between transmission and hospitalization. Hence, in our analysis we tested COVID-19 transmission variable with lag of 1, 2 and </w:t>
      </w:r>
      <w:r w:rsidR="002F5BC2">
        <w:t xml:space="preserve">3 </w:t>
      </w:r>
      <w:r w:rsidR="003819EB">
        <w:t>weeks. Of these lag variables, the 2 week</w:t>
      </w:r>
      <w:r w:rsidR="00623704">
        <w:t>s</w:t>
      </w:r>
      <w:r w:rsidR="003819EB">
        <w:t xml:space="preserve"> lag </w:t>
      </w:r>
      <w:r w:rsidR="00DA1BBC">
        <w:t xml:space="preserve">variable </w:t>
      </w:r>
      <w:r w:rsidR="003819EB">
        <w:t>offered the best model fit. As expected, increase in COVID-19 transmissions is associated with increase</w:t>
      </w:r>
      <w:r w:rsidR="00D414FA">
        <w:t>d</w:t>
      </w:r>
      <w:r w:rsidR="003819EB">
        <w:t xml:space="preserve"> hospitalization rate. Further, we find that the impact of transmission rates is </w:t>
      </w:r>
      <w:r w:rsidR="0034039D">
        <w:t xml:space="preserve">lower </w:t>
      </w:r>
      <w:r w:rsidR="009C642F">
        <w:t>(yet positive)</w:t>
      </w:r>
      <w:r w:rsidR="003819EB">
        <w:t xml:space="preserve"> in the West </w:t>
      </w:r>
      <w:r w:rsidR="0034039D">
        <w:t xml:space="preserve">and South </w:t>
      </w:r>
      <w:r w:rsidR="003819EB">
        <w:t>region relative to the rest of the country. In addition, in our analysis, to represent rising COVID-19 cases in the county</w:t>
      </w:r>
      <w:r w:rsidR="00BB5D46">
        <w:t>,</w:t>
      </w:r>
      <w:r w:rsidR="003819EB">
        <w:t xml:space="preserve"> we defined several variables such as a) an indicator variable for increasing cases defined as number of weekly cases greater than the </w:t>
      </w:r>
      <w:proofErr w:type="gramStart"/>
      <w:r w:rsidR="003819EB">
        <w:t>3 week</w:t>
      </w:r>
      <w:proofErr w:type="gramEnd"/>
      <w:r w:rsidR="003819EB">
        <w:t xml:space="preserve"> moving average</w:t>
      </w:r>
      <w:r w:rsidR="00D414FA">
        <w:t xml:space="preserve"> (3WMA)</w:t>
      </w:r>
      <w:r w:rsidR="003819EB">
        <w:t xml:space="preserve"> and b) a percentage difference variable representing change in weekly cases relative to the </w:t>
      </w:r>
      <w:r w:rsidR="00D414FA">
        <w:t>3WMA</w:t>
      </w:r>
      <w:r w:rsidR="003819EB">
        <w:t xml:space="preserve">. </w:t>
      </w:r>
      <w:r w:rsidR="002564C1">
        <w:t xml:space="preserve">These variable impacts follow </w:t>
      </w:r>
      <w:r w:rsidR="002564C1">
        <w:lastRenderedPageBreak/>
        <w:t xml:space="preserve">expected trends. The indicator variable for increasing cases contributes to increasing hospitalization rates. The difference variable (can be positive or negative) indicates that hospitalizations are sensitive to percentage changes in COVID-19 transmission. The sensitivity is substantially higher for Mid-West region while being slightly lower for the South region. </w:t>
      </w:r>
    </w:p>
    <w:p w14:paraId="34E14D7F" w14:textId="77777777" w:rsidR="00F476B8" w:rsidRDefault="00F476B8" w:rsidP="00F476B8">
      <w:pPr>
        <w:jc w:val="center"/>
        <w:rPr>
          <w:rFonts w:cs="Times New Roman"/>
          <w:b/>
          <w:bCs/>
          <w:szCs w:val="24"/>
        </w:rPr>
      </w:pPr>
      <w:bookmarkStart w:id="5" w:name="_Hlk63724163"/>
    </w:p>
    <w:p w14:paraId="426ADEEC" w14:textId="6BBFB721" w:rsidR="00F476B8" w:rsidRPr="003201D7" w:rsidRDefault="00F476B8" w:rsidP="00F476B8">
      <w:pPr>
        <w:jc w:val="center"/>
        <w:rPr>
          <w:rFonts w:cs="Times New Roman"/>
          <w:b/>
          <w:bCs/>
          <w:szCs w:val="24"/>
        </w:rPr>
      </w:pPr>
      <w:r w:rsidRPr="003201D7">
        <w:rPr>
          <w:rFonts w:cs="Times New Roman"/>
          <w:b/>
          <w:bCs/>
          <w:szCs w:val="24"/>
        </w:rPr>
        <w:t xml:space="preserve">Table 2: </w:t>
      </w:r>
      <w:r w:rsidRPr="009D73DF">
        <w:rPr>
          <w:rFonts w:cs="Times New Roman"/>
          <w:szCs w:val="24"/>
        </w:rPr>
        <w:t>Hospitalization Model Results</w:t>
      </w:r>
    </w:p>
    <w:tbl>
      <w:tblPr>
        <w:tblW w:w="4906"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024"/>
        <w:gridCol w:w="1262"/>
        <w:gridCol w:w="1260"/>
        <w:gridCol w:w="1349"/>
        <w:gridCol w:w="1260"/>
      </w:tblGrid>
      <w:tr w:rsidR="00F476B8" w:rsidRPr="00F476B8" w14:paraId="34182ECF" w14:textId="77777777" w:rsidTr="00F476B8">
        <w:trPr>
          <w:trHeight w:val="216"/>
        </w:trPr>
        <w:tc>
          <w:tcPr>
            <w:tcW w:w="4024" w:type="dxa"/>
            <w:shd w:val="clear" w:color="auto" w:fill="auto"/>
            <w:vAlign w:val="center"/>
            <w:hideMark/>
          </w:tcPr>
          <w:p w14:paraId="18F6EC1D" w14:textId="77777777" w:rsidR="00F476B8" w:rsidRPr="00F476B8" w:rsidRDefault="00F476B8" w:rsidP="00310473">
            <w:pPr>
              <w:rPr>
                <w:rFonts w:eastAsia="Times New Roman" w:cs="Times New Roman"/>
                <w:sz w:val="22"/>
              </w:rPr>
            </w:pPr>
          </w:p>
        </w:tc>
        <w:tc>
          <w:tcPr>
            <w:tcW w:w="2522" w:type="dxa"/>
            <w:gridSpan w:val="2"/>
            <w:shd w:val="clear" w:color="auto" w:fill="auto"/>
            <w:vAlign w:val="center"/>
            <w:hideMark/>
          </w:tcPr>
          <w:p w14:paraId="53CCC8FC" w14:textId="77777777" w:rsidR="00F476B8" w:rsidRPr="00F476B8" w:rsidRDefault="00F476B8" w:rsidP="00310473">
            <w:pPr>
              <w:jc w:val="center"/>
              <w:rPr>
                <w:rFonts w:eastAsia="Times New Roman" w:cs="Times New Roman"/>
                <w:b/>
                <w:bCs/>
                <w:color w:val="000000"/>
                <w:sz w:val="22"/>
              </w:rPr>
            </w:pPr>
            <w:r w:rsidRPr="00F476B8">
              <w:rPr>
                <w:rFonts w:eastAsia="Times New Roman" w:cs="Times New Roman"/>
                <w:b/>
                <w:bCs/>
                <w:color w:val="000000"/>
                <w:sz w:val="22"/>
              </w:rPr>
              <w:t>COVID Hospitalization</w:t>
            </w:r>
          </w:p>
        </w:tc>
        <w:tc>
          <w:tcPr>
            <w:tcW w:w="2609" w:type="dxa"/>
            <w:gridSpan w:val="2"/>
            <w:shd w:val="clear" w:color="auto" w:fill="auto"/>
            <w:vAlign w:val="center"/>
            <w:hideMark/>
          </w:tcPr>
          <w:p w14:paraId="72474B14" w14:textId="77777777" w:rsidR="00F476B8" w:rsidRPr="00F476B8" w:rsidRDefault="00F476B8" w:rsidP="00310473">
            <w:pPr>
              <w:jc w:val="center"/>
              <w:rPr>
                <w:rFonts w:eastAsia="Times New Roman" w:cs="Times New Roman"/>
                <w:b/>
                <w:bCs/>
                <w:color w:val="000000"/>
                <w:sz w:val="22"/>
              </w:rPr>
            </w:pPr>
            <w:r w:rsidRPr="00F476B8">
              <w:rPr>
                <w:rFonts w:eastAsia="Times New Roman" w:cs="Times New Roman"/>
                <w:b/>
                <w:bCs/>
                <w:color w:val="000000"/>
                <w:sz w:val="22"/>
              </w:rPr>
              <w:t>Non COVID Hospitalization</w:t>
            </w:r>
          </w:p>
        </w:tc>
      </w:tr>
      <w:tr w:rsidR="00F476B8" w:rsidRPr="00F476B8" w14:paraId="1E264780" w14:textId="77777777" w:rsidTr="00F476B8">
        <w:trPr>
          <w:trHeight w:val="216"/>
        </w:trPr>
        <w:tc>
          <w:tcPr>
            <w:tcW w:w="4024" w:type="dxa"/>
            <w:shd w:val="clear" w:color="auto" w:fill="auto"/>
          </w:tcPr>
          <w:p w14:paraId="1EC88E72" w14:textId="77777777" w:rsidR="00F476B8" w:rsidRPr="00F476B8" w:rsidRDefault="00F476B8" w:rsidP="00310473">
            <w:pPr>
              <w:rPr>
                <w:rFonts w:eastAsia="Times New Roman" w:cs="Times New Roman"/>
                <w:color w:val="000000"/>
                <w:sz w:val="22"/>
              </w:rPr>
            </w:pPr>
            <w:r w:rsidRPr="00F476B8">
              <w:rPr>
                <w:rFonts w:eastAsia="Times New Roman" w:cs="Times New Roman"/>
                <w:color w:val="000000"/>
                <w:sz w:val="22"/>
              </w:rPr>
              <w:t>Parameter</w:t>
            </w:r>
          </w:p>
        </w:tc>
        <w:tc>
          <w:tcPr>
            <w:tcW w:w="1262" w:type="dxa"/>
            <w:shd w:val="clear" w:color="auto" w:fill="auto"/>
            <w:noWrap/>
          </w:tcPr>
          <w:p w14:paraId="0F0D7DB0" w14:textId="77777777" w:rsidR="00F476B8" w:rsidRPr="00F476B8" w:rsidRDefault="00F476B8" w:rsidP="00310473">
            <w:pPr>
              <w:rPr>
                <w:rFonts w:eastAsia="Times New Roman" w:cs="Times New Roman"/>
                <w:color w:val="000000"/>
                <w:sz w:val="22"/>
              </w:rPr>
            </w:pPr>
            <w:r w:rsidRPr="00F476B8">
              <w:rPr>
                <w:rFonts w:eastAsia="Times New Roman" w:cs="Times New Roman"/>
                <w:color w:val="000000"/>
                <w:sz w:val="22"/>
              </w:rPr>
              <w:t>Estimate</w:t>
            </w:r>
          </w:p>
        </w:tc>
        <w:tc>
          <w:tcPr>
            <w:tcW w:w="1260" w:type="dxa"/>
            <w:shd w:val="clear" w:color="auto" w:fill="auto"/>
            <w:noWrap/>
          </w:tcPr>
          <w:p w14:paraId="139B8D5A" w14:textId="77777777" w:rsidR="00F476B8" w:rsidRPr="00F476B8" w:rsidRDefault="00F476B8" w:rsidP="00310473">
            <w:pPr>
              <w:rPr>
                <w:rFonts w:eastAsia="Times New Roman" w:cs="Times New Roman"/>
                <w:color w:val="000000"/>
                <w:sz w:val="22"/>
              </w:rPr>
            </w:pPr>
            <w:r w:rsidRPr="00F476B8">
              <w:rPr>
                <w:rFonts w:eastAsia="Times New Roman" w:cs="Times New Roman"/>
                <w:color w:val="000000"/>
                <w:sz w:val="22"/>
              </w:rPr>
              <w:t>t-statistics</w:t>
            </w:r>
          </w:p>
        </w:tc>
        <w:tc>
          <w:tcPr>
            <w:tcW w:w="1349" w:type="dxa"/>
            <w:shd w:val="clear" w:color="auto" w:fill="auto"/>
            <w:noWrap/>
          </w:tcPr>
          <w:p w14:paraId="518A62F4" w14:textId="77777777" w:rsidR="00F476B8" w:rsidRPr="00F476B8" w:rsidRDefault="00F476B8" w:rsidP="00310473">
            <w:pPr>
              <w:rPr>
                <w:rFonts w:eastAsia="Times New Roman" w:cs="Times New Roman"/>
                <w:color w:val="000000"/>
                <w:sz w:val="22"/>
              </w:rPr>
            </w:pPr>
            <w:r w:rsidRPr="00F476B8">
              <w:rPr>
                <w:rFonts w:eastAsia="Times New Roman" w:cs="Times New Roman"/>
                <w:color w:val="000000"/>
                <w:sz w:val="22"/>
              </w:rPr>
              <w:t>Estimate</w:t>
            </w:r>
          </w:p>
        </w:tc>
        <w:tc>
          <w:tcPr>
            <w:tcW w:w="1260" w:type="dxa"/>
            <w:shd w:val="clear" w:color="auto" w:fill="auto"/>
            <w:noWrap/>
          </w:tcPr>
          <w:p w14:paraId="4502F964" w14:textId="77777777" w:rsidR="00F476B8" w:rsidRPr="00F476B8" w:rsidRDefault="00F476B8" w:rsidP="00310473">
            <w:pPr>
              <w:rPr>
                <w:rFonts w:eastAsia="Times New Roman" w:cs="Times New Roman"/>
                <w:color w:val="000000"/>
                <w:sz w:val="22"/>
              </w:rPr>
            </w:pPr>
            <w:r w:rsidRPr="00F476B8">
              <w:rPr>
                <w:rFonts w:eastAsia="Times New Roman" w:cs="Times New Roman"/>
                <w:color w:val="000000"/>
                <w:sz w:val="22"/>
              </w:rPr>
              <w:t>t-statistics</w:t>
            </w:r>
          </w:p>
        </w:tc>
      </w:tr>
      <w:tr w:rsidR="00F476B8" w:rsidRPr="00F476B8" w14:paraId="7D0187DF" w14:textId="77777777" w:rsidTr="00F476B8">
        <w:trPr>
          <w:trHeight w:val="216"/>
        </w:trPr>
        <w:tc>
          <w:tcPr>
            <w:tcW w:w="4024" w:type="dxa"/>
            <w:shd w:val="clear" w:color="auto" w:fill="auto"/>
          </w:tcPr>
          <w:p w14:paraId="3D91A8A1" w14:textId="77777777" w:rsidR="00F476B8" w:rsidRPr="00F476B8" w:rsidRDefault="00F476B8" w:rsidP="00310473">
            <w:pPr>
              <w:rPr>
                <w:rFonts w:eastAsia="Times New Roman" w:cs="Times New Roman"/>
                <w:color w:val="000000"/>
                <w:sz w:val="22"/>
              </w:rPr>
            </w:pPr>
            <w:r w:rsidRPr="00F476B8">
              <w:rPr>
                <w:rFonts w:eastAsia="Times New Roman" w:cs="Times New Roman"/>
                <w:color w:val="000000"/>
                <w:sz w:val="22"/>
              </w:rPr>
              <w:t>Intercept</w:t>
            </w:r>
          </w:p>
        </w:tc>
        <w:tc>
          <w:tcPr>
            <w:tcW w:w="1262" w:type="dxa"/>
            <w:shd w:val="clear" w:color="auto" w:fill="auto"/>
            <w:noWrap/>
            <w:vAlign w:val="center"/>
          </w:tcPr>
          <w:p w14:paraId="17FF0BFF"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-20.151</w:t>
            </w:r>
          </w:p>
        </w:tc>
        <w:tc>
          <w:tcPr>
            <w:tcW w:w="1260" w:type="dxa"/>
            <w:shd w:val="clear" w:color="auto" w:fill="auto"/>
            <w:noWrap/>
            <w:vAlign w:val="center"/>
          </w:tcPr>
          <w:p w14:paraId="2E7BF181"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-11.971</w:t>
            </w:r>
          </w:p>
        </w:tc>
        <w:tc>
          <w:tcPr>
            <w:tcW w:w="1349" w:type="dxa"/>
            <w:shd w:val="clear" w:color="auto" w:fill="auto"/>
            <w:noWrap/>
            <w:vAlign w:val="center"/>
          </w:tcPr>
          <w:p w14:paraId="63ECC0B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-9.858</w:t>
            </w:r>
          </w:p>
        </w:tc>
        <w:tc>
          <w:tcPr>
            <w:tcW w:w="1260" w:type="dxa"/>
            <w:shd w:val="clear" w:color="auto" w:fill="auto"/>
            <w:noWrap/>
            <w:vAlign w:val="center"/>
          </w:tcPr>
          <w:p w14:paraId="0CAA5167"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-6.025</w:t>
            </w:r>
          </w:p>
        </w:tc>
      </w:tr>
      <w:tr w:rsidR="00F476B8" w:rsidRPr="00F476B8" w14:paraId="60B75672" w14:textId="77777777" w:rsidTr="00F476B8">
        <w:trPr>
          <w:trHeight w:val="216"/>
        </w:trPr>
        <w:tc>
          <w:tcPr>
            <w:tcW w:w="9155" w:type="dxa"/>
            <w:gridSpan w:val="5"/>
            <w:shd w:val="clear" w:color="auto" w:fill="auto"/>
          </w:tcPr>
          <w:p w14:paraId="3EC683B4" w14:textId="77777777" w:rsidR="00F476B8" w:rsidRPr="00F476B8" w:rsidRDefault="00F476B8" w:rsidP="00310473">
            <w:pPr>
              <w:rPr>
                <w:rFonts w:eastAsia="Times New Roman" w:cs="Times New Roman"/>
                <w:b/>
                <w:bCs/>
                <w:i/>
                <w:iCs/>
                <w:color w:val="000000"/>
                <w:sz w:val="22"/>
              </w:rPr>
            </w:pPr>
            <w:r w:rsidRPr="00F476B8">
              <w:rPr>
                <w:rFonts w:eastAsia="Times New Roman" w:cs="Times New Roman"/>
                <w:b/>
                <w:bCs/>
                <w:i/>
                <w:iCs/>
                <w:color w:val="000000"/>
                <w:sz w:val="22"/>
              </w:rPr>
              <w:t>Covid-19 Transmission Factors</w:t>
            </w:r>
          </w:p>
        </w:tc>
      </w:tr>
      <w:tr w:rsidR="00F476B8" w:rsidRPr="00F476B8" w14:paraId="6E997F81" w14:textId="77777777" w:rsidTr="00F476B8">
        <w:trPr>
          <w:trHeight w:val="216"/>
        </w:trPr>
        <w:tc>
          <w:tcPr>
            <w:tcW w:w="4024" w:type="dxa"/>
            <w:shd w:val="clear" w:color="auto" w:fill="auto"/>
          </w:tcPr>
          <w:p w14:paraId="747C4D3F"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COVID case per 100 people, with 1 week lag</w:t>
            </w:r>
          </w:p>
        </w:tc>
        <w:tc>
          <w:tcPr>
            <w:tcW w:w="1262" w:type="dxa"/>
            <w:shd w:val="clear" w:color="auto" w:fill="auto"/>
            <w:noWrap/>
            <w:vAlign w:val="center"/>
          </w:tcPr>
          <w:p w14:paraId="5FAC5110"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70AEB14B"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349" w:type="dxa"/>
            <w:shd w:val="clear" w:color="auto" w:fill="auto"/>
            <w:noWrap/>
            <w:vAlign w:val="center"/>
          </w:tcPr>
          <w:p w14:paraId="78D48C52"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-0.076</w:t>
            </w:r>
          </w:p>
        </w:tc>
        <w:tc>
          <w:tcPr>
            <w:tcW w:w="1260" w:type="dxa"/>
            <w:shd w:val="clear" w:color="auto" w:fill="auto"/>
            <w:noWrap/>
            <w:vAlign w:val="center"/>
          </w:tcPr>
          <w:p w14:paraId="0D180C3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-4.292</w:t>
            </w:r>
          </w:p>
        </w:tc>
      </w:tr>
      <w:tr w:rsidR="00F476B8" w:rsidRPr="00F476B8" w14:paraId="38EABE96" w14:textId="77777777" w:rsidTr="00F476B8">
        <w:trPr>
          <w:trHeight w:val="216"/>
        </w:trPr>
        <w:tc>
          <w:tcPr>
            <w:tcW w:w="4024" w:type="dxa"/>
            <w:shd w:val="clear" w:color="auto" w:fill="auto"/>
          </w:tcPr>
          <w:p w14:paraId="11BD7CCA"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COVID case per 100 people, with 2 weeks lag</w:t>
            </w:r>
          </w:p>
        </w:tc>
        <w:tc>
          <w:tcPr>
            <w:tcW w:w="1262" w:type="dxa"/>
            <w:shd w:val="clear" w:color="auto" w:fill="auto"/>
            <w:noWrap/>
            <w:vAlign w:val="center"/>
          </w:tcPr>
          <w:p w14:paraId="2D690DD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1.266</w:t>
            </w:r>
          </w:p>
        </w:tc>
        <w:tc>
          <w:tcPr>
            <w:tcW w:w="1260" w:type="dxa"/>
            <w:shd w:val="clear" w:color="auto" w:fill="auto"/>
            <w:noWrap/>
            <w:vAlign w:val="center"/>
          </w:tcPr>
          <w:p w14:paraId="32452E13"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17.790</w:t>
            </w:r>
          </w:p>
        </w:tc>
        <w:tc>
          <w:tcPr>
            <w:tcW w:w="1349" w:type="dxa"/>
            <w:shd w:val="clear" w:color="auto" w:fill="auto"/>
            <w:noWrap/>
            <w:vAlign w:val="center"/>
          </w:tcPr>
          <w:p w14:paraId="23056C7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-0.107</w:t>
            </w:r>
          </w:p>
        </w:tc>
        <w:tc>
          <w:tcPr>
            <w:tcW w:w="1260" w:type="dxa"/>
            <w:shd w:val="clear" w:color="auto" w:fill="auto"/>
            <w:noWrap/>
            <w:vAlign w:val="center"/>
          </w:tcPr>
          <w:p w14:paraId="221FCC3B"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-5.933</w:t>
            </w:r>
          </w:p>
        </w:tc>
      </w:tr>
      <w:tr w:rsidR="00F476B8" w:rsidRPr="00F476B8" w14:paraId="3304D5CF" w14:textId="77777777" w:rsidTr="00F476B8">
        <w:trPr>
          <w:trHeight w:val="216"/>
        </w:trPr>
        <w:tc>
          <w:tcPr>
            <w:tcW w:w="4024" w:type="dxa"/>
            <w:shd w:val="clear" w:color="auto" w:fill="auto"/>
          </w:tcPr>
          <w:p w14:paraId="209E6174" w14:textId="77777777" w:rsidR="00F476B8" w:rsidRPr="00F476B8" w:rsidRDefault="00F476B8" w:rsidP="00310473">
            <w:pPr>
              <w:ind w:left="510"/>
              <w:rPr>
                <w:rFonts w:eastAsia="Times New Roman" w:cs="Times New Roman"/>
                <w:color w:val="000000"/>
                <w:sz w:val="22"/>
              </w:rPr>
            </w:pPr>
            <w:r w:rsidRPr="00F476B8">
              <w:rPr>
                <w:rFonts w:eastAsia="Times New Roman" w:cs="Times New Roman"/>
                <w:color w:val="000000"/>
                <w:sz w:val="22"/>
              </w:rPr>
              <w:t>x Effect in the West Region</w:t>
            </w:r>
          </w:p>
        </w:tc>
        <w:tc>
          <w:tcPr>
            <w:tcW w:w="1262" w:type="dxa"/>
            <w:shd w:val="clear" w:color="auto" w:fill="auto"/>
            <w:noWrap/>
            <w:vAlign w:val="center"/>
          </w:tcPr>
          <w:p w14:paraId="770D5443"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-0.145</w:t>
            </w:r>
          </w:p>
        </w:tc>
        <w:tc>
          <w:tcPr>
            <w:tcW w:w="1260" w:type="dxa"/>
            <w:shd w:val="clear" w:color="auto" w:fill="auto"/>
            <w:noWrap/>
            <w:vAlign w:val="center"/>
          </w:tcPr>
          <w:p w14:paraId="5566863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-1.765</w:t>
            </w:r>
          </w:p>
        </w:tc>
        <w:tc>
          <w:tcPr>
            <w:tcW w:w="1349" w:type="dxa"/>
            <w:shd w:val="clear" w:color="auto" w:fill="auto"/>
            <w:noWrap/>
            <w:vAlign w:val="center"/>
          </w:tcPr>
          <w:p w14:paraId="59382A86"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5AC42D25"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34BFCDC7" w14:textId="77777777" w:rsidTr="00F476B8">
        <w:trPr>
          <w:trHeight w:val="216"/>
        </w:trPr>
        <w:tc>
          <w:tcPr>
            <w:tcW w:w="4024" w:type="dxa"/>
            <w:shd w:val="clear" w:color="auto" w:fill="auto"/>
          </w:tcPr>
          <w:p w14:paraId="5B8B3938" w14:textId="77777777" w:rsidR="00F476B8" w:rsidRPr="00F476B8" w:rsidRDefault="00F476B8" w:rsidP="00310473">
            <w:pPr>
              <w:ind w:left="510"/>
              <w:rPr>
                <w:rFonts w:eastAsia="Times New Roman" w:cs="Times New Roman"/>
                <w:color w:val="000000"/>
                <w:sz w:val="22"/>
              </w:rPr>
            </w:pPr>
            <w:r w:rsidRPr="00F476B8">
              <w:rPr>
                <w:rFonts w:eastAsia="Times New Roman" w:cs="Times New Roman"/>
                <w:color w:val="000000"/>
                <w:sz w:val="22"/>
              </w:rPr>
              <w:t>x Effect in the South Region</w:t>
            </w:r>
          </w:p>
        </w:tc>
        <w:tc>
          <w:tcPr>
            <w:tcW w:w="1262" w:type="dxa"/>
            <w:shd w:val="clear" w:color="auto" w:fill="auto"/>
            <w:noWrap/>
            <w:vAlign w:val="center"/>
          </w:tcPr>
          <w:p w14:paraId="071EFD14"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-0.694</w:t>
            </w:r>
          </w:p>
        </w:tc>
        <w:tc>
          <w:tcPr>
            <w:tcW w:w="1260" w:type="dxa"/>
            <w:shd w:val="clear" w:color="auto" w:fill="auto"/>
            <w:noWrap/>
            <w:vAlign w:val="center"/>
          </w:tcPr>
          <w:p w14:paraId="4ADF92A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-8.575</w:t>
            </w:r>
          </w:p>
        </w:tc>
        <w:tc>
          <w:tcPr>
            <w:tcW w:w="1349" w:type="dxa"/>
            <w:shd w:val="clear" w:color="auto" w:fill="auto"/>
            <w:noWrap/>
            <w:vAlign w:val="center"/>
          </w:tcPr>
          <w:p w14:paraId="7E0AC957"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7EDB0E4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24F2CDD5" w14:textId="77777777" w:rsidTr="00F476B8">
        <w:trPr>
          <w:trHeight w:val="216"/>
        </w:trPr>
        <w:tc>
          <w:tcPr>
            <w:tcW w:w="4024" w:type="dxa"/>
            <w:shd w:val="clear" w:color="auto" w:fill="auto"/>
          </w:tcPr>
          <w:p w14:paraId="3D461B3E"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 xml:space="preserve">% </w:t>
            </w:r>
            <w:proofErr w:type="gramStart"/>
            <w:r w:rsidRPr="00F476B8">
              <w:rPr>
                <w:rFonts w:eastAsia="Times New Roman" w:cs="Times New Roman"/>
                <w:color w:val="000000"/>
                <w:sz w:val="22"/>
              </w:rPr>
              <w:t>difference</w:t>
            </w:r>
            <w:proofErr w:type="gramEnd"/>
            <w:r w:rsidRPr="00F476B8">
              <w:rPr>
                <w:rFonts w:eastAsia="Times New Roman" w:cs="Times New Roman"/>
                <w:color w:val="000000"/>
                <w:sz w:val="22"/>
              </w:rPr>
              <w:t xml:space="preserve"> with the preceding 3 week moving average</w:t>
            </w:r>
          </w:p>
        </w:tc>
        <w:tc>
          <w:tcPr>
            <w:tcW w:w="1262" w:type="dxa"/>
            <w:shd w:val="clear" w:color="auto" w:fill="auto"/>
            <w:noWrap/>
            <w:vAlign w:val="center"/>
          </w:tcPr>
          <w:p w14:paraId="458FEC1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0.089</w:t>
            </w:r>
          </w:p>
        </w:tc>
        <w:tc>
          <w:tcPr>
            <w:tcW w:w="1260" w:type="dxa"/>
            <w:shd w:val="clear" w:color="auto" w:fill="auto"/>
            <w:noWrap/>
            <w:vAlign w:val="center"/>
          </w:tcPr>
          <w:p w14:paraId="3D613501"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3.986</w:t>
            </w:r>
          </w:p>
        </w:tc>
        <w:tc>
          <w:tcPr>
            <w:tcW w:w="1349" w:type="dxa"/>
            <w:shd w:val="clear" w:color="auto" w:fill="auto"/>
            <w:noWrap/>
            <w:vAlign w:val="center"/>
          </w:tcPr>
          <w:p w14:paraId="553B2A80"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59DA40BF"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2872A963" w14:textId="77777777" w:rsidTr="00F476B8">
        <w:trPr>
          <w:trHeight w:val="216"/>
        </w:trPr>
        <w:tc>
          <w:tcPr>
            <w:tcW w:w="4024" w:type="dxa"/>
            <w:shd w:val="clear" w:color="auto" w:fill="auto"/>
            <w:hideMark/>
          </w:tcPr>
          <w:p w14:paraId="11CF342E" w14:textId="77777777" w:rsidR="00F476B8" w:rsidRPr="00F476B8" w:rsidRDefault="00F476B8" w:rsidP="00310473">
            <w:pPr>
              <w:ind w:left="510"/>
              <w:rPr>
                <w:rFonts w:eastAsia="Times New Roman" w:cs="Times New Roman"/>
                <w:color w:val="000000"/>
                <w:sz w:val="22"/>
              </w:rPr>
            </w:pPr>
            <w:r w:rsidRPr="00F476B8">
              <w:rPr>
                <w:rFonts w:eastAsia="Times New Roman" w:cs="Times New Roman"/>
                <w:color w:val="000000"/>
                <w:sz w:val="22"/>
              </w:rPr>
              <w:t>x Effect in the Mid-West Region*</w:t>
            </w:r>
          </w:p>
        </w:tc>
        <w:tc>
          <w:tcPr>
            <w:tcW w:w="1262" w:type="dxa"/>
            <w:shd w:val="clear" w:color="auto" w:fill="auto"/>
            <w:noWrap/>
            <w:vAlign w:val="center"/>
          </w:tcPr>
          <w:p w14:paraId="55118D5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0.177</w:t>
            </w:r>
          </w:p>
        </w:tc>
        <w:tc>
          <w:tcPr>
            <w:tcW w:w="1260" w:type="dxa"/>
            <w:shd w:val="clear" w:color="auto" w:fill="auto"/>
            <w:noWrap/>
            <w:vAlign w:val="center"/>
          </w:tcPr>
          <w:p w14:paraId="1D68517F"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5.894</w:t>
            </w:r>
          </w:p>
        </w:tc>
        <w:tc>
          <w:tcPr>
            <w:tcW w:w="1349" w:type="dxa"/>
            <w:shd w:val="clear" w:color="auto" w:fill="auto"/>
            <w:noWrap/>
            <w:vAlign w:val="center"/>
          </w:tcPr>
          <w:p w14:paraId="460B3786"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375DE6F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771F6901" w14:textId="77777777" w:rsidTr="00F476B8">
        <w:trPr>
          <w:trHeight w:val="216"/>
        </w:trPr>
        <w:tc>
          <w:tcPr>
            <w:tcW w:w="4024" w:type="dxa"/>
            <w:shd w:val="clear" w:color="auto" w:fill="auto"/>
          </w:tcPr>
          <w:p w14:paraId="51D90704" w14:textId="77777777" w:rsidR="00F476B8" w:rsidRPr="00F476B8" w:rsidRDefault="00F476B8" w:rsidP="00310473">
            <w:pPr>
              <w:ind w:left="510"/>
              <w:rPr>
                <w:rFonts w:eastAsia="Times New Roman" w:cs="Times New Roman"/>
                <w:color w:val="000000"/>
                <w:sz w:val="22"/>
              </w:rPr>
            </w:pPr>
            <w:r w:rsidRPr="00F476B8">
              <w:rPr>
                <w:rFonts w:eastAsia="Times New Roman" w:cs="Times New Roman"/>
                <w:color w:val="000000"/>
                <w:sz w:val="22"/>
              </w:rPr>
              <w:t>x Effect in the South Region</w:t>
            </w:r>
          </w:p>
        </w:tc>
        <w:tc>
          <w:tcPr>
            <w:tcW w:w="1262" w:type="dxa"/>
            <w:shd w:val="clear" w:color="auto" w:fill="auto"/>
            <w:noWrap/>
            <w:vAlign w:val="center"/>
          </w:tcPr>
          <w:p w14:paraId="0DEF0C4F"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-0.038</w:t>
            </w:r>
          </w:p>
        </w:tc>
        <w:tc>
          <w:tcPr>
            <w:tcW w:w="1260" w:type="dxa"/>
            <w:shd w:val="clear" w:color="auto" w:fill="auto"/>
            <w:noWrap/>
            <w:vAlign w:val="center"/>
          </w:tcPr>
          <w:p w14:paraId="26B7DCBC"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-1.653</w:t>
            </w:r>
          </w:p>
        </w:tc>
        <w:tc>
          <w:tcPr>
            <w:tcW w:w="1349" w:type="dxa"/>
            <w:shd w:val="clear" w:color="auto" w:fill="auto"/>
            <w:noWrap/>
            <w:vAlign w:val="center"/>
          </w:tcPr>
          <w:p w14:paraId="769BEE50"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571260FB"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0FF80F6C" w14:textId="77777777" w:rsidTr="00F476B8">
        <w:trPr>
          <w:trHeight w:val="216"/>
        </w:trPr>
        <w:tc>
          <w:tcPr>
            <w:tcW w:w="4024" w:type="dxa"/>
            <w:shd w:val="clear" w:color="auto" w:fill="auto"/>
          </w:tcPr>
          <w:p w14:paraId="0B0C33D1"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Weekly COVID-19 cases higher than the moving average (base is covid-19 cases same or lower)</w:t>
            </w:r>
          </w:p>
        </w:tc>
        <w:tc>
          <w:tcPr>
            <w:tcW w:w="1262" w:type="dxa"/>
            <w:shd w:val="clear" w:color="auto" w:fill="auto"/>
            <w:noWrap/>
            <w:vAlign w:val="center"/>
          </w:tcPr>
          <w:p w14:paraId="6E2C947E"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0.058</w:t>
            </w:r>
          </w:p>
        </w:tc>
        <w:tc>
          <w:tcPr>
            <w:tcW w:w="1260" w:type="dxa"/>
            <w:shd w:val="clear" w:color="auto" w:fill="auto"/>
            <w:noWrap/>
            <w:vAlign w:val="center"/>
          </w:tcPr>
          <w:p w14:paraId="3F498F1F"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5.753</w:t>
            </w:r>
          </w:p>
        </w:tc>
        <w:tc>
          <w:tcPr>
            <w:tcW w:w="1349" w:type="dxa"/>
            <w:shd w:val="clear" w:color="auto" w:fill="auto"/>
            <w:noWrap/>
            <w:vAlign w:val="center"/>
          </w:tcPr>
          <w:p w14:paraId="04048117"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3BD90741"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1FC62DBA" w14:textId="77777777" w:rsidTr="00F476B8">
        <w:trPr>
          <w:trHeight w:val="216"/>
        </w:trPr>
        <w:tc>
          <w:tcPr>
            <w:tcW w:w="9155" w:type="dxa"/>
            <w:gridSpan w:val="5"/>
            <w:shd w:val="clear" w:color="auto" w:fill="auto"/>
          </w:tcPr>
          <w:p w14:paraId="3A746EA9" w14:textId="77777777" w:rsidR="00F476B8" w:rsidRPr="00F476B8" w:rsidRDefault="00F476B8" w:rsidP="00310473">
            <w:pPr>
              <w:rPr>
                <w:rFonts w:eastAsia="Times New Roman" w:cs="Times New Roman"/>
                <w:b/>
                <w:bCs/>
                <w:i/>
                <w:iCs/>
                <w:color w:val="000000"/>
                <w:sz w:val="22"/>
              </w:rPr>
            </w:pPr>
            <w:r w:rsidRPr="00F476B8">
              <w:rPr>
                <w:rFonts w:eastAsia="Times New Roman" w:cs="Times New Roman"/>
                <w:b/>
                <w:bCs/>
                <w:i/>
                <w:iCs/>
                <w:color w:val="000000"/>
                <w:sz w:val="22"/>
              </w:rPr>
              <w:t>Mobility Trends</w:t>
            </w:r>
          </w:p>
        </w:tc>
      </w:tr>
      <w:tr w:rsidR="00F476B8" w:rsidRPr="00F476B8" w14:paraId="30524EBB" w14:textId="77777777" w:rsidTr="00F476B8">
        <w:trPr>
          <w:trHeight w:val="216"/>
        </w:trPr>
        <w:tc>
          <w:tcPr>
            <w:tcW w:w="4024" w:type="dxa"/>
            <w:shd w:val="clear" w:color="auto" w:fill="auto"/>
            <w:hideMark/>
          </w:tcPr>
          <w:p w14:paraId="10D4F45E"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 xml:space="preserve">Ln (Daily Average Exposure) with a 2 </w:t>
            </w:r>
            <w:proofErr w:type="gramStart"/>
            <w:r w:rsidRPr="00F476B8">
              <w:rPr>
                <w:rFonts w:eastAsia="Times New Roman" w:cs="Times New Roman"/>
                <w:color w:val="000000"/>
                <w:sz w:val="22"/>
              </w:rPr>
              <w:t>weeks</w:t>
            </w:r>
            <w:proofErr w:type="gramEnd"/>
            <w:r w:rsidRPr="00F476B8">
              <w:rPr>
                <w:rFonts w:eastAsia="Times New Roman" w:cs="Times New Roman"/>
                <w:color w:val="000000"/>
                <w:sz w:val="22"/>
              </w:rPr>
              <w:t xml:space="preserve"> lag</w:t>
            </w:r>
          </w:p>
        </w:tc>
        <w:tc>
          <w:tcPr>
            <w:tcW w:w="1262" w:type="dxa"/>
            <w:shd w:val="clear" w:color="auto" w:fill="auto"/>
            <w:noWrap/>
            <w:vAlign w:val="center"/>
          </w:tcPr>
          <w:p w14:paraId="54AF6BA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0.157</w:t>
            </w:r>
          </w:p>
        </w:tc>
        <w:tc>
          <w:tcPr>
            <w:tcW w:w="1260" w:type="dxa"/>
            <w:shd w:val="clear" w:color="auto" w:fill="auto"/>
            <w:noWrap/>
            <w:vAlign w:val="center"/>
          </w:tcPr>
          <w:p w14:paraId="68C2A82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7.285</w:t>
            </w:r>
          </w:p>
        </w:tc>
        <w:tc>
          <w:tcPr>
            <w:tcW w:w="1349" w:type="dxa"/>
            <w:shd w:val="clear" w:color="auto" w:fill="auto"/>
            <w:noWrap/>
            <w:vAlign w:val="center"/>
          </w:tcPr>
          <w:p w14:paraId="0EB9FE5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105F3A75"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75FBEB15" w14:textId="77777777" w:rsidTr="00F476B8">
        <w:trPr>
          <w:trHeight w:val="216"/>
        </w:trPr>
        <w:tc>
          <w:tcPr>
            <w:tcW w:w="4024" w:type="dxa"/>
            <w:shd w:val="clear" w:color="auto" w:fill="auto"/>
            <w:hideMark/>
          </w:tcPr>
          <w:p w14:paraId="60A3268F"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 xml:space="preserve">Ln (Daily Average Exposure) with a 3 </w:t>
            </w:r>
            <w:proofErr w:type="gramStart"/>
            <w:r w:rsidRPr="00F476B8">
              <w:rPr>
                <w:rFonts w:eastAsia="Times New Roman" w:cs="Times New Roman"/>
                <w:color w:val="000000"/>
                <w:sz w:val="22"/>
              </w:rPr>
              <w:t>weeks</w:t>
            </w:r>
            <w:proofErr w:type="gramEnd"/>
            <w:r w:rsidRPr="00F476B8">
              <w:rPr>
                <w:rFonts w:eastAsia="Times New Roman" w:cs="Times New Roman"/>
                <w:color w:val="000000"/>
                <w:sz w:val="22"/>
              </w:rPr>
              <w:t xml:space="preserve"> lag</w:t>
            </w:r>
          </w:p>
        </w:tc>
        <w:tc>
          <w:tcPr>
            <w:tcW w:w="1262" w:type="dxa"/>
            <w:shd w:val="clear" w:color="auto" w:fill="auto"/>
            <w:noWrap/>
            <w:vAlign w:val="center"/>
          </w:tcPr>
          <w:p w14:paraId="6E0B38D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0.295</w:t>
            </w:r>
          </w:p>
        </w:tc>
        <w:tc>
          <w:tcPr>
            <w:tcW w:w="1260" w:type="dxa"/>
            <w:shd w:val="clear" w:color="auto" w:fill="auto"/>
            <w:noWrap/>
            <w:vAlign w:val="center"/>
          </w:tcPr>
          <w:p w14:paraId="3F90FB8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12.502</w:t>
            </w:r>
          </w:p>
        </w:tc>
        <w:tc>
          <w:tcPr>
            <w:tcW w:w="1349" w:type="dxa"/>
            <w:shd w:val="clear" w:color="auto" w:fill="auto"/>
            <w:noWrap/>
            <w:vAlign w:val="center"/>
          </w:tcPr>
          <w:p w14:paraId="380E5F75"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1A70D72F"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45BF3FFF" w14:textId="77777777" w:rsidTr="00F476B8">
        <w:trPr>
          <w:trHeight w:val="216"/>
        </w:trPr>
        <w:tc>
          <w:tcPr>
            <w:tcW w:w="9155" w:type="dxa"/>
            <w:gridSpan w:val="5"/>
            <w:shd w:val="clear" w:color="auto" w:fill="auto"/>
          </w:tcPr>
          <w:p w14:paraId="5C7669A1" w14:textId="77777777" w:rsidR="00F476B8" w:rsidRPr="00F476B8" w:rsidRDefault="00F476B8" w:rsidP="00310473">
            <w:pPr>
              <w:rPr>
                <w:rFonts w:eastAsia="Times New Roman" w:cs="Times New Roman"/>
                <w:sz w:val="22"/>
              </w:rPr>
            </w:pPr>
            <w:r w:rsidRPr="00F476B8">
              <w:rPr>
                <w:rFonts w:eastAsia="Times New Roman" w:cs="Times New Roman"/>
                <w:b/>
                <w:bCs/>
                <w:i/>
                <w:iCs/>
                <w:color w:val="000000"/>
                <w:sz w:val="22"/>
              </w:rPr>
              <w:t>Demographics</w:t>
            </w:r>
          </w:p>
        </w:tc>
      </w:tr>
      <w:tr w:rsidR="00F476B8" w:rsidRPr="00F476B8" w14:paraId="1AEC9ACB" w14:textId="77777777" w:rsidTr="00F476B8">
        <w:trPr>
          <w:trHeight w:val="216"/>
        </w:trPr>
        <w:tc>
          <w:tcPr>
            <w:tcW w:w="4024" w:type="dxa"/>
            <w:shd w:val="clear" w:color="auto" w:fill="auto"/>
            <w:hideMark/>
          </w:tcPr>
          <w:p w14:paraId="5506F2CD"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Young population percentage (19 years or less)</w:t>
            </w:r>
          </w:p>
        </w:tc>
        <w:tc>
          <w:tcPr>
            <w:tcW w:w="1262" w:type="dxa"/>
            <w:shd w:val="clear" w:color="auto" w:fill="auto"/>
            <w:noWrap/>
            <w:vAlign w:val="center"/>
            <w:hideMark/>
          </w:tcPr>
          <w:p w14:paraId="069D822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-0.051</w:t>
            </w:r>
          </w:p>
        </w:tc>
        <w:tc>
          <w:tcPr>
            <w:tcW w:w="1260" w:type="dxa"/>
            <w:shd w:val="clear" w:color="auto" w:fill="auto"/>
            <w:noWrap/>
            <w:vAlign w:val="center"/>
            <w:hideMark/>
          </w:tcPr>
          <w:p w14:paraId="639710A5"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-5.511</w:t>
            </w:r>
          </w:p>
        </w:tc>
        <w:tc>
          <w:tcPr>
            <w:tcW w:w="1349" w:type="dxa"/>
            <w:shd w:val="clear" w:color="auto" w:fill="auto"/>
            <w:noWrap/>
            <w:vAlign w:val="center"/>
            <w:hideMark/>
          </w:tcPr>
          <w:p w14:paraId="35667B2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-0.043</w:t>
            </w:r>
          </w:p>
        </w:tc>
        <w:tc>
          <w:tcPr>
            <w:tcW w:w="1260" w:type="dxa"/>
            <w:shd w:val="clear" w:color="auto" w:fill="auto"/>
            <w:noWrap/>
            <w:vAlign w:val="center"/>
            <w:hideMark/>
          </w:tcPr>
          <w:p w14:paraId="378F98FB"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-4.835</w:t>
            </w:r>
          </w:p>
        </w:tc>
      </w:tr>
      <w:tr w:rsidR="00F476B8" w:rsidRPr="00F476B8" w14:paraId="3FD15290" w14:textId="77777777" w:rsidTr="00F476B8">
        <w:trPr>
          <w:trHeight w:val="216"/>
        </w:trPr>
        <w:tc>
          <w:tcPr>
            <w:tcW w:w="4024" w:type="dxa"/>
            <w:shd w:val="clear" w:color="auto" w:fill="auto"/>
          </w:tcPr>
          <w:p w14:paraId="01FB2DC6"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Hispanic percentage</w:t>
            </w:r>
          </w:p>
        </w:tc>
        <w:tc>
          <w:tcPr>
            <w:tcW w:w="1262" w:type="dxa"/>
            <w:shd w:val="clear" w:color="auto" w:fill="auto"/>
            <w:noWrap/>
            <w:vAlign w:val="center"/>
          </w:tcPr>
          <w:p w14:paraId="1C17B81C"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0.025</w:t>
            </w:r>
          </w:p>
        </w:tc>
        <w:tc>
          <w:tcPr>
            <w:tcW w:w="1260" w:type="dxa"/>
            <w:shd w:val="clear" w:color="auto" w:fill="auto"/>
            <w:noWrap/>
            <w:vAlign w:val="center"/>
          </w:tcPr>
          <w:p w14:paraId="54FEBFF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11.141</w:t>
            </w:r>
          </w:p>
        </w:tc>
        <w:tc>
          <w:tcPr>
            <w:tcW w:w="1349" w:type="dxa"/>
            <w:shd w:val="clear" w:color="auto" w:fill="auto"/>
            <w:noWrap/>
            <w:vAlign w:val="center"/>
          </w:tcPr>
          <w:p w14:paraId="4C178DF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0.008</w:t>
            </w:r>
          </w:p>
        </w:tc>
        <w:tc>
          <w:tcPr>
            <w:tcW w:w="1260" w:type="dxa"/>
            <w:shd w:val="clear" w:color="auto" w:fill="auto"/>
            <w:noWrap/>
            <w:vAlign w:val="center"/>
          </w:tcPr>
          <w:p w14:paraId="3EAE4D1E"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3.426</w:t>
            </w:r>
          </w:p>
        </w:tc>
      </w:tr>
      <w:tr w:rsidR="00F476B8" w:rsidRPr="00F476B8" w14:paraId="56C89524" w14:textId="77777777" w:rsidTr="00F476B8">
        <w:trPr>
          <w:trHeight w:val="216"/>
        </w:trPr>
        <w:tc>
          <w:tcPr>
            <w:tcW w:w="4024" w:type="dxa"/>
            <w:shd w:val="clear" w:color="auto" w:fill="auto"/>
            <w:hideMark/>
          </w:tcPr>
          <w:p w14:paraId="5C592FE8"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African American percentage</w:t>
            </w:r>
          </w:p>
        </w:tc>
        <w:tc>
          <w:tcPr>
            <w:tcW w:w="1262" w:type="dxa"/>
            <w:shd w:val="clear" w:color="auto" w:fill="auto"/>
            <w:noWrap/>
            <w:vAlign w:val="center"/>
            <w:hideMark/>
          </w:tcPr>
          <w:p w14:paraId="648FD010"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0.020</w:t>
            </w:r>
          </w:p>
        </w:tc>
        <w:tc>
          <w:tcPr>
            <w:tcW w:w="1260" w:type="dxa"/>
            <w:shd w:val="clear" w:color="auto" w:fill="auto"/>
            <w:noWrap/>
            <w:vAlign w:val="center"/>
            <w:hideMark/>
          </w:tcPr>
          <w:p w14:paraId="7C2DEE85"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9.431</w:t>
            </w:r>
          </w:p>
        </w:tc>
        <w:tc>
          <w:tcPr>
            <w:tcW w:w="1349" w:type="dxa"/>
            <w:shd w:val="clear" w:color="auto" w:fill="auto"/>
            <w:noWrap/>
            <w:vAlign w:val="center"/>
          </w:tcPr>
          <w:p w14:paraId="09245610"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0.002</w:t>
            </w:r>
          </w:p>
        </w:tc>
        <w:tc>
          <w:tcPr>
            <w:tcW w:w="1260" w:type="dxa"/>
            <w:shd w:val="clear" w:color="auto" w:fill="auto"/>
            <w:noWrap/>
            <w:vAlign w:val="center"/>
          </w:tcPr>
          <w:p w14:paraId="52064D1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0.844</w:t>
            </w:r>
          </w:p>
        </w:tc>
      </w:tr>
      <w:tr w:rsidR="00F476B8" w:rsidRPr="00F476B8" w14:paraId="28114EF0" w14:textId="77777777" w:rsidTr="00F476B8">
        <w:trPr>
          <w:trHeight w:val="216"/>
        </w:trPr>
        <w:tc>
          <w:tcPr>
            <w:tcW w:w="4024" w:type="dxa"/>
            <w:shd w:val="clear" w:color="auto" w:fill="auto"/>
            <w:hideMark/>
          </w:tcPr>
          <w:p w14:paraId="680E76D8"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Female percentage</w:t>
            </w:r>
          </w:p>
        </w:tc>
        <w:tc>
          <w:tcPr>
            <w:tcW w:w="1262" w:type="dxa"/>
            <w:shd w:val="clear" w:color="auto" w:fill="auto"/>
            <w:noWrap/>
            <w:vAlign w:val="center"/>
            <w:hideMark/>
          </w:tcPr>
          <w:p w14:paraId="0DF2247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0.173</w:t>
            </w:r>
          </w:p>
        </w:tc>
        <w:tc>
          <w:tcPr>
            <w:tcW w:w="1260" w:type="dxa"/>
            <w:shd w:val="clear" w:color="auto" w:fill="auto"/>
            <w:noWrap/>
            <w:vAlign w:val="center"/>
            <w:hideMark/>
          </w:tcPr>
          <w:p w14:paraId="1D6DEDEE"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10.719</w:t>
            </w:r>
          </w:p>
        </w:tc>
        <w:tc>
          <w:tcPr>
            <w:tcW w:w="1349" w:type="dxa"/>
            <w:shd w:val="clear" w:color="auto" w:fill="auto"/>
            <w:noWrap/>
            <w:vAlign w:val="center"/>
            <w:hideMark/>
          </w:tcPr>
          <w:p w14:paraId="1D4D913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0.153</w:t>
            </w:r>
          </w:p>
        </w:tc>
        <w:tc>
          <w:tcPr>
            <w:tcW w:w="1260" w:type="dxa"/>
            <w:shd w:val="clear" w:color="auto" w:fill="auto"/>
            <w:noWrap/>
            <w:vAlign w:val="center"/>
            <w:hideMark/>
          </w:tcPr>
          <w:p w14:paraId="43C99977"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9.758</w:t>
            </w:r>
          </w:p>
        </w:tc>
      </w:tr>
      <w:tr w:rsidR="00F476B8" w:rsidRPr="00F476B8" w14:paraId="08EC2467" w14:textId="77777777" w:rsidTr="00F476B8">
        <w:trPr>
          <w:trHeight w:val="216"/>
        </w:trPr>
        <w:tc>
          <w:tcPr>
            <w:tcW w:w="4024" w:type="dxa"/>
            <w:shd w:val="clear" w:color="auto" w:fill="auto"/>
          </w:tcPr>
          <w:p w14:paraId="3B0E0576"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Ln (median income)</w:t>
            </w:r>
          </w:p>
        </w:tc>
        <w:tc>
          <w:tcPr>
            <w:tcW w:w="1262" w:type="dxa"/>
            <w:shd w:val="clear" w:color="auto" w:fill="auto"/>
            <w:noWrap/>
            <w:vAlign w:val="center"/>
          </w:tcPr>
          <w:p w14:paraId="23F4432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0.619</w:t>
            </w:r>
          </w:p>
        </w:tc>
        <w:tc>
          <w:tcPr>
            <w:tcW w:w="1260" w:type="dxa"/>
            <w:shd w:val="clear" w:color="auto" w:fill="auto"/>
            <w:noWrap/>
            <w:vAlign w:val="center"/>
          </w:tcPr>
          <w:p w14:paraId="6CC10D5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5.250</w:t>
            </w:r>
          </w:p>
        </w:tc>
        <w:tc>
          <w:tcPr>
            <w:tcW w:w="1349" w:type="dxa"/>
            <w:shd w:val="clear" w:color="auto" w:fill="auto"/>
            <w:noWrap/>
            <w:vAlign w:val="center"/>
          </w:tcPr>
          <w:p w14:paraId="452A1BE6"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7B7D171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573BAC2C" w14:textId="77777777" w:rsidTr="00F476B8">
        <w:trPr>
          <w:trHeight w:val="216"/>
        </w:trPr>
        <w:tc>
          <w:tcPr>
            <w:tcW w:w="9155" w:type="dxa"/>
            <w:gridSpan w:val="5"/>
            <w:shd w:val="clear" w:color="auto" w:fill="auto"/>
          </w:tcPr>
          <w:p w14:paraId="663D42E1" w14:textId="77777777" w:rsidR="00F476B8" w:rsidRPr="00F476B8" w:rsidRDefault="00F476B8" w:rsidP="00310473">
            <w:pPr>
              <w:rPr>
                <w:rFonts w:eastAsia="Times New Roman" w:cs="Times New Roman"/>
                <w:color w:val="000000"/>
                <w:sz w:val="22"/>
              </w:rPr>
            </w:pPr>
            <w:r w:rsidRPr="00F476B8">
              <w:rPr>
                <w:rFonts w:eastAsia="Times New Roman" w:cs="Times New Roman"/>
                <w:b/>
                <w:bCs/>
                <w:i/>
                <w:iCs/>
                <w:color w:val="000000"/>
                <w:sz w:val="22"/>
              </w:rPr>
              <w:t>Health Indicators</w:t>
            </w:r>
          </w:p>
        </w:tc>
      </w:tr>
      <w:tr w:rsidR="00F476B8" w:rsidRPr="00F476B8" w14:paraId="2A326CE4" w14:textId="77777777" w:rsidTr="00F476B8">
        <w:trPr>
          <w:trHeight w:val="216"/>
        </w:trPr>
        <w:tc>
          <w:tcPr>
            <w:tcW w:w="4024" w:type="dxa"/>
            <w:shd w:val="clear" w:color="auto" w:fill="auto"/>
            <w:hideMark/>
          </w:tcPr>
          <w:p w14:paraId="2748E62F"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Ln (number of cardiovascular patients per 1000 Medicare beneficiaries)</w:t>
            </w:r>
          </w:p>
        </w:tc>
        <w:tc>
          <w:tcPr>
            <w:tcW w:w="1262" w:type="dxa"/>
            <w:shd w:val="clear" w:color="auto" w:fill="auto"/>
            <w:noWrap/>
            <w:vAlign w:val="center"/>
            <w:hideMark/>
          </w:tcPr>
          <w:p w14:paraId="32B35684"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1.133</w:t>
            </w:r>
          </w:p>
        </w:tc>
        <w:tc>
          <w:tcPr>
            <w:tcW w:w="1260" w:type="dxa"/>
            <w:shd w:val="clear" w:color="auto" w:fill="auto"/>
            <w:noWrap/>
            <w:vAlign w:val="center"/>
            <w:hideMark/>
          </w:tcPr>
          <w:p w14:paraId="250ADDB2"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9.215</w:t>
            </w:r>
          </w:p>
        </w:tc>
        <w:tc>
          <w:tcPr>
            <w:tcW w:w="1349" w:type="dxa"/>
            <w:shd w:val="clear" w:color="auto" w:fill="auto"/>
            <w:noWrap/>
            <w:vAlign w:val="center"/>
          </w:tcPr>
          <w:p w14:paraId="2CE7C40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52588D52"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7CD565F6" w14:textId="77777777" w:rsidTr="00F476B8">
        <w:trPr>
          <w:trHeight w:val="216"/>
        </w:trPr>
        <w:tc>
          <w:tcPr>
            <w:tcW w:w="4024" w:type="dxa"/>
            <w:shd w:val="clear" w:color="auto" w:fill="auto"/>
          </w:tcPr>
          <w:p w14:paraId="6B882218"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Hepatitis C Cases per 100K people</w:t>
            </w:r>
          </w:p>
        </w:tc>
        <w:tc>
          <w:tcPr>
            <w:tcW w:w="1262" w:type="dxa"/>
            <w:shd w:val="clear" w:color="auto" w:fill="auto"/>
            <w:noWrap/>
            <w:vAlign w:val="center"/>
          </w:tcPr>
          <w:p w14:paraId="6090E68E"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0.070</w:t>
            </w:r>
          </w:p>
        </w:tc>
        <w:tc>
          <w:tcPr>
            <w:tcW w:w="1260" w:type="dxa"/>
            <w:shd w:val="clear" w:color="auto" w:fill="auto"/>
            <w:noWrap/>
            <w:vAlign w:val="center"/>
          </w:tcPr>
          <w:p w14:paraId="31E9CEE5"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2.624</w:t>
            </w:r>
          </w:p>
        </w:tc>
        <w:tc>
          <w:tcPr>
            <w:tcW w:w="1349" w:type="dxa"/>
            <w:shd w:val="clear" w:color="auto" w:fill="auto"/>
            <w:noWrap/>
            <w:vAlign w:val="center"/>
          </w:tcPr>
          <w:p w14:paraId="71B303F3"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7BAB7C8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4C880700" w14:textId="77777777" w:rsidTr="00F476B8">
        <w:trPr>
          <w:trHeight w:val="216"/>
        </w:trPr>
        <w:tc>
          <w:tcPr>
            <w:tcW w:w="4024" w:type="dxa"/>
            <w:shd w:val="clear" w:color="auto" w:fill="auto"/>
            <w:hideMark/>
          </w:tcPr>
          <w:p w14:paraId="21B5989D"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Ln (HIV rate per 100K People)</w:t>
            </w:r>
          </w:p>
        </w:tc>
        <w:tc>
          <w:tcPr>
            <w:tcW w:w="1262" w:type="dxa"/>
            <w:shd w:val="clear" w:color="auto" w:fill="auto"/>
            <w:noWrap/>
            <w:vAlign w:val="center"/>
            <w:hideMark/>
          </w:tcPr>
          <w:p w14:paraId="4EAC7775"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hideMark/>
          </w:tcPr>
          <w:p w14:paraId="496F94B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349" w:type="dxa"/>
            <w:shd w:val="clear" w:color="auto" w:fill="auto"/>
            <w:noWrap/>
            <w:vAlign w:val="center"/>
          </w:tcPr>
          <w:p w14:paraId="58A97983"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0.236</w:t>
            </w:r>
          </w:p>
        </w:tc>
        <w:tc>
          <w:tcPr>
            <w:tcW w:w="1260" w:type="dxa"/>
            <w:shd w:val="clear" w:color="auto" w:fill="auto"/>
            <w:noWrap/>
            <w:vAlign w:val="center"/>
          </w:tcPr>
          <w:p w14:paraId="78A77D8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6.307</w:t>
            </w:r>
          </w:p>
        </w:tc>
      </w:tr>
      <w:tr w:rsidR="00F476B8" w:rsidRPr="00F476B8" w14:paraId="587BD0E1" w14:textId="77777777" w:rsidTr="00F476B8">
        <w:trPr>
          <w:trHeight w:val="216"/>
        </w:trPr>
        <w:tc>
          <w:tcPr>
            <w:tcW w:w="4024" w:type="dxa"/>
            <w:shd w:val="clear" w:color="auto" w:fill="auto"/>
          </w:tcPr>
          <w:p w14:paraId="19816C2F"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Ln (cancer rate per 100K People)</w:t>
            </w:r>
          </w:p>
        </w:tc>
        <w:tc>
          <w:tcPr>
            <w:tcW w:w="1262" w:type="dxa"/>
            <w:shd w:val="clear" w:color="auto" w:fill="auto"/>
            <w:noWrap/>
            <w:vAlign w:val="center"/>
          </w:tcPr>
          <w:p w14:paraId="1520111B"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0A3CFDF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349" w:type="dxa"/>
            <w:shd w:val="clear" w:color="auto" w:fill="auto"/>
            <w:noWrap/>
            <w:vAlign w:val="center"/>
          </w:tcPr>
          <w:p w14:paraId="60E7DFAB"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0.973</w:t>
            </w:r>
          </w:p>
        </w:tc>
        <w:tc>
          <w:tcPr>
            <w:tcW w:w="1260" w:type="dxa"/>
            <w:shd w:val="clear" w:color="auto" w:fill="auto"/>
            <w:noWrap/>
            <w:vAlign w:val="center"/>
          </w:tcPr>
          <w:p w14:paraId="3A7C9563"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3.747</w:t>
            </w:r>
          </w:p>
        </w:tc>
      </w:tr>
      <w:tr w:rsidR="00F476B8" w:rsidRPr="00F476B8" w14:paraId="762BFE81" w14:textId="77777777" w:rsidTr="00F476B8">
        <w:trPr>
          <w:trHeight w:val="216"/>
        </w:trPr>
        <w:tc>
          <w:tcPr>
            <w:tcW w:w="9155" w:type="dxa"/>
            <w:gridSpan w:val="5"/>
            <w:shd w:val="clear" w:color="auto" w:fill="auto"/>
          </w:tcPr>
          <w:p w14:paraId="21092061" w14:textId="77777777" w:rsidR="00F476B8" w:rsidRPr="00F476B8" w:rsidRDefault="00F476B8" w:rsidP="00310473">
            <w:pPr>
              <w:rPr>
                <w:rFonts w:eastAsia="Times New Roman" w:cs="Times New Roman"/>
                <w:color w:val="000000"/>
                <w:sz w:val="22"/>
              </w:rPr>
            </w:pPr>
            <w:r w:rsidRPr="00F476B8">
              <w:rPr>
                <w:rFonts w:eastAsia="Times New Roman" w:cs="Times New Roman"/>
                <w:b/>
                <w:bCs/>
                <w:i/>
                <w:iCs/>
                <w:color w:val="000000"/>
                <w:sz w:val="22"/>
              </w:rPr>
              <w:t>Spatial Factors</w:t>
            </w:r>
          </w:p>
        </w:tc>
      </w:tr>
      <w:tr w:rsidR="00F476B8" w:rsidRPr="00F476B8" w14:paraId="05CD8053" w14:textId="77777777" w:rsidTr="00F476B8">
        <w:trPr>
          <w:trHeight w:val="216"/>
        </w:trPr>
        <w:tc>
          <w:tcPr>
            <w:tcW w:w="9155" w:type="dxa"/>
            <w:gridSpan w:val="5"/>
            <w:shd w:val="clear" w:color="auto" w:fill="auto"/>
          </w:tcPr>
          <w:p w14:paraId="10CF8FD4"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Region (Base: West, South, Pacific)</w:t>
            </w:r>
          </w:p>
        </w:tc>
      </w:tr>
      <w:tr w:rsidR="00F476B8" w:rsidRPr="00F476B8" w14:paraId="69C46645" w14:textId="77777777" w:rsidTr="00F476B8">
        <w:trPr>
          <w:trHeight w:val="216"/>
        </w:trPr>
        <w:tc>
          <w:tcPr>
            <w:tcW w:w="4024" w:type="dxa"/>
            <w:shd w:val="clear" w:color="auto" w:fill="auto"/>
          </w:tcPr>
          <w:p w14:paraId="37C0AE7E"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Mid-West region</w:t>
            </w:r>
          </w:p>
        </w:tc>
        <w:tc>
          <w:tcPr>
            <w:tcW w:w="1262" w:type="dxa"/>
            <w:shd w:val="clear" w:color="auto" w:fill="auto"/>
            <w:noWrap/>
            <w:vAlign w:val="center"/>
          </w:tcPr>
          <w:p w14:paraId="75F2F668" w14:textId="77777777" w:rsidR="00F476B8" w:rsidRPr="00F476B8" w:rsidRDefault="00F476B8" w:rsidP="00310473">
            <w:pPr>
              <w:jc w:val="center"/>
              <w:rPr>
                <w:rFonts w:eastAsia="Times New Roman" w:cs="Times New Roman"/>
                <w:color w:val="000000"/>
                <w:sz w:val="22"/>
              </w:rPr>
            </w:pPr>
          </w:p>
        </w:tc>
        <w:tc>
          <w:tcPr>
            <w:tcW w:w="1260" w:type="dxa"/>
            <w:shd w:val="clear" w:color="auto" w:fill="auto"/>
            <w:noWrap/>
            <w:vAlign w:val="center"/>
          </w:tcPr>
          <w:p w14:paraId="04E3DD6F" w14:textId="77777777" w:rsidR="00F476B8" w:rsidRPr="00F476B8" w:rsidRDefault="00F476B8" w:rsidP="00310473">
            <w:pPr>
              <w:jc w:val="center"/>
              <w:rPr>
                <w:rFonts w:eastAsia="Times New Roman" w:cs="Times New Roman"/>
                <w:color w:val="000000"/>
                <w:sz w:val="22"/>
              </w:rPr>
            </w:pPr>
          </w:p>
        </w:tc>
        <w:tc>
          <w:tcPr>
            <w:tcW w:w="1349" w:type="dxa"/>
            <w:shd w:val="clear" w:color="auto" w:fill="auto"/>
            <w:noWrap/>
            <w:vAlign w:val="center"/>
          </w:tcPr>
          <w:p w14:paraId="34B2A34C"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0.111</w:t>
            </w:r>
          </w:p>
        </w:tc>
        <w:tc>
          <w:tcPr>
            <w:tcW w:w="1260" w:type="dxa"/>
            <w:shd w:val="clear" w:color="auto" w:fill="auto"/>
            <w:noWrap/>
            <w:vAlign w:val="center"/>
          </w:tcPr>
          <w:p w14:paraId="442F6863"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1.897</w:t>
            </w:r>
          </w:p>
        </w:tc>
      </w:tr>
      <w:tr w:rsidR="00F476B8" w:rsidRPr="00F476B8" w14:paraId="06687739" w14:textId="77777777" w:rsidTr="00F476B8">
        <w:trPr>
          <w:trHeight w:val="216"/>
        </w:trPr>
        <w:tc>
          <w:tcPr>
            <w:tcW w:w="4024" w:type="dxa"/>
            <w:shd w:val="clear" w:color="auto" w:fill="auto"/>
            <w:hideMark/>
          </w:tcPr>
          <w:p w14:paraId="2E9449C5" w14:textId="77777777" w:rsidR="00F476B8" w:rsidRPr="00F476B8" w:rsidRDefault="00F476B8" w:rsidP="00310473">
            <w:pPr>
              <w:ind w:left="240"/>
              <w:rPr>
                <w:rFonts w:eastAsia="Times New Roman" w:cs="Times New Roman"/>
                <w:color w:val="000000"/>
                <w:sz w:val="22"/>
              </w:rPr>
            </w:pPr>
            <w:proofErr w:type="gramStart"/>
            <w:r w:rsidRPr="00F476B8">
              <w:rPr>
                <w:rFonts w:eastAsia="Times New Roman" w:cs="Times New Roman"/>
                <w:color w:val="000000"/>
                <w:sz w:val="22"/>
              </w:rPr>
              <w:t>North East</w:t>
            </w:r>
            <w:proofErr w:type="gramEnd"/>
            <w:r w:rsidRPr="00F476B8">
              <w:rPr>
                <w:rFonts w:eastAsia="Times New Roman" w:cs="Times New Roman"/>
                <w:color w:val="000000"/>
                <w:sz w:val="22"/>
              </w:rPr>
              <w:t xml:space="preserve"> region</w:t>
            </w:r>
          </w:p>
        </w:tc>
        <w:tc>
          <w:tcPr>
            <w:tcW w:w="1262" w:type="dxa"/>
            <w:shd w:val="clear" w:color="auto" w:fill="auto"/>
            <w:noWrap/>
            <w:vAlign w:val="center"/>
            <w:hideMark/>
          </w:tcPr>
          <w:p w14:paraId="09DEE934"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-0.109</w:t>
            </w:r>
          </w:p>
        </w:tc>
        <w:tc>
          <w:tcPr>
            <w:tcW w:w="1260" w:type="dxa"/>
            <w:shd w:val="clear" w:color="auto" w:fill="auto"/>
            <w:noWrap/>
            <w:vAlign w:val="center"/>
            <w:hideMark/>
          </w:tcPr>
          <w:p w14:paraId="47A5332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-2.197</w:t>
            </w:r>
          </w:p>
        </w:tc>
        <w:tc>
          <w:tcPr>
            <w:tcW w:w="1349" w:type="dxa"/>
            <w:shd w:val="clear" w:color="auto" w:fill="auto"/>
            <w:noWrap/>
            <w:vAlign w:val="center"/>
            <w:hideMark/>
          </w:tcPr>
          <w:p w14:paraId="27A9238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hideMark/>
          </w:tcPr>
          <w:p w14:paraId="1EC4FE9C"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41C04217" w14:textId="77777777" w:rsidTr="00F476B8">
        <w:trPr>
          <w:trHeight w:val="216"/>
        </w:trPr>
        <w:tc>
          <w:tcPr>
            <w:tcW w:w="4024" w:type="dxa"/>
            <w:shd w:val="clear" w:color="auto" w:fill="auto"/>
          </w:tcPr>
          <w:p w14:paraId="70B2834C" w14:textId="77777777" w:rsidR="00F476B8" w:rsidRPr="00F476B8" w:rsidRDefault="00F476B8" w:rsidP="00310473">
            <w:pPr>
              <w:ind w:left="510"/>
              <w:rPr>
                <w:rFonts w:eastAsia="Times New Roman" w:cs="Times New Roman"/>
                <w:color w:val="000000"/>
                <w:sz w:val="22"/>
              </w:rPr>
            </w:pPr>
            <w:r w:rsidRPr="00F476B8">
              <w:rPr>
                <w:rFonts w:eastAsia="Times New Roman" w:cs="Times New Roman"/>
                <w:color w:val="000000"/>
                <w:sz w:val="22"/>
              </w:rPr>
              <w:t>x Effect Since 2nd Wave started (October 30</w:t>
            </w:r>
            <w:r w:rsidRPr="00F476B8">
              <w:rPr>
                <w:rFonts w:eastAsia="Times New Roman" w:cs="Times New Roman"/>
                <w:color w:val="000000"/>
                <w:sz w:val="22"/>
                <w:vertAlign w:val="superscript"/>
              </w:rPr>
              <w:t>th</w:t>
            </w:r>
            <w:r w:rsidRPr="00F476B8">
              <w:rPr>
                <w:rFonts w:eastAsia="Times New Roman" w:cs="Times New Roman"/>
                <w:color w:val="000000"/>
                <w:sz w:val="22"/>
              </w:rPr>
              <w:t>)</w:t>
            </w:r>
          </w:p>
        </w:tc>
        <w:tc>
          <w:tcPr>
            <w:tcW w:w="1262" w:type="dxa"/>
            <w:shd w:val="clear" w:color="auto" w:fill="auto"/>
            <w:noWrap/>
            <w:vAlign w:val="center"/>
          </w:tcPr>
          <w:p w14:paraId="0B63E04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0.204</w:t>
            </w:r>
          </w:p>
        </w:tc>
        <w:tc>
          <w:tcPr>
            <w:tcW w:w="1260" w:type="dxa"/>
            <w:shd w:val="clear" w:color="auto" w:fill="auto"/>
            <w:noWrap/>
            <w:vAlign w:val="center"/>
          </w:tcPr>
          <w:p w14:paraId="11A03D1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3.923</w:t>
            </w:r>
          </w:p>
        </w:tc>
        <w:tc>
          <w:tcPr>
            <w:tcW w:w="1349" w:type="dxa"/>
            <w:shd w:val="clear" w:color="auto" w:fill="auto"/>
            <w:noWrap/>
            <w:vAlign w:val="center"/>
          </w:tcPr>
          <w:p w14:paraId="4B547CC3"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034323C7"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6CF598BB" w14:textId="77777777" w:rsidTr="00F476B8">
        <w:trPr>
          <w:trHeight w:val="216"/>
        </w:trPr>
        <w:tc>
          <w:tcPr>
            <w:tcW w:w="4024" w:type="dxa"/>
            <w:shd w:val="clear" w:color="auto" w:fill="auto"/>
          </w:tcPr>
          <w:p w14:paraId="07B43A10"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Top10 tourist state</w:t>
            </w:r>
          </w:p>
        </w:tc>
        <w:tc>
          <w:tcPr>
            <w:tcW w:w="1262" w:type="dxa"/>
            <w:shd w:val="clear" w:color="auto" w:fill="auto"/>
            <w:noWrap/>
            <w:vAlign w:val="center"/>
          </w:tcPr>
          <w:p w14:paraId="282429CB"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0.243</w:t>
            </w:r>
          </w:p>
        </w:tc>
        <w:tc>
          <w:tcPr>
            <w:tcW w:w="1260" w:type="dxa"/>
            <w:shd w:val="clear" w:color="auto" w:fill="auto"/>
            <w:noWrap/>
            <w:vAlign w:val="center"/>
          </w:tcPr>
          <w:p w14:paraId="0E640A25"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3.736</w:t>
            </w:r>
          </w:p>
        </w:tc>
        <w:tc>
          <w:tcPr>
            <w:tcW w:w="1349" w:type="dxa"/>
            <w:shd w:val="clear" w:color="auto" w:fill="auto"/>
            <w:noWrap/>
            <w:vAlign w:val="center"/>
          </w:tcPr>
          <w:p w14:paraId="2EE5E62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44BB9FF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3FC1E4AD" w14:textId="77777777" w:rsidTr="00F476B8">
        <w:trPr>
          <w:trHeight w:val="216"/>
        </w:trPr>
        <w:tc>
          <w:tcPr>
            <w:tcW w:w="4024" w:type="dxa"/>
            <w:shd w:val="clear" w:color="auto" w:fill="auto"/>
          </w:tcPr>
          <w:p w14:paraId="24F12663" w14:textId="77777777" w:rsidR="00F476B8" w:rsidRPr="00F476B8" w:rsidRDefault="00F476B8" w:rsidP="00310473">
            <w:pPr>
              <w:ind w:left="510"/>
              <w:rPr>
                <w:rFonts w:eastAsia="Times New Roman" w:cs="Times New Roman"/>
                <w:color w:val="000000"/>
                <w:sz w:val="22"/>
              </w:rPr>
            </w:pPr>
            <w:r w:rsidRPr="00F476B8">
              <w:rPr>
                <w:rFonts w:eastAsia="Times New Roman" w:cs="Times New Roman"/>
                <w:color w:val="000000"/>
                <w:sz w:val="22"/>
              </w:rPr>
              <w:lastRenderedPageBreak/>
              <w:t xml:space="preserve">x Effect Since 2nd Wave started </w:t>
            </w:r>
          </w:p>
        </w:tc>
        <w:tc>
          <w:tcPr>
            <w:tcW w:w="1262" w:type="dxa"/>
            <w:shd w:val="clear" w:color="auto" w:fill="auto"/>
            <w:noWrap/>
            <w:vAlign w:val="center"/>
          </w:tcPr>
          <w:p w14:paraId="525A5F8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-0.114</w:t>
            </w:r>
          </w:p>
        </w:tc>
        <w:tc>
          <w:tcPr>
            <w:tcW w:w="1260" w:type="dxa"/>
            <w:shd w:val="clear" w:color="auto" w:fill="auto"/>
            <w:noWrap/>
            <w:vAlign w:val="center"/>
          </w:tcPr>
          <w:p w14:paraId="700FCDC1"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-3.061</w:t>
            </w:r>
          </w:p>
        </w:tc>
        <w:tc>
          <w:tcPr>
            <w:tcW w:w="1349" w:type="dxa"/>
            <w:shd w:val="clear" w:color="auto" w:fill="auto"/>
            <w:noWrap/>
            <w:vAlign w:val="center"/>
          </w:tcPr>
          <w:p w14:paraId="29554DC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48960EC8"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6B82A4C5" w14:textId="77777777" w:rsidTr="00F476B8">
        <w:trPr>
          <w:trHeight w:val="216"/>
        </w:trPr>
        <w:tc>
          <w:tcPr>
            <w:tcW w:w="4024" w:type="dxa"/>
            <w:shd w:val="clear" w:color="auto" w:fill="auto"/>
          </w:tcPr>
          <w:p w14:paraId="0C6E8868"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Number of airports per 100k people</w:t>
            </w:r>
          </w:p>
        </w:tc>
        <w:tc>
          <w:tcPr>
            <w:tcW w:w="1262" w:type="dxa"/>
            <w:shd w:val="clear" w:color="auto" w:fill="auto"/>
            <w:noWrap/>
            <w:vAlign w:val="center"/>
          </w:tcPr>
          <w:p w14:paraId="0773C32B"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0.017</w:t>
            </w:r>
          </w:p>
        </w:tc>
        <w:tc>
          <w:tcPr>
            <w:tcW w:w="1260" w:type="dxa"/>
            <w:shd w:val="clear" w:color="auto" w:fill="auto"/>
            <w:noWrap/>
            <w:vAlign w:val="center"/>
          </w:tcPr>
          <w:p w14:paraId="7F1303BC"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1.651</w:t>
            </w:r>
          </w:p>
        </w:tc>
        <w:tc>
          <w:tcPr>
            <w:tcW w:w="1349" w:type="dxa"/>
            <w:shd w:val="clear" w:color="auto" w:fill="auto"/>
            <w:noWrap/>
            <w:vAlign w:val="center"/>
          </w:tcPr>
          <w:p w14:paraId="17834F91"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tcPr>
          <w:p w14:paraId="2390225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7DCE5CAD" w14:textId="77777777" w:rsidTr="00F476B8">
        <w:trPr>
          <w:trHeight w:val="216"/>
        </w:trPr>
        <w:tc>
          <w:tcPr>
            <w:tcW w:w="9155" w:type="dxa"/>
            <w:gridSpan w:val="5"/>
            <w:shd w:val="clear" w:color="auto" w:fill="auto"/>
          </w:tcPr>
          <w:p w14:paraId="0DF7FDC0" w14:textId="77777777" w:rsidR="00F476B8" w:rsidRPr="00F476B8" w:rsidRDefault="00F476B8" w:rsidP="00310473">
            <w:pPr>
              <w:rPr>
                <w:rFonts w:eastAsia="Times New Roman" w:cs="Times New Roman"/>
                <w:sz w:val="22"/>
              </w:rPr>
            </w:pPr>
            <w:r w:rsidRPr="00F476B8">
              <w:rPr>
                <w:rFonts w:eastAsia="Times New Roman" w:cs="Times New Roman"/>
                <w:b/>
                <w:bCs/>
                <w:i/>
                <w:iCs/>
                <w:color w:val="000000"/>
                <w:sz w:val="22"/>
              </w:rPr>
              <w:t>Temporal Factors</w:t>
            </w:r>
          </w:p>
        </w:tc>
      </w:tr>
      <w:tr w:rsidR="00F476B8" w:rsidRPr="00F476B8" w14:paraId="1746FD3A" w14:textId="77777777" w:rsidTr="00F476B8">
        <w:trPr>
          <w:trHeight w:val="216"/>
        </w:trPr>
        <w:tc>
          <w:tcPr>
            <w:tcW w:w="4024" w:type="dxa"/>
            <w:shd w:val="clear" w:color="auto" w:fill="auto"/>
            <w:hideMark/>
          </w:tcPr>
          <w:p w14:paraId="70C6664F"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 xml:space="preserve">Effect Since 2nd Wave started </w:t>
            </w:r>
          </w:p>
          <w:p w14:paraId="064FE282"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(October 30</w:t>
            </w:r>
            <w:r w:rsidRPr="00F476B8">
              <w:rPr>
                <w:rFonts w:eastAsia="Times New Roman" w:cs="Times New Roman"/>
                <w:color w:val="000000"/>
                <w:sz w:val="22"/>
                <w:vertAlign w:val="superscript"/>
              </w:rPr>
              <w:t>th</w:t>
            </w:r>
            <w:r w:rsidRPr="00F476B8">
              <w:rPr>
                <w:rFonts w:eastAsia="Times New Roman" w:cs="Times New Roman"/>
                <w:color w:val="000000"/>
                <w:sz w:val="22"/>
              </w:rPr>
              <w:t>)</w:t>
            </w:r>
          </w:p>
        </w:tc>
        <w:tc>
          <w:tcPr>
            <w:tcW w:w="1262" w:type="dxa"/>
            <w:shd w:val="clear" w:color="auto" w:fill="auto"/>
            <w:noWrap/>
            <w:vAlign w:val="center"/>
            <w:hideMark/>
          </w:tcPr>
          <w:p w14:paraId="41B147CE"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0.360</w:t>
            </w:r>
          </w:p>
        </w:tc>
        <w:tc>
          <w:tcPr>
            <w:tcW w:w="1260" w:type="dxa"/>
            <w:shd w:val="clear" w:color="auto" w:fill="auto"/>
            <w:noWrap/>
            <w:vAlign w:val="center"/>
            <w:hideMark/>
          </w:tcPr>
          <w:p w14:paraId="491C749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18.212</w:t>
            </w:r>
          </w:p>
        </w:tc>
        <w:tc>
          <w:tcPr>
            <w:tcW w:w="1349" w:type="dxa"/>
            <w:shd w:val="clear" w:color="auto" w:fill="auto"/>
            <w:noWrap/>
            <w:vAlign w:val="center"/>
            <w:hideMark/>
          </w:tcPr>
          <w:p w14:paraId="63B28F83"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c>
          <w:tcPr>
            <w:tcW w:w="1260" w:type="dxa"/>
            <w:shd w:val="clear" w:color="auto" w:fill="auto"/>
            <w:noWrap/>
            <w:vAlign w:val="center"/>
            <w:hideMark/>
          </w:tcPr>
          <w:p w14:paraId="543884AF"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w:t>
            </w:r>
          </w:p>
        </w:tc>
      </w:tr>
      <w:tr w:rsidR="00F476B8" w:rsidRPr="00F476B8" w14:paraId="16D4CC98" w14:textId="77777777" w:rsidTr="00F476B8">
        <w:trPr>
          <w:trHeight w:val="216"/>
        </w:trPr>
        <w:tc>
          <w:tcPr>
            <w:tcW w:w="4024" w:type="dxa"/>
            <w:shd w:val="clear" w:color="auto" w:fill="auto"/>
            <w:hideMark/>
          </w:tcPr>
          <w:p w14:paraId="196D50C5" w14:textId="77777777" w:rsidR="00F476B8" w:rsidRPr="00F476B8" w:rsidRDefault="00F476B8" w:rsidP="00310473">
            <w:pPr>
              <w:ind w:left="240"/>
              <w:rPr>
                <w:rFonts w:eastAsia="Times New Roman" w:cs="Times New Roman"/>
                <w:color w:val="000000"/>
                <w:sz w:val="22"/>
              </w:rPr>
            </w:pPr>
            <w:r w:rsidRPr="00F476B8">
              <w:rPr>
                <w:rFonts w:eastAsia="Times New Roman" w:cs="Times New Roman"/>
                <w:color w:val="000000"/>
                <w:sz w:val="22"/>
              </w:rPr>
              <w:t>Effect Since 25</w:t>
            </w:r>
            <w:r w:rsidRPr="00F476B8">
              <w:rPr>
                <w:rFonts w:eastAsia="Times New Roman" w:cs="Times New Roman"/>
                <w:color w:val="000000"/>
                <w:sz w:val="22"/>
                <w:vertAlign w:val="superscript"/>
              </w:rPr>
              <w:t>th</w:t>
            </w:r>
            <w:r w:rsidRPr="00F476B8">
              <w:rPr>
                <w:rFonts w:eastAsia="Times New Roman" w:cs="Times New Roman"/>
                <w:color w:val="000000"/>
                <w:sz w:val="22"/>
              </w:rPr>
              <w:t xml:space="preserve"> December </w:t>
            </w:r>
          </w:p>
        </w:tc>
        <w:tc>
          <w:tcPr>
            <w:tcW w:w="1262" w:type="dxa"/>
            <w:shd w:val="clear" w:color="auto" w:fill="auto"/>
            <w:noWrap/>
            <w:vAlign w:val="center"/>
            <w:hideMark/>
          </w:tcPr>
          <w:p w14:paraId="11C05FF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0.106</w:t>
            </w:r>
          </w:p>
        </w:tc>
        <w:tc>
          <w:tcPr>
            <w:tcW w:w="1260" w:type="dxa"/>
            <w:shd w:val="clear" w:color="auto" w:fill="auto"/>
            <w:noWrap/>
            <w:vAlign w:val="center"/>
            <w:hideMark/>
          </w:tcPr>
          <w:p w14:paraId="1C2E951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6.422</w:t>
            </w:r>
          </w:p>
        </w:tc>
        <w:tc>
          <w:tcPr>
            <w:tcW w:w="1349" w:type="dxa"/>
            <w:shd w:val="clear" w:color="auto" w:fill="auto"/>
            <w:noWrap/>
            <w:vAlign w:val="center"/>
            <w:hideMark/>
          </w:tcPr>
          <w:p w14:paraId="421A980E"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-0.041</w:t>
            </w:r>
          </w:p>
        </w:tc>
        <w:tc>
          <w:tcPr>
            <w:tcW w:w="1260" w:type="dxa"/>
            <w:shd w:val="clear" w:color="auto" w:fill="auto"/>
            <w:noWrap/>
            <w:vAlign w:val="center"/>
            <w:hideMark/>
          </w:tcPr>
          <w:p w14:paraId="11481ED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-3.786</w:t>
            </w:r>
          </w:p>
        </w:tc>
      </w:tr>
      <w:tr w:rsidR="00F476B8" w:rsidRPr="00F476B8" w14:paraId="7877C995" w14:textId="77777777" w:rsidTr="00F476B8">
        <w:trPr>
          <w:trHeight w:val="216"/>
        </w:trPr>
        <w:tc>
          <w:tcPr>
            <w:tcW w:w="9155" w:type="dxa"/>
            <w:gridSpan w:val="5"/>
            <w:shd w:val="clear" w:color="auto" w:fill="auto"/>
          </w:tcPr>
          <w:p w14:paraId="7CB9A18E" w14:textId="77777777" w:rsidR="00F476B8" w:rsidRPr="00F476B8" w:rsidRDefault="00F476B8" w:rsidP="00310473">
            <w:pPr>
              <w:rPr>
                <w:rFonts w:eastAsia="Times New Roman" w:cs="Times New Roman"/>
                <w:color w:val="000000"/>
                <w:sz w:val="22"/>
              </w:rPr>
            </w:pPr>
            <w:r w:rsidRPr="00F476B8">
              <w:rPr>
                <w:rFonts w:eastAsia="Times New Roman" w:cs="Times New Roman"/>
                <w:b/>
                <w:bCs/>
                <w:i/>
                <w:iCs/>
                <w:color w:val="000000"/>
                <w:sz w:val="22"/>
              </w:rPr>
              <w:t>Correlations</w:t>
            </w:r>
          </w:p>
        </w:tc>
      </w:tr>
      <w:tr w:rsidR="00F476B8" w:rsidRPr="00F476B8" w14:paraId="08928423" w14:textId="77777777" w:rsidTr="00F476B8">
        <w:trPr>
          <w:trHeight w:val="216"/>
        </w:trPr>
        <w:tc>
          <w:tcPr>
            <w:tcW w:w="4024" w:type="dxa"/>
            <w:shd w:val="clear" w:color="auto" w:fill="auto"/>
            <w:vAlign w:val="center"/>
          </w:tcPr>
          <w:p w14:paraId="267D42DB" w14:textId="77777777" w:rsidR="00F476B8" w:rsidRPr="00F476B8" w:rsidRDefault="00F476B8" w:rsidP="00310473">
            <w:pPr>
              <w:ind w:left="240"/>
              <w:rPr>
                <w:rFonts w:eastAsia="Times New Roman" w:cs="Times New Roman"/>
                <w:color w:val="000000"/>
                <w:sz w:val="22"/>
                <w:vertAlign w:val="superscript"/>
              </w:rPr>
            </w:pPr>
            <w:r w:rsidRPr="00F476B8">
              <w:rPr>
                <w:rFonts w:eastAsiaTheme="minorEastAsia"/>
                <w:sz w:val="22"/>
              </w:rPr>
              <w:t xml:space="preserve"> </w:t>
            </w:r>
            <m:oMath>
              <m:r>
                <w:rPr>
                  <w:rFonts w:ascii="Cambria Math" w:hAnsi="Cambria Math" w:cs="Times New Roman"/>
                  <w:sz w:val="22"/>
                </w:rPr>
                <m:t>σ</m:t>
              </m:r>
            </m:oMath>
            <w:r w:rsidRPr="00F476B8">
              <w:rPr>
                <w:rFonts w:eastAsiaTheme="minorEastAsia"/>
                <w:sz w:val="22"/>
                <w:vertAlign w:val="superscript"/>
              </w:rPr>
              <w:t>2</w:t>
            </w:r>
          </w:p>
        </w:tc>
        <w:tc>
          <w:tcPr>
            <w:tcW w:w="1262" w:type="dxa"/>
            <w:shd w:val="clear" w:color="auto" w:fill="auto"/>
            <w:noWrap/>
            <w:vAlign w:val="center"/>
          </w:tcPr>
          <w:p w14:paraId="2E7A8A6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1.912</w:t>
            </w:r>
          </w:p>
        </w:tc>
        <w:tc>
          <w:tcPr>
            <w:tcW w:w="1260" w:type="dxa"/>
            <w:shd w:val="clear" w:color="auto" w:fill="auto"/>
            <w:noWrap/>
            <w:vAlign w:val="center"/>
          </w:tcPr>
          <w:p w14:paraId="2E1D3A4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49.925</w:t>
            </w:r>
          </w:p>
        </w:tc>
        <w:tc>
          <w:tcPr>
            <w:tcW w:w="1349" w:type="dxa"/>
            <w:shd w:val="clear" w:color="auto" w:fill="auto"/>
            <w:noWrap/>
            <w:vAlign w:val="center"/>
          </w:tcPr>
          <w:p w14:paraId="3251CF52"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1.370</w:t>
            </w:r>
          </w:p>
        </w:tc>
        <w:tc>
          <w:tcPr>
            <w:tcW w:w="1260" w:type="dxa"/>
            <w:shd w:val="clear" w:color="auto" w:fill="auto"/>
            <w:noWrap/>
            <w:vAlign w:val="center"/>
          </w:tcPr>
          <w:p w14:paraId="078B5D9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40.445</w:t>
            </w:r>
          </w:p>
        </w:tc>
      </w:tr>
      <w:tr w:rsidR="00F476B8" w:rsidRPr="00F476B8" w14:paraId="47E1636D" w14:textId="77777777" w:rsidTr="00F476B8">
        <w:trPr>
          <w:trHeight w:val="216"/>
        </w:trPr>
        <w:tc>
          <w:tcPr>
            <w:tcW w:w="4024" w:type="dxa"/>
            <w:shd w:val="clear" w:color="auto" w:fill="auto"/>
            <w:vAlign w:val="center"/>
          </w:tcPr>
          <w:p w14:paraId="77E3E61D" w14:textId="77777777" w:rsidR="00F476B8" w:rsidRPr="00F476B8" w:rsidRDefault="00F476B8" w:rsidP="00310473">
            <w:pPr>
              <w:ind w:left="240"/>
              <w:rPr>
                <w:rFonts w:eastAsia="Times New Roman" w:cs="Times New Roman"/>
                <w:color w:val="000000"/>
                <w:sz w:val="22"/>
              </w:rPr>
            </w:pPr>
            <w:r w:rsidRPr="00F476B8">
              <w:rPr>
                <w:rFonts w:eastAsiaTheme="minorEastAsia"/>
                <w:sz w:val="22"/>
              </w:rPr>
              <w:t xml:space="preserve"> </w:t>
            </w:r>
            <m:oMath>
              <m:r>
                <w:rPr>
                  <w:rFonts w:ascii="Cambria Math" w:hAnsi="Cambria Math" w:cs="Times New Roman"/>
                  <w:sz w:val="22"/>
                </w:rPr>
                <m:t>ρ</m:t>
              </m:r>
            </m:oMath>
          </w:p>
        </w:tc>
        <w:tc>
          <w:tcPr>
            <w:tcW w:w="1262" w:type="dxa"/>
            <w:shd w:val="clear" w:color="auto" w:fill="auto"/>
            <w:noWrap/>
            <w:vAlign w:val="center"/>
          </w:tcPr>
          <w:p w14:paraId="7CFFD799"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0.930</w:t>
            </w:r>
          </w:p>
        </w:tc>
        <w:tc>
          <w:tcPr>
            <w:tcW w:w="1260" w:type="dxa"/>
            <w:shd w:val="clear" w:color="auto" w:fill="auto"/>
            <w:noWrap/>
            <w:vAlign w:val="center"/>
          </w:tcPr>
          <w:p w14:paraId="7DFF0C87"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453.710</w:t>
            </w:r>
          </w:p>
        </w:tc>
        <w:tc>
          <w:tcPr>
            <w:tcW w:w="1349" w:type="dxa"/>
            <w:shd w:val="clear" w:color="auto" w:fill="auto"/>
            <w:noWrap/>
            <w:vAlign w:val="center"/>
          </w:tcPr>
          <w:p w14:paraId="3C90924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0.965</w:t>
            </w:r>
          </w:p>
        </w:tc>
        <w:tc>
          <w:tcPr>
            <w:tcW w:w="1260" w:type="dxa"/>
            <w:shd w:val="clear" w:color="auto" w:fill="auto"/>
            <w:noWrap/>
            <w:vAlign w:val="center"/>
          </w:tcPr>
          <w:p w14:paraId="1149662C"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791.200</w:t>
            </w:r>
          </w:p>
        </w:tc>
      </w:tr>
      <w:tr w:rsidR="00F476B8" w:rsidRPr="00F476B8" w14:paraId="2BE0E334" w14:textId="77777777" w:rsidTr="00F476B8">
        <w:trPr>
          <w:trHeight w:val="216"/>
        </w:trPr>
        <w:tc>
          <w:tcPr>
            <w:tcW w:w="4024" w:type="dxa"/>
            <w:shd w:val="clear" w:color="auto" w:fill="auto"/>
            <w:vAlign w:val="center"/>
          </w:tcPr>
          <w:p w14:paraId="2CB02457" w14:textId="77777777" w:rsidR="00F476B8" w:rsidRPr="00F476B8" w:rsidRDefault="00F476B8" w:rsidP="00310473">
            <w:pPr>
              <w:ind w:left="240"/>
              <w:rPr>
                <w:rFonts w:eastAsia="Times New Roman" w:cs="Times New Roman"/>
                <w:color w:val="000000"/>
                <w:sz w:val="22"/>
              </w:rPr>
            </w:pPr>
            <w:r w:rsidRPr="00F476B8">
              <w:rPr>
                <w:rFonts w:eastAsiaTheme="minorEastAsia"/>
                <w:sz w:val="22"/>
              </w:rPr>
              <w:t xml:space="preserve"> </w:t>
            </w:r>
            <m:oMath>
              <m:r>
                <w:rPr>
                  <w:rFonts w:ascii="Cambria Math" w:hAnsi="Cambria Math" w:cs="Times New Roman"/>
                  <w:sz w:val="22"/>
                </w:rPr>
                <m:t>Φ</m:t>
              </m:r>
            </m:oMath>
          </w:p>
        </w:tc>
        <w:tc>
          <w:tcPr>
            <w:tcW w:w="1262" w:type="dxa"/>
            <w:shd w:val="clear" w:color="auto" w:fill="auto"/>
            <w:noWrap/>
            <w:vAlign w:val="center"/>
          </w:tcPr>
          <w:p w14:paraId="7C6EEBFA"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0.835</w:t>
            </w:r>
          </w:p>
        </w:tc>
        <w:tc>
          <w:tcPr>
            <w:tcW w:w="1260" w:type="dxa"/>
            <w:shd w:val="clear" w:color="auto" w:fill="auto"/>
            <w:noWrap/>
            <w:vAlign w:val="center"/>
          </w:tcPr>
          <w:p w14:paraId="465FD5DF"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237.303</w:t>
            </w:r>
          </w:p>
        </w:tc>
        <w:tc>
          <w:tcPr>
            <w:tcW w:w="1349" w:type="dxa"/>
            <w:shd w:val="clear" w:color="auto" w:fill="auto"/>
            <w:noWrap/>
            <w:vAlign w:val="center"/>
          </w:tcPr>
          <w:p w14:paraId="659CB62F"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0.888</w:t>
            </w:r>
          </w:p>
        </w:tc>
        <w:tc>
          <w:tcPr>
            <w:tcW w:w="1260" w:type="dxa"/>
            <w:shd w:val="clear" w:color="auto" w:fill="auto"/>
            <w:noWrap/>
            <w:vAlign w:val="center"/>
          </w:tcPr>
          <w:p w14:paraId="480611AD" w14:textId="77777777" w:rsidR="00F476B8" w:rsidRPr="00F476B8" w:rsidRDefault="00F476B8" w:rsidP="00310473">
            <w:pPr>
              <w:jc w:val="center"/>
              <w:rPr>
                <w:rFonts w:eastAsia="Times New Roman" w:cs="Times New Roman"/>
                <w:color w:val="000000"/>
                <w:sz w:val="22"/>
              </w:rPr>
            </w:pPr>
            <w:r w:rsidRPr="00F476B8">
              <w:rPr>
                <w:rFonts w:eastAsia="Times New Roman" w:cs="Times New Roman"/>
                <w:color w:val="000000"/>
                <w:sz w:val="22"/>
              </w:rPr>
              <w:t>306.605</w:t>
            </w:r>
          </w:p>
        </w:tc>
      </w:tr>
    </w:tbl>
    <w:p w14:paraId="6D79150F" w14:textId="77777777" w:rsidR="00F476B8" w:rsidRDefault="00F476B8" w:rsidP="00F476B8">
      <w:r w:rsidRPr="00B03DD4">
        <w:rPr>
          <w:sz w:val="20"/>
          <w:szCs w:val="18"/>
        </w:rPr>
        <w:t>*</w:t>
      </w:r>
      <w:r>
        <w:rPr>
          <w:sz w:val="20"/>
          <w:szCs w:val="18"/>
        </w:rPr>
        <w:t>T</w:t>
      </w:r>
      <w:r w:rsidRPr="00B03DD4">
        <w:rPr>
          <w:sz w:val="20"/>
          <w:szCs w:val="18"/>
        </w:rPr>
        <w:t>he indent</w:t>
      </w:r>
      <w:r>
        <w:rPr>
          <w:sz w:val="20"/>
          <w:szCs w:val="18"/>
        </w:rPr>
        <w:t xml:space="preserve">ed variable name presentation starting with “x” is adopted to indicate that the </w:t>
      </w:r>
      <w:r w:rsidRPr="00B03DD4">
        <w:rPr>
          <w:sz w:val="20"/>
          <w:szCs w:val="18"/>
        </w:rPr>
        <w:t>variable represent</w:t>
      </w:r>
      <w:r>
        <w:rPr>
          <w:sz w:val="20"/>
          <w:szCs w:val="18"/>
        </w:rPr>
        <w:t>s</w:t>
      </w:r>
      <w:r w:rsidRPr="00B03DD4">
        <w:rPr>
          <w:sz w:val="20"/>
          <w:szCs w:val="18"/>
        </w:rPr>
        <w:t xml:space="preserve"> the interaction term with that specific variable</w:t>
      </w:r>
      <w:r>
        <w:rPr>
          <w:sz w:val="20"/>
          <w:szCs w:val="18"/>
        </w:rPr>
        <w:t>.</w:t>
      </w:r>
    </w:p>
    <w:p w14:paraId="5929D21D" w14:textId="77777777" w:rsidR="00F476B8" w:rsidRDefault="00F476B8" w:rsidP="00F476B8"/>
    <w:bookmarkEnd w:id="5"/>
    <w:p w14:paraId="0D3C47C0" w14:textId="70CE7CE0" w:rsidR="00E64F71" w:rsidRDefault="009575DE" w:rsidP="009575DE">
      <w:r w:rsidRPr="003547D5">
        <w:rPr>
          <w:u w:val="single"/>
        </w:rPr>
        <w:t>Mobility Trends</w:t>
      </w:r>
      <w:r>
        <w:t xml:space="preserve">: </w:t>
      </w:r>
      <w:r w:rsidR="00770608">
        <w:t>Consistent with earlier</w:t>
      </w:r>
      <w:r w:rsidR="004A12D0">
        <w:t xml:space="preserve"> research</w:t>
      </w:r>
      <w:r w:rsidR="00770608">
        <w:t xml:space="preserve">, our analysis also highlights </w:t>
      </w:r>
      <w:r w:rsidR="00E64F71">
        <w:t>how increased mobility in the county results in higher hospitalization rates. We recognize that the impact of mobility on hospitalizations has a lagged effect. Hence, we tested weekly mobility with 2 week</w:t>
      </w:r>
      <w:r w:rsidR="00714767">
        <w:t>s</w:t>
      </w:r>
      <w:r w:rsidR="00E64F71">
        <w:t xml:space="preserve"> and 3 week</w:t>
      </w:r>
      <w:r w:rsidR="00714767">
        <w:t>s</w:t>
      </w:r>
      <w:r w:rsidR="00E64F71">
        <w:t xml:space="preserve"> lag. The two lag variables offer significant and intuitive results highlighting the role of mobility in addition to the impact of COVID-19 cases. </w:t>
      </w:r>
    </w:p>
    <w:p w14:paraId="13D2328A" w14:textId="77777777" w:rsidR="009575DE" w:rsidRDefault="009575DE" w:rsidP="009575DE"/>
    <w:p w14:paraId="0DFB3019" w14:textId="613367B4" w:rsidR="00CA57E9" w:rsidRDefault="009575DE" w:rsidP="009575DE">
      <w:r w:rsidRPr="00407745">
        <w:rPr>
          <w:u w:val="single"/>
        </w:rPr>
        <w:t>Demographics</w:t>
      </w:r>
      <w:r>
        <w:t xml:space="preserve">: With respect to demographic characteristics, </w:t>
      </w:r>
      <w:r w:rsidR="00476375">
        <w:t xml:space="preserve">we </w:t>
      </w:r>
      <w:r w:rsidR="000E0073">
        <w:t>find that</w:t>
      </w:r>
      <w:r w:rsidR="00EE7290">
        <w:t xml:space="preserve"> counties with higher percentage of young population</w:t>
      </w:r>
      <w:r w:rsidR="00D31A08">
        <w:t xml:space="preserve"> (</w:t>
      </w:r>
      <w:r w:rsidR="009C642F">
        <w:t>aged</w:t>
      </w:r>
      <w:r w:rsidR="00D31A08">
        <w:t xml:space="preserve"> 19 years </w:t>
      </w:r>
      <w:r w:rsidR="009C642F">
        <w:t>or less</w:t>
      </w:r>
      <w:r w:rsidR="00D31A08">
        <w:t>)</w:t>
      </w:r>
      <w:r w:rsidR="00EE7290">
        <w:t xml:space="preserve"> are likely to have lower hospitalization rates</w:t>
      </w:r>
      <w:r w:rsidR="007D0399">
        <w:t xml:space="preserve"> </w:t>
      </w:r>
      <w:r w:rsidR="007D0399">
        <w:rPr>
          <w:rFonts w:cs="Times New Roman"/>
          <w:szCs w:val="24"/>
        </w:rPr>
        <w:fldChar w:fldCharType="begin" w:fldLock="1"/>
      </w:r>
      <w:r w:rsidR="00EE4BF1">
        <w:rPr>
          <w:rFonts w:cs="Times New Roman"/>
          <w:szCs w:val="24"/>
        </w:rPr>
        <w:instrText>ADDIN CSL_CITATION {"citationItems":[{"id":"ITEM-1","itemData":{"DOI":"10.1101/2020.05.06.20093195","abstract":"Introduction With the pandemic of COVID-19, the number of confirmed cases and related deaths are increasing in the US. We aimed to understand the potential impact of health and demographic factors on the infection and mortality rates of COVID-19 at the population level. Methods We collected total number of confirmed cases and deaths related to COVID-19 at the county level in the US from January 21, 2020 to April 23, 2020. We extracted health and demographic measures for each US county. Multivariable linear mixed effects models were used to investigate potential correlations of health and demographic characteristics with the infection and mortality rates of COVID-19 in US counties. Results Our models showed that several health and demographic factors were positively correlated with the infection rate of COVID-19, such as low education level and percentage of Black. In contrast, several factors, including percentage of smokers and percentage of food insecure, were negatively correlated with the infection rate of COVID-19. While the number of days since first confirmed case and the infection rate of COVID-19 were negatively correlated with the mortality rate of COVID-19, percentage of elders (65 and above) and percentage of rural were positively correlated with the mortality rate of COVID-19. Conclusions At the population level, health and demographic factors could impact the infection and mortality rates of COVID-19 in US counties.","author":[{"dropping-particle":"","family":"Xie","given":"Zidian","non-dropping-particle":"","parse-names":false,"suffix":""},{"dropping-particle":"","family":"Li","given":"Dongmei","non-dropping-particle":"","parse-names":false,"suffix":""}],"container-title":"Medrxiv","id":"ITEM-1","issued":{"date-parts":[["2020"]]},"number-of-pages":"1-14","title":"Health and Demographic Impact on COVID-19 Infection and Mortality in US Counties","type":"report"},"uris":["http://www.mendeley.com/documents/?uuid=e62afcb2-40df-49a6-b595-cf8232d2f05d"]}],"mendeley":{"formattedCitation":"&lt;sup&gt;23&lt;/sup&gt;","plainTextFormattedCitation":"23","previouslyFormattedCitation":"&lt;sup&gt;23&lt;/sup&gt;"},"properties":{"noteIndex":0},"schema":"https://github.com/citation-style-language/schema/raw/master/csl-citation.json"}</w:instrText>
      </w:r>
      <w:r w:rsidR="007D0399">
        <w:rPr>
          <w:rFonts w:cs="Times New Roman"/>
          <w:szCs w:val="24"/>
        </w:rPr>
        <w:fldChar w:fldCharType="separate"/>
      </w:r>
      <w:r w:rsidR="00EE4BF1" w:rsidRPr="00EE4BF1">
        <w:rPr>
          <w:rFonts w:cs="Times New Roman"/>
          <w:noProof/>
          <w:szCs w:val="24"/>
          <w:vertAlign w:val="superscript"/>
        </w:rPr>
        <w:t>23</w:t>
      </w:r>
      <w:r w:rsidR="007D0399">
        <w:rPr>
          <w:rFonts w:cs="Times New Roman"/>
          <w:szCs w:val="24"/>
        </w:rPr>
        <w:fldChar w:fldCharType="end"/>
      </w:r>
      <w:r w:rsidR="00EE7290">
        <w:t xml:space="preserve">. The results for ethnicity composition variables </w:t>
      </w:r>
      <w:r w:rsidR="000E0073">
        <w:t xml:space="preserve">also </w:t>
      </w:r>
      <w:r w:rsidR="00EE7290">
        <w:t>offer expected results. Counties with higher Hispanic and African American populations are likely to have higher hospitalizations</w:t>
      </w:r>
      <w:r w:rsidR="00E45127">
        <w:t xml:space="preserve">, perhaps attributed to their residence in </w:t>
      </w:r>
      <w:r w:rsidR="00E45127">
        <w:rPr>
          <w:rFonts w:cs="Times New Roman"/>
          <w:szCs w:val="24"/>
        </w:rPr>
        <w:t>densely populated neighborhoods and pre-existing chronic medical condition</w:t>
      </w:r>
      <w:r w:rsidR="008144A2">
        <w:rPr>
          <w:rFonts w:cs="Times New Roman"/>
          <w:szCs w:val="24"/>
        </w:rPr>
        <w:t>s</w:t>
      </w:r>
      <w:r w:rsidR="00E45127">
        <w:rPr>
          <w:rFonts w:cs="Times New Roman"/>
          <w:szCs w:val="24"/>
        </w:rPr>
        <w:t xml:space="preserve"> </w:t>
      </w:r>
      <w:r w:rsidR="00E45127">
        <w:rPr>
          <w:rFonts w:cs="Times New Roman"/>
          <w:szCs w:val="24"/>
        </w:rPr>
        <w:fldChar w:fldCharType="begin" w:fldLock="1"/>
      </w:r>
      <w:r w:rsidR="00EE4BF1">
        <w:rPr>
          <w:rFonts w:cs="Times New Roman"/>
          <w:szCs w:val="24"/>
        </w:rPr>
        <w:instrText>ADDIN CSL_CITATION {"citationItems":[{"id":"ITEM-1","itemData":{"DOI":"10.1101/2020.05.06.20093195","abstract":"Introduction With the pandemic of COVID-19, the number of confirmed cases and related deaths are increasing in the US. We aimed to understand the potential impact of health and demographic factors on the infection and mortality rates of COVID-19 at the population level. Methods We collected total number of confirmed cases and deaths related to COVID-19 at the county level in the US from January 21, 2020 to April 23, 2020. We extracted health and demographic measures for each US county. Multivariable linear mixed effects models were used to investigate potential correlations of health and demographic characteristics with the infection and mortality rates of COVID-19 in US counties. Results Our models showed that several health and demographic factors were positively correlated with the infection rate of COVID-19, such as low education level and percentage of Black. In contrast, several factors, including percentage of smokers and percentage of food insecure, were negatively correlated with the infection rate of COVID-19. While the number of days since first confirmed case and the infection rate of COVID-19 were negatively correlated with the mortality rate of COVID-19, percentage of elders (65 and above) and percentage of rural were positively correlated with the mortality rate of COVID-19. Conclusions At the population level, health and demographic factors could impact the infection and mortality rates of COVID-19 in US counties.","author":[{"dropping-particle":"","family":"Xie","given":"Zidian","non-dropping-particle":"","parse-names":false,"suffix":""},{"dropping-particle":"","family":"Li","given":"Dongmei","non-dropping-particle":"","parse-names":false,"suffix":""}],"container-title":"Medrxiv","id":"ITEM-1","issued":{"date-parts":[["2020"]]},"number-of-pages":"1-14","title":"Health and Demographic Impact on COVID-19 Infection and Mortality in US Counties","type":"report"},"uris":["http://www.mendeley.com/documents/?uuid=e62afcb2-40df-49a6-b595-cf8232d2f05d"]}],"mendeley":{"formattedCitation":"&lt;sup&gt;23&lt;/sup&gt;","plainTextFormattedCitation":"23","previouslyFormattedCitation":"&lt;sup&gt;23&lt;/sup&gt;"},"properties":{"noteIndex":0},"schema":"https://github.com/citation-style-language/schema/raw/master/csl-citation.json"}</w:instrText>
      </w:r>
      <w:r w:rsidR="00E45127">
        <w:rPr>
          <w:rFonts w:cs="Times New Roman"/>
          <w:szCs w:val="24"/>
        </w:rPr>
        <w:fldChar w:fldCharType="separate"/>
      </w:r>
      <w:r w:rsidR="00EE4BF1" w:rsidRPr="00EE4BF1">
        <w:rPr>
          <w:rFonts w:cs="Times New Roman"/>
          <w:noProof/>
          <w:szCs w:val="24"/>
          <w:vertAlign w:val="superscript"/>
        </w:rPr>
        <w:t>23</w:t>
      </w:r>
      <w:r w:rsidR="00E45127">
        <w:rPr>
          <w:rFonts w:cs="Times New Roman"/>
          <w:szCs w:val="24"/>
        </w:rPr>
        <w:fldChar w:fldCharType="end"/>
      </w:r>
      <w:r w:rsidR="00EE7290">
        <w:t xml:space="preserve">. Interestingly, in our analysis, hospitalization rates are found to be higher for counties with higher female population. Finally, median county income is also </w:t>
      </w:r>
      <w:r w:rsidR="00450FF7">
        <w:t xml:space="preserve">positively </w:t>
      </w:r>
      <w:r w:rsidR="00EE7290">
        <w:t>associated with hospitalization rates</w:t>
      </w:r>
      <w:r w:rsidR="00D91EB6">
        <w:t xml:space="preserve">, possibly </w:t>
      </w:r>
      <w:r w:rsidR="00EE7290">
        <w:t>manifesting the impact of access to hospitals in these counties.</w:t>
      </w:r>
    </w:p>
    <w:p w14:paraId="4AA5BFFD" w14:textId="77777777" w:rsidR="00CA57E9" w:rsidRDefault="00CA57E9" w:rsidP="009575DE"/>
    <w:p w14:paraId="389CC865" w14:textId="46904AC6" w:rsidR="009575DE" w:rsidRDefault="009575DE" w:rsidP="009575DE">
      <w:r w:rsidRPr="005D552E">
        <w:rPr>
          <w:u w:val="single"/>
        </w:rPr>
        <w:t>Health Indicators</w:t>
      </w:r>
      <w:r>
        <w:t xml:space="preserve">: Consistent with earlier findings, our analysis also shows a significant </w:t>
      </w:r>
      <w:r w:rsidR="00AD2856">
        <w:t xml:space="preserve">positive </w:t>
      </w:r>
      <w:r>
        <w:t>association between the COVID hospitalization rate and pre-existing health risk factors</w:t>
      </w:r>
      <w:r w:rsidR="00BF4AB0">
        <w:t xml:space="preserve">, </w:t>
      </w:r>
      <w:r w:rsidR="004604BD">
        <w:t>e</w:t>
      </w:r>
      <w:r w:rsidR="00BF4AB0">
        <w:t xml:space="preserve">specially </w:t>
      </w:r>
      <w:r w:rsidR="004604BD">
        <w:t xml:space="preserve">for population </w:t>
      </w:r>
      <w:r w:rsidR="00FB5DD6">
        <w:t xml:space="preserve">with </w:t>
      </w:r>
      <w:r w:rsidR="004604BD">
        <w:t xml:space="preserve">higher incidence of </w:t>
      </w:r>
      <w:r w:rsidR="00BF4AB0">
        <w:t>cardiovascular disease and hepatitis C</w:t>
      </w:r>
      <w:r w:rsidR="00501EAA">
        <w:t xml:space="preserve"> </w:t>
      </w:r>
      <w:r w:rsidR="00501EAA">
        <w:fldChar w:fldCharType="begin" w:fldLock="1"/>
      </w:r>
      <w:r w:rsidR="00EE4BF1">
        <w:instrText>ADDIN CSL_CITATION {"citationItems":[{"id":"ITEM-1","itemData":{"URL":"https://www.cdc.gov/coronavirus/2019-ncov/need-extra-precautions/evidence-table.html","accessed":{"date-parts":[["2021","1","31"]]},"id":"ITEM-1","issued":{"date-parts":[["0"]]},"title":"Scientific Evidence for Conditions that Increase Risk of Severe Illness | COVID-19 | CDC","type":"webpage"},"uris":["http://www.mendeley.com/documents/?uuid=c906bdcb-2662-3552-a294-df78bb600246"]}],"mendeley":{"formattedCitation":"&lt;sup&gt;24&lt;/sup&gt;","plainTextFormattedCitation":"24","previouslyFormattedCitation":"&lt;sup&gt;24&lt;/sup&gt;"},"properties":{"noteIndex":0},"schema":"https://github.com/citation-style-language/schema/raw/master/csl-citation.json"}</w:instrText>
      </w:r>
      <w:r w:rsidR="00501EAA">
        <w:fldChar w:fldCharType="separate"/>
      </w:r>
      <w:r w:rsidR="00EE4BF1" w:rsidRPr="00EE4BF1">
        <w:rPr>
          <w:noProof/>
          <w:vertAlign w:val="superscript"/>
        </w:rPr>
        <w:t>24</w:t>
      </w:r>
      <w:r w:rsidR="00501EAA">
        <w:fldChar w:fldCharType="end"/>
      </w:r>
      <w:r>
        <w:t xml:space="preserve">. </w:t>
      </w:r>
    </w:p>
    <w:p w14:paraId="71C0904C" w14:textId="77777777" w:rsidR="009575DE" w:rsidRDefault="009575DE" w:rsidP="009575DE"/>
    <w:p w14:paraId="036CAA00" w14:textId="64025D6A" w:rsidR="009575DE" w:rsidRDefault="009575DE" w:rsidP="009575DE">
      <w:r w:rsidRPr="002A468B">
        <w:rPr>
          <w:u w:val="single"/>
        </w:rPr>
        <w:t>Spatial Factors</w:t>
      </w:r>
      <w:r>
        <w:t xml:space="preserve">: </w:t>
      </w:r>
      <w:r w:rsidR="002072CE">
        <w:t xml:space="preserve">In our analysis, we tested several spatial factors to account for inherent regional differences in hospital infrastructure, transportation infrastructure, tourism activity, weather patterns and regional culture. </w:t>
      </w:r>
      <w:r w:rsidR="0073416F">
        <w:t xml:space="preserve">The results </w:t>
      </w:r>
      <w:proofErr w:type="gramStart"/>
      <w:r w:rsidR="0073416F">
        <w:t>shows</w:t>
      </w:r>
      <w:proofErr w:type="gramEnd"/>
      <w:r w:rsidR="0073416F">
        <w:t xml:space="preserve"> that </w:t>
      </w:r>
      <w:r>
        <w:t xml:space="preserve">north east region </w:t>
      </w:r>
      <w:r w:rsidR="00B0491F">
        <w:t xml:space="preserve">is likely to </w:t>
      </w:r>
      <w:r>
        <w:t>experienc</w:t>
      </w:r>
      <w:r w:rsidR="00B0491F">
        <w:t>e</w:t>
      </w:r>
      <w:r>
        <w:t xml:space="preserve"> </w:t>
      </w:r>
      <w:r w:rsidR="008D6F10">
        <w:t>lower</w:t>
      </w:r>
      <w:r>
        <w:t xml:space="preserve"> hospitalization rate </w:t>
      </w:r>
      <w:r w:rsidR="00B831A4">
        <w:t>due to</w:t>
      </w:r>
      <w:r>
        <w:t xml:space="preserve"> COVID-19 compared to the </w:t>
      </w:r>
      <w:r w:rsidR="0073416F">
        <w:t xml:space="preserve">rest of </w:t>
      </w:r>
      <w:r>
        <w:t>the country</w:t>
      </w:r>
      <w:r w:rsidR="009C642F">
        <w:t xml:space="preserve"> prior to October 30</w:t>
      </w:r>
      <w:r w:rsidR="009C642F" w:rsidRPr="00C66ABE">
        <w:rPr>
          <w:vertAlign w:val="superscript"/>
        </w:rPr>
        <w:t>th</w:t>
      </w:r>
      <w:r>
        <w:t>.</w:t>
      </w:r>
      <w:r w:rsidR="0003666C">
        <w:t xml:space="preserve"> </w:t>
      </w:r>
      <w:r w:rsidR="0073416F">
        <w:t xml:space="preserve">However, </w:t>
      </w:r>
      <w:r w:rsidR="009C642F">
        <w:t>after October 30</w:t>
      </w:r>
      <w:r w:rsidR="009C642F" w:rsidRPr="00C66ABE">
        <w:rPr>
          <w:vertAlign w:val="superscript"/>
        </w:rPr>
        <w:t>th</w:t>
      </w:r>
      <w:r w:rsidR="009C642F">
        <w:t xml:space="preserve">, the </w:t>
      </w:r>
      <w:proofErr w:type="gramStart"/>
      <w:r w:rsidR="009C642F">
        <w:t>north east</w:t>
      </w:r>
      <w:proofErr w:type="gramEnd"/>
      <w:r w:rsidR="009C642F">
        <w:t xml:space="preserve"> region experienced slightly higher hospitalization rates.</w:t>
      </w:r>
      <w:r w:rsidR="0073416F">
        <w:t xml:space="preserve"> T</w:t>
      </w:r>
      <w:r w:rsidR="00C369C1" w:rsidRPr="00C369C1">
        <w:t xml:space="preserve">he </w:t>
      </w:r>
      <w:r w:rsidR="00C369C1">
        <w:t xml:space="preserve">higher hospitalization rate </w:t>
      </w:r>
      <w:r w:rsidR="009C642F">
        <w:t xml:space="preserve">for </w:t>
      </w:r>
      <w:r w:rsidR="00C369C1" w:rsidRPr="00C369C1">
        <w:t xml:space="preserve">this </w:t>
      </w:r>
      <w:proofErr w:type="gramStart"/>
      <w:r w:rsidR="009C642F">
        <w:t xml:space="preserve">time </w:t>
      </w:r>
      <w:r w:rsidR="00C369C1" w:rsidRPr="00C369C1">
        <w:t>period</w:t>
      </w:r>
      <w:proofErr w:type="gramEnd"/>
      <w:r w:rsidR="00C369C1" w:rsidRPr="00C369C1">
        <w:t xml:space="preserve"> is closely aligned with the increasing caseloads across the country</w:t>
      </w:r>
      <w:r w:rsidR="00C369C1">
        <w:t xml:space="preserve">. </w:t>
      </w:r>
      <w:r w:rsidRPr="00F52CCA">
        <w:t xml:space="preserve">Further, we considered the tourism status of </w:t>
      </w:r>
      <w:r>
        <w:t>the state</w:t>
      </w:r>
      <w:r w:rsidRPr="00F52CCA">
        <w:t xml:space="preserve"> in our analysis</w:t>
      </w:r>
      <w:r>
        <w:t xml:space="preserve"> by </w:t>
      </w:r>
      <w:r w:rsidRPr="00F52CCA">
        <w:t>identify</w:t>
      </w:r>
      <w:r>
        <w:t>ing</w:t>
      </w:r>
      <w:r w:rsidRPr="00F52CCA">
        <w:t xml:space="preserve"> the top and bottom 10 desirable states with respect to tourism activity.</w:t>
      </w:r>
      <w:r>
        <w:t xml:space="preserve"> As expected, we find a positive effect of the top 10 tourist attraction state</w:t>
      </w:r>
      <w:r w:rsidR="00BF08CD">
        <w:t>s</w:t>
      </w:r>
      <w:r>
        <w:t xml:space="preserve"> on the COVID hospitalization rate, perhaps indicative of the higher virus</w:t>
      </w:r>
      <w:r w:rsidR="002072CE">
        <w:t xml:space="preserve"> transfer in these regions</w:t>
      </w:r>
      <w:r>
        <w:t xml:space="preserve">. </w:t>
      </w:r>
      <w:r w:rsidR="00B32DBD">
        <w:t>However</w:t>
      </w:r>
      <w:r w:rsidR="002072CE">
        <w:t xml:space="preserve">, the </w:t>
      </w:r>
      <w:r w:rsidR="006302C1">
        <w:t xml:space="preserve">effect </w:t>
      </w:r>
      <w:r w:rsidR="002072CE">
        <w:t>was marginally reduced from October 30</w:t>
      </w:r>
      <w:r w:rsidR="002072CE" w:rsidRPr="00B03DD4">
        <w:rPr>
          <w:vertAlign w:val="superscript"/>
        </w:rPr>
        <w:t>th</w:t>
      </w:r>
      <w:r w:rsidR="002072CE" w:rsidRPr="0073416F">
        <w:t>.</w:t>
      </w:r>
      <w:r w:rsidR="0073416F">
        <w:rPr>
          <w:vertAlign w:val="superscript"/>
        </w:rPr>
        <w:t xml:space="preserve"> </w:t>
      </w:r>
      <w:r>
        <w:t>Finally, the variable specific to the number of  airport</w:t>
      </w:r>
      <w:r w:rsidR="002072CE">
        <w:t>s</w:t>
      </w:r>
      <w:r>
        <w:t xml:space="preserve"> per 100k people reveals a positive impact on the COVID hospitalization rate. </w:t>
      </w:r>
    </w:p>
    <w:p w14:paraId="7AC2752C" w14:textId="77777777" w:rsidR="009575DE" w:rsidRDefault="009575DE" w:rsidP="009575DE"/>
    <w:p w14:paraId="678112A5" w14:textId="7DACEB1E" w:rsidR="00F6708A" w:rsidRDefault="009575DE" w:rsidP="009575DE">
      <w:r>
        <w:rPr>
          <w:u w:val="single"/>
        </w:rPr>
        <w:lastRenderedPageBreak/>
        <w:t>Temporal</w:t>
      </w:r>
      <w:r w:rsidRPr="002A468B">
        <w:rPr>
          <w:u w:val="single"/>
        </w:rPr>
        <w:t xml:space="preserve"> Factors</w:t>
      </w:r>
      <w:r w:rsidRPr="00973681">
        <w:t xml:space="preserve">: </w:t>
      </w:r>
      <w:r w:rsidR="00EA186E" w:rsidRPr="00062615">
        <w:t xml:space="preserve">With respect to temporal variables, </w:t>
      </w:r>
      <w:r w:rsidR="00EA186E">
        <w:t>we consider various functional form</w:t>
      </w:r>
      <w:r w:rsidR="00576095">
        <w:t>s</w:t>
      </w:r>
      <w:r w:rsidR="00EA186E">
        <w:t xml:space="preserve"> including c</w:t>
      </w:r>
      <w:r w:rsidR="00EA186E" w:rsidRPr="009905E3">
        <w:t>ontinuous (linear, square and other polynomial</w:t>
      </w:r>
      <w:r w:rsidR="00EA186E">
        <w:t xml:space="preserve"> </w:t>
      </w:r>
      <w:r w:rsidR="00576095">
        <w:t>form</w:t>
      </w:r>
      <w:r w:rsidR="00811C6B">
        <w:t>s</w:t>
      </w:r>
      <w:r w:rsidR="00EA186E">
        <w:t xml:space="preserve"> </w:t>
      </w:r>
      <w:r w:rsidR="0072521B">
        <w:t>of</w:t>
      </w:r>
      <w:r w:rsidR="00EA186E">
        <w:t xml:space="preserve"> week difference</w:t>
      </w:r>
      <w:r w:rsidR="00EA186E" w:rsidRPr="009905E3">
        <w:t xml:space="preserve">) and indicator variables </w:t>
      </w:r>
      <w:r w:rsidR="009773A8" w:rsidRPr="009905E3">
        <w:t xml:space="preserve">(such as </w:t>
      </w:r>
      <w:r w:rsidR="009773A8">
        <w:t xml:space="preserve">Pandemic effect since </w:t>
      </w:r>
      <w:r w:rsidR="00811C6B">
        <w:t>October 30</w:t>
      </w:r>
      <w:r w:rsidR="00811C6B" w:rsidRPr="00DF1F68">
        <w:rPr>
          <w:vertAlign w:val="superscript"/>
        </w:rPr>
        <w:t>th</w:t>
      </w:r>
      <w:r w:rsidR="00811C6B">
        <w:rPr>
          <w:vertAlign w:val="superscript"/>
        </w:rPr>
        <w:t xml:space="preserve"> </w:t>
      </w:r>
      <w:r w:rsidR="00BF08CD" w:rsidRPr="00003B03">
        <w:t>,2020</w:t>
      </w:r>
      <w:r w:rsidR="00287B61">
        <w:t xml:space="preserve"> </w:t>
      </w:r>
      <w:r w:rsidR="00811C6B" w:rsidRPr="00DF1F68">
        <w:t>(second wave)</w:t>
      </w:r>
      <w:r w:rsidR="009773A8">
        <w:t>, since mid of December and from 25</w:t>
      </w:r>
      <w:r w:rsidR="009773A8" w:rsidRPr="009773A8">
        <w:rPr>
          <w:vertAlign w:val="superscript"/>
        </w:rPr>
        <w:t>th</w:t>
      </w:r>
      <w:r w:rsidR="009773A8">
        <w:t xml:space="preserve"> </w:t>
      </w:r>
      <w:proofErr w:type="gramStart"/>
      <w:r w:rsidR="009773A8">
        <w:t>December</w:t>
      </w:r>
      <w:r w:rsidR="00C40179">
        <w:t>,</w:t>
      </w:r>
      <w:proofErr w:type="gramEnd"/>
      <w:r w:rsidR="00C40179">
        <w:t xml:space="preserve"> 2020</w:t>
      </w:r>
      <w:r w:rsidR="009773A8">
        <w:t xml:space="preserve"> and later). As expected,</w:t>
      </w:r>
      <w:r w:rsidR="00DC0026">
        <w:t xml:space="preserve"> we find a pos</w:t>
      </w:r>
      <w:r w:rsidR="00D3071D">
        <w:t>i</w:t>
      </w:r>
      <w:r w:rsidR="00DC0026">
        <w:t xml:space="preserve">tive </w:t>
      </w:r>
      <w:r w:rsidR="00446F1C">
        <w:t>effect</w:t>
      </w:r>
      <w:r w:rsidR="00DC0026">
        <w:t xml:space="preserve"> of the </w:t>
      </w:r>
      <w:r w:rsidR="00811C6B">
        <w:t xml:space="preserve">second </w:t>
      </w:r>
      <w:r w:rsidR="00D3071D">
        <w:t xml:space="preserve">wave </w:t>
      </w:r>
      <w:r w:rsidR="00915892">
        <w:t xml:space="preserve">variable </w:t>
      </w:r>
      <w:r w:rsidR="00DC0026">
        <w:t xml:space="preserve">indicating a higher hospitalization rate across the country </w:t>
      </w:r>
      <w:r w:rsidR="00576095">
        <w:t xml:space="preserve">from </w:t>
      </w:r>
      <w:r w:rsidR="00BF08CD">
        <w:t xml:space="preserve">October </w:t>
      </w:r>
      <w:r w:rsidR="00B42E37">
        <w:t>30</w:t>
      </w:r>
      <w:r w:rsidR="00B42E37" w:rsidRPr="00DF1F68">
        <w:rPr>
          <w:vertAlign w:val="superscript"/>
        </w:rPr>
        <w:t>th</w:t>
      </w:r>
      <w:r w:rsidR="0032640A" w:rsidRPr="00003B03">
        <w:t>,2020</w:t>
      </w:r>
      <w:r w:rsidR="00DC0026">
        <w:t xml:space="preserve">. </w:t>
      </w:r>
      <w:r w:rsidR="00F6708A">
        <w:t xml:space="preserve">The </w:t>
      </w:r>
      <w:r w:rsidR="00576095">
        <w:t xml:space="preserve">results also indicate that </w:t>
      </w:r>
      <w:r w:rsidR="00F6708A">
        <w:t>hospitalization rate</w:t>
      </w:r>
      <w:r w:rsidR="00903CC3">
        <w:t xml:space="preserve"> </w:t>
      </w:r>
      <w:r w:rsidR="00576095">
        <w:t>for</w:t>
      </w:r>
      <w:r w:rsidR="00903CC3">
        <w:t xml:space="preserve"> COVID patients </w:t>
      </w:r>
      <w:r w:rsidR="00576095">
        <w:t>accelerated</w:t>
      </w:r>
      <w:r w:rsidR="00F6708A">
        <w:t xml:space="preserve"> further from 25</w:t>
      </w:r>
      <w:r w:rsidR="00F6708A" w:rsidRPr="00C66ABE">
        <w:rPr>
          <w:vertAlign w:val="superscript"/>
        </w:rPr>
        <w:t>th</w:t>
      </w:r>
      <w:r w:rsidR="00F6708A">
        <w:t xml:space="preserve"> </w:t>
      </w:r>
      <w:proofErr w:type="gramStart"/>
      <w:r w:rsidR="00F6708A">
        <w:t>December</w:t>
      </w:r>
      <w:r w:rsidR="008C2874">
        <w:t>,</w:t>
      </w:r>
      <w:proofErr w:type="gramEnd"/>
      <w:r w:rsidR="008C2874">
        <w:t xml:space="preserve"> 2020</w:t>
      </w:r>
      <w:r w:rsidR="00F6708A">
        <w:t xml:space="preserve">. </w:t>
      </w:r>
    </w:p>
    <w:p w14:paraId="182A3441" w14:textId="77777777" w:rsidR="009575DE" w:rsidRDefault="009575DE" w:rsidP="009575DE"/>
    <w:p w14:paraId="23369CB5" w14:textId="77777777" w:rsidR="00903242" w:rsidRDefault="009575DE" w:rsidP="00903242">
      <w:r>
        <w:rPr>
          <w:u w:val="single"/>
        </w:rPr>
        <w:t>Correlation</w:t>
      </w:r>
      <w:r w:rsidRPr="002A468B">
        <w:rPr>
          <w:u w:val="single"/>
        </w:rPr>
        <w:t xml:space="preserve"> Factors</w:t>
      </w:r>
      <w:r>
        <w:rPr>
          <w:u w:val="single"/>
        </w:rPr>
        <w:t>:</w:t>
      </w:r>
      <w:r w:rsidRPr="004C378F">
        <w:t xml:space="preserve"> </w:t>
      </w:r>
      <w:r w:rsidR="00903242">
        <w:t>The last row panel of Table 2 present the correlation parameters (</w:t>
      </w:r>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ρ</m:t>
        </m:r>
      </m:oMath>
      <w:r w:rsidR="00903242" w:rsidRPr="00903242">
        <w:t xml:space="preserve"> and </w:t>
      </w:r>
      <m:oMath>
        <m:r>
          <w:rPr>
            <w:rFonts w:ascii="Cambria Math" w:hAnsi="Cambria Math"/>
          </w:rPr>
          <m:t>ϕ</m:t>
        </m:r>
      </m:oMath>
      <w:r w:rsidR="00903242">
        <w:t xml:space="preserve">). The significant effect of the parameters clearly </w:t>
      </w:r>
      <w:proofErr w:type="gramStart"/>
      <w:r w:rsidR="00903242">
        <w:t>highlight</w:t>
      </w:r>
      <w:proofErr w:type="gramEnd"/>
      <w:r w:rsidR="00903242">
        <w:t xml:space="preserve"> the presence of correlation</w:t>
      </w:r>
      <w:r w:rsidR="00903242" w:rsidRPr="00737D24">
        <w:t xml:space="preserve"> </w:t>
      </w:r>
      <w:r w:rsidR="00903242">
        <w:t>affecting</w:t>
      </w:r>
      <w:r w:rsidR="00903242" w:rsidRPr="00737D24">
        <w:t xml:space="preserve"> the</w:t>
      </w:r>
      <w:r w:rsidR="00903242">
        <w:t xml:space="preserve"> county COVID-19 hospitalization rate across multiple observations. </w:t>
      </w:r>
    </w:p>
    <w:p w14:paraId="262355EA" w14:textId="0126A1A0" w:rsidR="009575DE" w:rsidRDefault="009575DE" w:rsidP="009575DE"/>
    <w:p w14:paraId="041C882B" w14:textId="4FAB611E" w:rsidR="0079736C" w:rsidRDefault="0079736C" w:rsidP="0079736C">
      <w:pPr>
        <w:pStyle w:val="Heading1"/>
      </w:pPr>
      <w:r>
        <w:t>DISCUSSION</w:t>
      </w:r>
    </w:p>
    <w:p w14:paraId="0CB8F9B4" w14:textId="50217833" w:rsidR="00193B34" w:rsidRPr="00C66ABE" w:rsidRDefault="00193B34" w:rsidP="004061A4">
      <w:pPr>
        <w:rPr>
          <w:b/>
        </w:rPr>
      </w:pPr>
      <w:r w:rsidRPr="00C66ABE">
        <w:rPr>
          <w:b/>
        </w:rPr>
        <w:t>Hospital demand projection</w:t>
      </w:r>
      <w:r w:rsidR="0085437E" w:rsidRPr="006A1EF4">
        <w:rPr>
          <w:rStyle w:val="FootnoteReference"/>
        </w:rPr>
        <w:footnoteReference w:id="1"/>
      </w:r>
    </w:p>
    <w:p w14:paraId="63EAF736" w14:textId="6132011A" w:rsidR="00A90096" w:rsidRDefault="00260177" w:rsidP="004061A4">
      <w:r>
        <w:t xml:space="preserve">The main objective of the current study is to contribute to public health planning by evaluating how hospitalizations trends evolve over time. </w:t>
      </w:r>
      <w:r w:rsidR="00FC4716">
        <w:t xml:space="preserve">Specifically, the focus is on drawing insights on future demand while accommodating for the inherent uncertainty in future </w:t>
      </w:r>
      <w:r w:rsidR="00067E90">
        <w:t>COVID</w:t>
      </w:r>
      <w:r w:rsidR="00FC4716">
        <w:t xml:space="preserve">-19 transmission. </w:t>
      </w:r>
      <w:r w:rsidR="00067E90">
        <w:t xml:space="preserve">In terms of future COVID-19 transmissions, the reader would note that while COVID-19 virus transmissions are receding currently, the emergence of highly transmissible variants might affect the trajectory. Towards this end, we </w:t>
      </w:r>
      <w:r w:rsidR="003E3418">
        <w:t xml:space="preserve">consider four potential </w:t>
      </w:r>
      <w:r w:rsidR="00067E90">
        <w:t>COVID-19</w:t>
      </w:r>
      <w:r w:rsidR="003E3418">
        <w:t xml:space="preserve"> evolution scenarios</w:t>
      </w:r>
      <w:r w:rsidR="001C6B27">
        <w:t xml:space="preserve"> as follows</w:t>
      </w:r>
      <w:r w:rsidR="003E3418">
        <w:t xml:space="preserve"> </w:t>
      </w:r>
      <w:r w:rsidR="003E3418">
        <w:fldChar w:fldCharType="begin" w:fldLock="1"/>
      </w:r>
      <w:r w:rsidR="00EE4BF1">
        <w:instrText>ADDIN CSL_CITATION {"citationItems":[{"id":"ITEM-1","itemData":{"URL":"https://www.nytimes.com/2020/05/08/health/coronavirus-pandemic-curve-scenarios.html","accessed":{"date-parts":[["2021","2","16"]]},"id":"ITEM-1","issued":{"date-parts":[["0"]]},"title":"This Is the Future of the Pandemic - The New York Times","type":"webpage"},"uris":["http://www.mendeley.com/documents/?uuid=11c5bab0-f617-3f58-a4ed-f0c3822ed361"]}],"mendeley":{"formattedCitation":"&lt;sup&gt;25&lt;/sup&gt;","plainTextFormattedCitation":"25","previouslyFormattedCitation":"&lt;sup&gt;25&lt;/sup&gt;"},"properties":{"noteIndex":0},"schema":"https://github.com/citation-style-language/schema/raw/master/csl-citation.json"}</w:instrText>
      </w:r>
      <w:r w:rsidR="003E3418">
        <w:fldChar w:fldCharType="separate"/>
      </w:r>
      <w:r w:rsidR="00EE4BF1" w:rsidRPr="00EE4BF1">
        <w:rPr>
          <w:noProof/>
          <w:vertAlign w:val="superscript"/>
        </w:rPr>
        <w:t>25</w:t>
      </w:r>
      <w:r w:rsidR="003E3418">
        <w:fldChar w:fldCharType="end"/>
      </w:r>
      <w:r w:rsidR="003E3418">
        <w:t xml:space="preserve">: </w:t>
      </w:r>
    </w:p>
    <w:p w14:paraId="47B7B83A" w14:textId="77777777" w:rsidR="004F79CE" w:rsidRPr="00353A12" w:rsidRDefault="004F79CE" w:rsidP="004F79CE">
      <w:pPr>
        <w:pStyle w:val="ListParagraph"/>
        <w:numPr>
          <w:ilvl w:val="0"/>
          <w:numId w:val="5"/>
        </w:numPr>
        <w:rPr>
          <w:rFonts w:cs="Times New Roman"/>
          <w:szCs w:val="24"/>
        </w:rPr>
      </w:pPr>
      <w:r w:rsidRPr="00377C8A">
        <w:rPr>
          <w:rFonts w:cs="Times New Roman"/>
          <w:i/>
          <w:iCs/>
          <w:szCs w:val="24"/>
          <w:u w:val="single"/>
        </w:rPr>
        <w:t xml:space="preserve">Peak and Valley </w:t>
      </w:r>
      <w:r>
        <w:rPr>
          <w:rFonts w:cs="Times New Roman"/>
          <w:i/>
          <w:iCs/>
          <w:szCs w:val="24"/>
          <w:u w:val="single"/>
        </w:rPr>
        <w:t>(PV)</w:t>
      </w:r>
      <w:r>
        <w:rPr>
          <w:rFonts w:cs="Times New Roman"/>
          <w:szCs w:val="24"/>
        </w:rPr>
        <w:t>:</w:t>
      </w:r>
      <w:r w:rsidRPr="00135832">
        <w:t xml:space="preserve"> </w:t>
      </w:r>
      <w:r w:rsidRPr="00135832">
        <w:rPr>
          <w:rFonts w:cs="Times New Roman"/>
          <w:szCs w:val="24"/>
        </w:rPr>
        <w:t xml:space="preserve">In this scenario, </w:t>
      </w:r>
      <w:r>
        <w:t>COVID-19 cases are assumed to follow a series of repetitive COVID-19 waves (ups and downs) throughout the spring of 2021 and beyond. The waves could be a result of delays in vaccination production and/or vaccination drives resulting in a longer timeframe for COVID-19 cases to reduce.</w:t>
      </w:r>
    </w:p>
    <w:p w14:paraId="7D030202" w14:textId="77777777" w:rsidR="0054392C" w:rsidRDefault="0054392C" w:rsidP="0054392C">
      <w:pPr>
        <w:pStyle w:val="ListParagraph"/>
        <w:numPr>
          <w:ilvl w:val="0"/>
          <w:numId w:val="5"/>
        </w:numPr>
        <w:rPr>
          <w:rFonts w:cs="Times New Roman"/>
          <w:szCs w:val="24"/>
        </w:rPr>
      </w:pPr>
      <w:r>
        <w:rPr>
          <w:rFonts w:cs="Times New Roman"/>
          <w:i/>
          <w:iCs/>
          <w:szCs w:val="24"/>
          <w:u w:val="single"/>
        </w:rPr>
        <w:t>Unexpected Third Spike (UP)</w:t>
      </w:r>
      <w:r>
        <w:rPr>
          <w:rFonts w:cs="Times New Roman"/>
          <w:szCs w:val="24"/>
        </w:rPr>
        <w:t>:</w:t>
      </w:r>
      <w:r w:rsidRPr="00135832">
        <w:t xml:space="preserve"> </w:t>
      </w:r>
      <w:r>
        <w:t xml:space="preserve">In the presence of new variants of COVID-19, a potential spike in COVID-19 transmissions that might occur in March or April is considered in this scenario. In this scenario, while the spike results in increased transmission, active vaccination drive can contribute to case reduction starting from the end of April. </w:t>
      </w:r>
    </w:p>
    <w:p w14:paraId="3761CC8A" w14:textId="77777777" w:rsidR="009636D2" w:rsidRDefault="009636D2" w:rsidP="009636D2">
      <w:pPr>
        <w:pStyle w:val="ListParagraph"/>
        <w:numPr>
          <w:ilvl w:val="0"/>
          <w:numId w:val="5"/>
        </w:numPr>
        <w:rPr>
          <w:rFonts w:cs="Times New Roman"/>
          <w:szCs w:val="24"/>
        </w:rPr>
      </w:pPr>
      <w:r>
        <w:rPr>
          <w:rFonts w:cs="Times New Roman"/>
          <w:i/>
          <w:iCs/>
          <w:szCs w:val="24"/>
          <w:u w:val="single"/>
        </w:rPr>
        <w:t>Slow Burn (SB)</w:t>
      </w:r>
      <w:r>
        <w:rPr>
          <w:rFonts w:cs="Times New Roman"/>
          <w:szCs w:val="24"/>
        </w:rPr>
        <w:t xml:space="preserve">: In this scenario, we assume that the cases will go down slowly in the coming months while not diminishing completely until the end of July.  </w:t>
      </w:r>
    </w:p>
    <w:p w14:paraId="3DF0901E" w14:textId="77777777" w:rsidR="009636D2" w:rsidRPr="006661EC" w:rsidRDefault="009636D2" w:rsidP="009636D2">
      <w:pPr>
        <w:pStyle w:val="ListParagraph"/>
        <w:numPr>
          <w:ilvl w:val="0"/>
          <w:numId w:val="5"/>
        </w:numPr>
        <w:rPr>
          <w:rFonts w:cs="Times New Roman"/>
          <w:szCs w:val="24"/>
        </w:rPr>
      </w:pPr>
      <w:r>
        <w:rPr>
          <w:rFonts w:cs="Times New Roman"/>
          <w:i/>
          <w:iCs/>
          <w:szCs w:val="24"/>
          <w:u w:val="single"/>
        </w:rPr>
        <w:t>Rapid Vaccination (RV)</w:t>
      </w:r>
      <w:r w:rsidRPr="008045B1">
        <w:rPr>
          <w:rFonts w:cs="Times New Roman"/>
          <w:szCs w:val="24"/>
        </w:rPr>
        <w:t>:</w:t>
      </w:r>
      <w:r>
        <w:rPr>
          <w:rFonts w:cs="Times New Roman"/>
          <w:szCs w:val="24"/>
        </w:rPr>
        <w:t xml:space="preserve"> It is possible that multiple vaccine candidates might be approved (</w:t>
      </w:r>
      <w:r>
        <w:t xml:space="preserve">such as Johnson and Johnson and others) </w:t>
      </w:r>
      <w:proofErr w:type="gramStart"/>
      <w:r>
        <w:t>in the near future</w:t>
      </w:r>
      <w:proofErr w:type="gramEnd"/>
      <w:r>
        <w:t xml:space="preserve"> rapidly increasing US vaccination rates. In this scenario, COVID-19 transmission rates are likely to reduce and reach a very manageable level early summer. </w:t>
      </w:r>
    </w:p>
    <w:p w14:paraId="50D59B66" w14:textId="77777777" w:rsidR="009636D2" w:rsidRPr="00DC615E" w:rsidRDefault="009636D2" w:rsidP="009636D2">
      <w:pPr>
        <w:ind w:firstLine="720"/>
      </w:pPr>
      <w:r>
        <w:rPr>
          <w:rFonts w:cs="Times New Roman"/>
          <w:szCs w:val="24"/>
        </w:rPr>
        <w:t xml:space="preserve">The first two scenarios represent a pessimistic outlook towards COVID-19 transmission while the scenarios 3 and 4 represent an optimistic outlook. Figure 2 provides a representation of future COVID-19 transmission for the four scenarios described. The scenarios are generated employing percentage changes in cases at a county level thus ensuring spatial variability in the country. The spectrum of scenarios will enable us to examine the variation in hospital bed and ICU demand in the future. The reader would note here that mobility trends will also influence COVID-19 hospitalization demand. However, to focus on COVID-19 transmission trends, we consider the same mobility profile across all four scenarios (Figure A.2). </w:t>
      </w:r>
    </w:p>
    <w:p w14:paraId="64BDD8B5" w14:textId="2E856E4C" w:rsidR="00756408" w:rsidRDefault="00756408" w:rsidP="00D35C5E">
      <w:pPr>
        <w:ind w:firstLine="720"/>
        <w:sectPr w:rsidR="00756408">
          <w:pgSz w:w="12240" w:h="15840"/>
          <w:pgMar w:top="1440" w:right="1440" w:bottom="1440" w:left="1440" w:header="720" w:footer="720" w:gutter="0"/>
          <w:cols w:space="720"/>
          <w:docGrid w:linePitch="360"/>
        </w:sectPr>
      </w:pPr>
    </w:p>
    <w:p w14:paraId="1E6E273D" w14:textId="7EAE71F2" w:rsidR="00A90096" w:rsidRDefault="00A6570C" w:rsidP="00954826">
      <w:pPr>
        <w:tabs>
          <w:tab w:val="left" w:pos="12870"/>
        </w:tabs>
        <w:jc w:val="center"/>
      </w:pPr>
      <w:r>
        <w:rPr>
          <w:noProof/>
        </w:rPr>
        <w:lastRenderedPageBreak/>
        <w:drawing>
          <wp:inline distT="0" distB="0" distL="0" distR="0" wp14:anchorId="05565025" wp14:editId="68C829BD">
            <wp:extent cx="8372600" cy="33832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72600" cy="3383280"/>
                    </a:xfrm>
                    <a:prstGeom prst="rect">
                      <a:avLst/>
                    </a:prstGeom>
                  </pic:spPr>
                </pic:pic>
              </a:graphicData>
            </a:graphic>
          </wp:inline>
        </w:drawing>
      </w:r>
    </w:p>
    <w:p w14:paraId="02E41260" w14:textId="77777777" w:rsidR="00A90096" w:rsidRDefault="00A90096" w:rsidP="00A90096">
      <w:pPr>
        <w:jc w:val="center"/>
        <w:rPr>
          <w:rFonts w:cs="Times New Roman"/>
          <w:szCs w:val="24"/>
        </w:rPr>
      </w:pPr>
      <w:r w:rsidRPr="00A263EA">
        <w:rPr>
          <w:rFonts w:cs="Times New Roman"/>
          <w:b/>
          <w:bCs/>
          <w:szCs w:val="24"/>
        </w:rPr>
        <w:t xml:space="preserve">Figure </w:t>
      </w:r>
      <w:r>
        <w:rPr>
          <w:rFonts w:cs="Times New Roman"/>
          <w:b/>
          <w:bCs/>
          <w:szCs w:val="24"/>
        </w:rPr>
        <w:t>2</w:t>
      </w:r>
      <w:r w:rsidRPr="00A263EA">
        <w:rPr>
          <w:rFonts w:cs="Times New Roman"/>
          <w:b/>
          <w:bCs/>
          <w:szCs w:val="24"/>
        </w:rPr>
        <w:t>:</w:t>
      </w:r>
      <w:r>
        <w:rPr>
          <w:rFonts w:cs="Times New Roman"/>
          <w:szCs w:val="24"/>
        </w:rPr>
        <w:t xml:space="preserve"> A Representation of the Assumed Scenarios of the COVID-19 Transmission Rate in Future</w:t>
      </w:r>
    </w:p>
    <w:p w14:paraId="51F77C73" w14:textId="77777777" w:rsidR="00A90096" w:rsidRDefault="00A90096" w:rsidP="004061A4">
      <w:pPr>
        <w:sectPr w:rsidR="00A90096" w:rsidSect="00A90096">
          <w:pgSz w:w="15840" w:h="12240" w:orient="landscape"/>
          <w:pgMar w:top="1440" w:right="1440" w:bottom="1440" w:left="1440" w:header="720" w:footer="720" w:gutter="0"/>
          <w:cols w:space="720"/>
          <w:docGrid w:linePitch="360"/>
        </w:sectPr>
      </w:pPr>
    </w:p>
    <w:p w14:paraId="5B09E7B2" w14:textId="77777777" w:rsidR="001B3EB3" w:rsidRDefault="001B3EB3" w:rsidP="001B3EB3">
      <w:pPr>
        <w:ind w:firstLine="720"/>
        <w:rPr>
          <w:rFonts w:cs="Times New Roman"/>
          <w:szCs w:val="24"/>
        </w:rPr>
      </w:pPr>
      <w:r>
        <w:rPr>
          <w:rFonts w:cs="Times New Roman"/>
          <w:szCs w:val="24"/>
        </w:rPr>
        <w:lastRenderedPageBreak/>
        <w:t>For these four scenarios, we forecasted hospital and ICU capacity using the proposed linear mixed model for all counties considered in the analysis over the next 22 weeks (March 5</w:t>
      </w:r>
      <w:r w:rsidRPr="0033197D">
        <w:rPr>
          <w:rFonts w:cs="Times New Roman"/>
          <w:szCs w:val="24"/>
          <w:vertAlign w:val="superscript"/>
        </w:rPr>
        <w:t>th</w:t>
      </w:r>
      <w:r>
        <w:rPr>
          <w:rFonts w:cs="Times New Roman"/>
          <w:szCs w:val="24"/>
        </w:rPr>
        <w:t xml:space="preserve">  to August 6</w:t>
      </w:r>
      <w:r w:rsidRPr="005E1CD9">
        <w:rPr>
          <w:rFonts w:cs="Times New Roman"/>
          <w:szCs w:val="24"/>
          <w:vertAlign w:val="superscript"/>
        </w:rPr>
        <w:t>th</w:t>
      </w:r>
      <w:r>
        <w:rPr>
          <w:rFonts w:cs="Times New Roman"/>
          <w:szCs w:val="24"/>
        </w:rPr>
        <w:t xml:space="preserve">). The model predictions at the county level can be appropriately aggregated to any spatial resolution to provide insights at the national, regional, state and county level. </w:t>
      </w:r>
    </w:p>
    <w:p w14:paraId="6341E5A5" w14:textId="503D86AA" w:rsidR="00165D19" w:rsidRDefault="00165D19" w:rsidP="00165D19">
      <w:pPr>
        <w:ind w:firstLine="720"/>
        <w:rPr>
          <w:rFonts w:cs="Times New Roman"/>
          <w:szCs w:val="24"/>
        </w:rPr>
      </w:pPr>
      <w:r>
        <w:rPr>
          <w:rFonts w:cs="Times New Roman"/>
          <w:szCs w:val="24"/>
        </w:rPr>
        <w:t xml:space="preserve">A national and regional outlook for hospitalization and ICU rates </w:t>
      </w:r>
      <w:proofErr w:type="gramStart"/>
      <w:r>
        <w:rPr>
          <w:rFonts w:cs="Times New Roman"/>
          <w:szCs w:val="24"/>
        </w:rPr>
        <w:t>are</w:t>
      </w:r>
      <w:proofErr w:type="gramEnd"/>
      <w:r>
        <w:rPr>
          <w:rFonts w:cs="Times New Roman"/>
          <w:szCs w:val="24"/>
        </w:rPr>
        <w:t xml:space="preserve"> provided in Figure 3a and 3b for the scenarios. In this set of figures, we present results for US, North-East and West regions for ease of presentation (results for other regions are presented in supplemental material – Figures A.3, and A.4). The results for all the scenarios follow expected trends</w:t>
      </w:r>
      <w:r w:rsidR="008310FA">
        <w:rPr>
          <w:rFonts w:cs="Times New Roman"/>
          <w:szCs w:val="24"/>
        </w:rPr>
        <w:t xml:space="preserve"> -</w:t>
      </w:r>
      <w:r>
        <w:rPr>
          <w:rFonts w:cs="Times New Roman"/>
          <w:szCs w:val="24"/>
        </w:rPr>
        <w:t xml:space="preserve"> with the pessimistic scenarios showing higher demand and optimistic scenarios presenting with lower demand. The national results also clearly indicate that national hospital supply can meet the demand under all scenarios. However, it is important to recognize that excess demand in a county/region cannot be transferred to a county/region with deficit. An examination of the hospitalization and ICU rates in North-East and West reinforces this point. Under pessimistic scenarios, capacity in the North-East and West regions might come near the  maximum available capacity (≥ 90%). Specifically, North-East region might experience a supply-demand mismatch for hospital beds while ICU supply-demand mismatch is expected to </w:t>
      </w:r>
      <w:r w:rsidR="008310FA">
        <w:rPr>
          <w:rFonts w:cs="Times New Roman"/>
          <w:szCs w:val="24"/>
        </w:rPr>
        <w:t xml:space="preserve">be </w:t>
      </w:r>
      <w:r>
        <w:rPr>
          <w:rFonts w:cs="Times New Roman"/>
          <w:szCs w:val="24"/>
        </w:rPr>
        <w:t xml:space="preserve">more likely in the West region. These results reflect inherent regional and demographic differences across the country. </w:t>
      </w:r>
    </w:p>
    <w:p w14:paraId="7213E286" w14:textId="00279889" w:rsidR="00165D19" w:rsidRDefault="00165D19" w:rsidP="00165D19">
      <w:pPr>
        <w:ind w:firstLine="720"/>
        <w:rPr>
          <w:rFonts w:cs="Times New Roman"/>
          <w:szCs w:val="24"/>
        </w:rPr>
      </w:pPr>
      <w:r>
        <w:rPr>
          <w:rFonts w:cs="Times New Roman"/>
          <w:szCs w:val="24"/>
        </w:rPr>
        <w:t xml:space="preserve">To further understand the potential mismatch in demand and supply, we examine what percentage of the counties (out of 1,765) </w:t>
      </w:r>
      <w:r w:rsidR="00B83CCF">
        <w:rPr>
          <w:rFonts w:cs="Times New Roman"/>
          <w:szCs w:val="24"/>
        </w:rPr>
        <w:t xml:space="preserve">might </w:t>
      </w:r>
      <w:r>
        <w:rPr>
          <w:rFonts w:cs="Times New Roman"/>
          <w:szCs w:val="24"/>
        </w:rPr>
        <w:t xml:space="preserve">potentially experience a supply and demand mismatch  – defined as at least 90% hospital beds and ICU units being used. We also identify the percentage of counties with at least 25% of hospital beds or ICU units allocated to COVID-19 patients for the four scenarios. The results of this exercise, presented in Figure 4, indicate that hospitalization rates exceed 90% in a range between 13- 30% while for ICU usage, the rate vary from 3.5-5.5% of counties across the four scenarios. The number of counties with more than 25% COVID-19 hospitalizations (3-16%) or ICU usage (27-50%) varies significantly across the scenarios. </w:t>
      </w:r>
    </w:p>
    <w:p w14:paraId="7FE62AFB" w14:textId="0A135F05" w:rsidR="00165D19" w:rsidRDefault="00165D19" w:rsidP="00165D19">
      <w:pPr>
        <w:ind w:firstLine="720"/>
        <w:rPr>
          <w:rFonts w:cs="Times New Roman"/>
          <w:szCs w:val="24"/>
        </w:rPr>
      </w:pPr>
      <w:r>
        <w:rPr>
          <w:rFonts w:cs="Times New Roman"/>
          <w:szCs w:val="24"/>
        </w:rPr>
        <w:t xml:space="preserve">The results presented so far examine the trends over time. To illustrate our model applicability for county level analysis at a specific time point, we present the results of two scenarios - PV and RV – in July across the states of California and Florida in Figures 5a and 5b. The figures provide the following measures: a) county level hospitalization and ICU capacity usage, and b) number of counties within each category. As expected, higher number of counties are at risk of exceeding capacity in the PV scenario compared to the RV scenario in both states. The figures show how employing the proposed model system, counties at risk at any future time point can be identified to suggest remedial measures such as increasing the staff resources and/or hospital resources as needed. A </w:t>
      </w:r>
      <w:proofErr w:type="gramStart"/>
      <w:r>
        <w:rPr>
          <w:rFonts w:cs="Times New Roman"/>
          <w:szCs w:val="24"/>
        </w:rPr>
        <w:t>state by state</w:t>
      </w:r>
      <w:proofErr w:type="gramEnd"/>
      <w:r>
        <w:rPr>
          <w:rFonts w:cs="Times New Roman"/>
          <w:szCs w:val="24"/>
        </w:rPr>
        <w:t xml:space="preserve"> analysis of hospital capacity usage is presented in Figure A.5.  </w:t>
      </w:r>
    </w:p>
    <w:p w14:paraId="3C0BEC93" w14:textId="0CC8D195" w:rsidR="00165D19" w:rsidRDefault="00165D19" w:rsidP="00165D19">
      <w:pPr>
        <w:ind w:firstLine="720"/>
        <w:rPr>
          <w:rFonts w:cs="Times New Roman"/>
          <w:szCs w:val="24"/>
        </w:rPr>
      </w:pPr>
      <w:r>
        <w:rPr>
          <w:rFonts w:cs="Times New Roman"/>
          <w:szCs w:val="24"/>
        </w:rPr>
        <w:t>In summary, the framework proposed for understanding and quantifying hospitalization rate can allow policy makers to a) evaluate the impact of COVID-19 virus transmission on hospitalization and ICU rates while controlling for demographics, health indicators and mobility trends so as to identify vulnerable counties that need to prioritized for vaccination; b) estimate the hospitalization and ICU rates at the county, state level to identify COVID-19 transmission trends under a host of future scenarios (c) Identify vulnerable locations</w:t>
      </w:r>
      <w:r w:rsidRPr="007C1206">
        <w:rPr>
          <w:rFonts w:cs="Times New Roman"/>
          <w:szCs w:val="24"/>
        </w:rPr>
        <w:t xml:space="preserve"> </w:t>
      </w:r>
      <w:r>
        <w:rPr>
          <w:rFonts w:cs="Times New Roman"/>
          <w:szCs w:val="24"/>
        </w:rPr>
        <w:t>with low projected hospital and ICU capacity  (County/State/Region) in advance so that remedial measures can be adopted to provide additional hospital infrastructure and access to personnel and (d) Develop a comprehensive plan for assisting hospital systems across the country to address displaced demand due to COV</w:t>
      </w:r>
      <w:r w:rsidR="00125E6F">
        <w:rPr>
          <w:rFonts w:cs="Times New Roman"/>
          <w:szCs w:val="24"/>
        </w:rPr>
        <w:t>I</w:t>
      </w:r>
      <w:r>
        <w:rPr>
          <w:rFonts w:cs="Times New Roman"/>
          <w:szCs w:val="24"/>
        </w:rPr>
        <w:t xml:space="preserve">D-19. </w:t>
      </w:r>
    </w:p>
    <w:p w14:paraId="014A67A9" w14:textId="2A2F3990" w:rsidR="00C836BB" w:rsidRDefault="00C836BB" w:rsidP="00B03DD4">
      <w:pPr>
        <w:tabs>
          <w:tab w:val="left" w:pos="1500"/>
        </w:tabs>
        <w:sectPr w:rsidR="00C836BB">
          <w:pgSz w:w="12240" w:h="15840"/>
          <w:pgMar w:top="1440" w:right="1440" w:bottom="1440" w:left="1440" w:header="720" w:footer="720" w:gutter="0"/>
          <w:cols w:space="720"/>
          <w:docGrid w:linePitch="360"/>
        </w:sectPr>
      </w:pPr>
    </w:p>
    <w:p w14:paraId="47E24A00" w14:textId="684EB7F9" w:rsidR="00F42A99" w:rsidRDefault="005F0F4F" w:rsidP="009575DE">
      <w:pPr>
        <w:jc w:val="center"/>
      </w:pPr>
      <w:r>
        <w:rPr>
          <w:noProof/>
        </w:rPr>
        <w:lastRenderedPageBreak/>
        <w:drawing>
          <wp:inline distT="0" distB="0" distL="0" distR="0" wp14:anchorId="67B50C62" wp14:editId="70487758">
            <wp:extent cx="6321159" cy="5669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1159" cy="5669280"/>
                    </a:xfrm>
                    <a:prstGeom prst="rect">
                      <a:avLst/>
                    </a:prstGeom>
                    <a:noFill/>
                  </pic:spPr>
                </pic:pic>
              </a:graphicData>
            </a:graphic>
          </wp:inline>
        </w:drawing>
      </w:r>
    </w:p>
    <w:p w14:paraId="2E0EF138" w14:textId="7A71CFB6" w:rsidR="00C7051F" w:rsidRDefault="00C7051F" w:rsidP="00C7051F">
      <w:pPr>
        <w:jc w:val="center"/>
        <w:rPr>
          <w:rFonts w:cs="Times New Roman"/>
          <w:szCs w:val="24"/>
        </w:rPr>
      </w:pPr>
      <w:r w:rsidRPr="00A263EA">
        <w:rPr>
          <w:rFonts w:cs="Times New Roman"/>
          <w:b/>
          <w:bCs/>
          <w:szCs w:val="24"/>
        </w:rPr>
        <w:t xml:space="preserve">Figure </w:t>
      </w:r>
      <w:r w:rsidR="00F05399">
        <w:rPr>
          <w:rFonts w:cs="Times New Roman"/>
          <w:b/>
          <w:bCs/>
          <w:szCs w:val="24"/>
        </w:rPr>
        <w:t>3a</w:t>
      </w:r>
      <w:r w:rsidRPr="00A263EA">
        <w:rPr>
          <w:rFonts w:cs="Times New Roman"/>
          <w:b/>
          <w:bCs/>
          <w:szCs w:val="24"/>
        </w:rPr>
        <w:t>:</w:t>
      </w:r>
      <w:r>
        <w:rPr>
          <w:rFonts w:cs="Times New Roman"/>
          <w:szCs w:val="24"/>
        </w:rPr>
        <w:t xml:space="preserve"> </w:t>
      </w:r>
      <w:r w:rsidR="00A07F0B">
        <w:rPr>
          <w:rFonts w:cs="Times New Roman"/>
          <w:szCs w:val="24"/>
        </w:rPr>
        <w:t>Future Hospital Capacity Across the Country and Regions</w:t>
      </w:r>
      <w:r w:rsidR="00F1615F">
        <w:rPr>
          <w:rFonts w:cs="Times New Roman"/>
          <w:szCs w:val="24"/>
        </w:rPr>
        <w:t xml:space="preserve"> (West and North-east)</w:t>
      </w:r>
      <w:r w:rsidR="00A07F0B">
        <w:rPr>
          <w:rFonts w:cs="Times New Roman"/>
          <w:szCs w:val="24"/>
        </w:rPr>
        <w:t xml:space="preserve"> Based on the Hypothetical Scenarios</w:t>
      </w:r>
    </w:p>
    <w:p w14:paraId="7660BD7E" w14:textId="12A8EDEC" w:rsidR="00CB0430" w:rsidRDefault="00F10758" w:rsidP="00CB0430">
      <w:pPr>
        <w:jc w:val="center"/>
      </w:pPr>
      <w:r>
        <w:rPr>
          <w:noProof/>
        </w:rPr>
        <w:lastRenderedPageBreak/>
        <w:drawing>
          <wp:inline distT="0" distB="0" distL="0" distR="0" wp14:anchorId="56ED9D89" wp14:editId="7CD3E32C">
            <wp:extent cx="6314588" cy="5669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4588" cy="5669280"/>
                    </a:xfrm>
                    <a:prstGeom prst="rect">
                      <a:avLst/>
                    </a:prstGeom>
                    <a:noFill/>
                  </pic:spPr>
                </pic:pic>
              </a:graphicData>
            </a:graphic>
          </wp:inline>
        </w:drawing>
      </w:r>
    </w:p>
    <w:p w14:paraId="67216222" w14:textId="7F35BC94" w:rsidR="0083470B" w:rsidRDefault="00CB0430" w:rsidP="0083470B">
      <w:pPr>
        <w:jc w:val="center"/>
        <w:rPr>
          <w:rFonts w:cs="Times New Roman"/>
          <w:szCs w:val="24"/>
        </w:rPr>
      </w:pPr>
      <w:r w:rsidRPr="00A263EA">
        <w:rPr>
          <w:rFonts w:cs="Times New Roman"/>
          <w:b/>
          <w:bCs/>
          <w:szCs w:val="24"/>
        </w:rPr>
        <w:t xml:space="preserve">Figure </w:t>
      </w:r>
      <w:r>
        <w:rPr>
          <w:rFonts w:cs="Times New Roman"/>
          <w:b/>
          <w:bCs/>
          <w:szCs w:val="24"/>
        </w:rPr>
        <w:t>3</w:t>
      </w:r>
      <w:r w:rsidR="00DA3AAF">
        <w:rPr>
          <w:rFonts w:cs="Times New Roman"/>
          <w:b/>
          <w:bCs/>
          <w:szCs w:val="24"/>
        </w:rPr>
        <w:t>b</w:t>
      </w:r>
      <w:r w:rsidRPr="00A263EA">
        <w:rPr>
          <w:rFonts w:cs="Times New Roman"/>
          <w:b/>
          <w:bCs/>
          <w:szCs w:val="24"/>
        </w:rPr>
        <w:t>:</w:t>
      </w:r>
      <w:r>
        <w:rPr>
          <w:rFonts w:cs="Times New Roman"/>
          <w:szCs w:val="24"/>
        </w:rPr>
        <w:t xml:space="preserve"> </w:t>
      </w:r>
      <w:r w:rsidR="0083470B">
        <w:rPr>
          <w:rFonts w:cs="Times New Roman"/>
          <w:szCs w:val="24"/>
        </w:rPr>
        <w:t xml:space="preserve">Future </w:t>
      </w:r>
      <w:r w:rsidR="00EB4D15">
        <w:rPr>
          <w:rFonts w:cs="Times New Roman"/>
          <w:szCs w:val="24"/>
        </w:rPr>
        <w:t>ICU</w:t>
      </w:r>
      <w:r w:rsidR="0083470B">
        <w:rPr>
          <w:rFonts w:cs="Times New Roman"/>
          <w:szCs w:val="24"/>
        </w:rPr>
        <w:t xml:space="preserve"> Capacity Across the Country and Regions (West and North-east) Based on the Hypothetical Scenarios</w:t>
      </w:r>
    </w:p>
    <w:p w14:paraId="7852874D" w14:textId="06BEB003" w:rsidR="00CB0430" w:rsidRDefault="00CB0430" w:rsidP="00CB0430">
      <w:pPr>
        <w:jc w:val="center"/>
        <w:rPr>
          <w:rFonts w:cs="Times New Roman"/>
          <w:szCs w:val="24"/>
        </w:rPr>
      </w:pPr>
    </w:p>
    <w:p w14:paraId="34869574" w14:textId="77777777" w:rsidR="00331D24" w:rsidRDefault="00331D24" w:rsidP="00CB0430">
      <w:pPr>
        <w:jc w:val="center"/>
        <w:rPr>
          <w:rFonts w:cs="Times New Roman"/>
          <w:szCs w:val="24"/>
        </w:rPr>
      </w:pPr>
    </w:p>
    <w:p w14:paraId="1F4D5FCB" w14:textId="174EBB36" w:rsidR="00CB0430" w:rsidRDefault="0045017C" w:rsidP="00C7051F">
      <w:pPr>
        <w:jc w:val="center"/>
        <w:rPr>
          <w:rFonts w:cs="Times New Roman"/>
          <w:szCs w:val="24"/>
        </w:rPr>
      </w:pPr>
      <w:r>
        <w:rPr>
          <w:rFonts w:cs="Times New Roman"/>
          <w:noProof/>
          <w:szCs w:val="24"/>
        </w:rPr>
        <w:drawing>
          <wp:inline distT="0" distB="0" distL="0" distR="0" wp14:anchorId="354C97E5" wp14:editId="7A5AD3FB">
            <wp:extent cx="8093656" cy="393192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3656" cy="3931920"/>
                    </a:xfrm>
                    <a:prstGeom prst="rect">
                      <a:avLst/>
                    </a:prstGeom>
                    <a:noFill/>
                  </pic:spPr>
                </pic:pic>
              </a:graphicData>
            </a:graphic>
          </wp:inline>
        </w:drawing>
      </w:r>
    </w:p>
    <w:p w14:paraId="275BBE1D" w14:textId="77777777" w:rsidR="003B776C" w:rsidRDefault="003B776C" w:rsidP="00B125CF">
      <w:pPr>
        <w:jc w:val="center"/>
        <w:rPr>
          <w:rFonts w:cs="Times New Roman"/>
          <w:szCs w:val="24"/>
        </w:rPr>
      </w:pPr>
      <w:r w:rsidRPr="00A263EA">
        <w:rPr>
          <w:rFonts w:cs="Times New Roman"/>
          <w:b/>
          <w:bCs/>
          <w:szCs w:val="24"/>
        </w:rPr>
        <w:t xml:space="preserve">Figure </w:t>
      </w:r>
      <w:r>
        <w:rPr>
          <w:rFonts w:cs="Times New Roman"/>
          <w:b/>
          <w:bCs/>
          <w:szCs w:val="24"/>
        </w:rPr>
        <w:t>4</w:t>
      </w:r>
      <w:r w:rsidRPr="00A263EA">
        <w:rPr>
          <w:rFonts w:cs="Times New Roman"/>
          <w:b/>
          <w:bCs/>
          <w:szCs w:val="24"/>
        </w:rPr>
        <w:t>:</w:t>
      </w:r>
      <w:r w:rsidR="00622F46">
        <w:rPr>
          <w:rFonts w:cs="Times New Roman"/>
          <w:szCs w:val="24"/>
        </w:rPr>
        <w:t xml:space="preserve"> </w:t>
      </w:r>
      <w:r w:rsidR="00B125CF">
        <w:rPr>
          <w:rFonts w:cs="Times New Roman"/>
          <w:szCs w:val="24"/>
        </w:rPr>
        <w:t xml:space="preserve"> Number of Counties with Capacity over 90% and COVID Patients  Over 25%</w:t>
      </w:r>
    </w:p>
    <w:p w14:paraId="64678F83" w14:textId="72B47FF3" w:rsidR="00177CC4" w:rsidRDefault="00177CC4" w:rsidP="00FA1877">
      <w:pPr>
        <w:tabs>
          <w:tab w:val="left" w:pos="12870"/>
        </w:tabs>
        <w:jc w:val="left"/>
        <w:rPr>
          <w:rFonts w:cs="Times New Roman"/>
          <w:szCs w:val="24"/>
        </w:rPr>
      </w:pPr>
    </w:p>
    <w:p w14:paraId="3139CB32" w14:textId="2F12F951" w:rsidR="00574904" w:rsidRDefault="0054326D" w:rsidP="00E86E06">
      <w:pPr>
        <w:jc w:val="left"/>
        <w:rPr>
          <w:rFonts w:cs="Times New Roman"/>
          <w:szCs w:val="24"/>
        </w:rPr>
      </w:pPr>
      <w:r>
        <w:rPr>
          <w:rFonts w:cs="Times New Roman"/>
          <w:szCs w:val="24"/>
        </w:rPr>
        <w:t xml:space="preserve"> </w:t>
      </w:r>
    </w:p>
    <w:p w14:paraId="27AB6764" w14:textId="4E905949" w:rsidR="00E86E06" w:rsidRDefault="00E86E06" w:rsidP="00E86E06">
      <w:pPr>
        <w:jc w:val="left"/>
        <w:rPr>
          <w:rFonts w:cs="Times New Roman"/>
          <w:szCs w:val="24"/>
        </w:rPr>
      </w:pPr>
    </w:p>
    <w:p w14:paraId="2311B346" w14:textId="15A9098F" w:rsidR="00DA5D7D" w:rsidRDefault="00DA5D7D" w:rsidP="00DA5D7D">
      <w:pPr>
        <w:tabs>
          <w:tab w:val="left" w:pos="12870"/>
        </w:tabs>
        <w:jc w:val="left"/>
        <w:rPr>
          <w:rFonts w:cs="Times New Roman"/>
          <w:szCs w:val="24"/>
        </w:rPr>
      </w:pPr>
    </w:p>
    <w:p w14:paraId="79175C2B" w14:textId="10E06468" w:rsidR="00DA5D7D" w:rsidRDefault="00DA5D7D" w:rsidP="00DA5D7D">
      <w:pPr>
        <w:jc w:val="left"/>
        <w:rPr>
          <w:rFonts w:cs="Times New Roman"/>
          <w:szCs w:val="24"/>
        </w:rPr>
      </w:pPr>
      <w:r>
        <w:rPr>
          <w:rFonts w:cs="Times New Roman"/>
          <w:szCs w:val="24"/>
        </w:rPr>
        <w:t xml:space="preserve"> </w:t>
      </w:r>
    </w:p>
    <w:p w14:paraId="3994A3C2" w14:textId="69552A8D" w:rsidR="00413FB8" w:rsidRPr="00B125CF" w:rsidRDefault="00413FB8" w:rsidP="00B125CF">
      <w:pPr>
        <w:jc w:val="center"/>
        <w:rPr>
          <w:rFonts w:cs="Times New Roman"/>
          <w:szCs w:val="24"/>
        </w:rPr>
        <w:sectPr w:rsidR="00413FB8" w:rsidRPr="00B125CF" w:rsidSect="004F7E28">
          <w:pgSz w:w="15840" w:h="12240" w:orient="landscape"/>
          <w:pgMar w:top="1440" w:right="1440" w:bottom="1440" w:left="1440" w:header="720" w:footer="720" w:gutter="0"/>
          <w:cols w:space="720"/>
          <w:docGrid w:linePitch="360"/>
        </w:sectPr>
      </w:pPr>
    </w:p>
    <w:p w14:paraId="2F49AB68" w14:textId="77777777" w:rsidR="00364DE1" w:rsidRDefault="00364DE1" w:rsidP="00364DE1">
      <w:pPr>
        <w:jc w:val="center"/>
        <w:rPr>
          <w:rFonts w:cs="Times New Roman"/>
          <w:szCs w:val="24"/>
        </w:rPr>
      </w:pPr>
      <w:r>
        <w:rPr>
          <w:rFonts w:cs="Times New Roman"/>
          <w:noProof/>
          <w:szCs w:val="24"/>
        </w:rPr>
        <w:lastRenderedPageBreak/>
        <w:drawing>
          <wp:inline distT="0" distB="0" distL="0" distR="0" wp14:anchorId="0FC2D423" wp14:editId="4050FF8F">
            <wp:extent cx="6759477" cy="54864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9477" cy="5486400"/>
                    </a:xfrm>
                    <a:prstGeom prst="rect">
                      <a:avLst/>
                    </a:prstGeom>
                    <a:noFill/>
                  </pic:spPr>
                </pic:pic>
              </a:graphicData>
            </a:graphic>
          </wp:inline>
        </w:drawing>
      </w:r>
    </w:p>
    <w:p w14:paraId="384179B7" w14:textId="77777777" w:rsidR="00364DE1" w:rsidRDefault="00364DE1" w:rsidP="00364DE1">
      <w:pPr>
        <w:jc w:val="center"/>
        <w:rPr>
          <w:rFonts w:cs="Times New Roman"/>
          <w:szCs w:val="24"/>
        </w:rPr>
      </w:pPr>
      <w:r w:rsidRPr="00A263EA">
        <w:rPr>
          <w:rFonts w:cs="Times New Roman"/>
          <w:b/>
          <w:bCs/>
          <w:szCs w:val="24"/>
        </w:rPr>
        <w:t xml:space="preserve">Figure </w:t>
      </w:r>
      <w:r>
        <w:rPr>
          <w:rFonts w:cs="Times New Roman"/>
          <w:b/>
          <w:bCs/>
          <w:szCs w:val="24"/>
        </w:rPr>
        <w:t>5a</w:t>
      </w:r>
      <w:r w:rsidRPr="00A263EA">
        <w:rPr>
          <w:rFonts w:cs="Times New Roman"/>
          <w:b/>
          <w:bCs/>
          <w:szCs w:val="24"/>
        </w:rPr>
        <w:t>:</w:t>
      </w:r>
      <w:r>
        <w:rPr>
          <w:rFonts w:cs="Times New Roman"/>
          <w:szCs w:val="24"/>
        </w:rPr>
        <w:t xml:space="preserve">  Future Hospital Capacity at Counties (California) Based on the Hypothetical Scenarios</w:t>
      </w:r>
    </w:p>
    <w:p w14:paraId="42E73F84" w14:textId="77777777" w:rsidR="00364DE1" w:rsidRDefault="00364DE1" w:rsidP="00364DE1">
      <w:pPr>
        <w:jc w:val="center"/>
        <w:rPr>
          <w:rFonts w:cs="Times New Roman"/>
          <w:szCs w:val="24"/>
        </w:rPr>
      </w:pPr>
      <w:r>
        <w:rPr>
          <w:rFonts w:cs="Times New Roman"/>
          <w:noProof/>
          <w:szCs w:val="24"/>
        </w:rPr>
        <w:lastRenderedPageBreak/>
        <w:drawing>
          <wp:inline distT="0" distB="0" distL="0" distR="0" wp14:anchorId="7E68D74E" wp14:editId="1718BAAF">
            <wp:extent cx="6572250" cy="4919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0" cy="4919980"/>
                    </a:xfrm>
                    <a:prstGeom prst="rect">
                      <a:avLst/>
                    </a:prstGeom>
                    <a:noFill/>
                  </pic:spPr>
                </pic:pic>
              </a:graphicData>
            </a:graphic>
          </wp:inline>
        </w:drawing>
      </w:r>
    </w:p>
    <w:p w14:paraId="3C7C8338" w14:textId="77777777" w:rsidR="00364DE1" w:rsidRDefault="00364DE1" w:rsidP="00364DE1">
      <w:pPr>
        <w:jc w:val="center"/>
        <w:rPr>
          <w:rFonts w:cs="Times New Roman"/>
          <w:szCs w:val="24"/>
        </w:rPr>
      </w:pPr>
      <w:r w:rsidRPr="00A263EA">
        <w:rPr>
          <w:rFonts w:cs="Times New Roman"/>
          <w:b/>
          <w:bCs/>
          <w:szCs w:val="24"/>
        </w:rPr>
        <w:t xml:space="preserve">Figure </w:t>
      </w:r>
      <w:r>
        <w:rPr>
          <w:rFonts w:cs="Times New Roman"/>
          <w:b/>
          <w:bCs/>
          <w:szCs w:val="24"/>
        </w:rPr>
        <w:t>5b</w:t>
      </w:r>
      <w:r w:rsidRPr="00A263EA">
        <w:rPr>
          <w:rFonts w:cs="Times New Roman"/>
          <w:b/>
          <w:bCs/>
          <w:szCs w:val="24"/>
        </w:rPr>
        <w:t>:</w:t>
      </w:r>
      <w:r>
        <w:rPr>
          <w:rFonts w:cs="Times New Roman"/>
          <w:szCs w:val="24"/>
        </w:rPr>
        <w:t xml:space="preserve">  Future Hospital Capacity at Counties (Florida) Based on the Hypothetical Scenarios</w:t>
      </w:r>
    </w:p>
    <w:p w14:paraId="3B40B342" w14:textId="77777777" w:rsidR="002E63D3" w:rsidRDefault="002E63D3" w:rsidP="002E63D3">
      <w:pPr>
        <w:ind w:firstLine="360"/>
        <w:rPr>
          <w:rFonts w:cs="Times New Roman"/>
          <w:szCs w:val="24"/>
        </w:rPr>
        <w:sectPr w:rsidR="002E63D3" w:rsidSect="002E63D3">
          <w:pgSz w:w="15840" w:h="12240" w:orient="landscape"/>
          <w:pgMar w:top="1440" w:right="1440" w:bottom="1440" w:left="1440" w:header="720" w:footer="720" w:gutter="0"/>
          <w:cols w:space="720"/>
          <w:docGrid w:linePitch="360"/>
        </w:sectPr>
      </w:pPr>
    </w:p>
    <w:p w14:paraId="293E3602" w14:textId="773C8A2F" w:rsidR="007B2720" w:rsidRDefault="00165D19" w:rsidP="007B2720">
      <w:pPr>
        <w:ind w:firstLine="720"/>
        <w:rPr>
          <w:rFonts w:cs="Times New Roman"/>
          <w:szCs w:val="24"/>
        </w:rPr>
      </w:pPr>
      <w:r>
        <w:rPr>
          <w:rFonts w:cs="Times New Roman"/>
          <w:szCs w:val="24"/>
        </w:rPr>
        <w:lastRenderedPageBreak/>
        <w:t xml:space="preserve">To be sure, the paper is not without limitations. The data on the hospitalization rate are continuously updated for few counties to correct for errors or omission. </w:t>
      </w:r>
      <w:r w:rsidR="001722FF" w:rsidRPr="001722FF">
        <w:rPr>
          <w:rFonts w:cs="Times New Roman"/>
          <w:szCs w:val="24"/>
        </w:rPr>
        <w:t>Further, the hospitalization data used in the analysis is an administrative dataset obtained from DHHS and could possibly have over-estimated COVID-19 related hospitalization. A potential avenue for future research would be to reconcile the DHHS data with other hospitalization related datasets and develop updated models with the reconciled dataset</w:t>
      </w:r>
      <w:r w:rsidR="00D15C58">
        <w:rPr>
          <w:rFonts w:cs="Times New Roman"/>
          <w:szCs w:val="24"/>
        </w:rPr>
        <w:t xml:space="preserve">. </w:t>
      </w:r>
      <w:r w:rsidR="003B6436">
        <w:rPr>
          <w:rFonts w:cs="Times New Roman"/>
          <w:szCs w:val="24"/>
        </w:rPr>
        <w:t xml:space="preserve">In the </w:t>
      </w:r>
      <w:r>
        <w:rPr>
          <w:rFonts w:cs="Times New Roman"/>
          <w:szCs w:val="24"/>
        </w:rPr>
        <w:t>scenario analysis</w:t>
      </w:r>
      <w:r w:rsidR="003B6436">
        <w:rPr>
          <w:rFonts w:cs="Times New Roman"/>
          <w:szCs w:val="24"/>
        </w:rPr>
        <w:t>,</w:t>
      </w:r>
      <w:r>
        <w:rPr>
          <w:rFonts w:cs="Times New Roman"/>
          <w:szCs w:val="24"/>
        </w:rPr>
        <w:t xml:space="preserve"> </w:t>
      </w:r>
      <w:r w:rsidR="003B6436">
        <w:rPr>
          <w:rFonts w:cs="Times New Roman"/>
          <w:szCs w:val="24"/>
        </w:rPr>
        <w:t xml:space="preserve">we </w:t>
      </w:r>
      <w:r>
        <w:rPr>
          <w:rFonts w:cs="Times New Roman"/>
          <w:szCs w:val="24"/>
        </w:rPr>
        <w:t>assume future mobility to be similar across the scenarios</w:t>
      </w:r>
      <w:r w:rsidR="003B6436">
        <w:rPr>
          <w:rFonts w:cs="Times New Roman"/>
          <w:szCs w:val="24"/>
        </w:rPr>
        <w:t xml:space="preserve"> </w:t>
      </w:r>
      <w:r w:rsidR="006A7D33">
        <w:rPr>
          <w:rFonts w:cs="Times New Roman"/>
          <w:szCs w:val="24"/>
        </w:rPr>
        <w:t xml:space="preserve">while it is </w:t>
      </w:r>
      <w:r w:rsidR="003B6436">
        <w:rPr>
          <w:rFonts w:cs="Times New Roman"/>
          <w:szCs w:val="24"/>
        </w:rPr>
        <w:t xml:space="preserve">quite </w:t>
      </w:r>
      <w:r>
        <w:rPr>
          <w:rFonts w:cs="Times New Roman"/>
          <w:szCs w:val="24"/>
        </w:rPr>
        <w:t xml:space="preserve">possible that mobility might also be affected as virus transmission rates change. </w:t>
      </w:r>
      <w:r w:rsidR="006274F1">
        <w:rPr>
          <w:rFonts w:cs="Times New Roman"/>
          <w:szCs w:val="24"/>
        </w:rPr>
        <w:t xml:space="preserve">Therefore, </w:t>
      </w:r>
      <w:r w:rsidR="00683835">
        <w:rPr>
          <w:rFonts w:cs="Times New Roman"/>
          <w:szCs w:val="24"/>
        </w:rPr>
        <w:t>for future research</w:t>
      </w:r>
      <w:r w:rsidR="006274F1">
        <w:rPr>
          <w:rFonts w:cs="Times New Roman"/>
          <w:szCs w:val="24"/>
        </w:rPr>
        <w:t xml:space="preserve">, it </w:t>
      </w:r>
      <w:r w:rsidR="00683835">
        <w:rPr>
          <w:rFonts w:cs="Times New Roman"/>
          <w:szCs w:val="24"/>
        </w:rPr>
        <w:t xml:space="preserve">might </w:t>
      </w:r>
      <w:r w:rsidR="00563867">
        <w:rPr>
          <w:rFonts w:cs="Times New Roman"/>
          <w:szCs w:val="24"/>
        </w:rPr>
        <w:t xml:space="preserve">be </w:t>
      </w:r>
      <w:r w:rsidR="006274F1">
        <w:rPr>
          <w:rFonts w:cs="Times New Roman"/>
          <w:szCs w:val="24"/>
        </w:rPr>
        <w:t>interesting to explore how the</w:t>
      </w:r>
      <w:r w:rsidR="00683835">
        <w:rPr>
          <w:rFonts w:cs="Times New Roman"/>
          <w:szCs w:val="24"/>
        </w:rPr>
        <w:t xml:space="preserve"> demand on the</w:t>
      </w:r>
      <w:r w:rsidR="006274F1">
        <w:rPr>
          <w:rFonts w:cs="Times New Roman"/>
          <w:szCs w:val="24"/>
        </w:rPr>
        <w:t xml:space="preserve"> health care system </w:t>
      </w:r>
      <w:r w:rsidR="00683835">
        <w:rPr>
          <w:rFonts w:cs="Times New Roman"/>
          <w:szCs w:val="24"/>
        </w:rPr>
        <w:t>varies based on</w:t>
      </w:r>
      <w:r w:rsidR="006274F1">
        <w:rPr>
          <w:rFonts w:cs="Times New Roman"/>
          <w:szCs w:val="24"/>
        </w:rPr>
        <w:t xml:space="preserve"> mobility behavior. </w:t>
      </w:r>
      <w:r w:rsidR="00683835">
        <w:rPr>
          <w:rFonts w:cs="Times New Roman"/>
          <w:szCs w:val="24"/>
        </w:rPr>
        <w:t xml:space="preserve">The proposed </w:t>
      </w:r>
      <w:r>
        <w:rPr>
          <w:rFonts w:cs="Times New Roman"/>
          <w:szCs w:val="24"/>
        </w:rPr>
        <w:t>model is intended to serve as skeletal framework that can be readily updated with newer data on virus transmission and mobility patterns.</w:t>
      </w:r>
      <w:r w:rsidR="005305F6">
        <w:rPr>
          <w:rFonts w:cs="Times New Roman"/>
          <w:szCs w:val="24"/>
        </w:rPr>
        <w:t xml:space="preserve"> </w:t>
      </w:r>
      <w:r w:rsidR="0020672E" w:rsidRPr="0020672E">
        <w:rPr>
          <w:rFonts w:cs="Times New Roman"/>
          <w:szCs w:val="24"/>
        </w:rPr>
        <w:t xml:space="preserve">The plots generated can be </w:t>
      </w:r>
      <w:r w:rsidR="005305F6">
        <w:rPr>
          <w:rFonts w:cs="Times New Roman"/>
          <w:szCs w:val="24"/>
        </w:rPr>
        <w:t xml:space="preserve">readily </w:t>
      </w:r>
      <w:r w:rsidR="0020672E" w:rsidRPr="0020672E">
        <w:rPr>
          <w:rFonts w:cs="Times New Roman"/>
          <w:szCs w:val="24"/>
        </w:rPr>
        <w:t xml:space="preserve">customized with more up to date information on COVID-19 cases to arrive at </w:t>
      </w:r>
      <w:r w:rsidR="005305F6">
        <w:rPr>
          <w:rFonts w:cs="Times New Roman"/>
          <w:szCs w:val="24"/>
        </w:rPr>
        <w:t>estimates of hospitalization and ICU demand</w:t>
      </w:r>
      <w:r w:rsidR="0020672E" w:rsidRPr="0020672E">
        <w:rPr>
          <w:rFonts w:cs="Times New Roman"/>
          <w:szCs w:val="24"/>
        </w:rPr>
        <w:t>.</w:t>
      </w:r>
      <w:r w:rsidR="00EC77D9" w:rsidRPr="00EC77D9">
        <w:rPr>
          <w:rFonts w:cs="Times New Roman"/>
          <w:szCs w:val="24"/>
        </w:rPr>
        <w:t xml:space="preserve"> Finally, while we considered counties that account for </w:t>
      </w:r>
      <w:r w:rsidR="008A0CA0">
        <w:rPr>
          <w:rFonts w:cs="Times New Roman"/>
          <w:szCs w:val="24"/>
        </w:rPr>
        <w:t>97</w:t>
      </w:r>
      <w:r w:rsidR="00EC77D9" w:rsidRPr="00EC77D9">
        <w:rPr>
          <w:rFonts w:cs="Times New Roman"/>
          <w:szCs w:val="24"/>
        </w:rPr>
        <w:t>% of the reported COVID cases, it is possible that counties not considered might contribute in small numbers to hospitalizations in the counties considered. Future research might address this limitation by developing spatial models that consider such spillover effects (from neighboring counties) in the analysis</w:t>
      </w:r>
      <w:r w:rsidR="007B2720">
        <w:rPr>
          <w:rFonts w:cs="Times New Roman"/>
          <w:szCs w:val="24"/>
        </w:rPr>
        <w:t xml:space="preserve">. </w:t>
      </w:r>
      <w:r w:rsidR="005305F6">
        <w:rPr>
          <w:rFonts w:cs="Times New Roman"/>
          <w:szCs w:val="24"/>
        </w:rPr>
        <w:t>Finally, with the growing availability of vaccination data, it would be useful to update the model using county level vaccination data</w:t>
      </w:r>
      <w:r w:rsidR="00F6512C">
        <w:rPr>
          <w:rFonts w:cs="Times New Roman"/>
          <w:szCs w:val="24"/>
        </w:rPr>
        <w:t xml:space="preserve"> in modeling hospitalization and ICU demand</w:t>
      </w:r>
      <w:r w:rsidR="005305F6">
        <w:rPr>
          <w:rFonts w:cs="Times New Roman"/>
          <w:szCs w:val="24"/>
        </w:rPr>
        <w:t>.</w:t>
      </w:r>
    </w:p>
    <w:p w14:paraId="688E37D7" w14:textId="77777777" w:rsidR="00003B03" w:rsidRDefault="00003B03" w:rsidP="007B2720">
      <w:pPr>
        <w:ind w:firstLine="720"/>
        <w:rPr>
          <w:rFonts w:cs="Times New Roman"/>
          <w:szCs w:val="24"/>
        </w:rPr>
      </w:pPr>
    </w:p>
    <w:p w14:paraId="3CCABCE1" w14:textId="63E03861" w:rsidR="00B64128" w:rsidRDefault="00B64128" w:rsidP="00003B03">
      <w:pPr>
        <w:pStyle w:val="Heading1"/>
      </w:pPr>
      <w:r>
        <w:t>METHOD</w:t>
      </w:r>
    </w:p>
    <w:p w14:paraId="48BCE66B" w14:textId="11C8E841" w:rsidR="00B64128" w:rsidRDefault="00B64128" w:rsidP="00B64128">
      <w:r>
        <w:t xml:space="preserve">All the response variables considered in the study are continuous in nature and thus, </w:t>
      </w:r>
      <w:r w:rsidR="004E7A88">
        <w:t xml:space="preserve">a </w:t>
      </w:r>
      <w:r>
        <w:t xml:space="preserve">linear regression framework would be an appropriate choice for analyzing the data. However, in our data, every county is considered 21 times (21 weeks of data) and a simple linear regression method </w:t>
      </w:r>
      <w:r w:rsidRPr="00FB6614">
        <w:rPr>
          <w:rFonts w:cs="Times New Roman"/>
          <w:szCs w:val="24"/>
        </w:rPr>
        <w:t xml:space="preserve">is not appropriate for </w:t>
      </w:r>
      <w:r>
        <w:rPr>
          <w:rFonts w:cs="Times New Roman"/>
          <w:szCs w:val="24"/>
        </w:rPr>
        <w:t>such repeated measures</w:t>
      </w:r>
      <w:r>
        <w:rPr>
          <w:rFonts w:cs="Times New Roman"/>
          <w:szCs w:val="24"/>
        </w:rPr>
        <w:fldChar w:fldCharType="begin" w:fldLock="1"/>
      </w:r>
      <w:r>
        <w:rPr>
          <w:rFonts w:cs="Times New Roman"/>
          <w:szCs w:val="24"/>
        </w:rPr>
        <w:instrText>ADDIN CSL_CITATION {"citationItems":[{"id":"ITEM-1","itemData":{"DOI":"10.1101/2020.08.03.20164137","abstract":"Background: Several research efforts have evaluated the impact of various factors including a) socio-demographics, (b) health indicators, (c) mobility trends, and (d) health care infrastructure attributes on COVID-19 transmission and mortality rate. However, earlier research focused only on a subset of variable groups (predominantly one or two) that can contribute to the COVID-19 transmission/mortality rate. The current study effort is designed to remedy this by analyzing COVID-19 transmission/mortality rates considering a comprehensive set of factors in a unified framework. Method: We study two per capita dependent variables: (1) daily COVID-19 transmission rates and (2) total COVID-19 mortality rates. The first variable is modeled using a linear mixed model while the later dimension is analyzed using a linear regression approach. The model results are augmented with a sensitivity analysis to predict the impact of mobility restrictions at a county level. Findings: Several county level factors including proportion of African-Americans, income inequality, health indicators associated with Asthma, Cancer, HIV and heart disease, percentage of stay at home individuals, testing infrastructure and Intensive Care Unit capacity impact transmission and/or mortality rates. From the policy analysis, we find that enforcing a stay at home order that can ensure a 50% stay at home rate can result in a potential reduction of about 30% in daily cases. Interpretation: The model framework developed can be employed by government agencies to evaluate the influence of reduced mobility on transmission rates at a county level while accommodating for various county specific factors. Based on our policy analysis, the study findings support a county level stay at home order for regions currently experiencing a surge in transmission. The model framework can also be employed to identify vulnerable counties that need to be prioritized based on health indicators for current support and/or preferential vaccination plans (when available).","author":[{"dropping-particle":"","family":"Bhowmik","given":"Tanmoy","non-dropping-particle":"","parse-names":false,"suffix":""},{"dropping-particle":"","family":"Tirtha","given":"Sudipta Dey","non-dropping-particle":"","parse-names":false,"suffix":""},{"dropping-particle":"","family":"Iraganaboina","given":"Naveen Chandra","non-dropping-particle":"","parse-names":false,"suffix":""},{"dropping-particle":"","family":"Eluru","given":"Naveen","non-dropping-particle":"","parse-names":false,"suffix":""}],"container-title":"medRxiv","id":"ITEM-1","issued":{"date-parts":[["2020"]]},"title":"A comprehensive analysis of COVID-19 transmission and fatality rates at the county level in the United States considering socio-demographics, health indicators, mobility trends and health care infrastructure attributes","type":"article-journal"},"uris":["http://www.mendeley.com/documents/?uuid=f351c73a-be65-3c50-8c60-c2e9ac1a09ce"]}],"mendeley":{"formattedCitation":"&lt;sup&gt;8&lt;/sup&gt;","plainTextFormattedCitation":"8","previouslyFormattedCitation":"&lt;sup&gt;8&lt;/sup&gt;"},"properties":{"noteIndex":0},"schema":"https://github.com/citation-style-language/schema/raw/master/csl-citation.json"}</w:instrText>
      </w:r>
      <w:r>
        <w:rPr>
          <w:rFonts w:cs="Times New Roman"/>
          <w:szCs w:val="24"/>
        </w:rPr>
        <w:fldChar w:fldCharType="separate"/>
      </w:r>
      <w:r w:rsidRPr="00725D63">
        <w:rPr>
          <w:rFonts w:cs="Times New Roman"/>
          <w:noProof/>
          <w:szCs w:val="24"/>
          <w:vertAlign w:val="superscript"/>
        </w:rPr>
        <w:t>8</w:t>
      </w:r>
      <w:r>
        <w:rPr>
          <w:rFonts w:cs="Times New Roman"/>
          <w:szCs w:val="24"/>
        </w:rPr>
        <w:fldChar w:fldCharType="end"/>
      </w:r>
      <w:r>
        <w:rPr>
          <w:rFonts w:cs="Times New Roman"/>
          <w:szCs w:val="24"/>
        </w:rPr>
        <w:t>. Therefore we adopted a linear mixed approach (</w:t>
      </w:r>
      <w:r w:rsidRPr="00717C73">
        <w:rPr>
          <w:rFonts w:cs="Times New Roman"/>
          <w:szCs w:val="24"/>
        </w:rPr>
        <w:t>Autoregressive</w:t>
      </w:r>
      <w:r>
        <w:rPr>
          <w:rFonts w:cs="Times New Roman"/>
          <w:szCs w:val="24"/>
        </w:rPr>
        <w:t xml:space="preserve"> </w:t>
      </w:r>
      <w:r w:rsidRPr="00717C73">
        <w:rPr>
          <w:rFonts w:cs="Times New Roman"/>
          <w:szCs w:val="24"/>
        </w:rPr>
        <w:t>moving</w:t>
      </w:r>
      <w:r>
        <w:rPr>
          <w:rFonts w:cs="Times New Roman"/>
          <w:szCs w:val="24"/>
        </w:rPr>
        <w:t xml:space="preserve"> </w:t>
      </w:r>
      <w:r w:rsidRPr="00717C73">
        <w:rPr>
          <w:rFonts w:cs="Times New Roman"/>
          <w:szCs w:val="24"/>
        </w:rPr>
        <w:t>average</w:t>
      </w:r>
      <w:r>
        <w:rPr>
          <w:rFonts w:cs="Times New Roman"/>
          <w:szCs w:val="24"/>
        </w:rPr>
        <w:t xml:space="preserve"> -ARMA</w:t>
      </w:r>
      <w:r w:rsidRPr="00717C73">
        <w:rPr>
          <w:rFonts w:cs="Times New Roman"/>
          <w:szCs w:val="24"/>
        </w:rPr>
        <w:t xml:space="preserve"> model</w:t>
      </w:r>
      <w:r>
        <w:rPr>
          <w:rFonts w:cs="Times New Roman"/>
          <w:szCs w:val="24"/>
        </w:rPr>
        <w:t xml:space="preserve"> structure, see </w:t>
      </w:r>
      <w:r>
        <w:rPr>
          <w:rFonts w:cs="Times New Roman"/>
          <w:szCs w:val="24"/>
        </w:rPr>
        <w:fldChar w:fldCharType="begin" w:fldLock="1"/>
      </w:r>
      <w:r>
        <w:rPr>
          <w:rFonts w:cs="Times New Roman"/>
          <w:szCs w:val="24"/>
        </w:rPr>
        <w:instrText>ADDIN CSL_CITATION {"citationItems":[{"id":"ITEM-1","itemData":{"DOI":"10.1101/2020.08.03.20164137","abstract":"Background: Several research efforts have evaluated the impact of various factors including a) socio-demographics, (b) health indicators, (c) mobility trends, and (d) health care infrastructure attributes on COVID-19 transmission and mortality rate. However, earlier research focused only on a subset of variable groups (predominantly one or two) that can contribute to the COVID-19 transmission/mortality rate. The current study effort is designed to remedy this by analyzing COVID-19 transmission/mortality rates considering a comprehensive set of factors in a unified framework. Method: We study two per capita dependent variables: (1) daily COVID-19 transmission rates and (2) total COVID-19 mortality rates. The first variable is modeled using a linear mixed model while the later dimension is analyzed using a linear regression approach. The model results are augmented with a sensitivity analysis to predict the impact of mobility restrictions at a county level. Findings: Several county level factors including proportion of African-Americans, income inequality, health indicators associated with Asthma, Cancer, HIV and heart disease, percentage of stay at home individuals, testing infrastructure and Intensive Care Unit capacity impact transmission and/or mortality rates. From the policy analysis, we find that enforcing a stay at home order that can ensure a 50% stay at home rate can result in a potential reduction of about 30% in daily cases. Interpretation: The model framework developed can be employed by government agencies to evaluate the influence of reduced mobility on transmission rates at a county level while accommodating for various county specific factors. Based on our policy analysis, the study findings support a county level stay at home order for regions currently experiencing a surge in transmission. The model framework can also be employed to identify vulnerable counties that need to be prioritized based on health indicators for current support and/or preferential vaccination plans (when available).","author":[{"dropping-particle":"","family":"Bhowmik","given":"Tanmoy","non-dropping-particle":"","parse-names":false,"suffix":""},{"dropping-particle":"","family":"Tirtha","given":"Sudipta Dey","non-dropping-particle":"","parse-names":false,"suffix":""},{"dropping-particle":"","family":"Iraganaboina","given":"Naveen Chandra","non-dropping-particle":"","parse-names":false,"suffix":""},{"dropping-particle":"","family":"Eluru","given":"Naveen","non-dropping-particle":"","parse-names":false,"suffix":""}],"container-title":"medRxiv","id":"ITEM-1","issued":{"date-parts":[["2020"]]},"title":"A comprehensive analysis of COVID-19 transmission and fatality rates at the county level in the United States considering socio-demographics, health indicators, mobility trends and health care infrastructure attributes","type":"article-journal"},"uris":["http://www.mendeley.com/documents/?uuid=f351c73a-be65-3c50-8c60-c2e9ac1a09ce"]}],"mendeley":{"formattedCitation":"&lt;sup&gt;8&lt;/sup&gt;","plainTextFormattedCitation":"8","previouslyFormattedCitation":"&lt;sup&gt;8&lt;/sup&gt;"},"properties":{"noteIndex":0},"schema":"https://github.com/citation-style-language/schema/raw/master/csl-citation.json"}</w:instrText>
      </w:r>
      <w:r>
        <w:rPr>
          <w:rFonts w:cs="Times New Roman"/>
          <w:szCs w:val="24"/>
        </w:rPr>
        <w:fldChar w:fldCharType="separate"/>
      </w:r>
      <w:r w:rsidRPr="00725D63">
        <w:rPr>
          <w:rFonts w:cs="Times New Roman"/>
          <w:noProof/>
          <w:szCs w:val="24"/>
          <w:vertAlign w:val="superscript"/>
        </w:rPr>
        <w:t>8</w:t>
      </w:r>
      <w:r>
        <w:rPr>
          <w:rFonts w:cs="Times New Roman"/>
          <w:szCs w:val="24"/>
        </w:rPr>
        <w:fldChar w:fldCharType="end"/>
      </w:r>
      <w:r>
        <w:rPr>
          <w:rFonts w:cs="Times New Roman"/>
          <w:szCs w:val="24"/>
        </w:rPr>
        <w:t xml:space="preserve"> for details) to accommodate for the influence of repeated observations at a county. </w:t>
      </w:r>
      <w:r>
        <w:t>A brief description of the linear mixed model is provided below:</w:t>
      </w:r>
    </w:p>
    <w:p w14:paraId="11E0792E" w14:textId="1D882436" w:rsidR="00B64128" w:rsidRDefault="00B64128" w:rsidP="00B64128">
      <w:pPr>
        <w:ind w:firstLine="576"/>
        <w:rPr>
          <w:rFonts w:cs="Times New Roman"/>
          <w:szCs w:val="24"/>
        </w:rPr>
      </w:pPr>
      <w:r w:rsidRPr="00FB6614">
        <w:rPr>
          <w:rFonts w:cs="Times New Roman"/>
          <w:szCs w:val="24"/>
        </w:rPr>
        <w:t xml:space="preserve">Let </w:t>
      </w:r>
      <w:r w:rsidRPr="0086598B">
        <w:rPr>
          <w:rFonts w:cs="Times New Roman"/>
          <w:i/>
          <w:iCs/>
          <w:szCs w:val="24"/>
        </w:rPr>
        <w:t>z</w:t>
      </w:r>
      <w:r w:rsidRPr="00FB6614">
        <w:rPr>
          <w:rFonts w:cs="Times New Roman"/>
          <w:szCs w:val="24"/>
        </w:rPr>
        <w:t xml:space="preserve"> = 1,</w:t>
      </w:r>
      <w:r>
        <w:rPr>
          <w:rFonts w:cs="Times New Roman"/>
          <w:szCs w:val="24"/>
        </w:rPr>
        <w:t xml:space="preserve"> </w:t>
      </w:r>
      <w:r w:rsidRPr="00FB6614">
        <w:rPr>
          <w:rFonts w:cs="Times New Roman"/>
          <w:szCs w:val="24"/>
        </w:rPr>
        <w:t>2,</w:t>
      </w:r>
      <w:r>
        <w:rPr>
          <w:rFonts w:cs="Times New Roman"/>
          <w:szCs w:val="24"/>
        </w:rPr>
        <w:t xml:space="preserve"> </w:t>
      </w:r>
      <w:r w:rsidRPr="00FB6614">
        <w:rPr>
          <w:rFonts w:cs="Times New Roman"/>
          <w:szCs w:val="24"/>
        </w:rPr>
        <w:t>…,</w:t>
      </w:r>
      <w:r>
        <w:rPr>
          <w:rFonts w:cs="Times New Roman"/>
          <w:szCs w:val="24"/>
        </w:rPr>
        <w:t xml:space="preserve"> Z = 1,725</w:t>
      </w:r>
      <w:r w:rsidRPr="00FB6614">
        <w:rPr>
          <w:rFonts w:cs="Times New Roman"/>
          <w:szCs w:val="24"/>
        </w:rPr>
        <w:t xml:space="preserve"> be an index to represent </w:t>
      </w:r>
      <w:r>
        <w:rPr>
          <w:rFonts w:cs="Times New Roman"/>
          <w:szCs w:val="24"/>
        </w:rPr>
        <w:t>county</w:t>
      </w:r>
      <w:r w:rsidRPr="00FB6614">
        <w:rPr>
          <w:rFonts w:cs="Times New Roman"/>
          <w:szCs w:val="24"/>
        </w:rPr>
        <w:t xml:space="preserve">, </w:t>
      </w:r>
      <w:r w:rsidRPr="0086598B">
        <w:rPr>
          <w:rFonts w:cs="Times New Roman"/>
          <w:i/>
          <w:iCs/>
          <w:szCs w:val="24"/>
        </w:rPr>
        <w:t>t</w:t>
      </w:r>
      <w:r>
        <w:rPr>
          <w:rFonts w:cs="Times New Roman"/>
          <w:szCs w:val="24"/>
        </w:rPr>
        <w:t xml:space="preserve"> = 1, 2, …21 be </w:t>
      </w:r>
      <w:proofErr w:type="gramStart"/>
      <w:r>
        <w:rPr>
          <w:rFonts w:cs="Times New Roman"/>
          <w:szCs w:val="24"/>
        </w:rPr>
        <w:t>index</w:t>
      </w:r>
      <w:proofErr w:type="gramEnd"/>
      <w:r>
        <w:rPr>
          <w:rFonts w:cs="Times New Roman"/>
          <w:szCs w:val="24"/>
        </w:rPr>
        <w:t xml:space="preserve"> to represent </w:t>
      </w:r>
      <w:r w:rsidRPr="00FB6614">
        <w:rPr>
          <w:rFonts w:cs="Times New Roman"/>
          <w:szCs w:val="24"/>
        </w:rPr>
        <w:t xml:space="preserve">the </w:t>
      </w:r>
      <w:r>
        <w:rPr>
          <w:rFonts w:cs="Times New Roman"/>
          <w:szCs w:val="24"/>
        </w:rPr>
        <w:t>week</w:t>
      </w:r>
      <w:r w:rsidRPr="00FB6614">
        <w:rPr>
          <w:rFonts w:cs="Times New Roman"/>
          <w:szCs w:val="24"/>
        </w:rPr>
        <w:t xml:space="preserve"> </w:t>
      </w:r>
      <w:r>
        <w:rPr>
          <w:rFonts w:cs="Times New Roman"/>
          <w:szCs w:val="24"/>
        </w:rPr>
        <w:t>for each county</w:t>
      </w:r>
      <w:r w:rsidRPr="00FB6614">
        <w:rPr>
          <w:rFonts w:cs="Times New Roman"/>
          <w:szCs w:val="24"/>
        </w:rPr>
        <w:t xml:space="preserve">. </w:t>
      </w:r>
      <w:r>
        <w:rPr>
          <w:rFonts w:cs="Times New Roman"/>
          <w:szCs w:val="24"/>
        </w:rPr>
        <w:t xml:space="preserve">The equation </w:t>
      </w:r>
      <w:r w:rsidR="004E7A88">
        <w:rPr>
          <w:rFonts w:cs="Times New Roman"/>
          <w:szCs w:val="24"/>
        </w:rPr>
        <w:t>for</w:t>
      </w:r>
      <w:r>
        <w:rPr>
          <w:rFonts w:cs="Times New Roman"/>
          <w:szCs w:val="24"/>
        </w:rPr>
        <w:t xml:space="preserve"> the </w:t>
      </w:r>
      <w:r w:rsidR="004E7A88">
        <w:rPr>
          <w:rFonts w:cs="Times New Roman"/>
          <w:szCs w:val="24"/>
        </w:rPr>
        <w:t xml:space="preserve">linear </w:t>
      </w:r>
      <w:r>
        <w:rPr>
          <w:rFonts w:cs="Times New Roman"/>
          <w:szCs w:val="24"/>
        </w:rPr>
        <w:t>mixed model can be written as:</w:t>
      </w:r>
    </w:p>
    <w:p w14:paraId="6B95992C" w14:textId="77777777" w:rsidR="00B64128" w:rsidRPr="00FB6614" w:rsidRDefault="00791D65" w:rsidP="00B64128">
      <w:pPr>
        <w:tabs>
          <w:tab w:val="left" w:pos="9000"/>
        </w:tabs>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zt</m:t>
            </m:r>
          </m:sub>
        </m:sSub>
        <m:r>
          <w:rPr>
            <w:rFonts w:ascii="Cambria Math" w:hAnsi="Cambria Math" w:cs="Times New Roman"/>
            <w:szCs w:val="24"/>
          </w:rPr>
          <m:t>= β</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zt</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zt</m:t>
            </m:r>
          </m:sub>
        </m:sSub>
      </m:oMath>
      <w:r w:rsidR="00B64128" w:rsidRPr="00FB6614">
        <w:rPr>
          <w:rFonts w:cs="Times New Roman"/>
          <w:szCs w:val="24"/>
        </w:rPr>
        <w:tab/>
        <w:t>(1)</w:t>
      </w:r>
    </w:p>
    <w:p w14:paraId="6522276A" w14:textId="6EE4B7B6" w:rsidR="00B64128" w:rsidRDefault="00B64128" w:rsidP="00B64128">
      <w:pPr>
        <w:rPr>
          <w:rFonts w:cs="Times New Roman"/>
          <w:szCs w:val="24"/>
        </w:rPr>
      </w:pPr>
      <w:r>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zt</m:t>
            </m:r>
          </m:sub>
        </m:sSub>
      </m:oMath>
      <w:r>
        <w:rPr>
          <w:rFonts w:cs="Times New Roman"/>
          <w:szCs w:val="24"/>
        </w:rPr>
        <w:t xml:space="preserve"> is the dependent variable (we have four dependent variables in the current study as stated in the data preparation section); </w:t>
      </w:r>
      <m:oMath>
        <m:r>
          <w:rPr>
            <w:rFonts w:ascii="Cambria Math" w:hAnsi="Cambria Math" w:cs="Times New Roman"/>
            <w:szCs w:val="24"/>
          </w:rPr>
          <m:t>x</m:t>
        </m:r>
      </m:oMath>
      <w:r>
        <w:t xml:space="preserve"> is the vector of attributes and </w:t>
      </w:r>
      <m:oMath>
        <m:r>
          <w:rPr>
            <w:rFonts w:ascii="Cambria Math" w:hAnsi="Cambria Math" w:cs="Times New Roman"/>
            <w:szCs w:val="24"/>
          </w:rPr>
          <m:t>β</m:t>
        </m:r>
      </m:oMath>
      <w:r>
        <w:t xml:space="preserve"> is the model coefficients. </w:t>
      </w:r>
      <w:r w:rsidRPr="00FB6614">
        <w:rPr>
          <w:rFonts w:cs="Times New Roman"/>
          <w:szCs w:val="24"/>
        </w:rPr>
        <w:t xml:space="preserve">The random error term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zt</m:t>
            </m:r>
          </m:sub>
        </m:sSub>
      </m:oMath>
      <w:r w:rsidRPr="00FB6614">
        <w:rPr>
          <w:rFonts w:cs="Times New Roman"/>
          <w:szCs w:val="24"/>
        </w:rPr>
        <w:t>, is assumed to be normally distributed across the dataset.</w:t>
      </w:r>
      <w:r>
        <w:rPr>
          <w:rFonts w:cs="Times New Roman"/>
          <w:szCs w:val="24"/>
        </w:rPr>
        <w:t xml:space="preserve"> </w:t>
      </w:r>
      <w:r w:rsidR="00B37F22">
        <w:rPr>
          <w:rFonts w:cs="Times New Roman"/>
          <w:szCs w:val="24"/>
        </w:rPr>
        <w:t xml:space="preserve">To </w:t>
      </w:r>
      <w:r>
        <w:rPr>
          <w:rFonts w:cs="Times New Roman"/>
          <w:szCs w:val="24"/>
        </w:rPr>
        <w:t xml:space="preserve">account for the repeated covariance measure, we used the ARMA structure. </w:t>
      </w:r>
      <w:r w:rsidRPr="00FB6614">
        <w:rPr>
          <w:rFonts w:cs="Times New Roman"/>
          <w:szCs w:val="24"/>
        </w:rPr>
        <w:t>The exact functional form of the covariance structure assumed is shown below:</w:t>
      </w:r>
    </w:p>
    <w:p w14:paraId="6A4F0637" w14:textId="77777777" w:rsidR="00B64128" w:rsidRPr="00E61C31" w:rsidRDefault="00B64128" w:rsidP="00B64128">
      <w:pPr>
        <w:tabs>
          <w:tab w:val="left" w:pos="9000"/>
        </w:tabs>
        <w:rPr>
          <w:rFonts w:eastAsiaTheme="minorEastAsia" w:cs="Times New Roman"/>
        </w:rPr>
      </w:pPr>
      <m:oMath>
        <m:r>
          <w:rPr>
            <w:rFonts w:ascii="Cambria Math" w:eastAsia="Calibri" w:hAnsi="Cambria Math" w:cs="Vrinda"/>
          </w:rPr>
          <m:t>Ω=</m:t>
        </m:r>
        <m:sSup>
          <m:sSupPr>
            <m:ctrlPr>
              <w:rPr>
                <w:rFonts w:ascii="Cambria Math" w:eastAsia="Calibri" w:hAnsi="Cambria Math" w:cs="Vrinda"/>
                <w:i/>
              </w:rPr>
            </m:ctrlPr>
          </m:sSupPr>
          <m:e>
            <m:r>
              <w:rPr>
                <w:rFonts w:ascii="Cambria Math" w:eastAsia="Calibri" w:hAnsi="Cambria Math" w:cs="Vrinda"/>
              </w:rPr>
              <m:t>σ</m:t>
            </m:r>
          </m:e>
          <m:sup>
            <m:r>
              <w:rPr>
                <w:rFonts w:ascii="Cambria Math" w:eastAsia="Calibri" w:hAnsi="Cambria Math" w:cs="Vrinda"/>
              </w:rPr>
              <m:t>2</m:t>
            </m:r>
          </m:sup>
        </m:sSup>
        <m:d>
          <m:dPr>
            <m:ctrlPr>
              <w:rPr>
                <w:rFonts w:ascii="Cambria Math" w:eastAsia="Calibri" w:hAnsi="Cambria Math" w:cs="Vrinda"/>
              </w:rPr>
            </m:ctrlPr>
          </m:dPr>
          <m:e>
            <m:m>
              <m:mPr>
                <m:mcs>
                  <m:mc>
                    <m:mcPr>
                      <m:count m:val="4"/>
                      <m:mcJc m:val="center"/>
                    </m:mcPr>
                  </m:mc>
                </m:mcs>
                <m:ctrlPr>
                  <w:rPr>
                    <w:rFonts w:ascii="Cambria Math" w:eastAsia="Calibri" w:hAnsi="Cambria Math" w:cs="Vrinda"/>
                  </w:rPr>
                </m:ctrlPr>
              </m:mPr>
              <m:mr>
                <m:e>
                  <m:r>
                    <w:rPr>
                      <w:rFonts w:ascii="Cambria Math" w:eastAsia="Calibri" w:cs="Vrinda"/>
                    </w:rPr>
                    <m:t>1</m:t>
                  </m:r>
                  <m:ctrlPr>
                    <w:rPr>
                      <w:rFonts w:ascii="Cambria Math" w:eastAsia="Cambria Math" w:hAnsi="Cambria Math" w:cs="Vrinda"/>
                    </w:rPr>
                  </m:ctrlPr>
                </m:e>
                <m:e>
                  <m:r>
                    <w:rPr>
                      <w:rFonts w:ascii="Cambria Math" w:eastAsia="Cambria Math" w:hAnsi="Cambria Math" w:cs="Vrinda"/>
                    </w:rPr>
                    <m:t>ϕρ</m:t>
                  </m:r>
                  <m:ctrlPr>
                    <w:rPr>
                      <w:rFonts w:ascii="Cambria Math" w:eastAsia="Cambria Math" w:hAnsi="Cambria Math" w:cs="Vrinda"/>
                    </w:rPr>
                  </m:ctrlPr>
                </m:e>
                <m:e>
                  <m:r>
                    <w:rPr>
                      <w:rFonts w:ascii="Cambria Math" w:eastAsia="Cambria Math" w:hAnsi="Cambria Math" w:cs="Vrinda"/>
                    </w:rPr>
                    <m:t>…</m:t>
                  </m:r>
                  <m:ctrlPr>
                    <w:rPr>
                      <w:rFonts w:ascii="Cambria Math" w:eastAsia="Cambria Math" w:hAnsi="Cambria Math" w:cs="Vrinda"/>
                    </w:rPr>
                  </m:ctrlPr>
                </m:e>
                <m:e>
                  <m:r>
                    <w:rPr>
                      <w:rFonts w:ascii="Cambria Math" w:eastAsia="Cambria Math" w:hAnsi="Cambria Math" w:cs="Vrinda"/>
                    </w:rPr>
                    <m:t>ϕ</m:t>
                  </m:r>
                  <m:sSup>
                    <m:sSupPr>
                      <m:ctrlPr>
                        <w:rPr>
                          <w:rFonts w:ascii="Cambria Math" w:eastAsia="Cambria Math" w:hAnsi="Cambria Math" w:cs="Vrinda"/>
                          <w:i/>
                          <w:iCs/>
                        </w:rPr>
                      </m:ctrlPr>
                    </m:sSupPr>
                    <m:e>
                      <m:r>
                        <w:rPr>
                          <w:rFonts w:ascii="Cambria Math" w:eastAsia="Cambria Math" w:hAnsi="Cambria Math" w:cs="Vrinda"/>
                        </w:rPr>
                        <m:t>ρ</m:t>
                      </m:r>
                    </m:e>
                    <m:sup>
                      <m:r>
                        <w:rPr>
                          <w:rFonts w:ascii="Cambria Math" w:eastAsia="Cambria Math" w:hAnsi="Cambria Math" w:cs="Vrinda"/>
                        </w:rPr>
                        <m:t>t-1</m:t>
                      </m:r>
                    </m:sup>
                  </m:sSup>
                  <m:ctrlPr>
                    <w:rPr>
                      <w:rFonts w:ascii="Cambria Math" w:eastAsia="Cambria Math" w:hAnsi="Cambria Math" w:cs="Vrinda"/>
                    </w:rPr>
                  </m:ctrlPr>
                </m:e>
              </m:mr>
              <m:mr>
                <m:e>
                  <m:r>
                    <w:rPr>
                      <w:rFonts w:ascii="Cambria Math" w:eastAsia="Cambria Math" w:hAnsi="Cambria Math" w:cs="Vrinda"/>
                    </w:rPr>
                    <m:t>ϕρ</m:t>
                  </m:r>
                </m:e>
                <m:e>
                  <m:r>
                    <w:rPr>
                      <w:rFonts w:ascii="Cambria Math" w:eastAsia="Calibri" w:hAnsi="Cambria Math" w:cs="Vrinda"/>
                    </w:rPr>
                    <m:t>1</m:t>
                  </m:r>
                </m:e>
                <m:e>
                  <m:r>
                    <w:rPr>
                      <w:rFonts w:ascii="Cambria Math" w:eastAsia="Calibri" w:hAnsi="Cambria Math" w:cs="Vrinda"/>
                    </w:rPr>
                    <m:t>…</m:t>
                  </m:r>
                </m:e>
                <m:e>
                  <m:r>
                    <w:rPr>
                      <w:rFonts w:ascii="Cambria Math" w:eastAsia="Cambria Math" w:hAnsi="Cambria Math" w:cs="Vrinda"/>
                    </w:rPr>
                    <m:t>ϕ</m:t>
                  </m:r>
                  <m:sSup>
                    <m:sSupPr>
                      <m:ctrlPr>
                        <w:rPr>
                          <w:rFonts w:ascii="Cambria Math" w:eastAsia="Cambria Math" w:hAnsi="Cambria Math" w:cs="Vrinda"/>
                          <w:i/>
                          <w:iCs/>
                        </w:rPr>
                      </m:ctrlPr>
                    </m:sSupPr>
                    <m:e>
                      <m:r>
                        <w:rPr>
                          <w:rFonts w:ascii="Cambria Math" w:eastAsia="Cambria Math" w:hAnsi="Cambria Math" w:cs="Vrinda"/>
                        </w:rPr>
                        <m:t>ρ</m:t>
                      </m:r>
                    </m:e>
                    <m:sup>
                      <m:r>
                        <w:rPr>
                          <w:rFonts w:ascii="Cambria Math" w:eastAsia="Cambria Math" w:hAnsi="Cambria Math" w:cs="Vrinda"/>
                        </w:rPr>
                        <m:t>t-2</m:t>
                      </m:r>
                    </m:sup>
                  </m:sSup>
                  <m:ctrlPr>
                    <w:rPr>
                      <w:rFonts w:ascii="Cambria Math" w:eastAsia="Cambria Math" w:hAnsi="Cambria Math" w:cs="Vrinda"/>
                    </w:rPr>
                  </m:ctrlPr>
                </m:e>
              </m:mr>
              <m:mr>
                <m:e>
                  <m:r>
                    <w:rPr>
                      <w:rFonts w:ascii="Cambria Math" w:eastAsia="Cambria Math" w:hAnsi="Cambria Math" w:cs="Vrinda"/>
                    </w:rPr>
                    <m:t>⋮</m:t>
                  </m:r>
                </m:e>
                <m:e>
                  <m:r>
                    <w:rPr>
                      <w:rFonts w:ascii="Cambria Math" w:eastAsia="Calibri" w:hAnsi="Cambria Math" w:cs="Vrinda"/>
                    </w:rPr>
                    <m:t>⋮</m:t>
                  </m:r>
                </m:e>
                <m:e>
                  <m:r>
                    <w:rPr>
                      <w:rFonts w:ascii="Cambria Math" w:eastAsia="Calibri" w:hAnsi="Cambria Math" w:cs="Vrinda"/>
                    </w:rPr>
                    <m:t>⋱</m:t>
                  </m:r>
                </m:e>
                <m:e>
                  <m:r>
                    <w:rPr>
                      <w:rFonts w:ascii="Cambria Math" w:eastAsia="Calibri" w:hAnsi="Cambria Math" w:cs="Vrinda"/>
                    </w:rPr>
                    <m:t>⋮</m:t>
                  </m:r>
                  <m:ctrlPr>
                    <w:rPr>
                      <w:rFonts w:ascii="Cambria Math" w:eastAsia="Cambria Math" w:hAnsi="Cambria Math" w:cs="Vrinda"/>
                    </w:rPr>
                  </m:ctrlPr>
                </m:e>
              </m:mr>
              <m:mr>
                <m:e>
                  <m:r>
                    <w:rPr>
                      <w:rFonts w:ascii="Cambria Math" w:eastAsia="Cambria Math" w:hAnsi="Cambria Math" w:cs="Vrinda"/>
                    </w:rPr>
                    <m:t>ϕ</m:t>
                  </m:r>
                  <m:sSup>
                    <m:sSupPr>
                      <m:ctrlPr>
                        <w:rPr>
                          <w:rFonts w:ascii="Cambria Math" w:eastAsia="Cambria Math" w:hAnsi="Cambria Math" w:cs="Vrinda"/>
                          <w:i/>
                          <w:iCs/>
                        </w:rPr>
                      </m:ctrlPr>
                    </m:sSupPr>
                    <m:e>
                      <m:r>
                        <w:rPr>
                          <w:rFonts w:ascii="Cambria Math" w:eastAsia="Cambria Math" w:hAnsi="Cambria Math" w:cs="Vrinda"/>
                        </w:rPr>
                        <m:t>ρ</m:t>
                      </m:r>
                    </m:e>
                    <m:sup>
                      <m:r>
                        <w:rPr>
                          <w:rFonts w:ascii="Cambria Math" w:eastAsia="Cambria Math" w:hAnsi="Cambria Math" w:cs="Vrinda"/>
                        </w:rPr>
                        <m:t>t-1</m:t>
                      </m:r>
                    </m:sup>
                  </m:sSup>
                </m:e>
                <m:e>
                  <m:r>
                    <w:rPr>
                      <w:rFonts w:ascii="Cambria Math" w:eastAsia="Cambria Math" w:hAnsi="Cambria Math" w:cs="Vrinda"/>
                    </w:rPr>
                    <m:t>ϕ</m:t>
                  </m:r>
                  <m:sSup>
                    <m:sSupPr>
                      <m:ctrlPr>
                        <w:rPr>
                          <w:rFonts w:ascii="Cambria Math" w:eastAsia="Cambria Math" w:hAnsi="Cambria Math" w:cs="Vrinda"/>
                          <w:i/>
                          <w:iCs/>
                        </w:rPr>
                      </m:ctrlPr>
                    </m:sSupPr>
                    <m:e>
                      <m:r>
                        <w:rPr>
                          <w:rFonts w:ascii="Cambria Math" w:eastAsia="Cambria Math" w:hAnsi="Cambria Math" w:cs="Vrinda"/>
                        </w:rPr>
                        <m:t>ρ</m:t>
                      </m:r>
                    </m:e>
                    <m:sup>
                      <m:r>
                        <w:rPr>
                          <w:rFonts w:ascii="Cambria Math" w:eastAsia="Cambria Math" w:hAnsi="Cambria Math" w:cs="Vrinda"/>
                        </w:rPr>
                        <m:t>t-2</m:t>
                      </m:r>
                    </m:sup>
                  </m:sSup>
                </m:e>
                <m:e>
                  <m:r>
                    <w:rPr>
                      <w:rFonts w:ascii="Cambria Math" w:eastAsia="Calibri" w:hAnsi="Cambria Math" w:cs="Vrinda"/>
                    </w:rPr>
                    <m:t>…</m:t>
                  </m:r>
                  <m:ctrlPr>
                    <w:rPr>
                      <w:rFonts w:ascii="Cambria Math" w:eastAsia="Cambria Math" w:hAnsi="Cambria Math" w:cs="Vrinda"/>
                    </w:rPr>
                  </m:ctrlPr>
                </m:e>
                <m:e>
                  <m:r>
                    <w:rPr>
                      <w:rFonts w:ascii="Cambria Math" w:eastAsia="Calibri" w:hAnsi="Cambria Math" w:cs="Vrinda"/>
                    </w:rPr>
                    <m:t>1</m:t>
                  </m:r>
                </m:e>
              </m:mr>
            </m:m>
          </m:e>
        </m:d>
      </m:oMath>
      <w:r>
        <w:rPr>
          <w:rFonts w:eastAsiaTheme="minorEastAsia" w:cs="Times New Roman"/>
        </w:rPr>
        <w:tab/>
        <w:t>(2)</w:t>
      </w:r>
    </w:p>
    <w:p w14:paraId="74AE5DB8" w14:textId="0AE1DBE0" w:rsidR="00B64128" w:rsidRDefault="00B64128" w:rsidP="00B64128">
      <w:pPr>
        <w:rPr>
          <w:rFonts w:cs="Times New Roman"/>
          <w:szCs w:val="24"/>
        </w:rPr>
      </w:pPr>
      <w:r>
        <w:rPr>
          <w:rFonts w:cs="Times New Roman"/>
          <w:szCs w:val="24"/>
        </w:rPr>
        <w:t xml:space="preserve">where, </w:t>
      </w:r>
      <m:oMath>
        <m:sSup>
          <m:sSupPr>
            <m:ctrlPr>
              <w:rPr>
                <w:rFonts w:ascii="Cambria Math" w:eastAsia="Calibri" w:hAnsi="Cambria Math" w:cs="Vrinda"/>
                <w:i/>
              </w:rPr>
            </m:ctrlPr>
          </m:sSupPr>
          <m:e>
            <m:r>
              <w:rPr>
                <w:rFonts w:ascii="Cambria Math" w:eastAsia="Calibri" w:hAnsi="Cambria Math" w:cs="Vrinda"/>
              </w:rPr>
              <m:t>σ</m:t>
            </m:r>
          </m:e>
          <m:sup>
            <m:r>
              <w:rPr>
                <w:rFonts w:ascii="Cambria Math" w:eastAsia="Calibri" w:hAnsi="Cambria Math" w:cs="Vrinda"/>
              </w:rPr>
              <m:t>2</m:t>
            </m:r>
          </m:sup>
        </m:sSup>
      </m:oMath>
      <w:r>
        <w:rPr>
          <w:rFonts w:cs="Times New Roman"/>
        </w:rPr>
        <w:t xml:space="preserve"> represents the error variance of </w:t>
      </w:r>
      <m:oMath>
        <m:r>
          <w:rPr>
            <w:rFonts w:ascii="Cambria Math" w:hAnsi="Cambria Math" w:cs="Times New Roman"/>
            <w:szCs w:val="24"/>
          </w:rPr>
          <m:t>ε</m:t>
        </m:r>
      </m:oMath>
      <w:r>
        <w:rPr>
          <w:rFonts w:cs="Times New Roman"/>
          <w:szCs w:val="24"/>
        </w:rPr>
        <w:t xml:space="preserve">, </w:t>
      </w:r>
      <m:oMath>
        <m:r>
          <w:rPr>
            <w:rFonts w:ascii="Cambria Math" w:eastAsiaTheme="minorEastAsia" w:hAnsi="Cambria Math" w:cs="Times New Roman"/>
          </w:rPr>
          <m:t>ϕ</m:t>
        </m:r>
      </m:oMath>
      <w:r>
        <w:t xml:space="preserve"> represents the common correlation factor across time periods, and </w:t>
      </w:r>
      <m:oMath>
        <m:r>
          <w:rPr>
            <w:rFonts w:ascii="Cambria Math" w:eastAsia="Calibri" w:hAnsi="Cambria Math" w:cs="Vrinda"/>
          </w:rPr>
          <m:t>ρ</m:t>
        </m:r>
      </m:oMath>
      <w:r>
        <w:t xml:space="preserve"> represents the dampening parameter that reduces the correlation </w:t>
      </w:r>
      <w:r w:rsidR="004E7A88">
        <w:t>over</w:t>
      </w:r>
      <w:r>
        <w:t xml:space="preserve"> time</w:t>
      </w:r>
      <w:r>
        <w:fldChar w:fldCharType="begin" w:fldLock="1"/>
      </w:r>
      <w:r w:rsidR="00EE4BF1">
        <w:instrText>ADDIN CSL_CITATION {"citationItems":[{"id":"ITEM-1","itemData":{"DOI":"10.1016/j.jtrangeo.2014.01.013","ISSN":"09666923","abstract":"Installed in 2009, BIXI is the first major public bicycle-sharing system in Montreal, Canada. The BIXI system has been a success, accounting for more than one million trips annually. This success has increased the interest in exploring the factors affecting bicycle-sharing flows and usage. Using data compiled as minute-by-minute readings of bicycle availability at all the stations of the BIXI system between April and August 2012, this study contributes to the literature on bicycle-sharing. We examine the influence of meteorological data, temporal characteristics, bicycle infrastructure, land use and built environment attributes on arrival and departure flows at the station level using a multilevel approach to statistical modeling, which could easily be applied to other regions. The findings allow us to identify factors contributing to increased usage of bicycle-sharing in Montreal and to provide recommendations pertaining to station size and location decisions. The developed methodology and findings can be of benefit to city planners and engineers who are designing or modifying bicycle-sharing systems with the goal of maximizing usage and availability.","author":[{"dropping-particle":"","family":"Faghih-Imani","given":"Ahmadreza","non-dropping-particle":"","parse-names":false,"suffix":""},{"dropping-particle":"","family":"Eluru","given":"Naveen","non-dropping-particle":"","parse-names":false,"suffix":""},{"dropping-particle":"","family":"El-Geneidy","given":"Ahmed M.","non-dropping-particle":"","parse-names":false,"suffix":""},{"dropping-particle":"","family":"Rabbat","given":"Michael","non-dropping-particle":"","parse-names":false,"suffix":""},{"dropping-particle":"","family":"Haq","given":"Usama","non-dropping-particle":"","parse-names":false,"suffix":""}],"container-title":"Journal of Transport Geography","id":"ITEM-1","issued":{"date-parts":[["2014"]]},"page":"306-314","title":"How land-use and urban form impact bicycle flows: Evidence from the bicycle-sharing system (BIXI) in Montreal","type":"article-journal","volume":"41"},"uris":["http://www.mendeley.com/documents/?uuid=05842c30-2419-4bb6-9f6c-5199361fecf2"]}],"mendeley":{"formattedCitation":"&lt;sup&gt;26&lt;/sup&gt;","plainTextFormattedCitation":"26","previouslyFormattedCitation":"&lt;sup&gt;26&lt;/sup&gt;"},"properties":{"noteIndex":0},"schema":"https://github.com/citation-style-language/schema/raw/master/csl-citation.json"}</w:instrText>
      </w:r>
      <w:r>
        <w:fldChar w:fldCharType="separate"/>
      </w:r>
      <w:r w:rsidR="00EE4BF1" w:rsidRPr="00EE4BF1">
        <w:rPr>
          <w:noProof/>
          <w:vertAlign w:val="superscript"/>
        </w:rPr>
        <w:t>26</w:t>
      </w:r>
      <w:r>
        <w:fldChar w:fldCharType="end"/>
      </w:r>
      <w:r>
        <w:t xml:space="preserve">. </w:t>
      </w:r>
      <w:r>
        <w:rPr>
          <w:rFonts w:eastAsiaTheme="minorEastAsia" w:cs="Times New Roman"/>
        </w:rPr>
        <w:t xml:space="preserve">The models </w:t>
      </w:r>
      <w:r w:rsidRPr="00FB6614">
        <w:rPr>
          <w:rFonts w:cs="Times New Roman"/>
          <w:szCs w:val="24"/>
        </w:rPr>
        <w:t>are estimated in SPSS using the Restricted Maximum Likelihood Approach (REML). The REML approach estimates the parameters by computing the likelihood function on a transformed dataset. The approach is commonly used for linear mixed models</w:t>
      </w:r>
      <w:r>
        <w:rPr>
          <w:rFonts w:cs="Times New Roman"/>
          <w:szCs w:val="24"/>
        </w:rPr>
        <w:fldChar w:fldCharType="begin" w:fldLock="1"/>
      </w:r>
      <w:r w:rsidR="00EE4BF1">
        <w:rPr>
          <w:rFonts w:cs="Times New Roman"/>
          <w:szCs w:val="24"/>
        </w:rPr>
        <w:instrText>ADDIN CSL_CITATION {"citationItems":[{"id":"ITEM-1","itemData":{"DOI":"10.1080/01621459.1977.10480998","ISSN":"1537274X","abstract":"Recent developments promise to increase greatly the popularity of maximum likelihood (ml) as a technique for estimating variance components. Patterson and Thompson (1971) proposed a restricted maximum likelihood (reml) approach which takes into account the loss in degrees of freedom resulting from estimating fixed effects. Miller (1973) developed a satisfactory asymptotic theory for ml estimators of variance components. There are many iterative algorithms that can be considered for computing the ml or reml estimates. The computations on each iteration of these algorithms are those associated with computing estimates of fixed and random effects for given values of the variance components. © 1977, Taylor &amp; Francis Group, LLC.","author":[{"dropping-particle":"","family":"Harville","given":"David A.","non-dropping-particle":"","parse-names":false,"suffix":""}],"container-title":"Journal of the American Statistical Association","id":"ITEM-1","issue":"358","issued":{"date-parts":[["1977"]]},"page":"320-338","title":"Maximum likelihood approaches to variance component estimation and to related problems","type":"article-journal","volume":"72"},"uris":["http://www.mendeley.com/documents/?uuid=333be7ea-d614-4c67-a087-8374515b6a0b"]}],"mendeley":{"formattedCitation":"&lt;sup&gt;27&lt;/sup&gt;","plainTextFormattedCitation":"27","previouslyFormattedCitation":"&lt;sup&gt;27&lt;/sup&gt;"},"properties":{"noteIndex":0},"schema":"https://github.com/citation-style-language/schema/raw/master/csl-citation.json"}</w:instrText>
      </w:r>
      <w:r>
        <w:rPr>
          <w:rFonts w:cs="Times New Roman"/>
          <w:szCs w:val="24"/>
        </w:rPr>
        <w:fldChar w:fldCharType="separate"/>
      </w:r>
      <w:r w:rsidR="00EE4BF1" w:rsidRPr="00EE4BF1">
        <w:rPr>
          <w:rFonts w:cs="Times New Roman"/>
          <w:noProof/>
          <w:szCs w:val="24"/>
          <w:vertAlign w:val="superscript"/>
        </w:rPr>
        <w:t>27</w:t>
      </w:r>
      <w:r>
        <w:rPr>
          <w:rFonts w:cs="Times New Roman"/>
          <w:szCs w:val="24"/>
        </w:rPr>
        <w:fldChar w:fldCharType="end"/>
      </w:r>
      <w:r>
        <w:rPr>
          <w:rFonts w:cs="Times New Roman"/>
          <w:szCs w:val="24"/>
        </w:rPr>
        <w:t>.</w:t>
      </w:r>
    </w:p>
    <w:p w14:paraId="2FB48E7A" w14:textId="33011C3B" w:rsidR="00B64128" w:rsidRDefault="00B64128" w:rsidP="00165D19">
      <w:pPr>
        <w:rPr>
          <w:rFonts w:cs="Times New Roman"/>
          <w:b/>
          <w:bCs/>
          <w:szCs w:val="24"/>
        </w:rPr>
      </w:pPr>
    </w:p>
    <w:p w14:paraId="4CA4D734" w14:textId="77777777" w:rsidR="00003B03" w:rsidRDefault="00003B03" w:rsidP="00165D19">
      <w:pPr>
        <w:rPr>
          <w:rFonts w:cs="Times New Roman"/>
          <w:b/>
          <w:bCs/>
          <w:szCs w:val="24"/>
        </w:rPr>
      </w:pPr>
    </w:p>
    <w:p w14:paraId="043D4332" w14:textId="77777777" w:rsidR="00165D19" w:rsidRPr="00F15BED" w:rsidRDefault="00165D19" w:rsidP="00165D19">
      <w:pPr>
        <w:rPr>
          <w:b/>
          <w:bCs/>
        </w:rPr>
      </w:pPr>
      <w:r w:rsidRPr="00F15BED">
        <w:rPr>
          <w:rFonts w:cs="Times New Roman"/>
          <w:b/>
          <w:bCs/>
          <w:szCs w:val="24"/>
        </w:rPr>
        <w:lastRenderedPageBreak/>
        <w:t>Contributors</w:t>
      </w:r>
    </w:p>
    <w:p w14:paraId="3D479202" w14:textId="77777777" w:rsidR="00165D19" w:rsidRDefault="00165D19" w:rsidP="00165D19">
      <w:pPr>
        <w:rPr>
          <w:rFonts w:cs="Times New Roman"/>
          <w:szCs w:val="24"/>
        </w:rPr>
      </w:pPr>
      <w:r w:rsidRPr="00B0477B">
        <w:rPr>
          <w:rFonts w:cs="Times New Roman"/>
          <w:szCs w:val="24"/>
        </w:rPr>
        <w:t>NE conceptualized the study. TB and NE finalized the study design. TB</w:t>
      </w:r>
      <w:r>
        <w:rPr>
          <w:rFonts w:cs="Times New Roman"/>
          <w:szCs w:val="24"/>
        </w:rPr>
        <w:t xml:space="preserve"> </w:t>
      </w:r>
      <w:r w:rsidRPr="00B0477B">
        <w:rPr>
          <w:rFonts w:cs="Times New Roman"/>
          <w:szCs w:val="24"/>
        </w:rPr>
        <w:t>conducted the literature review. TB</w:t>
      </w:r>
      <w:r>
        <w:rPr>
          <w:rFonts w:cs="Times New Roman"/>
          <w:szCs w:val="24"/>
        </w:rPr>
        <w:t xml:space="preserve"> </w:t>
      </w:r>
      <w:r w:rsidRPr="00B0477B">
        <w:rPr>
          <w:rFonts w:cs="Times New Roman"/>
          <w:szCs w:val="24"/>
        </w:rPr>
        <w:t>collected the data. TB</w:t>
      </w:r>
      <w:r>
        <w:rPr>
          <w:rFonts w:cs="Times New Roman"/>
          <w:szCs w:val="24"/>
        </w:rPr>
        <w:t xml:space="preserve"> </w:t>
      </w:r>
      <w:r w:rsidRPr="00B0477B">
        <w:rPr>
          <w:rFonts w:cs="Times New Roman"/>
          <w:szCs w:val="24"/>
        </w:rPr>
        <w:t>and NE analyzed and interpreted the model results. TB</w:t>
      </w:r>
      <w:r>
        <w:rPr>
          <w:rFonts w:cs="Times New Roman"/>
          <w:szCs w:val="24"/>
        </w:rPr>
        <w:t xml:space="preserve"> and NE </w:t>
      </w:r>
      <w:r w:rsidRPr="00B0477B">
        <w:rPr>
          <w:rFonts w:cs="Times New Roman"/>
          <w:szCs w:val="24"/>
        </w:rPr>
        <w:t>prepared the figures. TB</w:t>
      </w:r>
      <w:r>
        <w:rPr>
          <w:rFonts w:cs="Times New Roman"/>
          <w:szCs w:val="24"/>
        </w:rPr>
        <w:t xml:space="preserve"> </w:t>
      </w:r>
      <w:r w:rsidRPr="00B0477B">
        <w:rPr>
          <w:rFonts w:cs="Times New Roman"/>
          <w:szCs w:val="24"/>
        </w:rPr>
        <w:t xml:space="preserve">and NE drafted the main manuscript. </w:t>
      </w:r>
      <w:r>
        <w:rPr>
          <w:rFonts w:cs="Times New Roman"/>
          <w:szCs w:val="24"/>
        </w:rPr>
        <w:t>Both</w:t>
      </w:r>
      <w:r w:rsidRPr="00B0477B">
        <w:rPr>
          <w:rFonts w:cs="Times New Roman"/>
          <w:szCs w:val="24"/>
        </w:rPr>
        <w:t xml:space="preserve"> authors reviewed the results and approved the final version of the manuscript.</w:t>
      </w:r>
    </w:p>
    <w:p w14:paraId="7DB91D15" w14:textId="77777777" w:rsidR="00165D19" w:rsidRDefault="00165D19" w:rsidP="00165D19">
      <w:pPr>
        <w:rPr>
          <w:rFonts w:cs="Times New Roman"/>
          <w:szCs w:val="24"/>
        </w:rPr>
      </w:pPr>
    </w:p>
    <w:p w14:paraId="419D9DF9" w14:textId="77777777" w:rsidR="00165D19" w:rsidRPr="00F73E66" w:rsidRDefault="00165D19" w:rsidP="00165D19">
      <w:pPr>
        <w:rPr>
          <w:rFonts w:cs="Times New Roman"/>
          <w:b/>
          <w:bCs/>
          <w:szCs w:val="24"/>
        </w:rPr>
      </w:pPr>
      <w:r w:rsidRPr="00F73E66">
        <w:rPr>
          <w:rFonts w:cs="Times New Roman"/>
          <w:b/>
          <w:bCs/>
          <w:szCs w:val="24"/>
        </w:rPr>
        <w:t>Declaration of Interests</w:t>
      </w:r>
    </w:p>
    <w:p w14:paraId="56C2304C" w14:textId="5331438F" w:rsidR="00165D19" w:rsidRDefault="00165D19" w:rsidP="00165D19">
      <w:pPr>
        <w:rPr>
          <w:rFonts w:cs="Times New Roman"/>
          <w:szCs w:val="24"/>
        </w:rPr>
      </w:pPr>
      <w:r>
        <w:rPr>
          <w:rFonts w:cs="Times New Roman"/>
          <w:szCs w:val="24"/>
        </w:rPr>
        <w:t xml:space="preserve">We declare no competing interests. </w:t>
      </w:r>
    </w:p>
    <w:p w14:paraId="23F9B6FE" w14:textId="77777777" w:rsidR="0029751E" w:rsidRDefault="0029751E" w:rsidP="00165D19">
      <w:pPr>
        <w:rPr>
          <w:rFonts w:cs="Times New Roman"/>
          <w:szCs w:val="24"/>
        </w:rPr>
      </w:pPr>
    </w:p>
    <w:p w14:paraId="59E3CF7B" w14:textId="77777777" w:rsidR="0029751E" w:rsidRPr="00254A5A" w:rsidRDefault="0029751E" w:rsidP="00254A5A">
      <w:pPr>
        <w:rPr>
          <w:b/>
          <w:bCs/>
        </w:rPr>
      </w:pPr>
      <w:r w:rsidRPr="00254A5A">
        <w:rPr>
          <w:b/>
          <w:bCs/>
        </w:rPr>
        <w:t>Role of the Funding Source</w:t>
      </w:r>
    </w:p>
    <w:p w14:paraId="139B985F" w14:textId="3D6F951C" w:rsidR="0029751E" w:rsidRDefault="0029751E" w:rsidP="0029751E">
      <w:r w:rsidRPr="00D03F93">
        <w:t>There was no funding source for this study</w:t>
      </w:r>
      <w:r>
        <w:t>.</w:t>
      </w:r>
    </w:p>
    <w:p w14:paraId="7CB82E82" w14:textId="77777777" w:rsidR="00254A5A" w:rsidRPr="00D03F93" w:rsidRDefault="00254A5A" w:rsidP="0029751E"/>
    <w:p w14:paraId="64B1A486" w14:textId="77777777" w:rsidR="00355915" w:rsidRPr="000D0F39" w:rsidRDefault="00355915" w:rsidP="00355915">
      <w:pPr>
        <w:rPr>
          <w:rFonts w:cs="Times New Roman"/>
          <w:b/>
          <w:bCs/>
          <w:szCs w:val="24"/>
        </w:rPr>
      </w:pPr>
      <w:r w:rsidRPr="000D0F39">
        <w:rPr>
          <w:rFonts w:cs="Times New Roman"/>
          <w:b/>
          <w:bCs/>
          <w:szCs w:val="24"/>
        </w:rPr>
        <w:t>Data Availability</w:t>
      </w:r>
    </w:p>
    <w:p w14:paraId="0E018884" w14:textId="6ADA83FA" w:rsidR="00355915" w:rsidRPr="00EF4C32" w:rsidRDefault="00355915" w:rsidP="00355915">
      <w:pPr>
        <w:rPr>
          <w:noProof/>
        </w:rPr>
      </w:pPr>
      <w:r w:rsidRPr="000D0F39">
        <w:t xml:space="preserve">The datasets generated during and/or analyzed during the current study are available in the </w:t>
      </w:r>
      <w:r w:rsidRPr="008F631C">
        <w:t>Department of Health and Human services</w:t>
      </w:r>
      <w:r>
        <w:t xml:space="preserve"> </w:t>
      </w:r>
      <w:r w:rsidRPr="000D0F39">
        <w:t>repository,</w:t>
      </w:r>
      <w:r>
        <w:t xml:space="preserve"> </w:t>
      </w:r>
      <w:hyperlink r:id="rId18" w:history="1">
        <w:r w:rsidRPr="001909F7">
          <w:rPr>
            <w:rStyle w:val="Hyperlink"/>
            <w:noProof/>
          </w:rPr>
          <w:t>https://healthdata.gov/Hospital/COVID-19-Reported-Patient-Impact-and-Hospital-Capa/anag-cw7u</w:t>
        </w:r>
      </w:hyperlink>
      <w:r>
        <w:rPr>
          <w:noProof/>
        </w:rPr>
        <w:t xml:space="preserve">. </w:t>
      </w:r>
    </w:p>
    <w:p w14:paraId="3741C0CF" w14:textId="77777777" w:rsidR="000D0F39" w:rsidRDefault="000D0F39" w:rsidP="00165D19">
      <w:pPr>
        <w:rPr>
          <w:rFonts w:cs="Times New Roman"/>
          <w:b/>
          <w:bCs/>
          <w:szCs w:val="24"/>
        </w:rPr>
      </w:pPr>
    </w:p>
    <w:p w14:paraId="5AE163EB" w14:textId="52B650AC" w:rsidR="00165D19" w:rsidRDefault="00165D19" w:rsidP="00165D19">
      <w:pPr>
        <w:rPr>
          <w:rFonts w:cs="Times New Roman"/>
          <w:b/>
          <w:bCs/>
          <w:szCs w:val="24"/>
        </w:rPr>
      </w:pPr>
      <w:r w:rsidRPr="00737AF9">
        <w:rPr>
          <w:rFonts w:cs="Times New Roman"/>
          <w:b/>
          <w:bCs/>
          <w:szCs w:val="24"/>
        </w:rPr>
        <w:t>Acknowledgement</w:t>
      </w:r>
    </w:p>
    <w:p w14:paraId="13C3140D" w14:textId="77777777" w:rsidR="00165D19" w:rsidRDefault="00165D19" w:rsidP="00165D19">
      <w:pPr>
        <w:rPr>
          <w:rFonts w:eastAsia="Times New Roman" w:cs="Times New Roman"/>
          <w:color w:val="000000"/>
          <w:szCs w:val="24"/>
        </w:rPr>
      </w:pPr>
      <w:r w:rsidRPr="00050244">
        <w:rPr>
          <w:rFonts w:cs="Times New Roman"/>
          <w:szCs w:val="24"/>
        </w:rPr>
        <w:t xml:space="preserve">The authors would </w:t>
      </w:r>
      <w:r w:rsidRPr="00050244">
        <w:rPr>
          <w:rFonts w:eastAsia="Times New Roman" w:cs="Times New Roman"/>
          <w:color w:val="000000"/>
          <w:szCs w:val="24"/>
        </w:rPr>
        <w:t>like to gratefully acknowledge</w:t>
      </w:r>
      <w:r>
        <w:rPr>
          <w:rFonts w:eastAsia="Times New Roman" w:cs="Times New Roman"/>
          <w:color w:val="000000"/>
          <w:szCs w:val="24"/>
        </w:rPr>
        <w:t xml:space="preserve"> </w:t>
      </w:r>
      <w:proofErr w:type="spellStart"/>
      <w:r w:rsidRPr="00050244">
        <w:rPr>
          <w:rFonts w:eastAsia="Times New Roman" w:cs="Times New Roman"/>
          <w:color w:val="000000"/>
          <w:szCs w:val="24"/>
        </w:rPr>
        <w:t>SafeGraph</w:t>
      </w:r>
      <w:proofErr w:type="spellEnd"/>
      <w:r>
        <w:rPr>
          <w:rFonts w:eastAsia="Times New Roman" w:cs="Times New Roman"/>
          <w:color w:val="000000"/>
          <w:szCs w:val="24"/>
        </w:rPr>
        <w:t xml:space="preserve"> </w:t>
      </w:r>
      <w:r w:rsidRPr="00050244">
        <w:rPr>
          <w:rFonts w:eastAsia="Times New Roman" w:cs="Times New Roman"/>
          <w:color w:val="000000"/>
          <w:szCs w:val="24"/>
        </w:rPr>
        <w:t>COVID-19 Data Consortium</w:t>
      </w:r>
      <w:r>
        <w:rPr>
          <w:rFonts w:eastAsia="Times New Roman" w:cs="Times New Roman"/>
          <w:color w:val="000000"/>
          <w:szCs w:val="24"/>
        </w:rPr>
        <w:t xml:space="preserve">, </w:t>
      </w:r>
      <w:r w:rsidRPr="008F631C">
        <w:rPr>
          <w:rFonts w:cs="Times New Roman"/>
          <w:szCs w:val="24"/>
        </w:rPr>
        <w:t>Department of Health and Human services</w:t>
      </w:r>
      <w:r>
        <w:rPr>
          <w:rFonts w:cs="Times New Roman"/>
          <w:szCs w:val="24"/>
        </w:rPr>
        <w:t xml:space="preserve">, </w:t>
      </w:r>
      <w:r>
        <w:rPr>
          <w:rFonts w:eastAsia="Times New Roman" w:cs="Times New Roman"/>
          <w:color w:val="000000"/>
          <w:szCs w:val="24"/>
        </w:rPr>
        <w:t>County Health Ranking and Road Maps, Centers</w:t>
      </w:r>
      <w:r w:rsidRPr="008C39B5">
        <w:rPr>
          <w:rFonts w:eastAsia="Times New Roman" w:cs="Times New Roman"/>
          <w:color w:val="000000"/>
          <w:szCs w:val="24"/>
        </w:rPr>
        <w:t xml:space="preserve"> for Disease Control System</w:t>
      </w:r>
      <w:r w:rsidRPr="00050244">
        <w:rPr>
          <w:rFonts w:eastAsia="Times New Roman" w:cs="Times New Roman"/>
          <w:color w:val="000000"/>
          <w:szCs w:val="24"/>
        </w:rPr>
        <w:t xml:space="preserve"> </w:t>
      </w:r>
      <w:r>
        <w:rPr>
          <w:rFonts w:eastAsia="Times New Roman" w:cs="Times New Roman"/>
          <w:color w:val="000000"/>
          <w:szCs w:val="24"/>
        </w:rPr>
        <w:t>for providing access to the data at county level for United States.</w:t>
      </w:r>
    </w:p>
    <w:p w14:paraId="14C53800" w14:textId="77777777" w:rsidR="00165D19" w:rsidRDefault="00165D19" w:rsidP="000A312B"/>
    <w:p w14:paraId="7BEDE227" w14:textId="3DE4FCDB" w:rsidR="009B79FE" w:rsidRDefault="001605F6" w:rsidP="009B79FE">
      <w:pPr>
        <w:pStyle w:val="Heading1"/>
      </w:pPr>
      <w:r w:rsidRPr="00181113">
        <w:t>REFERENCES</w:t>
      </w:r>
    </w:p>
    <w:p w14:paraId="60601DFD" w14:textId="48888FF9" w:rsidR="00EF4C32" w:rsidRPr="00EF4C32" w:rsidRDefault="00F665EB" w:rsidP="00EF4C32">
      <w:pPr>
        <w:widowControl w:val="0"/>
        <w:autoSpaceDE w:val="0"/>
        <w:autoSpaceDN w:val="0"/>
        <w:adjustRightInd w:val="0"/>
        <w:ind w:left="640" w:hanging="640"/>
        <w:rPr>
          <w:rFonts w:cs="Times New Roman"/>
          <w:noProof/>
          <w:szCs w:val="24"/>
        </w:rPr>
      </w:pPr>
      <w:r>
        <w:fldChar w:fldCharType="begin" w:fldLock="1"/>
      </w:r>
      <w:r>
        <w:instrText xml:space="preserve">ADDIN Mendeley Bibliography CSL_BIBLIOGRAPHY </w:instrText>
      </w:r>
      <w:r>
        <w:fldChar w:fldCharType="separate"/>
      </w:r>
      <w:r w:rsidR="00EF4C32" w:rsidRPr="00EF4C32">
        <w:rPr>
          <w:rFonts w:cs="Times New Roman"/>
          <w:noProof/>
          <w:szCs w:val="24"/>
        </w:rPr>
        <w:t xml:space="preserve">1. </w:t>
      </w:r>
      <w:r w:rsidR="00EF4C32" w:rsidRPr="00EF4C32">
        <w:rPr>
          <w:rFonts w:cs="Times New Roman"/>
          <w:noProof/>
          <w:szCs w:val="24"/>
        </w:rPr>
        <w:tab/>
        <w:t>United States Coronavirus: 8,387,799 Cases and 224,730 Deaths  [Internet]. Worldometer. 2020 [cited 2021 Jan 25]. Available from: https://www.worldometers.info/coronavirus/country/us/</w:t>
      </w:r>
    </w:p>
    <w:p w14:paraId="626B56A3"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2. </w:t>
      </w:r>
      <w:r w:rsidRPr="00EF4C32">
        <w:rPr>
          <w:rFonts w:cs="Times New Roman"/>
          <w:noProof/>
          <w:szCs w:val="24"/>
        </w:rPr>
        <w:tab/>
        <w:t>More than 4,000 U.S. lives lost to COVID in single day, exceeding death toll from 9/11 attacks - MarketWatch [Internet]. [cited 2021 Jan 25]. Available from: https://www.marketwatch.com/story/more-than-4000-lives-lost-to-covid-in-us-in-a-single-day-exceeding-death-toll-from-911-attacks-2021-01-08</w:t>
      </w:r>
    </w:p>
    <w:p w14:paraId="4AE7A25A"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3. </w:t>
      </w:r>
      <w:r w:rsidRPr="00EF4C32">
        <w:rPr>
          <w:rFonts w:cs="Times New Roman"/>
          <w:noProof/>
          <w:szCs w:val="24"/>
        </w:rPr>
        <w:tab/>
        <w:t>U.S. Covid-19 Hospitalizations Hit Record - WSJ.com [Internet]. [cited 2021 Jan 25]. Available from: https://www.wsj.com/livecoverage/covid-2021-01-04</w:t>
      </w:r>
    </w:p>
    <w:p w14:paraId="334C2931"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4. </w:t>
      </w:r>
      <w:r w:rsidRPr="00EF4C32">
        <w:rPr>
          <w:rFonts w:cs="Times New Roman"/>
          <w:noProof/>
          <w:szCs w:val="24"/>
        </w:rPr>
        <w:tab/>
        <w:t>Arizona | The COVID Tracking Project [Internet]. [cited 2021 Jan 25]. Available from: https://covidtracking.com/data/state/arizona</w:t>
      </w:r>
    </w:p>
    <w:p w14:paraId="0BD5161E"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5. </w:t>
      </w:r>
      <w:r w:rsidRPr="00EF4C32">
        <w:rPr>
          <w:rFonts w:cs="Times New Roman"/>
          <w:noProof/>
          <w:szCs w:val="24"/>
        </w:rPr>
        <w:tab/>
        <w:t>Study: Hospitals at or near full COVID-19 ICU capacity increase by 90% over past few months | FierceHealthcare [Internet]. [cited 2021 Jan 25]. Available from: https://www.fiercehealthcare.com/hospitals/study-hospitals-at-or-near-full-covid-19-icu-capacity-increase-by-90-over-past-few-months</w:t>
      </w:r>
    </w:p>
    <w:p w14:paraId="08BE4429"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6. </w:t>
      </w:r>
      <w:r w:rsidRPr="00EF4C32">
        <w:rPr>
          <w:rFonts w:cs="Times New Roman"/>
          <w:noProof/>
          <w:szCs w:val="24"/>
        </w:rPr>
        <w:tab/>
        <w:t>Study investigates non-COVID-19 deaths during the pandemic [Internet]. [cited 2021 Jan 25]. Available from: https://www.medicalnewstoday.com/articles/study-investigates-non-covid-19-deaths-during-the-pandemic#Excess-deaths</w:t>
      </w:r>
    </w:p>
    <w:p w14:paraId="06498269"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7. </w:t>
      </w:r>
      <w:r w:rsidRPr="00EF4C32">
        <w:rPr>
          <w:rFonts w:cs="Times New Roman"/>
          <w:noProof/>
          <w:szCs w:val="24"/>
        </w:rPr>
        <w:tab/>
        <w:t>New Variants of the Virus that Causes COVID-19 | CDC [Internet]. [cited 2021 Jan 31]. Available from: https://www.cdc.gov/coronavirus/2019-ncov/transmission/variant.html</w:t>
      </w:r>
    </w:p>
    <w:p w14:paraId="4D1C9B62"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8. </w:t>
      </w:r>
      <w:r w:rsidRPr="00EF4C32">
        <w:rPr>
          <w:rFonts w:cs="Times New Roman"/>
          <w:noProof/>
          <w:szCs w:val="24"/>
        </w:rPr>
        <w:tab/>
        <w:t xml:space="preserve">Bhowmik T, Tirtha SD, Iraganaboina NC, Eluru N. A comprehensive analysis of COVID-19 transmission and fatality rates at the county level in the United States considering socio-demographics, health indicators, mobility trends and health care infrastructure attributes. </w:t>
      </w:r>
      <w:r w:rsidRPr="00EF4C32">
        <w:rPr>
          <w:rFonts w:cs="Times New Roman"/>
          <w:noProof/>
          <w:szCs w:val="24"/>
        </w:rPr>
        <w:lastRenderedPageBreak/>
        <w:t>medRxiv [Internet]. 2020 [cited 2021 Jan 25]; Available from: https://doi.org/10.1101/2020.08.03.20164137</w:t>
      </w:r>
    </w:p>
    <w:p w14:paraId="5D81E301"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9. </w:t>
      </w:r>
      <w:r w:rsidRPr="00EF4C32">
        <w:rPr>
          <w:rFonts w:cs="Times New Roman"/>
          <w:noProof/>
          <w:szCs w:val="24"/>
        </w:rPr>
        <w:tab/>
        <w:t xml:space="preserve">Badr HS, Du H, Marshall M, Dong E, Squire MM, Gardner LM. Association between mobility patterns and COVID-19 transmission in the USA: a mathematical modelling study. Lancet Infect Dis. 2020 Nov 1;20(11):1247–54. </w:t>
      </w:r>
    </w:p>
    <w:p w14:paraId="5AEE867D"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10. </w:t>
      </w:r>
      <w:r w:rsidRPr="00EF4C32">
        <w:rPr>
          <w:rFonts w:cs="Times New Roman"/>
          <w:noProof/>
          <w:szCs w:val="24"/>
        </w:rPr>
        <w:tab/>
        <w:t xml:space="preserve">Jones RP. Would the United States have had too few beds for universal emergency care in the event of a more widespread Covid-19 epidemic? Int J Environ Res Public Health. 2020;17(14):1–14. </w:t>
      </w:r>
    </w:p>
    <w:p w14:paraId="0BAA3D2F"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11. </w:t>
      </w:r>
      <w:r w:rsidRPr="00EF4C32">
        <w:rPr>
          <w:rFonts w:cs="Times New Roman"/>
          <w:noProof/>
          <w:szCs w:val="24"/>
        </w:rPr>
        <w:tab/>
        <w:t>Blavin F, Arnos D. Hospital Readiness for COVID-19: Analysis of Bed Capacity and How it Varies Across the Country - RWJF. Rober Wood Johnson Found [Internet]. 2020;1–7. Available from: https://www.rwjf.org/en/library/research/2020/03/hospital-readiness-for-covid19-analysis-of-bed-capacity-and-how-it-varies-across-the-country.html</w:t>
      </w:r>
    </w:p>
    <w:p w14:paraId="1CF9EA66"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12. </w:t>
      </w:r>
      <w:r w:rsidRPr="00EF4C32">
        <w:rPr>
          <w:rFonts w:cs="Times New Roman"/>
          <w:noProof/>
          <w:szCs w:val="24"/>
        </w:rPr>
        <w:tab/>
        <w:t xml:space="preserve">Ko JY, Danielson ML, Town M, Derado G, Greenlund KJ, Kirley PD, et al. Risk Factors for Coronavirus Disease 2019 (COVID-19)–Associated Hospitalization: COVID-19–Associated Hospitalization Surveillance Network and Behavioral Risk Factor Surveillance System. Clin Infect Dis. 2020;2019(Xx Xxxx):1–9. </w:t>
      </w:r>
    </w:p>
    <w:p w14:paraId="3AA218FB"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13. </w:t>
      </w:r>
      <w:r w:rsidRPr="00EF4C32">
        <w:rPr>
          <w:rFonts w:cs="Times New Roman"/>
          <w:noProof/>
          <w:szCs w:val="24"/>
        </w:rPr>
        <w:tab/>
        <w:t xml:space="preserve">Verhagen M, Brazel D, Dowd JB, Kashnitsky I, Mills M. Forecasting spatial, socioeconomic and demographic variation in COVID-19 health care demand in England and Wales. BMC Med. 2020;18:203. </w:t>
      </w:r>
    </w:p>
    <w:p w14:paraId="77A52B6C"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14. </w:t>
      </w:r>
      <w:r w:rsidRPr="00EF4C32">
        <w:rPr>
          <w:rFonts w:cs="Times New Roman"/>
          <w:noProof/>
          <w:szCs w:val="24"/>
        </w:rPr>
        <w:tab/>
        <w:t xml:space="preserve">Ferstad JO, Gu A, Lee RY, Thapa I, Shin AY, Salomon JA, et al. A model to forecast regional demand for COVID-19 related hospital beds. medRxiv. 2020; </w:t>
      </w:r>
    </w:p>
    <w:p w14:paraId="167FD110"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15. </w:t>
      </w:r>
      <w:r w:rsidRPr="00EF4C32">
        <w:rPr>
          <w:rFonts w:cs="Times New Roman"/>
          <w:noProof/>
          <w:szCs w:val="24"/>
        </w:rPr>
        <w:tab/>
        <w:t xml:space="preserve">Branas CC, Rundle A, Pei S, Yang W, Carr BG, Sims S, et al. Flattening the curve before it flattens us: hospital critical care capacity limits and mortality from novel coronavirus (SARS-CoV2) cases in US counties. medRxiv. 2020;1–14. </w:t>
      </w:r>
    </w:p>
    <w:p w14:paraId="40840BFC"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16. </w:t>
      </w:r>
      <w:r w:rsidRPr="00EF4C32">
        <w:rPr>
          <w:rFonts w:cs="Times New Roman"/>
          <w:noProof/>
          <w:szCs w:val="24"/>
        </w:rPr>
        <w:tab/>
        <w:t xml:space="preserve">Zhang T, Mcfarlane K, Vallon J, Ba BS, Yang L, Xie J, et al. A model to estimate bed demand for COVID-19 related hospitalization Department of Management Science and Engineering , Stanford University School of Engineering , Stanford Graduate School of Business , Stanford , CA Harvard Medical School , Boston , MA In. 2020;24–8. </w:t>
      </w:r>
    </w:p>
    <w:p w14:paraId="24CC8CBA"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17. </w:t>
      </w:r>
      <w:r w:rsidRPr="00EF4C32">
        <w:rPr>
          <w:rFonts w:cs="Times New Roman"/>
          <w:noProof/>
          <w:szCs w:val="24"/>
        </w:rPr>
        <w:tab/>
        <w:t xml:space="preserve">Badger D, Michel NJ, Carolina N, Carolina S. Coronavirus : Policymakers Should Augment Hospital Capacity Where Needed , Not Mandate Permanent Excess Capacity Arizona. 2020;(3487). </w:t>
      </w:r>
    </w:p>
    <w:p w14:paraId="563F8EAA"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18. </w:t>
      </w:r>
      <w:r w:rsidRPr="00EF4C32">
        <w:rPr>
          <w:rFonts w:cs="Times New Roman"/>
          <w:noProof/>
          <w:szCs w:val="24"/>
        </w:rPr>
        <w:tab/>
        <w:t xml:space="preserve">Weissman GE, Crane-Droesch A, Chivers C, Luong TB, Hanish A, Levy MZ, et al. Locally Informed Simulation to Predict Hospital Capacity Needs During the COVID-19 Pandemic. Ann Intern Med. 2020;173(1):21–8. </w:t>
      </w:r>
    </w:p>
    <w:p w14:paraId="5F50FA74"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19. </w:t>
      </w:r>
      <w:r w:rsidRPr="00EF4C32">
        <w:rPr>
          <w:rFonts w:cs="Times New Roman"/>
          <w:noProof/>
          <w:szCs w:val="24"/>
        </w:rPr>
        <w:tab/>
        <w:t xml:space="preserve">Cantor JH, Whaley CM. THE IMPACT OF THE COVID-19 PANDEMIC AND. 2020; </w:t>
      </w:r>
    </w:p>
    <w:p w14:paraId="40A52728"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20. </w:t>
      </w:r>
      <w:r w:rsidRPr="00EF4C32">
        <w:rPr>
          <w:rFonts w:cs="Times New Roman"/>
          <w:noProof/>
          <w:szCs w:val="24"/>
        </w:rPr>
        <w:tab/>
        <w:t>COVID-19 Reported Patient Impact and Hospital Capacity by Facility | HealthData.gov [Internet]. [cited 2021 Jan 25]. Available from: https://healthdata.gov/Hospital/COVID-19-Reported-Patient-Impact-and-Hospital-Capa/anag-cw7u</w:t>
      </w:r>
    </w:p>
    <w:p w14:paraId="1ADBFC68"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21. </w:t>
      </w:r>
      <w:r w:rsidRPr="00EF4C32">
        <w:rPr>
          <w:rFonts w:cs="Times New Roman"/>
          <w:noProof/>
          <w:szCs w:val="24"/>
        </w:rPr>
        <w:tab/>
        <w:t>Couture V, Dingel JI, Green A, Handbury J, Williams KR. Measuring Movement and Social Contact With Smartphone Data : a Real-Time Application To Covid-19 [Internet]. Vol. No. 27560, NBER Working Paper Series. 2020. Report No.: 35. Available from: http://www.nber.org/papers/w27560%0Ahttp://www.nber.org/papers/w27560.pdf</w:t>
      </w:r>
    </w:p>
    <w:p w14:paraId="046ED137"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22. </w:t>
      </w:r>
      <w:r w:rsidRPr="00EF4C32">
        <w:rPr>
          <w:rFonts w:cs="Times New Roman"/>
          <w:noProof/>
          <w:szCs w:val="24"/>
        </w:rPr>
        <w:tab/>
        <w:t>COVID-19 Map - Johns Hopkins Coronavirus Resource Center [Internet]. [cited 2021 Jan 27]. Available from: https://coronavirus.jhu.edu/map.html</w:t>
      </w:r>
    </w:p>
    <w:p w14:paraId="2A5CDDA2"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23. </w:t>
      </w:r>
      <w:r w:rsidRPr="00EF4C32">
        <w:rPr>
          <w:rFonts w:cs="Times New Roman"/>
          <w:noProof/>
          <w:szCs w:val="24"/>
        </w:rPr>
        <w:tab/>
        <w:t xml:space="preserve">Xie Z, Li D. Health and Demographic Impact on COVID-19 Infection and Mortality in US Counties [Internet]. Medrxiv. 2020. Available from: </w:t>
      </w:r>
      <w:r w:rsidRPr="00EF4C32">
        <w:rPr>
          <w:rFonts w:cs="Times New Roman"/>
          <w:noProof/>
          <w:szCs w:val="24"/>
        </w:rPr>
        <w:lastRenderedPageBreak/>
        <w:t>https://doi.org/10.1101/2020.05.06.20093195%0Ahttp://medrxiv.org/cgi/content/short/2020.05.06.20093195</w:t>
      </w:r>
    </w:p>
    <w:p w14:paraId="47AF6199"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24. </w:t>
      </w:r>
      <w:r w:rsidRPr="00EF4C32">
        <w:rPr>
          <w:rFonts w:cs="Times New Roman"/>
          <w:noProof/>
          <w:szCs w:val="24"/>
        </w:rPr>
        <w:tab/>
        <w:t>Scientific Evidence for Conditions that Increase Risk of Severe Illness | COVID-19 | CDC [Internet]. [cited 2021 Jan 31]. Available from: https://www.cdc.gov/coronavirus/2019-ncov/need-extra-precautions/evidence-table.html</w:t>
      </w:r>
    </w:p>
    <w:p w14:paraId="2E400AF1"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25. </w:t>
      </w:r>
      <w:r w:rsidRPr="00EF4C32">
        <w:rPr>
          <w:rFonts w:cs="Times New Roman"/>
          <w:noProof/>
          <w:szCs w:val="24"/>
        </w:rPr>
        <w:tab/>
        <w:t>This Is the Future of the Pandemic - The New York Times [Internet]. [cited 2021 Feb 16]. Available from: https://www.nytimes.com/2020/05/08/health/coronavirus-pandemic-curve-scenarios.html</w:t>
      </w:r>
    </w:p>
    <w:p w14:paraId="69F089A7" w14:textId="77777777" w:rsidR="00EF4C32" w:rsidRPr="00EF4C32" w:rsidRDefault="00EF4C32" w:rsidP="00EF4C32">
      <w:pPr>
        <w:widowControl w:val="0"/>
        <w:autoSpaceDE w:val="0"/>
        <w:autoSpaceDN w:val="0"/>
        <w:adjustRightInd w:val="0"/>
        <w:ind w:left="640" w:hanging="640"/>
        <w:rPr>
          <w:rFonts w:cs="Times New Roman"/>
          <w:noProof/>
          <w:szCs w:val="24"/>
        </w:rPr>
      </w:pPr>
      <w:r w:rsidRPr="00EF4C32">
        <w:rPr>
          <w:rFonts w:cs="Times New Roman"/>
          <w:noProof/>
          <w:szCs w:val="24"/>
        </w:rPr>
        <w:t xml:space="preserve">26. </w:t>
      </w:r>
      <w:r w:rsidRPr="00EF4C32">
        <w:rPr>
          <w:rFonts w:cs="Times New Roman"/>
          <w:noProof/>
          <w:szCs w:val="24"/>
        </w:rPr>
        <w:tab/>
        <w:t xml:space="preserve">Faghih-Imani A, Eluru N, El-Geneidy AM, Rabbat M, Haq U. How land-use and urban form impact bicycle flows: Evidence from the bicycle-sharing system (BIXI) in Montreal. J Transp Geogr. 2014;41:306–14. </w:t>
      </w:r>
    </w:p>
    <w:p w14:paraId="4BDDBE28" w14:textId="77777777" w:rsidR="00EF4C32" w:rsidRPr="00EF4C32" w:rsidRDefault="00EF4C32" w:rsidP="00EF4C32">
      <w:pPr>
        <w:widowControl w:val="0"/>
        <w:autoSpaceDE w:val="0"/>
        <w:autoSpaceDN w:val="0"/>
        <w:adjustRightInd w:val="0"/>
        <w:ind w:left="640" w:hanging="640"/>
        <w:rPr>
          <w:rFonts w:cs="Times New Roman"/>
          <w:noProof/>
        </w:rPr>
      </w:pPr>
      <w:r w:rsidRPr="00EF4C32">
        <w:rPr>
          <w:rFonts w:cs="Times New Roman"/>
          <w:noProof/>
          <w:szCs w:val="24"/>
        </w:rPr>
        <w:t xml:space="preserve">27. </w:t>
      </w:r>
      <w:r w:rsidRPr="00EF4C32">
        <w:rPr>
          <w:rFonts w:cs="Times New Roman"/>
          <w:noProof/>
          <w:szCs w:val="24"/>
        </w:rPr>
        <w:tab/>
        <w:t xml:space="preserve">Harville DA. Maximum likelihood approaches to variance component estimation and to related problems. J Am Stat Assoc. 1977;72(358):320–38. </w:t>
      </w:r>
    </w:p>
    <w:p w14:paraId="0C181572" w14:textId="66D2B44E" w:rsidR="00396CAF" w:rsidRDefault="00F665EB" w:rsidP="00F665EB">
      <w:r>
        <w:fldChar w:fldCharType="end"/>
      </w:r>
    </w:p>
    <w:p w14:paraId="222A20EB" w14:textId="77777777" w:rsidR="004E12C4" w:rsidRDefault="004E12C4" w:rsidP="0000524D">
      <w:pPr>
        <w:ind w:left="720" w:hanging="720"/>
      </w:pPr>
    </w:p>
    <w:sectPr w:rsidR="004E12C4" w:rsidSect="00A56C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9983E" w14:textId="77777777" w:rsidR="00791D65" w:rsidRDefault="00791D65" w:rsidP="006C45ED">
      <w:r>
        <w:separator/>
      </w:r>
    </w:p>
  </w:endnote>
  <w:endnote w:type="continuationSeparator" w:id="0">
    <w:p w14:paraId="45354761" w14:textId="77777777" w:rsidR="00791D65" w:rsidRDefault="00791D65" w:rsidP="006C4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121939"/>
      <w:docPartObj>
        <w:docPartGallery w:val="Page Numbers (Bottom of Page)"/>
        <w:docPartUnique/>
      </w:docPartObj>
    </w:sdtPr>
    <w:sdtEndPr>
      <w:rPr>
        <w:noProof/>
      </w:rPr>
    </w:sdtEndPr>
    <w:sdtContent>
      <w:p w14:paraId="47FC25B8" w14:textId="157FC5A4" w:rsidR="00B42E37" w:rsidRDefault="00B42E37">
        <w:pPr>
          <w:pStyle w:val="Footer"/>
          <w:jc w:val="center"/>
        </w:pPr>
        <w:r>
          <w:fldChar w:fldCharType="begin"/>
        </w:r>
        <w:r>
          <w:instrText xml:space="preserve"> PAGE   \* MERGEFORMAT </w:instrText>
        </w:r>
        <w:r>
          <w:fldChar w:fldCharType="separate"/>
        </w:r>
        <w:r w:rsidR="0022709B">
          <w:rPr>
            <w:noProof/>
          </w:rPr>
          <w:t>15</w:t>
        </w:r>
        <w:r>
          <w:rPr>
            <w:noProof/>
          </w:rPr>
          <w:fldChar w:fldCharType="end"/>
        </w:r>
      </w:p>
    </w:sdtContent>
  </w:sdt>
  <w:p w14:paraId="7C41D1C4" w14:textId="77777777" w:rsidR="00B42E37" w:rsidRDefault="00B4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06E82" w14:textId="77777777" w:rsidR="00791D65" w:rsidRDefault="00791D65" w:rsidP="006C45ED">
      <w:r>
        <w:separator/>
      </w:r>
    </w:p>
  </w:footnote>
  <w:footnote w:type="continuationSeparator" w:id="0">
    <w:p w14:paraId="77ECB5CA" w14:textId="77777777" w:rsidR="00791D65" w:rsidRDefault="00791D65" w:rsidP="006C45ED">
      <w:r>
        <w:continuationSeparator/>
      </w:r>
    </w:p>
  </w:footnote>
  <w:footnote w:id="1">
    <w:p w14:paraId="2F0D0C54" w14:textId="6118B37D" w:rsidR="00B42E37" w:rsidRDefault="00B42E37" w:rsidP="0085437E">
      <w:pPr>
        <w:pStyle w:val="FootnoteText"/>
      </w:pPr>
      <w:r w:rsidRPr="006A1EF4">
        <w:rPr>
          <w:rStyle w:val="FootnoteReference"/>
        </w:rPr>
        <w:footnoteRef/>
      </w:r>
      <w:r>
        <w:t xml:space="preserve"> </w:t>
      </w:r>
      <w:r w:rsidRPr="00351400">
        <w:t>To illustrate the applicability of our model</w:t>
      </w:r>
      <w:r>
        <w:t>,</w:t>
      </w:r>
      <w:r w:rsidRPr="00351400">
        <w:t xml:space="preserve"> </w:t>
      </w:r>
      <w:r>
        <w:t>we also evaluate the predictive performance of our proposed model in predicting all four response variable in context. The results are available upon request from the authors.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159"/>
    <w:multiLevelType w:val="hybridMultilevel"/>
    <w:tmpl w:val="C28031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A5147"/>
    <w:multiLevelType w:val="hybridMultilevel"/>
    <w:tmpl w:val="1F64A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D05CF"/>
    <w:multiLevelType w:val="hybridMultilevel"/>
    <w:tmpl w:val="0D804104"/>
    <w:lvl w:ilvl="0" w:tplc="51A4901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C5E09"/>
    <w:multiLevelType w:val="hybridMultilevel"/>
    <w:tmpl w:val="8042C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283E7C"/>
    <w:multiLevelType w:val="hybridMultilevel"/>
    <w:tmpl w:val="1B6EC89A"/>
    <w:lvl w:ilvl="0" w:tplc="C87CB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BA7708B"/>
    <w:multiLevelType w:val="hybridMultilevel"/>
    <w:tmpl w:val="B4D0141C"/>
    <w:lvl w:ilvl="0" w:tplc="13F2A5DE">
      <w:start w:val="29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F90D99"/>
    <w:multiLevelType w:val="hybridMultilevel"/>
    <w:tmpl w:val="9FB8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C9414C"/>
    <w:multiLevelType w:val="hybridMultilevel"/>
    <w:tmpl w:val="8042C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1922AA"/>
    <w:multiLevelType w:val="hybridMultilevel"/>
    <w:tmpl w:val="A2424C2E"/>
    <w:lvl w:ilvl="0" w:tplc="51A4901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2"/>
  </w:num>
  <w:num w:numId="5">
    <w:abstractNumId w:val="3"/>
  </w:num>
  <w:num w:numId="6">
    <w:abstractNumId w:val="7"/>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hideGrammaticalErrors/>
  <w:proofState w:spelling="clean" w:grammar="clean"/>
  <w:defaultTabStop w:val="720"/>
  <w:doNotUseMarginsForDrawingGridOrigi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EA1"/>
    <w:rsid w:val="00003B03"/>
    <w:rsid w:val="0000524D"/>
    <w:rsid w:val="0001187F"/>
    <w:rsid w:val="0001761B"/>
    <w:rsid w:val="00020A6B"/>
    <w:rsid w:val="00024C56"/>
    <w:rsid w:val="000265EF"/>
    <w:rsid w:val="00033017"/>
    <w:rsid w:val="00034B6B"/>
    <w:rsid w:val="00036431"/>
    <w:rsid w:val="0003666C"/>
    <w:rsid w:val="00036A62"/>
    <w:rsid w:val="00041686"/>
    <w:rsid w:val="000421E8"/>
    <w:rsid w:val="00042BB6"/>
    <w:rsid w:val="0004515A"/>
    <w:rsid w:val="00045A6F"/>
    <w:rsid w:val="00051CA2"/>
    <w:rsid w:val="000570B2"/>
    <w:rsid w:val="00057A4F"/>
    <w:rsid w:val="00057F97"/>
    <w:rsid w:val="00061E0E"/>
    <w:rsid w:val="0006460D"/>
    <w:rsid w:val="00064FB4"/>
    <w:rsid w:val="000668EF"/>
    <w:rsid w:val="00067E90"/>
    <w:rsid w:val="000717E0"/>
    <w:rsid w:val="00071CF6"/>
    <w:rsid w:val="00073880"/>
    <w:rsid w:val="0007690A"/>
    <w:rsid w:val="000771B1"/>
    <w:rsid w:val="00077836"/>
    <w:rsid w:val="000805FA"/>
    <w:rsid w:val="00080621"/>
    <w:rsid w:val="00082772"/>
    <w:rsid w:val="000901C3"/>
    <w:rsid w:val="00090C0E"/>
    <w:rsid w:val="00092BE3"/>
    <w:rsid w:val="000939EF"/>
    <w:rsid w:val="00095720"/>
    <w:rsid w:val="000967F9"/>
    <w:rsid w:val="00096889"/>
    <w:rsid w:val="00097B81"/>
    <w:rsid w:val="000A0A65"/>
    <w:rsid w:val="000A17AA"/>
    <w:rsid w:val="000A2D54"/>
    <w:rsid w:val="000A312B"/>
    <w:rsid w:val="000A4BA8"/>
    <w:rsid w:val="000A65B3"/>
    <w:rsid w:val="000A78CF"/>
    <w:rsid w:val="000B152B"/>
    <w:rsid w:val="000B3ADB"/>
    <w:rsid w:val="000B4433"/>
    <w:rsid w:val="000B5F37"/>
    <w:rsid w:val="000C16CE"/>
    <w:rsid w:val="000C210C"/>
    <w:rsid w:val="000C2564"/>
    <w:rsid w:val="000C3ED1"/>
    <w:rsid w:val="000C4A0E"/>
    <w:rsid w:val="000C5990"/>
    <w:rsid w:val="000C7E71"/>
    <w:rsid w:val="000D0C1A"/>
    <w:rsid w:val="000D0F39"/>
    <w:rsid w:val="000D46A6"/>
    <w:rsid w:val="000D4753"/>
    <w:rsid w:val="000E0073"/>
    <w:rsid w:val="000E4FBE"/>
    <w:rsid w:val="000E6A04"/>
    <w:rsid w:val="000E731C"/>
    <w:rsid w:val="000F2838"/>
    <w:rsid w:val="000F6675"/>
    <w:rsid w:val="000F6D66"/>
    <w:rsid w:val="000F6F53"/>
    <w:rsid w:val="000F7F78"/>
    <w:rsid w:val="00100352"/>
    <w:rsid w:val="001020D3"/>
    <w:rsid w:val="0010302D"/>
    <w:rsid w:val="00105226"/>
    <w:rsid w:val="00105B93"/>
    <w:rsid w:val="001127B3"/>
    <w:rsid w:val="001129E1"/>
    <w:rsid w:val="00114B1A"/>
    <w:rsid w:val="00114C4A"/>
    <w:rsid w:val="00115A76"/>
    <w:rsid w:val="001160B3"/>
    <w:rsid w:val="001161F1"/>
    <w:rsid w:val="00116993"/>
    <w:rsid w:val="00116F3E"/>
    <w:rsid w:val="001174C0"/>
    <w:rsid w:val="00122CB3"/>
    <w:rsid w:val="00125E6F"/>
    <w:rsid w:val="001301EE"/>
    <w:rsid w:val="00131E42"/>
    <w:rsid w:val="00135832"/>
    <w:rsid w:val="0013790F"/>
    <w:rsid w:val="00141D14"/>
    <w:rsid w:val="00142BFF"/>
    <w:rsid w:val="001456B4"/>
    <w:rsid w:val="00146E94"/>
    <w:rsid w:val="001514CD"/>
    <w:rsid w:val="00153361"/>
    <w:rsid w:val="0015416F"/>
    <w:rsid w:val="001605F6"/>
    <w:rsid w:val="001606DD"/>
    <w:rsid w:val="00161976"/>
    <w:rsid w:val="001622AF"/>
    <w:rsid w:val="00165D19"/>
    <w:rsid w:val="00167AC8"/>
    <w:rsid w:val="001704CC"/>
    <w:rsid w:val="00170FF4"/>
    <w:rsid w:val="0017118C"/>
    <w:rsid w:val="001722FF"/>
    <w:rsid w:val="001764E4"/>
    <w:rsid w:val="00176EA4"/>
    <w:rsid w:val="00177416"/>
    <w:rsid w:val="00177B4C"/>
    <w:rsid w:val="00177C1A"/>
    <w:rsid w:val="00177CC4"/>
    <w:rsid w:val="001806CC"/>
    <w:rsid w:val="00180CCB"/>
    <w:rsid w:val="00181113"/>
    <w:rsid w:val="00181901"/>
    <w:rsid w:val="00182750"/>
    <w:rsid w:val="00182D95"/>
    <w:rsid w:val="0018586E"/>
    <w:rsid w:val="001873E6"/>
    <w:rsid w:val="0019055F"/>
    <w:rsid w:val="00192C5D"/>
    <w:rsid w:val="00193B34"/>
    <w:rsid w:val="001946B5"/>
    <w:rsid w:val="00195441"/>
    <w:rsid w:val="0019561D"/>
    <w:rsid w:val="00196923"/>
    <w:rsid w:val="00197267"/>
    <w:rsid w:val="001978B3"/>
    <w:rsid w:val="00197DED"/>
    <w:rsid w:val="001A4965"/>
    <w:rsid w:val="001A5F9C"/>
    <w:rsid w:val="001A6B5D"/>
    <w:rsid w:val="001A7730"/>
    <w:rsid w:val="001B0564"/>
    <w:rsid w:val="001B1208"/>
    <w:rsid w:val="001B21AD"/>
    <w:rsid w:val="001B2390"/>
    <w:rsid w:val="001B3EB3"/>
    <w:rsid w:val="001B438F"/>
    <w:rsid w:val="001B5253"/>
    <w:rsid w:val="001C19FA"/>
    <w:rsid w:val="001C60D0"/>
    <w:rsid w:val="001C66C9"/>
    <w:rsid w:val="001C6B27"/>
    <w:rsid w:val="001D1EB3"/>
    <w:rsid w:val="001D2FB1"/>
    <w:rsid w:val="001D3F99"/>
    <w:rsid w:val="001D5672"/>
    <w:rsid w:val="001D5C5A"/>
    <w:rsid w:val="001D624F"/>
    <w:rsid w:val="001D672F"/>
    <w:rsid w:val="001D6BCA"/>
    <w:rsid w:val="001E0B83"/>
    <w:rsid w:val="001E1785"/>
    <w:rsid w:val="001E1DED"/>
    <w:rsid w:val="001E60C2"/>
    <w:rsid w:val="001E7AC7"/>
    <w:rsid w:val="001F0DD6"/>
    <w:rsid w:val="001F0FE1"/>
    <w:rsid w:val="001F2441"/>
    <w:rsid w:val="001F41C2"/>
    <w:rsid w:val="001F463C"/>
    <w:rsid w:val="001F48F8"/>
    <w:rsid w:val="001F4960"/>
    <w:rsid w:val="001F71AA"/>
    <w:rsid w:val="001F7C70"/>
    <w:rsid w:val="00200144"/>
    <w:rsid w:val="00200359"/>
    <w:rsid w:val="0020672E"/>
    <w:rsid w:val="002072CE"/>
    <w:rsid w:val="002154A2"/>
    <w:rsid w:val="00222072"/>
    <w:rsid w:val="00226008"/>
    <w:rsid w:val="002268ED"/>
    <w:rsid w:val="0022709B"/>
    <w:rsid w:val="002305DD"/>
    <w:rsid w:val="00230CF1"/>
    <w:rsid w:val="0023127D"/>
    <w:rsid w:val="00231327"/>
    <w:rsid w:val="002329EE"/>
    <w:rsid w:val="00233394"/>
    <w:rsid w:val="00233504"/>
    <w:rsid w:val="00233BE6"/>
    <w:rsid w:val="00243B1B"/>
    <w:rsid w:val="00244EA1"/>
    <w:rsid w:val="00247100"/>
    <w:rsid w:val="00247979"/>
    <w:rsid w:val="0025092A"/>
    <w:rsid w:val="00250F15"/>
    <w:rsid w:val="0025280B"/>
    <w:rsid w:val="00252EBD"/>
    <w:rsid w:val="002539A6"/>
    <w:rsid w:val="00254A5A"/>
    <w:rsid w:val="002556E5"/>
    <w:rsid w:val="00255D9B"/>
    <w:rsid w:val="002564C1"/>
    <w:rsid w:val="00260177"/>
    <w:rsid w:val="002601E0"/>
    <w:rsid w:val="0026154D"/>
    <w:rsid w:val="00264F5F"/>
    <w:rsid w:val="00266745"/>
    <w:rsid w:val="00270385"/>
    <w:rsid w:val="002730B1"/>
    <w:rsid w:val="00273A40"/>
    <w:rsid w:val="00273EB1"/>
    <w:rsid w:val="0027655A"/>
    <w:rsid w:val="002769A4"/>
    <w:rsid w:val="00276A70"/>
    <w:rsid w:val="0028057E"/>
    <w:rsid w:val="00280B6D"/>
    <w:rsid w:val="00282243"/>
    <w:rsid w:val="00285CC4"/>
    <w:rsid w:val="00287B61"/>
    <w:rsid w:val="00292A71"/>
    <w:rsid w:val="00293E45"/>
    <w:rsid w:val="0029453C"/>
    <w:rsid w:val="0029751E"/>
    <w:rsid w:val="002A12C2"/>
    <w:rsid w:val="002A5C22"/>
    <w:rsid w:val="002A69F4"/>
    <w:rsid w:val="002B0445"/>
    <w:rsid w:val="002B2FAF"/>
    <w:rsid w:val="002B47E2"/>
    <w:rsid w:val="002B6B8B"/>
    <w:rsid w:val="002C0AD8"/>
    <w:rsid w:val="002C13B7"/>
    <w:rsid w:val="002C3E58"/>
    <w:rsid w:val="002C5908"/>
    <w:rsid w:val="002C59CF"/>
    <w:rsid w:val="002D3570"/>
    <w:rsid w:val="002D6364"/>
    <w:rsid w:val="002D6D32"/>
    <w:rsid w:val="002E01E5"/>
    <w:rsid w:val="002E09EA"/>
    <w:rsid w:val="002E1EAF"/>
    <w:rsid w:val="002E41CB"/>
    <w:rsid w:val="002E46CA"/>
    <w:rsid w:val="002E502C"/>
    <w:rsid w:val="002E5AE2"/>
    <w:rsid w:val="002E63D3"/>
    <w:rsid w:val="002E64AA"/>
    <w:rsid w:val="002F23F1"/>
    <w:rsid w:val="002F5BC2"/>
    <w:rsid w:val="002F5BE3"/>
    <w:rsid w:val="002F6A7A"/>
    <w:rsid w:val="002F71B2"/>
    <w:rsid w:val="002F7851"/>
    <w:rsid w:val="00302A68"/>
    <w:rsid w:val="00305D62"/>
    <w:rsid w:val="00311FA6"/>
    <w:rsid w:val="0031245B"/>
    <w:rsid w:val="003129D6"/>
    <w:rsid w:val="00314607"/>
    <w:rsid w:val="00314937"/>
    <w:rsid w:val="00315D3C"/>
    <w:rsid w:val="003201D7"/>
    <w:rsid w:val="0032437D"/>
    <w:rsid w:val="00324446"/>
    <w:rsid w:val="003246E3"/>
    <w:rsid w:val="00324977"/>
    <w:rsid w:val="00325867"/>
    <w:rsid w:val="0032640A"/>
    <w:rsid w:val="00326B7B"/>
    <w:rsid w:val="00327E9C"/>
    <w:rsid w:val="003313D6"/>
    <w:rsid w:val="0033197D"/>
    <w:rsid w:val="00331D24"/>
    <w:rsid w:val="0033329A"/>
    <w:rsid w:val="00334057"/>
    <w:rsid w:val="00334C08"/>
    <w:rsid w:val="0033562A"/>
    <w:rsid w:val="00336D91"/>
    <w:rsid w:val="00337697"/>
    <w:rsid w:val="0034039D"/>
    <w:rsid w:val="0034160C"/>
    <w:rsid w:val="003435A0"/>
    <w:rsid w:val="00344744"/>
    <w:rsid w:val="00346973"/>
    <w:rsid w:val="00351400"/>
    <w:rsid w:val="00351DEF"/>
    <w:rsid w:val="003525FF"/>
    <w:rsid w:val="00353021"/>
    <w:rsid w:val="003535DE"/>
    <w:rsid w:val="00353A12"/>
    <w:rsid w:val="003546D7"/>
    <w:rsid w:val="00354D43"/>
    <w:rsid w:val="00355915"/>
    <w:rsid w:val="003561CC"/>
    <w:rsid w:val="003600E7"/>
    <w:rsid w:val="00363402"/>
    <w:rsid w:val="003646B0"/>
    <w:rsid w:val="003648A8"/>
    <w:rsid w:val="00364AF8"/>
    <w:rsid w:val="00364BD6"/>
    <w:rsid w:val="00364DE1"/>
    <w:rsid w:val="00366119"/>
    <w:rsid w:val="00366B70"/>
    <w:rsid w:val="00366E0F"/>
    <w:rsid w:val="00372B31"/>
    <w:rsid w:val="00374268"/>
    <w:rsid w:val="00376564"/>
    <w:rsid w:val="00376B26"/>
    <w:rsid w:val="00376FBD"/>
    <w:rsid w:val="00377506"/>
    <w:rsid w:val="00377AD9"/>
    <w:rsid w:val="00377C8A"/>
    <w:rsid w:val="00380B12"/>
    <w:rsid w:val="003819EB"/>
    <w:rsid w:val="00381E43"/>
    <w:rsid w:val="003836BD"/>
    <w:rsid w:val="00386C09"/>
    <w:rsid w:val="00387C58"/>
    <w:rsid w:val="0039019B"/>
    <w:rsid w:val="00390480"/>
    <w:rsid w:val="00391F98"/>
    <w:rsid w:val="003931C7"/>
    <w:rsid w:val="0039356D"/>
    <w:rsid w:val="0039386A"/>
    <w:rsid w:val="00394896"/>
    <w:rsid w:val="003958A9"/>
    <w:rsid w:val="00396B7B"/>
    <w:rsid w:val="00396CAF"/>
    <w:rsid w:val="003975D5"/>
    <w:rsid w:val="003A265E"/>
    <w:rsid w:val="003A5139"/>
    <w:rsid w:val="003A66A8"/>
    <w:rsid w:val="003A6AD5"/>
    <w:rsid w:val="003A7E79"/>
    <w:rsid w:val="003B046E"/>
    <w:rsid w:val="003B06E7"/>
    <w:rsid w:val="003B13D6"/>
    <w:rsid w:val="003B20D5"/>
    <w:rsid w:val="003B25D8"/>
    <w:rsid w:val="003B2C33"/>
    <w:rsid w:val="003B3426"/>
    <w:rsid w:val="003B5C97"/>
    <w:rsid w:val="003B5CB6"/>
    <w:rsid w:val="003B606C"/>
    <w:rsid w:val="003B6436"/>
    <w:rsid w:val="003B679E"/>
    <w:rsid w:val="003B776C"/>
    <w:rsid w:val="003B7D7A"/>
    <w:rsid w:val="003C0272"/>
    <w:rsid w:val="003C0BFA"/>
    <w:rsid w:val="003C1D76"/>
    <w:rsid w:val="003C2C9D"/>
    <w:rsid w:val="003C52BF"/>
    <w:rsid w:val="003C53EC"/>
    <w:rsid w:val="003C540E"/>
    <w:rsid w:val="003C73A0"/>
    <w:rsid w:val="003C7FA2"/>
    <w:rsid w:val="003D2EBB"/>
    <w:rsid w:val="003D33E6"/>
    <w:rsid w:val="003D3D21"/>
    <w:rsid w:val="003D670F"/>
    <w:rsid w:val="003D6AB9"/>
    <w:rsid w:val="003D7899"/>
    <w:rsid w:val="003E10EE"/>
    <w:rsid w:val="003E1362"/>
    <w:rsid w:val="003E1616"/>
    <w:rsid w:val="003E3418"/>
    <w:rsid w:val="003E35AF"/>
    <w:rsid w:val="003E59B8"/>
    <w:rsid w:val="003E5DD0"/>
    <w:rsid w:val="003E6AEF"/>
    <w:rsid w:val="003F09F8"/>
    <w:rsid w:val="003F223A"/>
    <w:rsid w:val="003F4405"/>
    <w:rsid w:val="003F66AC"/>
    <w:rsid w:val="004005E6"/>
    <w:rsid w:val="004018DF"/>
    <w:rsid w:val="004029FA"/>
    <w:rsid w:val="00405EB3"/>
    <w:rsid w:val="004061A4"/>
    <w:rsid w:val="00412484"/>
    <w:rsid w:val="0041263D"/>
    <w:rsid w:val="00412A58"/>
    <w:rsid w:val="00413FB8"/>
    <w:rsid w:val="0041465D"/>
    <w:rsid w:val="0041774B"/>
    <w:rsid w:val="00420D6F"/>
    <w:rsid w:val="00423D74"/>
    <w:rsid w:val="0042496B"/>
    <w:rsid w:val="004255D4"/>
    <w:rsid w:val="00426B66"/>
    <w:rsid w:val="00426C72"/>
    <w:rsid w:val="00431D57"/>
    <w:rsid w:val="00434845"/>
    <w:rsid w:val="00434B62"/>
    <w:rsid w:val="00434C23"/>
    <w:rsid w:val="00435688"/>
    <w:rsid w:val="00435E90"/>
    <w:rsid w:val="00436514"/>
    <w:rsid w:val="00436A2C"/>
    <w:rsid w:val="00437931"/>
    <w:rsid w:val="00440FEC"/>
    <w:rsid w:val="00441722"/>
    <w:rsid w:val="00441AA1"/>
    <w:rsid w:val="00442817"/>
    <w:rsid w:val="00442CAE"/>
    <w:rsid w:val="00446DDE"/>
    <w:rsid w:val="00446F1C"/>
    <w:rsid w:val="0044788D"/>
    <w:rsid w:val="00447E27"/>
    <w:rsid w:val="0045017C"/>
    <w:rsid w:val="0045061D"/>
    <w:rsid w:val="00450A42"/>
    <w:rsid w:val="00450FF7"/>
    <w:rsid w:val="00451861"/>
    <w:rsid w:val="00452DF8"/>
    <w:rsid w:val="004549AC"/>
    <w:rsid w:val="004602EB"/>
    <w:rsid w:val="004604BD"/>
    <w:rsid w:val="0046068E"/>
    <w:rsid w:val="00461A8D"/>
    <w:rsid w:val="00462DDD"/>
    <w:rsid w:val="00463AEB"/>
    <w:rsid w:val="00464633"/>
    <w:rsid w:val="004649A0"/>
    <w:rsid w:val="0046539F"/>
    <w:rsid w:val="0046593B"/>
    <w:rsid w:val="00465DA5"/>
    <w:rsid w:val="0047286A"/>
    <w:rsid w:val="0047498E"/>
    <w:rsid w:val="004760BB"/>
    <w:rsid w:val="00476375"/>
    <w:rsid w:val="0048031B"/>
    <w:rsid w:val="00481640"/>
    <w:rsid w:val="00485A12"/>
    <w:rsid w:val="004914F6"/>
    <w:rsid w:val="0049484C"/>
    <w:rsid w:val="00496656"/>
    <w:rsid w:val="00497963"/>
    <w:rsid w:val="004A0A5B"/>
    <w:rsid w:val="004A12D0"/>
    <w:rsid w:val="004A3B0D"/>
    <w:rsid w:val="004A4367"/>
    <w:rsid w:val="004A52DC"/>
    <w:rsid w:val="004A59E5"/>
    <w:rsid w:val="004B1DDD"/>
    <w:rsid w:val="004B2745"/>
    <w:rsid w:val="004B3248"/>
    <w:rsid w:val="004B3C60"/>
    <w:rsid w:val="004B6747"/>
    <w:rsid w:val="004B75AC"/>
    <w:rsid w:val="004C11CF"/>
    <w:rsid w:val="004C1B68"/>
    <w:rsid w:val="004C1FD5"/>
    <w:rsid w:val="004C2372"/>
    <w:rsid w:val="004C3486"/>
    <w:rsid w:val="004C378F"/>
    <w:rsid w:val="004C3BF3"/>
    <w:rsid w:val="004C44FA"/>
    <w:rsid w:val="004C4F31"/>
    <w:rsid w:val="004C5F4E"/>
    <w:rsid w:val="004D0DA4"/>
    <w:rsid w:val="004D7CAF"/>
    <w:rsid w:val="004D7CF4"/>
    <w:rsid w:val="004E0764"/>
    <w:rsid w:val="004E0944"/>
    <w:rsid w:val="004E12C4"/>
    <w:rsid w:val="004E20E5"/>
    <w:rsid w:val="004E2117"/>
    <w:rsid w:val="004E30F0"/>
    <w:rsid w:val="004E41CE"/>
    <w:rsid w:val="004E4E8D"/>
    <w:rsid w:val="004E7A88"/>
    <w:rsid w:val="004F0A84"/>
    <w:rsid w:val="004F0DF6"/>
    <w:rsid w:val="004F1B4F"/>
    <w:rsid w:val="004F79CE"/>
    <w:rsid w:val="004F7E28"/>
    <w:rsid w:val="00501EAA"/>
    <w:rsid w:val="0050206C"/>
    <w:rsid w:val="00511570"/>
    <w:rsid w:val="00512EB4"/>
    <w:rsid w:val="0051516A"/>
    <w:rsid w:val="00516A01"/>
    <w:rsid w:val="00517912"/>
    <w:rsid w:val="00521E03"/>
    <w:rsid w:val="00522E5D"/>
    <w:rsid w:val="005249C2"/>
    <w:rsid w:val="00525C0D"/>
    <w:rsid w:val="005278E0"/>
    <w:rsid w:val="005305F6"/>
    <w:rsid w:val="00530866"/>
    <w:rsid w:val="00530F15"/>
    <w:rsid w:val="00532BDE"/>
    <w:rsid w:val="00533F09"/>
    <w:rsid w:val="00534C46"/>
    <w:rsid w:val="00537336"/>
    <w:rsid w:val="00542D57"/>
    <w:rsid w:val="0054326D"/>
    <w:rsid w:val="0054392C"/>
    <w:rsid w:val="005507E3"/>
    <w:rsid w:val="0055354F"/>
    <w:rsid w:val="00555D16"/>
    <w:rsid w:val="00556DE2"/>
    <w:rsid w:val="0056070B"/>
    <w:rsid w:val="00560A24"/>
    <w:rsid w:val="00560FDD"/>
    <w:rsid w:val="0056106F"/>
    <w:rsid w:val="00561D42"/>
    <w:rsid w:val="0056380E"/>
    <w:rsid w:val="00563867"/>
    <w:rsid w:val="00563DF8"/>
    <w:rsid w:val="005648FC"/>
    <w:rsid w:val="00565066"/>
    <w:rsid w:val="005668B5"/>
    <w:rsid w:val="005677D6"/>
    <w:rsid w:val="0056780C"/>
    <w:rsid w:val="005701F4"/>
    <w:rsid w:val="00570288"/>
    <w:rsid w:val="00570BC0"/>
    <w:rsid w:val="00571A30"/>
    <w:rsid w:val="005722E4"/>
    <w:rsid w:val="0057422E"/>
    <w:rsid w:val="00574904"/>
    <w:rsid w:val="00576095"/>
    <w:rsid w:val="00576F9E"/>
    <w:rsid w:val="00577A95"/>
    <w:rsid w:val="00577E6F"/>
    <w:rsid w:val="005816B1"/>
    <w:rsid w:val="00583E36"/>
    <w:rsid w:val="00590AD0"/>
    <w:rsid w:val="005925E4"/>
    <w:rsid w:val="00593ECC"/>
    <w:rsid w:val="00594355"/>
    <w:rsid w:val="005949AB"/>
    <w:rsid w:val="00595456"/>
    <w:rsid w:val="00595864"/>
    <w:rsid w:val="005A3E79"/>
    <w:rsid w:val="005A48AE"/>
    <w:rsid w:val="005A4DAA"/>
    <w:rsid w:val="005A7C47"/>
    <w:rsid w:val="005B1B90"/>
    <w:rsid w:val="005B2418"/>
    <w:rsid w:val="005B5688"/>
    <w:rsid w:val="005B650B"/>
    <w:rsid w:val="005B777D"/>
    <w:rsid w:val="005C199F"/>
    <w:rsid w:val="005C2B74"/>
    <w:rsid w:val="005C2BC3"/>
    <w:rsid w:val="005C3063"/>
    <w:rsid w:val="005C7411"/>
    <w:rsid w:val="005D0C98"/>
    <w:rsid w:val="005D0DFD"/>
    <w:rsid w:val="005D2198"/>
    <w:rsid w:val="005D284E"/>
    <w:rsid w:val="005D438C"/>
    <w:rsid w:val="005D6334"/>
    <w:rsid w:val="005E0FB2"/>
    <w:rsid w:val="005E1CD9"/>
    <w:rsid w:val="005E1DF1"/>
    <w:rsid w:val="005E29CE"/>
    <w:rsid w:val="005E2F55"/>
    <w:rsid w:val="005E34F6"/>
    <w:rsid w:val="005E3A54"/>
    <w:rsid w:val="005E40B5"/>
    <w:rsid w:val="005F0F4F"/>
    <w:rsid w:val="005F1416"/>
    <w:rsid w:val="005F396D"/>
    <w:rsid w:val="005F4842"/>
    <w:rsid w:val="005F4DB6"/>
    <w:rsid w:val="005F7634"/>
    <w:rsid w:val="005F7A65"/>
    <w:rsid w:val="00602325"/>
    <w:rsid w:val="00602B6E"/>
    <w:rsid w:val="00604AC4"/>
    <w:rsid w:val="00604AC6"/>
    <w:rsid w:val="00604D92"/>
    <w:rsid w:val="00605B51"/>
    <w:rsid w:val="0060632B"/>
    <w:rsid w:val="00607A08"/>
    <w:rsid w:val="006110AE"/>
    <w:rsid w:val="006134F5"/>
    <w:rsid w:val="00613791"/>
    <w:rsid w:val="006143B0"/>
    <w:rsid w:val="00614CF2"/>
    <w:rsid w:val="00621EF5"/>
    <w:rsid w:val="00622A7E"/>
    <w:rsid w:val="00622F46"/>
    <w:rsid w:val="00623704"/>
    <w:rsid w:val="0062476D"/>
    <w:rsid w:val="006258A2"/>
    <w:rsid w:val="006259EA"/>
    <w:rsid w:val="006270AC"/>
    <w:rsid w:val="006274F1"/>
    <w:rsid w:val="006302C1"/>
    <w:rsid w:val="00630C03"/>
    <w:rsid w:val="0063288E"/>
    <w:rsid w:val="006333F0"/>
    <w:rsid w:val="006364A3"/>
    <w:rsid w:val="006367AA"/>
    <w:rsid w:val="00637FE7"/>
    <w:rsid w:val="0064023B"/>
    <w:rsid w:val="00640A5D"/>
    <w:rsid w:val="006411BB"/>
    <w:rsid w:val="00643ED1"/>
    <w:rsid w:val="00643FD9"/>
    <w:rsid w:val="00644F86"/>
    <w:rsid w:val="00645315"/>
    <w:rsid w:val="006454D9"/>
    <w:rsid w:val="00647C4A"/>
    <w:rsid w:val="006506C5"/>
    <w:rsid w:val="00653683"/>
    <w:rsid w:val="00654EC9"/>
    <w:rsid w:val="006615F9"/>
    <w:rsid w:val="00665400"/>
    <w:rsid w:val="006661EC"/>
    <w:rsid w:val="00666805"/>
    <w:rsid w:val="00666D59"/>
    <w:rsid w:val="0067096A"/>
    <w:rsid w:val="00671378"/>
    <w:rsid w:val="00671D9B"/>
    <w:rsid w:val="00672CF7"/>
    <w:rsid w:val="00672D4E"/>
    <w:rsid w:val="00672E5A"/>
    <w:rsid w:val="00672EED"/>
    <w:rsid w:val="00673CE1"/>
    <w:rsid w:val="0067558E"/>
    <w:rsid w:val="00677D5F"/>
    <w:rsid w:val="00680F5A"/>
    <w:rsid w:val="00683835"/>
    <w:rsid w:val="00685807"/>
    <w:rsid w:val="00686EF2"/>
    <w:rsid w:val="006877D3"/>
    <w:rsid w:val="0069141B"/>
    <w:rsid w:val="00692466"/>
    <w:rsid w:val="00696A47"/>
    <w:rsid w:val="00697675"/>
    <w:rsid w:val="006A17D4"/>
    <w:rsid w:val="006A1EF4"/>
    <w:rsid w:val="006A2634"/>
    <w:rsid w:val="006A3F2F"/>
    <w:rsid w:val="006A5812"/>
    <w:rsid w:val="006A5FAF"/>
    <w:rsid w:val="006A7AA8"/>
    <w:rsid w:val="006A7AC0"/>
    <w:rsid w:val="006A7D33"/>
    <w:rsid w:val="006B0AE1"/>
    <w:rsid w:val="006B44DA"/>
    <w:rsid w:val="006B60A4"/>
    <w:rsid w:val="006C037A"/>
    <w:rsid w:val="006C0632"/>
    <w:rsid w:val="006C1E63"/>
    <w:rsid w:val="006C1EFC"/>
    <w:rsid w:val="006C221F"/>
    <w:rsid w:val="006C3C3B"/>
    <w:rsid w:val="006C45ED"/>
    <w:rsid w:val="006C74F7"/>
    <w:rsid w:val="006D003E"/>
    <w:rsid w:val="006D040B"/>
    <w:rsid w:val="006D230B"/>
    <w:rsid w:val="006D25DB"/>
    <w:rsid w:val="006D27C0"/>
    <w:rsid w:val="006D3472"/>
    <w:rsid w:val="006D448C"/>
    <w:rsid w:val="006D46C8"/>
    <w:rsid w:val="006D4D3B"/>
    <w:rsid w:val="006D530D"/>
    <w:rsid w:val="006D5FB8"/>
    <w:rsid w:val="006E0B01"/>
    <w:rsid w:val="006E5528"/>
    <w:rsid w:val="006E58B9"/>
    <w:rsid w:val="006E60C9"/>
    <w:rsid w:val="006F0458"/>
    <w:rsid w:val="006F155B"/>
    <w:rsid w:val="006F1562"/>
    <w:rsid w:val="006F1E4E"/>
    <w:rsid w:val="006F27C9"/>
    <w:rsid w:val="006F4008"/>
    <w:rsid w:val="006F40A3"/>
    <w:rsid w:val="006F44C3"/>
    <w:rsid w:val="00701FDB"/>
    <w:rsid w:val="00702ABE"/>
    <w:rsid w:val="00705C84"/>
    <w:rsid w:val="00705FFF"/>
    <w:rsid w:val="00706F3F"/>
    <w:rsid w:val="00707EB3"/>
    <w:rsid w:val="00714767"/>
    <w:rsid w:val="00714E46"/>
    <w:rsid w:val="007162EE"/>
    <w:rsid w:val="007179DB"/>
    <w:rsid w:val="00717C73"/>
    <w:rsid w:val="00723D0B"/>
    <w:rsid w:val="0072494E"/>
    <w:rsid w:val="0072521B"/>
    <w:rsid w:val="00725D63"/>
    <w:rsid w:val="007265DE"/>
    <w:rsid w:val="00730604"/>
    <w:rsid w:val="00730BC0"/>
    <w:rsid w:val="00730F38"/>
    <w:rsid w:val="00732638"/>
    <w:rsid w:val="007330D9"/>
    <w:rsid w:val="0073416F"/>
    <w:rsid w:val="00735202"/>
    <w:rsid w:val="0073660B"/>
    <w:rsid w:val="0075396A"/>
    <w:rsid w:val="00756408"/>
    <w:rsid w:val="007564E5"/>
    <w:rsid w:val="00756A1B"/>
    <w:rsid w:val="00757E4A"/>
    <w:rsid w:val="00760C09"/>
    <w:rsid w:val="0076174F"/>
    <w:rsid w:val="00763024"/>
    <w:rsid w:val="007633FC"/>
    <w:rsid w:val="0076359E"/>
    <w:rsid w:val="00763FEF"/>
    <w:rsid w:val="00765542"/>
    <w:rsid w:val="00767714"/>
    <w:rsid w:val="00770608"/>
    <w:rsid w:val="007729AA"/>
    <w:rsid w:val="00773E9F"/>
    <w:rsid w:val="00775211"/>
    <w:rsid w:val="007752E8"/>
    <w:rsid w:val="00777FBD"/>
    <w:rsid w:val="00780FF5"/>
    <w:rsid w:val="00781A42"/>
    <w:rsid w:val="00782A83"/>
    <w:rsid w:val="007840E7"/>
    <w:rsid w:val="00785E12"/>
    <w:rsid w:val="00786095"/>
    <w:rsid w:val="0078621C"/>
    <w:rsid w:val="00787CF4"/>
    <w:rsid w:val="00787FA3"/>
    <w:rsid w:val="007915A4"/>
    <w:rsid w:val="00791AFD"/>
    <w:rsid w:val="00791D65"/>
    <w:rsid w:val="00796521"/>
    <w:rsid w:val="0079736C"/>
    <w:rsid w:val="007973B2"/>
    <w:rsid w:val="007A0177"/>
    <w:rsid w:val="007A064A"/>
    <w:rsid w:val="007A0E6B"/>
    <w:rsid w:val="007A172C"/>
    <w:rsid w:val="007A2579"/>
    <w:rsid w:val="007A25CC"/>
    <w:rsid w:val="007A4EEE"/>
    <w:rsid w:val="007A6DFF"/>
    <w:rsid w:val="007B080F"/>
    <w:rsid w:val="007B08B8"/>
    <w:rsid w:val="007B1405"/>
    <w:rsid w:val="007B25FA"/>
    <w:rsid w:val="007B2720"/>
    <w:rsid w:val="007B4A2E"/>
    <w:rsid w:val="007B5139"/>
    <w:rsid w:val="007B6F6F"/>
    <w:rsid w:val="007C1206"/>
    <w:rsid w:val="007C169F"/>
    <w:rsid w:val="007C27DA"/>
    <w:rsid w:val="007C4BB5"/>
    <w:rsid w:val="007C57EE"/>
    <w:rsid w:val="007C61AE"/>
    <w:rsid w:val="007C67A3"/>
    <w:rsid w:val="007C7055"/>
    <w:rsid w:val="007D0399"/>
    <w:rsid w:val="007D0C3C"/>
    <w:rsid w:val="007D12AA"/>
    <w:rsid w:val="007D153D"/>
    <w:rsid w:val="007D411D"/>
    <w:rsid w:val="007D51C5"/>
    <w:rsid w:val="007D75C9"/>
    <w:rsid w:val="007E36EA"/>
    <w:rsid w:val="007E3810"/>
    <w:rsid w:val="007E3854"/>
    <w:rsid w:val="007E5689"/>
    <w:rsid w:val="007E5F64"/>
    <w:rsid w:val="007E63D6"/>
    <w:rsid w:val="007E6C3B"/>
    <w:rsid w:val="007E7176"/>
    <w:rsid w:val="007F0DF8"/>
    <w:rsid w:val="007F2307"/>
    <w:rsid w:val="007F2BCA"/>
    <w:rsid w:val="007F3B9F"/>
    <w:rsid w:val="007F5DAC"/>
    <w:rsid w:val="007F601B"/>
    <w:rsid w:val="007F67F9"/>
    <w:rsid w:val="00801677"/>
    <w:rsid w:val="0080223B"/>
    <w:rsid w:val="00802FA6"/>
    <w:rsid w:val="008045B1"/>
    <w:rsid w:val="008047F1"/>
    <w:rsid w:val="00805C91"/>
    <w:rsid w:val="00806B9C"/>
    <w:rsid w:val="0080700B"/>
    <w:rsid w:val="008113E2"/>
    <w:rsid w:val="00811C6B"/>
    <w:rsid w:val="0081223D"/>
    <w:rsid w:val="00812484"/>
    <w:rsid w:val="008144A2"/>
    <w:rsid w:val="008154DE"/>
    <w:rsid w:val="00820814"/>
    <w:rsid w:val="008208CF"/>
    <w:rsid w:val="00821832"/>
    <w:rsid w:val="00821890"/>
    <w:rsid w:val="0082313C"/>
    <w:rsid w:val="008238AA"/>
    <w:rsid w:val="00823E2F"/>
    <w:rsid w:val="0082525B"/>
    <w:rsid w:val="008310FA"/>
    <w:rsid w:val="00832A1F"/>
    <w:rsid w:val="00833271"/>
    <w:rsid w:val="0083470B"/>
    <w:rsid w:val="0083706D"/>
    <w:rsid w:val="008416F8"/>
    <w:rsid w:val="00843B97"/>
    <w:rsid w:val="00843D39"/>
    <w:rsid w:val="0084638F"/>
    <w:rsid w:val="0084680B"/>
    <w:rsid w:val="008522CB"/>
    <w:rsid w:val="008531A8"/>
    <w:rsid w:val="00854176"/>
    <w:rsid w:val="0085437E"/>
    <w:rsid w:val="00855DD4"/>
    <w:rsid w:val="0086534B"/>
    <w:rsid w:val="008655F0"/>
    <w:rsid w:val="00865AF4"/>
    <w:rsid w:val="0086624F"/>
    <w:rsid w:val="00866549"/>
    <w:rsid w:val="00870B83"/>
    <w:rsid w:val="00870E9A"/>
    <w:rsid w:val="008730A2"/>
    <w:rsid w:val="0087538D"/>
    <w:rsid w:val="00876547"/>
    <w:rsid w:val="00880D1A"/>
    <w:rsid w:val="00881FE1"/>
    <w:rsid w:val="00883F10"/>
    <w:rsid w:val="00884518"/>
    <w:rsid w:val="00885C40"/>
    <w:rsid w:val="008928E5"/>
    <w:rsid w:val="0089407F"/>
    <w:rsid w:val="008940BE"/>
    <w:rsid w:val="00894511"/>
    <w:rsid w:val="00896180"/>
    <w:rsid w:val="00896DE1"/>
    <w:rsid w:val="0089741F"/>
    <w:rsid w:val="008A0CA0"/>
    <w:rsid w:val="008A0E5E"/>
    <w:rsid w:val="008A1278"/>
    <w:rsid w:val="008A2CC8"/>
    <w:rsid w:val="008A382C"/>
    <w:rsid w:val="008A40B2"/>
    <w:rsid w:val="008A4634"/>
    <w:rsid w:val="008A4C93"/>
    <w:rsid w:val="008A5023"/>
    <w:rsid w:val="008A514E"/>
    <w:rsid w:val="008A59B4"/>
    <w:rsid w:val="008A63AA"/>
    <w:rsid w:val="008B02B1"/>
    <w:rsid w:val="008B07F5"/>
    <w:rsid w:val="008B249F"/>
    <w:rsid w:val="008B5BC3"/>
    <w:rsid w:val="008B645F"/>
    <w:rsid w:val="008C02B8"/>
    <w:rsid w:val="008C1669"/>
    <w:rsid w:val="008C2874"/>
    <w:rsid w:val="008C2E23"/>
    <w:rsid w:val="008C319F"/>
    <w:rsid w:val="008C48CE"/>
    <w:rsid w:val="008C6193"/>
    <w:rsid w:val="008C64F0"/>
    <w:rsid w:val="008C6FA2"/>
    <w:rsid w:val="008D1024"/>
    <w:rsid w:val="008D2F8A"/>
    <w:rsid w:val="008D4059"/>
    <w:rsid w:val="008D6F10"/>
    <w:rsid w:val="008E0D31"/>
    <w:rsid w:val="008E2487"/>
    <w:rsid w:val="008E3809"/>
    <w:rsid w:val="008E3E97"/>
    <w:rsid w:val="008E5F5E"/>
    <w:rsid w:val="008E71F7"/>
    <w:rsid w:val="008E7779"/>
    <w:rsid w:val="008F29DA"/>
    <w:rsid w:val="008F3457"/>
    <w:rsid w:val="008F631C"/>
    <w:rsid w:val="008F70FF"/>
    <w:rsid w:val="008F78BF"/>
    <w:rsid w:val="009025D6"/>
    <w:rsid w:val="00903242"/>
    <w:rsid w:val="00903CC3"/>
    <w:rsid w:val="00904B61"/>
    <w:rsid w:val="00906A40"/>
    <w:rsid w:val="00907D51"/>
    <w:rsid w:val="00910E6C"/>
    <w:rsid w:val="00911688"/>
    <w:rsid w:val="00912115"/>
    <w:rsid w:val="009132C6"/>
    <w:rsid w:val="00914CEB"/>
    <w:rsid w:val="00914FC8"/>
    <w:rsid w:val="00915022"/>
    <w:rsid w:val="009156C1"/>
    <w:rsid w:val="00915774"/>
    <w:rsid w:val="00915892"/>
    <w:rsid w:val="00915F30"/>
    <w:rsid w:val="009204DA"/>
    <w:rsid w:val="009213FE"/>
    <w:rsid w:val="0092616E"/>
    <w:rsid w:val="00927305"/>
    <w:rsid w:val="00931497"/>
    <w:rsid w:val="009331E1"/>
    <w:rsid w:val="0093474E"/>
    <w:rsid w:val="009364B1"/>
    <w:rsid w:val="00937FC0"/>
    <w:rsid w:val="00937FD8"/>
    <w:rsid w:val="00941A07"/>
    <w:rsid w:val="00941B71"/>
    <w:rsid w:val="00942912"/>
    <w:rsid w:val="00943152"/>
    <w:rsid w:val="0094398C"/>
    <w:rsid w:val="0094795F"/>
    <w:rsid w:val="00947A03"/>
    <w:rsid w:val="00950980"/>
    <w:rsid w:val="0095244C"/>
    <w:rsid w:val="0095278A"/>
    <w:rsid w:val="00954826"/>
    <w:rsid w:val="0095562F"/>
    <w:rsid w:val="0095609C"/>
    <w:rsid w:val="009575DE"/>
    <w:rsid w:val="0095772B"/>
    <w:rsid w:val="00961F91"/>
    <w:rsid w:val="009636D2"/>
    <w:rsid w:val="00964F4C"/>
    <w:rsid w:val="00966B0F"/>
    <w:rsid w:val="009711A6"/>
    <w:rsid w:val="009741F7"/>
    <w:rsid w:val="0097522B"/>
    <w:rsid w:val="009773A8"/>
    <w:rsid w:val="00981291"/>
    <w:rsid w:val="00981DF1"/>
    <w:rsid w:val="00985B0B"/>
    <w:rsid w:val="009905E3"/>
    <w:rsid w:val="00990ED6"/>
    <w:rsid w:val="00994135"/>
    <w:rsid w:val="00996658"/>
    <w:rsid w:val="009A01B5"/>
    <w:rsid w:val="009A1AB6"/>
    <w:rsid w:val="009A30A6"/>
    <w:rsid w:val="009A3C3D"/>
    <w:rsid w:val="009A3E15"/>
    <w:rsid w:val="009A6D0F"/>
    <w:rsid w:val="009A74A7"/>
    <w:rsid w:val="009A7FFE"/>
    <w:rsid w:val="009B00BA"/>
    <w:rsid w:val="009B15AE"/>
    <w:rsid w:val="009B5D87"/>
    <w:rsid w:val="009B6CC9"/>
    <w:rsid w:val="009B79FE"/>
    <w:rsid w:val="009B7B3F"/>
    <w:rsid w:val="009C1D78"/>
    <w:rsid w:val="009C2F5A"/>
    <w:rsid w:val="009C360B"/>
    <w:rsid w:val="009C3BBC"/>
    <w:rsid w:val="009C414F"/>
    <w:rsid w:val="009C5D0D"/>
    <w:rsid w:val="009C642F"/>
    <w:rsid w:val="009D2172"/>
    <w:rsid w:val="009D22B1"/>
    <w:rsid w:val="009D23FD"/>
    <w:rsid w:val="009D73DF"/>
    <w:rsid w:val="009D78F9"/>
    <w:rsid w:val="009E0F83"/>
    <w:rsid w:val="009E1289"/>
    <w:rsid w:val="009E225C"/>
    <w:rsid w:val="009E430D"/>
    <w:rsid w:val="009E4574"/>
    <w:rsid w:val="009E51FE"/>
    <w:rsid w:val="009E71D6"/>
    <w:rsid w:val="009E71E3"/>
    <w:rsid w:val="009E7E39"/>
    <w:rsid w:val="009F1A64"/>
    <w:rsid w:val="009F33B4"/>
    <w:rsid w:val="009F550D"/>
    <w:rsid w:val="00A00246"/>
    <w:rsid w:val="00A02467"/>
    <w:rsid w:val="00A02862"/>
    <w:rsid w:val="00A06B75"/>
    <w:rsid w:val="00A07F0B"/>
    <w:rsid w:val="00A104B4"/>
    <w:rsid w:val="00A12D96"/>
    <w:rsid w:val="00A130A3"/>
    <w:rsid w:val="00A13757"/>
    <w:rsid w:val="00A25821"/>
    <w:rsid w:val="00A2614C"/>
    <w:rsid w:val="00A32046"/>
    <w:rsid w:val="00A33EE4"/>
    <w:rsid w:val="00A36008"/>
    <w:rsid w:val="00A366FD"/>
    <w:rsid w:val="00A376D5"/>
    <w:rsid w:val="00A40262"/>
    <w:rsid w:val="00A4319F"/>
    <w:rsid w:val="00A4566D"/>
    <w:rsid w:val="00A502F5"/>
    <w:rsid w:val="00A50DA0"/>
    <w:rsid w:val="00A52200"/>
    <w:rsid w:val="00A53932"/>
    <w:rsid w:val="00A54BF3"/>
    <w:rsid w:val="00A54F5F"/>
    <w:rsid w:val="00A560C0"/>
    <w:rsid w:val="00A56C50"/>
    <w:rsid w:val="00A57319"/>
    <w:rsid w:val="00A6194C"/>
    <w:rsid w:val="00A6249D"/>
    <w:rsid w:val="00A62F7A"/>
    <w:rsid w:val="00A6570C"/>
    <w:rsid w:val="00A66278"/>
    <w:rsid w:val="00A66A03"/>
    <w:rsid w:val="00A70846"/>
    <w:rsid w:val="00A74044"/>
    <w:rsid w:val="00A8034C"/>
    <w:rsid w:val="00A80435"/>
    <w:rsid w:val="00A80555"/>
    <w:rsid w:val="00A814ED"/>
    <w:rsid w:val="00A817AD"/>
    <w:rsid w:val="00A81D36"/>
    <w:rsid w:val="00A82766"/>
    <w:rsid w:val="00A90096"/>
    <w:rsid w:val="00A91AD4"/>
    <w:rsid w:val="00A965AE"/>
    <w:rsid w:val="00A9704C"/>
    <w:rsid w:val="00AA0DA9"/>
    <w:rsid w:val="00AA0F5F"/>
    <w:rsid w:val="00AA1A0B"/>
    <w:rsid w:val="00AA1FF1"/>
    <w:rsid w:val="00AA2A80"/>
    <w:rsid w:val="00AA2D77"/>
    <w:rsid w:val="00AA41DB"/>
    <w:rsid w:val="00AA5FA5"/>
    <w:rsid w:val="00AB02A4"/>
    <w:rsid w:val="00AB1912"/>
    <w:rsid w:val="00AB637B"/>
    <w:rsid w:val="00AC446F"/>
    <w:rsid w:val="00AC5AB0"/>
    <w:rsid w:val="00AD0DC1"/>
    <w:rsid w:val="00AD120D"/>
    <w:rsid w:val="00AD275E"/>
    <w:rsid w:val="00AD2856"/>
    <w:rsid w:val="00AD5279"/>
    <w:rsid w:val="00AD5E8A"/>
    <w:rsid w:val="00AD65A8"/>
    <w:rsid w:val="00AD66A4"/>
    <w:rsid w:val="00AD67B4"/>
    <w:rsid w:val="00AD6F76"/>
    <w:rsid w:val="00AE79C6"/>
    <w:rsid w:val="00AE7D5F"/>
    <w:rsid w:val="00AF14F1"/>
    <w:rsid w:val="00AF1812"/>
    <w:rsid w:val="00AF2880"/>
    <w:rsid w:val="00AF36FA"/>
    <w:rsid w:val="00AF5023"/>
    <w:rsid w:val="00AF58D3"/>
    <w:rsid w:val="00AF6042"/>
    <w:rsid w:val="00AF6768"/>
    <w:rsid w:val="00AF6CD4"/>
    <w:rsid w:val="00AF7AC1"/>
    <w:rsid w:val="00B00735"/>
    <w:rsid w:val="00B03DD4"/>
    <w:rsid w:val="00B0491F"/>
    <w:rsid w:val="00B0685B"/>
    <w:rsid w:val="00B07F13"/>
    <w:rsid w:val="00B108C5"/>
    <w:rsid w:val="00B12478"/>
    <w:rsid w:val="00B125CF"/>
    <w:rsid w:val="00B13522"/>
    <w:rsid w:val="00B166F7"/>
    <w:rsid w:val="00B1689E"/>
    <w:rsid w:val="00B21232"/>
    <w:rsid w:val="00B25032"/>
    <w:rsid w:val="00B25573"/>
    <w:rsid w:val="00B25950"/>
    <w:rsid w:val="00B26068"/>
    <w:rsid w:val="00B27024"/>
    <w:rsid w:val="00B2738A"/>
    <w:rsid w:val="00B27E07"/>
    <w:rsid w:val="00B30860"/>
    <w:rsid w:val="00B30DA0"/>
    <w:rsid w:val="00B30E5B"/>
    <w:rsid w:val="00B311F5"/>
    <w:rsid w:val="00B31281"/>
    <w:rsid w:val="00B32DBD"/>
    <w:rsid w:val="00B336E2"/>
    <w:rsid w:val="00B34BC6"/>
    <w:rsid w:val="00B36C1F"/>
    <w:rsid w:val="00B37CBD"/>
    <w:rsid w:val="00B37F22"/>
    <w:rsid w:val="00B405BD"/>
    <w:rsid w:val="00B42556"/>
    <w:rsid w:val="00B4263F"/>
    <w:rsid w:val="00B42E37"/>
    <w:rsid w:val="00B430B8"/>
    <w:rsid w:val="00B436A5"/>
    <w:rsid w:val="00B44ACC"/>
    <w:rsid w:val="00B44F94"/>
    <w:rsid w:val="00B45092"/>
    <w:rsid w:val="00B51749"/>
    <w:rsid w:val="00B51976"/>
    <w:rsid w:val="00B52BEB"/>
    <w:rsid w:val="00B55493"/>
    <w:rsid w:val="00B56010"/>
    <w:rsid w:val="00B56E66"/>
    <w:rsid w:val="00B57C1B"/>
    <w:rsid w:val="00B57CB6"/>
    <w:rsid w:val="00B61483"/>
    <w:rsid w:val="00B61D13"/>
    <w:rsid w:val="00B62614"/>
    <w:rsid w:val="00B638B9"/>
    <w:rsid w:val="00B64128"/>
    <w:rsid w:val="00B668DC"/>
    <w:rsid w:val="00B70BDF"/>
    <w:rsid w:val="00B7193E"/>
    <w:rsid w:val="00B725B4"/>
    <w:rsid w:val="00B7471B"/>
    <w:rsid w:val="00B74A3B"/>
    <w:rsid w:val="00B75338"/>
    <w:rsid w:val="00B76596"/>
    <w:rsid w:val="00B776E5"/>
    <w:rsid w:val="00B77C42"/>
    <w:rsid w:val="00B77F45"/>
    <w:rsid w:val="00B816AD"/>
    <w:rsid w:val="00B8203D"/>
    <w:rsid w:val="00B82EA8"/>
    <w:rsid w:val="00B831A4"/>
    <w:rsid w:val="00B83CCF"/>
    <w:rsid w:val="00B855BC"/>
    <w:rsid w:val="00B85E4D"/>
    <w:rsid w:val="00B87C5C"/>
    <w:rsid w:val="00B9090A"/>
    <w:rsid w:val="00B92FF1"/>
    <w:rsid w:val="00B93407"/>
    <w:rsid w:val="00B93899"/>
    <w:rsid w:val="00BA0BD2"/>
    <w:rsid w:val="00BA24A5"/>
    <w:rsid w:val="00BA25BE"/>
    <w:rsid w:val="00BA2E29"/>
    <w:rsid w:val="00BA344A"/>
    <w:rsid w:val="00BA3F45"/>
    <w:rsid w:val="00BA7CEF"/>
    <w:rsid w:val="00BB180E"/>
    <w:rsid w:val="00BB32EE"/>
    <w:rsid w:val="00BB37F0"/>
    <w:rsid w:val="00BB5D46"/>
    <w:rsid w:val="00BB631D"/>
    <w:rsid w:val="00BB7D70"/>
    <w:rsid w:val="00BC1871"/>
    <w:rsid w:val="00BC2C3D"/>
    <w:rsid w:val="00BC37C7"/>
    <w:rsid w:val="00BC5188"/>
    <w:rsid w:val="00BC5256"/>
    <w:rsid w:val="00BC7266"/>
    <w:rsid w:val="00BC776F"/>
    <w:rsid w:val="00BD0E53"/>
    <w:rsid w:val="00BD1A88"/>
    <w:rsid w:val="00BD1D5B"/>
    <w:rsid w:val="00BD3585"/>
    <w:rsid w:val="00BD40FC"/>
    <w:rsid w:val="00BD4354"/>
    <w:rsid w:val="00BD5AF3"/>
    <w:rsid w:val="00BD7139"/>
    <w:rsid w:val="00BE4BCE"/>
    <w:rsid w:val="00BE720D"/>
    <w:rsid w:val="00BE77F1"/>
    <w:rsid w:val="00BF0349"/>
    <w:rsid w:val="00BF05A5"/>
    <w:rsid w:val="00BF077D"/>
    <w:rsid w:val="00BF08CD"/>
    <w:rsid w:val="00BF1F15"/>
    <w:rsid w:val="00BF24EE"/>
    <w:rsid w:val="00BF2699"/>
    <w:rsid w:val="00BF4AB0"/>
    <w:rsid w:val="00C00224"/>
    <w:rsid w:val="00C009A4"/>
    <w:rsid w:val="00C037EE"/>
    <w:rsid w:val="00C04A5D"/>
    <w:rsid w:val="00C1230A"/>
    <w:rsid w:val="00C12811"/>
    <w:rsid w:val="00C160D8"/>
    <w:rsid w:val="00C169F4"/>
    <w:rsid w:val="00C17057"/>
    <w:rsid w:val="00C203DE"/>
    <w:rsid w:val="00C21CD1"/>
    <w:rsid w:val="00C21EFF"/>
    <w:rsid w:val="00C22E49"/>
    <w:rsid w:val="00C23BBD"/>
    <w:rsid w:val="00C25290"/>
    <w:rsid w:val="00C315DC"/>
    <w:rsid w:val="00C32EA4"/>
    <w:rsid w:val="00C333E8"/>
    <w:rsid w:val="00C369C1"/>
    <w:rsid w:val="00C375DA"/>
    <w:rsid w:val="00C40179"/>
    <w:rsid w:val="00C407AB"/>
    <w:rsid w:val="00C42991"/>
    <w:rsid w:val="00C42BBB"/>
    <w:rsid w:val="00C44BEE"/>
    <w:rsid w:val="00C45F32"/>
    <w:rsid w:val="00C5016A"/>
    <w:rsid w:val="00C51956"/>
    <w:rsid w:val="00C51AAA"/>
    <w:rsid w:val="00C51CED"/>
    <w:rsid w:val="00C5471F"/>
    <w:rsid w:val="00C566CC"/>
    <w:rsid w:val="00C574C2"/>
    <w:rsid w:val="00C65163"/>
    <w:rsid w:val="00C65B67"/>
    <w:rsid w:val="00C66412"/>
    <w:rsid w:val="00C66ABE"/>
    <w:rsid w:val="00C7051F"/>
    <w:rsid w:val="00C72B00"/>
    <w:rsid w:val="00C7314D"/>
    <w:rsid w:val="00C736AF"/>
    <w:rsid w:val="00C75BCA"/>
    <w:rsid w:val="00C81920"/>
    <w:rsid w:val="00C83301"/>
    <w:rsid w:val="00C836BB"/>
    <w:rsid w:val="00C851C2"/>
    <w:rsid w:val="00C91351"/>
    <w:rsid w:val="00C91BF1"/>
    <w:rsid w:val="00C9712A"/>
    <w:rsid w:val="00C97D4D"/>
    <w:rsid w:val="00C97E3A"/>
    <w:rsid w:val="00CA2853"/>
    <w:rsid w:val="00CA2F66"/>
    <w:rsid w:val="00CA4E63"/>
    <w:rsid w:val="00CA57E9"/>
    <w:rsid w:val="00CA593F"/>
    <w:rsid w:val="00CA5AF0"/>
    <w:rsid w:val="00CA7079"/>
    <w:rsid w:val="00CB028C"/>
    <w:rsid w:val="00CB0430"/>
    <w:rsid w:val="00CB3B7C"/>
    <w:rsid w:val="00CB5651"/>
    <w:rsid w:val="00CB63DF"/>
    <w:rsid w:val="00CB7A96"/>
    <w:rsid w:val="00CC186B"/>
    <w:rsid w:val="00CC2360"/>
    <w:rsid w:val="00CC453B"/>
    <w:rsid w:val="00CC4C3E"/>
    <w:rsid w:val="00CC4CE9"/>
    <w:rsid w:val="00CD01C6"/>
    <w:rsid w:val="00CD0D38"/>
    <w:rsid w:val="00CD0E13"/>
    <w:rsid w:val="00CD2D54"/>
    <w:rsid w:val="00CD3B2B"/>
    <w:rsid w:val="00CD4673"/>
    <w:rsid w:val="00CD4E8B"/>
    <w:rsid w:val="00CD51A9"/>
    <w:rsid w:val="00CE0805"/>
    <w:rsid w:val="00CE0A05"/>
    <w:rsid w:val="00CE1851"/>
    <w:rsid w:val="00CE1BAC"/>
    <w:rsid w:val="00CE1DB4"/>
    <w:rsid w:val="00CE466C"/>
    <w:rsid w:val="00CE478A"/>
    <w:rsid w:val="00CE4E5C"/>
    <w:rsid w:val="00CE7A58"/>
    <w:rsid w:val="00CF0F1E"/>
    <w:rsid w:val="00CF2902"/>
    <w:rsid w:val="00CF379B"/>
    <w:rsid w:val="00D02AB4"/>
    <w:rsid w:val="00D06DFF"/>
    <w:rsid w:val="00D07CA0"/>
    <w:rsid w:val="00D101E7"/>
    <w:rsid w:val="00D1189B"/>
    <w:rsid w:val="00D11C05"/>
    <w:rsid w:val="00D134F0"/>
    <w:rsid w:val="00D141EE"/>
    <w:rsid w:val="00D15C58"/>
    <w:rsid w:val="00D178A1"/>
    <w:rsid w:val="00D21423"/>
    <w:rsid w:val="00D219E9"/>
    <w:rsid w:val="00D22879"/>
    <w:rsid w:val="00D24544"/>
    <w:rsid w:val="00D26AE3"/>
    <w:rsid w:val="00D27813"/>
    <w:rsid w:val="00D27BA6"/>
    <w:rsid w:val="00D3071D"/>
    <w:rsid w:val="00D311EE"/>
    <w:rsid w:val="00D31A08"/>
    <w:rsid w:val="00D32780"/>
    <w:rsid w:val="00D34E76"/>
    <w:rsid w:val="00D35C5E"/>
    <w:rsid w:val="00D3655A"/>
    <w:rsid w:val="00D36772"/>
    <w:rsid w:val="00D36A98"/>
    <w:rsid w:val="00D36B1E"/>
    <w:rsid w:val="00D412D0"/>
    <w:rsid w:val="00D414FA"/>
    <w:rsid w:val="00D419BA"/>
    <w:rsid w:val="00D42577"/>
    <w:rsid w:val="00D452BD"/>
    <w:rsid w:val="00D4708E"/>
    <w:rsid w:val="00D51353"/>
    <w:rsid w:val="00D52752"/>
    <w:rsid w:val="00D57885"/>
    <w:rsid w:val="00D61140"/>
    <w:rsid w:val="00D612B4"/>
    <w:rsid w:val="00D61E50"/>
    <w:rsid w:val="00D65A54"/>
    <w:rsid w:val="00D65DE7"/>
    <w:rsid w:val="00D678DD"/>
    <w:rsid w:val="00D67A6A"/>
    <w:rsid w:val="00D71D79"/>
    <w:rsid w:val="00D73881"/>
    <w:rsid w:val="00D73F16"/>
    <w:rsid w:val="00D748F1"/>
    <w:rsid w:val="00D75D9A"/>
    <w:rsid w:val="00D76131"/>
    <w:rsid w:val="00D77615"/>
    <w:rsid w:val="00D80242"/>
    <w:rsid w:val="00D8125F"/>
    <w:rsid w:val="00D81EA9"/>
    <w:rsid w:val="00D830BB"/>
    <w:rsid w:val="00D83507"/>
    <w:rsid w:val="00D83CFE"/>
    <w:rsid w:val="00D902E3"/>
    <w:rsid w:val="00D9040B"/>
    <w:rsid w:val="00D90C9C"/>
    <w:rsid w:val="00D914A4"/>
    <w:rsid w:val="00D91CBA"/>
    <w:rsid w:val="00D91EB6"/>
    <w:rsid w:val="00D923E8"/>
    <w:rsid w:val="00D92627"/>
    <w:rsid w:val="00D93F84"/>
    <w:rsid w:val="00D94954"/>
    <w:rsid w:val="00D95564"/>
    <w:rsid w:val="00D97F27"/>
    <w:rsid w:val="00DA0A46"/>
    <w:rsid w:val="00DA1697"/>
    <w:rsid w:val="00DA1BBC"/>
    <w:rsid w:val="00DA3AAF"/>
    <w:rsid w:val="00DA4636"/>
    <w:rsid w:val="00DA4E98"/>
    <w:rsid w:val="00DA5D7D"/>
    <w:rsid w:val="00DA73A1"/>
    <w:rsid w:val="00DB078A"/>
    <w:rsid w:val="00DB472D"/>
    <w:rsid w:val="00DB5539"/>
    <w:rsid w:val="00DB6011"/>
    <w:rsid w:val="00DC0026"/>
    <w:rsid w:val="00DC0E16"/>
    <w:rsid w:val="00DC0F76"/>
    <w:rsid w:val="00DC11B8"/>
    <w:rsid w:val="00DC32A6"/>
    <w:rsid w:val="00DC49F9"/>
    <w:rsid w:val="00DC5064"/>
    <w:rsid w:val="00DC50BE"/>
    <w:rsid w:val="00DC615E"/>
    <w:rsid w:val="00DC644F"/>
    <w:rsid w:val="00DD0180"/>
    <w:rsid w:val="00DD0553"/>
    <w:rsid w:val="00DD215F"/>
    <w:rsid w:val="00DD2190"/>
    <w:rsid w:val="00DD44A4"/>
    <w:rsid w:val="00DD5040"/>
    <w:rsid w:val="00DE3855"/>
    <w:rsid w:val="00DE3F64"/>
    <w:rsid w:val="00DE4CA8"/>
    <w:rsid w:val="00DE6227"/>
    <w:rsid w:val="00DE68AC"/>
    <w:rsid w:val="00DE7B7E"/>
    <w:rsid w:val="00DF1F68"/>
    <w:rsid w:val="00DF245D"/>
    <w:rsid w:val="00DF585A"/>
    <w:rsid w:val="00DF5EE0"/>
    <w:rsid w:val="00DF63EE"/>
    <w:rsid w:val="00DF770C"/>
    <w:rsid w:val="00E028D4"/>
    <w:rsid w:val="00E05D4A"/>
    <w:rsid w:val="00E12F37"/>
    <w:rsid w:val="00E148D2"/>
    <w:rsid w:val="00E153E9"/>
    <w:rsid w:val="00E153FE"/>
    <w:rsid w:val="00E1795F"/>
    <w:rsid w:val="00E22A63"/>
    <w:rsid w:val="00E24FC3"/>
    <w:rsid w:val="00E257DA"/>
    <w:rsid w:val="00E27B94"/>
    <w:rsid w:val="00E27C26"/>
    <w:rsid w:val="00E27D11"/>
    <w:rsid w:val="00E303F0"/>
    <w:rsid w:val="00E30E3F"/>
    <w:rsid w:val="00E34156"/>
    <w:rsid w:val="00E346C8"/>
    <w:rsid w:val="00E34F33"/>
    <w:rsid w:val="00E35A1A"/>
    <w:rsid w:val="00E40953"/>
    <w:rsid w:val="00E425E9"/>
    <w:rsid w:val="00E4458C"/>
    <w:rsid w:val="00E44B51"/>
    <w:rsid w:val="00E45127"/>
    <w:rsid w:val="00E45348"/>
    <w:rsid w:val="00E4618B"/>
    <w:rsid w:val="00E50505"/>
    <w:rsid w:val="00E512D9"/>
    <w:rsid w:val="00E51E14"/>
    <w:rsid w:val="00E602BE"/>
    <w:rsid w:val="00E639AE"/>
    <w:rsid w:val="00E64F71"/>
    <w:rsid w:val="00E6645D"/>
    <w:rsid w:val="00E67379"/>
    <w:rsid w:val="00E71815"/>
    <w:rsid w:val="00E71D15"/>
    <w:rsid w:val="00E72294"/>
    <w:rsid w:val="00E73D96"/>
    <w:rsid w:val="00E7563A"/>
    <w:rsid w:val="00E8064E"/>
    <w:rsid w:val="00E808E2"/>
    <w:rsid w:val="00E80BF8"/>
    <w:rsid w:val="00E80C45"/>
    <w:rsid w:val="00E83A7C"/>
    <w:rsid w:val="00E847B5"/>
    <w:rsid w:val="00E864CB"/>
    <w:rsid w:val="00E86E06"/>
    <w:rsid w:val="00E915EA"/>
    <w:rsid w:val="00E93298"/>
    <w:rsid w:val="00E93CB1"/>
    <w:rsid w:val="00E96BC6"/>
    <w:rsid w:val="00E9727B"/>
    <w:rsid w:val="00EA0DED"/>
    <w:rsid w:val="00EA186E"/>
    <w:rsid w:val="00EA728E"/>
    <w:rsid w:val="00EB193E"/>
    <w:rsid w:val="00EB1CAB"/>
    <w:rsid w:val="00EB2107"/>
    <w:rsid w:val="00EB4D15"/>
    <w:rsid w:val="00EB7ECF"/>
    <w:rsid w:val="00EC1A74"/>
    <w:rsid w:val="00EC2A10"/>
    <w:rsid w:val="00EC3B3C"/>
    <w:rsid w:val="00EC3E9D"/>
    <w:rsid w:val="00EC4E10"/>
    <w:rsid w:val="00EC5C82"/>
    <w:rsid w:val="00EC7193"/>
    <w:rsid w:val="00EC77D9"/>
    <w:rsid w:val="00ED03E7"/>
    <w:rsid w:val="00ED0418"/>
    <w:rsid w:val="00ED25E1"/>
    <w:rsid w:val="00ED27CD"/>
    <w:rsid w:val="00ED2AE3"/>
    <w:rsid w:val="00ED2FC6"/>
    <w:rsid w:val="00EE3CEC"/>
    <w:rsid w:val="00EE4BF1"/>
    <w:rsid w:val="00EE6677"/>
    <w:rsid w:val="00EE7290"/>
    <w:rsid w:val="00EE75AA"/>
    <w:rsid w:val="00EF168E"/>
    <w:rsid w:val="00EF1F33"/>
    <w:rsid w:val="00EF2131"/>
    <w:rsid w:val="00EF4023"/>
    <w:rsid w:val="00EF409E"/>
    <w:rsid w:val="00EF48E7"/>
    <w:rsid w:val="00EF4C32"/>
    <w:rsid w:val="00EF5614"/>
    <w:rsid w:val="00F024E7"/>
    <w:rsid w:val="00F03703"/>
    <w:rsid w:val="00F05399"/>
    <w:rsid w:val="00F057C4"/>
    <w:rsid w:val="00F05C0A"/>
    <w:rsid w:val="00F05CF8"/>
    <w:rsid w:val="00F10320"/>
    <w:rsid w:val="00F10758"/>
    <w:rsid w:val="00F13409"/>
    <w:rsid w:val="00F15426"/>
    <w:rsid w:val="00F15DEF"/>
    <w:rsid w:val="00F1615F"/>
    <w:rsid w:val="00F17293"/>
    <w:rsid w:val="00F22ACC"/>
    <w:rsid w:val="00F23565"/>
    <w:rsid w:val="00F235A1"/>
    <w:rsid w:val="00F25127"/>
    <w:rsid w:val="00F26D03"/>
    <w:rsid w:val="00F27046"/>
    <w:rsid w:val="00F27A3D"/>
    <w:rsid w:val="00F30329"/>
    <w:rsid w:val="00F305C9"/>
    <w:rsid w:val="00F3630E"/>
    <w:rsid w:val="00F41F7B"/>
    <w:rsid w:val="00F42A99"/>
    <w:rsid w:val="00F430F9"/>
    <w:rsid w:val="00F4459B"/>
    <w:rsid w:val="00F45364"/>
    <w:rsid w:val="00F46AF5"/>
    <w:rsid w:val="00F46DCF"/>
    <w:rsid w:val="00F476B8"/>
    <w:rsid w:val="00F5000A"/>
    <w:rsid w:val="00F50934"/>
    <w:rsid w:val="00F51A5C"/>
    <w:rsid w:val="00F52BFC"/>
    <w:rsid w:val="00F53BFC"/>
    <w:rsid w:val="00F54D3C"/>
    <w:rsid w:val="00F55928"/>
    <w:rsid w:val="00F60807"/>
    <w:rsid w:val="00F63C5E"/>
    <w:rsid w:val="00F64940"/>
    <w:rsid w:val="00F6512C"/>
    <w:rsid w:val="00F665EB"/>
    <w:rsid w:val="00F6708A"/>
    <w:rsid w:val="00F702D1"/>
    <w:rsid w:val="00F70496"/>
    <w:rsid w:val="00F705F7"/>
    <w:rsid w:val="00F73689"/>
    <w:rsid w:val="00F75F81"/>
    <w:rsid w:val="00F77A12"/>
    <w:rsid w:val="00F803A1"/>
    <w:rsid w:val="00F81472"/>
    <w:rsid w:val="00F8236A"/>
    <w:rsid w:val="00F83A4B"/>
    <w:rsid w:val="00F84697"/>
    <w:rsid w:val="00F8474B"/>
    <w:rsid w:val="00F84972"/>
    <w:rsid w:val="00F84F36"/>
    <w:rsid w:val="00F8702A"/>
    <w:rsid w:val="00F872B9"/>
    <w:rsid w:val="00F94D32"/>
    <w:rsid w:val="00F96E51"/>
    <w:rsid w:val="00F97EB3"/>
    <w:rsid w:val="00FA1877"/>
    <w:rsid w:val="00FA301A"/>
    <w:rsid w:val="00FA401B"/>
    <w:rsid w:val="00FA45FA"/>
    <w:rsid w:val="00FA5EB3"/>
    <w:rsid w:val="00FA7CEE"/>
    <w:rsid w:val="00FB0624"/>
    <w:rsid w:val="00FB20A9"/>
    <w:rsid w:val="00FB33CA"/>
    <w:rsid w:val="00FB3407"/>
    <w:rsid w:val="00FB41DC"/>
    <w:rsid w:val="00FB5DD6"/>
    <w:rsid w:val="00FB6B21"/>
    <w:rsid w:val="00FB7E36"/>
    <w:rsid w:val="00FC196C"/>
    <w:rsid w:val="00FC2EDA"/>
    <w:rsid w:val="00FC2F13"/>
    <w:rsid w:val="00FC3F89"/>
    <w:rsid w:val="00FC3FB8"/>
    <w:rsid w:val="00FC412F"/>
    <w:rsid w:val="00FC4716"/>
    <w:rsid w:val="00FC6A38"/>
    <w:rsid w:val="00FD0CF2"/>
    <w:rsid w:val="00FD0F37"/>
    <w:rsid w:val="00FD47D3"/>
    <w:rsid w:val="00FD4C9F"/>
    <w:rsid w:val="00FD5729"/>
    <w:rsid w:val="00FD6DEC"/>
    <w:rsid w:val="00FE16AE"/>
    <w:rsid w:val="00FE247E"/>
    <w:rsid w:val="00FE3EDD"/>
    <w:rsid w:val="00FE4286"/>
    <w:rsid w:val="00FE56E3"/>
    <w:rsid w:val="00FF09D1"/>
    <w:rsid w:val="00FF3B14"/>
    <w:rsid w:val="00FF3D0C"/>
    <w:rsid w:val="00FF3F6C"/>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F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5DE"/>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181113"/>
    <w:pPr>
      <w:outlineLvl w:val="0"/>
    </w:pPr>
    <w:rPr>
      <w:b/>
      <w:bCs/>
    </w:rPr>
  </w:style>
  <w:style w:type="paragraph" w:styleId="Heading2">
    <w:name w:val="heading 2"/>
    <w:basedOn w:val="Normal"/>
    <w:next w:val="Normal"/>
    <w:link w:val="Heading2Char"/>
    <w:uiPriority w:val="9"/>
    <w:unhideWhenUsed/>
    <w:qFormat/>
    <w:rsid w:val="00773E9F"/>
    <w:pPr>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6F6F"/>
    <w:rPr>
      <w:color w:val="0563C1" w:themeColor="hyperlink"/>
      <w:u w:val="single"/>
    </w:rPr>
  </w:style>
  <w:style w:type="character" w:customStyle="1" w:styleId="UnresolvedMention1">
    <w:name w:val="Unresolved Mention1"/>
    <w:basedOn w:val="DefaultParagraphFont"/>
    <w:uiPriority w:val="99"/>
    <w:semiHidden/>
    <w:unhideWhenUsed/>
    <w:rsid w:val="007B6F6F"/>
    <w:rPr>
      <w:color w:val="605E5C"/>
      <w:shd w:val="clear" w:color="auto" w:fill="E1DFDD"/>
    </w:rPr>
  </w:style>
  <w:style w:type="character" w:customStyle="1" w:styleId="Heading1Char">
    <w:name w:val="Heading 1 Char"/>
    <w:basedOn w:val="DefaultParagraphFont"/>
    <w:link w:val="Heading1"/>
    <w:uiPriority w:val="9"/>
    <w:rsid w:val="00181113"/>
    <w:rPr>
      <w:rFonts w:ascii="Times New Roman" w:hAnsi="Times New Roman"/>
      <w:b/>
      <w:bCs/>
      <w:sz w:val="24"/>
    </w:rPr>
  </w:style>
  <w:style w:type="character" w:styleId="CommentReference">
    <w:name w:val="annotation reference"/>
    <w:basedOn w:val="DefaultParagraphFont"/>
    <w:uiPriority w:val="99"/>
    <w:semiHidden/>
    <w:unhideWhenUsed/>
    <w:rsid w:val="00E30E3F"/>
    <w:rPr>
      <w:sz w:val="16"/>
      <w:szCs w:val="16"/>
    </w:rPr>
  </w:style>
  <w:style w:type="paragraph" w:styleId="CommentText">
    <w:name w:val="annotation text"/>
    <w:basedOn w:val="Normal"/>
    <w:link w:val="CommentTextChar"/>
    <w:uiPriority w:val="99"/>
    <w:semiHidden/>
    <w:unhideWhenUsed/>
    <w:rsid w:val="00E30E3F"/>
    <w:rPr>
      <w:sz w:val="20"/>
      <w:szCs w:val="20"/>
    </w:rPr>
  </w:style>
  <w:style w:type="character" w:customStyle="1" w:styleId="CommentTextChar">
    <w:name w:val="Comment Text Char"/>
    <w:basedOn w:val="DefaultParagraphFont"/>
    <w:link w:val="CommentText"/>
    <w:uiPriority w:val="99"/>
    <w:semiHidden/>
    <w:rsid w:val="00E30E3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0E3F"/>
    <w:rPr>
      <w:b/>
      <w:bCs/>
    </w:rPr>
  </w:style>
  <w:style w:type="character" w:customStyle="1" w:styleId="CommentSubjectChar">
    <w:name w:val="Comment Subject Char"/>
    <w:basedOn w:val="CommentTextChar"/>
    <w:link w:val="CommentSubject"/>
    <w:uiPriority w:val="99"/>
    <w:semiHidden/>
    <w:rsid w:val="00E30E3F"/>
    <w:rPr>
      <w:rFonts w:ascii="Times New Roman" w:hAnsi="Times New Roman"/>
      <w:b/>
      <w:bCs/>
      <w:sz w:val="20"/>
      <w:szCs w:val="20"/>
    </w:rPr>
  </w:style>
  <w:style w:type="paragraph" w:styleId="BalloonText">
    <w:name w:val="Balloon Text"/>
    <w:basedOn w:val="Normal"/>
    <w:link w:val="BalloonTextChar"/>
    <w:uiPriority w:val="99"/>
    <w:semiHidden/>
    <w:unhideWhenUsed/>
    <w:rsid w:val="00F814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472"/>
    <w:rPr>
      <w:rFonts w:ascii="Segoe UI" w:hAnsi="Segoe UI" w:cs="Segoe UI"/>
      <w:sz w:val="18"/>
      <w:szCs w:val="18"/>
    </w:rPr>
  </w:style>
  <w:style w:type="paragraph" w:styleId="ListParagraph">
    <w:name w:val="List Paragraph"/>
    <w:basedOn w:val="Normal"/>
    <w:uiPriority w:val="34"/>
    <w:qFormat/>
    <w:rsid w:val="00904B61"/>
    <w:pPr>
      <w:ind w:left="720"/>
      <w:contextualSpacing/>
    </w:pPr>
  </w:style>
  <w:style w:type="character" w:customStyle="1" w:styleId="Heading2Char">
    <w:name w:val="Heading 2 Char"/>
    <w:basedOn w:val="DefaultParagraphFont"/>
    <w:link w:val="Heading2"/>
    <w:uiPriority w:val="9"/>
    <w:rsid w:val="00773E9F"/>
    <w:rPr>
      <w:rFonts w:ascii="Times New Roman" w:hAnsi="Times New Roman"/>
      <w:b/>
      <w:bCs/>
      <w:i/>
      <w:iCs/>
      <w:sz w:val="24"/>
    </w:rPr>
  </w:style>
  <w:style w:type="paragraph" w:styleId="Header">
    <w:name w:val="header"/>
    <w:basedOn w:val="Normal"/>
    <w:link w:val="HeaderChar"/>
    <w:uiPriority w:val="99"/>
    <w:unhideWhenUsed/>
    <w:rsid w:val="006C45ED"/>
    <w:pPr>
      <w:tabs>
        <w:tab w:val="center" w:pos="4680"/>
        <w:tab w:val="right" w:pos="9360"/>
      </w:tabs>
    </w:pPr>
  </w:style>
  <w:style w:type="character" w:customStyle="1" w:styleId="HeaderChar">
    <w:name w:val="Header Char"/>
    <w:basedOn w:val="DefaultParagraphFont"/>
    <w:link w:val="Header"/>
    <w:uiPriority w:val="99"/>
    <w:rsid w:val="006C45ED"/>
    <w:rPr>
      <w:rFonts w:ascii="Times New Roman" w:hAnsi="Times New Roman"/>
      <w:sz w:val="24"/>
    </w:rPr>
  </w:style>
  <w:style w:type="paragraph" w:styleId="Footer">
    <w:name w:val="footer"/>
    <w:basedOn w:val="Normal"/>
    <w:link w:val="FooterChar"/>
    <w:uiPriority w:val="99"/>
    <w:unhideWhenUsed/>
    <w:rsid w:val="006C45ED"/>
    <w:pPr>
      <w:tabs>
        <w:tab w:val="center" w:pos="4680"/>
        <w:tab w:val="right" w:pos="9360"/>
      </w:tabs>
    </w:pPr>
  </w:style>
  <w:style w:type="character" w:customStyle="1" w:styleId="FooterChar">
    <w:name w:val="Footer Char"/>
    <w:basedOn w:val="DefaultParagraphFont"/>
    <w:link w:val="Footer"/>
    <w:uiPriority w:val="99"/>
    <w:rsid w:val="006C45ED"/>
    <w:rPr>
      <w:rFonts w:ascii="Times New Roman" w:hAnsi="Times New Roman"/>
      <w:sz w:val="24"/>
    </w:rPr>
  </w:style>
  <w:style w:type="paragraph" w:styleId="FootnoteText">
    <w:name w:val="footnote text"/>
    <w:basedOn w:val="Normal"/>
    <w:link w:val="FootnoteTextChar"/>
    <w:uiPriority w:val="99"/>
    <w:semiHidden/>
    <w:unhideWhenUsed/>
    <w:rsid w:val="00351400"/>
    <w:rPr>
      <w:sz w:val="20"/>
      <w:szCs w:val="20"/>
    </w:rPr>
  </w:style>
  <w:style w:type="character" w:customStyle="1" w:styleId="FootnoteTextChar">
    <w:name w:val="Footnote Text Char"/>
    <w:basedOn w:val="DefaultParagraphFont"/>
    <w:link w:val="FootnoteText"/>
    <w:uiPriority w:val="99"/>
    <w:semiHidden/>
    <w:rsid w:val="00351400"/>
    <w:rPr>
      <w:rFonts w:ascii="Times New Roman" w:hAnsi="Times New Roman"/>
      <w:sz w:val="20"/>
      <w:szCs w:val="20"/>
    </w:rPr>
  </w:style>
  <w:style w:type="character" w:styleId="FootnoteReference">
    <w:name w:val="footnote reference"/>
    <w:basedOn w:val="DefaultParagraphFont"/>
    <w:uiPriority w:val="99"/>
    <w:semiHidden/>
    <w:unhideWhenUsed/>
    <w:rsid w:val="00351400"/>
    <w:rPr>
      <w:vertAlign w:val="superscript"/>
    </w:rPr>
  </w:style>
  <w:style w:type="character" w:styleId="UnresolvedMention">
    <w:name w:val="Unresolved Mention"/>
    <w:basedOn w:val="DefaultParagraphFont"/>
    <w:uiPriority w:val="99"/>
    <w:semiHidden/>
    <w:unhideWhenUsed/>
    <w:rsid w:val="00396CAF"/>
    <w:rPr>
      <w:color w:val="605E5C"/>
      <w:shd w:val="clear" w:color="auto" w:fill="E1DFDD"/>
    </w:rPr>
  </w:style>
  <w:style w:type="character" w:styleId="EndnoteReference">
    <w:name w:val="endnote reference"/>
    <w:basedOn w:val="DefaultParagraphFont"/>
    <w:uiPriority w:val="99"/>
    <w:semiHidden/>
    <w:unhideWhenUsed/>
    <w:rsid w:val="006A1EF4"/>
    <w:rPr>
      <w:vertAlign w:val="superscript"/>
    </w:rPr>
  </w:style>
  <w:style w:type="character" w:styleId="FollowedHyperlink">
    <w:name w:val="FollowedHyperlink"/>
    <w:basedOn w:val="DefaultParagraphFont"/>
    <w:uiPriority w:val="99"/>
    <w:semiHidden/>
    <w:unhideWhenUsed/>
    <w:rsid w:val="007A6DFF"/>
    <w:rPr>
      <w:color w:val="954F72" w:themeColor="followedHyperlink"/>
      <w:u w:val="single"/>
    </w:rPr>
  </w:style>
  <w:style w:type="paragraph" w:styleId="Revision">
    <w:name w:val="Revision"/>
    <w:hidden/>
    <w:uiPriority w:val="99"/>
    <w:semiHidden/>
    <w:rsid w:val="00003B0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17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nmoy78@knights.ucf.edu" TargetMode="External"/><Relationship Id="rId13" Type="http://schemas.openxmlformats.org/officeDocument/2006/relationships/image" Target="media/image3.png"/><Relationship Id="rId18" Type="http://schemas.openxmlformats.org/officeDocument/2006/relationships/hyperlink" Target="https://healthdata.gov/Hospital/COVID-19-Reported-Patient-Impact-and-Hospital-Capa/anag-cw7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32436-5695-43ED-B449-DC63B10C1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22182</Words>
  <Characters>126438</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2021-01-25T00:24:00Z</dcterms:created>
  <dcterms:modified xsi:type="dcterms:W3CDTF">2021-11-16T15:42:00Z</dcterms:modified>
  <cp:version>04.2000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http://www.zotero.org/styles/analytic-methods-in-accident-research</vt:lpwstr>
  </property>
  <property fmtid="{D5CDD505-2E9C-101B-9397-08002B2CF9AE}" pid="3" name="Mendeley Recent Style Name 0_1">
    <vt:lpwstr>Analytic Methods in Accident Research</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http://www.zotero.org/styles/transportation-research-part-b</vt:lpwstr>
  </property>
  <property fmtid="{D5CDD505-2E9C-101B-9397-08002B2CF9AE}" pid="17" name="Mendeley Recent Style Name 7_1">
    <vt:lpwstr>Transportation Research Part B</vt:lpwstr>
  </property>
  <property fmtid="{D5CDD505-2E9C-101B-9397-08002B2CF9AE}" pid="18" name="Mendeley Recent Style Id 8_1">
    <vt:lpwstr>http://www.zotero.org/styles/transportation-research-record</vt:lpwstr>
  </property>
  <property fmtid="{D5CDD505-2E9C-101B-9397-08002B2CF9AE}" pid="19" name="Mendeley Recent Style Name 8_1">
    <vt:lpwstr>Transportation Research Record: Journal of the Transportation Research Board</vt:lpwstr>
  </property>
  <property fmtid="{D5CDD505-2E9C-101B-9397-08002B2CF9AE}" pid="20" name="Mendeley Recent Style Id 9_1">
    <vt:lpwstr>http://csl.mendeley.com/styles/495441851/vancouver-2</vt:lpwstr>
  </property>
  <property fmtid="{D5CDD505-2E9C-101B-9397-08002B2CF9AE}" pid="21" name="Mendeley Recent Style Name 9_1">
    <vt:lpwstr>Vancouver - Tanmoy Bhowmik</vt:lpwstr>
  </property>
  <property fmtid="{D5CDD505-2E9C-101B-9397-08002B2CF9AE}" pid="22" name="Mendeley Citation Style_1">
    <vt:lpwstr>http://csl.mendeley.com/styles/495441851/vancouver-2</vt:lpwstr>
  </property>
  <property fmtid="{D5CDD505-2E9C-101B-9397-08002B2CF9AE}" pid="23" name="Mendeley Document_1">
    <vt:lpwstr>True</vt:lpwstr>
  </property>
  <property fmtid="{D5CDD505-2E9C-101B-9397-08002B2CF9AE}" pid="24" name="Mendeley Unique User Id_1">
    <vt:lpwstr>ed493790-d9dc-30f4-8b52-f4c86545d5f4</vt:lpwstr>
  </property>
</Properties>
</file>