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6A8AB" w14:textId="5E39DFBE" w:rsidR="00872375" w:rsidRPr="00050192" w:rsidRDefault="00A55C15" w:rsidP="00050192">
      <w:pPr>
        <w:rPr>
          <w:b/>
          <w:bCs/>
        </w:rPr>
      </w:pPr>
      <w:r w:rsidRPr="00050192">
        <w:rPr>
          <w:b/>
          <w:bCs/>
        </w:rPr>
        <w:t>T</w:t>
      </w:r>
      <w:r w:rsidR="00FE40DC" w:rsidRPr="00050192">
        <w:rPr>
          <w:b/>
          <w:bCs/>
        </w:rPr>
        <w:t>ransformation of</w:t>
      </w:r>
      <w:r w:rsidRPr="00050192">
        <w:rPr>
          <w:b/>
          <w:bCs/>
        </w:rPr>
        <w:t xml:space="preserve"> </w:t>
      </w:r>
      <w:proofErr w:type="spellStart"/>
      <w:r w:rsidR="0095029D" w:rsidRPr="00050192">
        <w:rPr>
          <w:b/>
          <w:bCs/>
        </w:rPr>
        <w:t>Ridehailing</w:t>
      </w:r>
      <w:proofErr w:type="spellEnd"/>
      <w:r w:rsidR="00FE40DC" w:rsidRPr="00050192">
        <w:rPr>
          <w:b/>
          <w:bCs/>
        </w:rPr>
        <w:t xml:space="preserve"> in </w:t>
      </w:r>
      <w:r w:rsidRPr="00050192">
        <w:rPr>
          <w:b/>
          <w:bCs/>
        </w:rPr>
        <w:t>N</w:t>
      </w:r>
      <w:r w:rsidR="00FE40DC" w:rsidRPr="00050192">
        <w:rPr>
          <w:b/>
          <w:bCs/>
        </w:rPr>
        <w:t xml:space="preserve">ew </w:t>
      </w:r>
      <w:r w:rsidRPr="00050192">
        <w:rPr>
          <w:b/>
          <w:bCs/>
        </w:rPr>
        <w:t>Y</w:t>
      </w:r>
      <w:r w:rsidR="00FE40DC" w:rsidRPr="00050192">
        <w:rPr>
          <w:b/>
          <w:bCs/>
        </w:rPr>
        <w:t xml:space="preserve">ork </w:t>
      </w:r>
      <w:r w:rsidRPr="00050192">
        <w:rPr>
          <w:b/>
          <w:bCs/>
        </w:rPr>
        <w:t>C</w:t>
      </w:r>
      <w:r w:rsidR="00FE40DC" w:rsidRPr="00050192">
        <w:rPr>
          <w:b/>
          <w:bCs/>
        </w:rPr>
        <w:t>ity</w:t>
      </w:r>
      <w:r w:rsidRPr="00050192">
        <w:rPr>
          <w:b/>
          <w:bCs/>
        </w:rPr>
        <w:t>: A Q</w:t>
      </w:r>
      <w:r w:rsidR="00FE40DC" w:rsidRPr="00050192">
        <w:rPr>
          <w:b/>
          <w:bCs/>
        </w:rPr>
        <w:t xml:space="preserve">uantitative </w:t>
      </w:r>
      <w:r w:rsidRPr="00050192">
        <w:rPr>
          <w:b/>
          <w:bCs/>
        </w:rPr>
        <w:t>A</w:t>
      </w:r>
      <w:r w:rsidR="00FE40DC" w:rsidRPr="00050192">
        <w:rPr>
          <w:b/>
          <w:bCs/>
        </w:rPr>
        <w:t>ssessment</w:t>
      </w:r>
    </w:p>
    <w:p w14:paraId="303174A0" w14:textId="1ED49513" w:rsidR="00872375" w:rsidRPr="00B241DA" w:rsidRDefault="00872375" w:rsidP="004279F9">
      <w:pPr>
        <w:suppressAutoHyphens/>
        <w:autoSpaceDN w:val="0"/>
        <w:textAlignment w:val="baseline"/>
        <w:rPr>
          <w:rFonts w:eastAsia="SimSun" w:cs="Times New Roman"/>
          <w:color w:val="000000"/>
          <w:kern w:val="3"/>
          <w:szCs w:val="24"/>
        </w:rPr>
      </w:pPr>
    </w:p>
    <w:p w14:paraId="5C67B252" w14:textId="77777777" w:rsidR="0028670E" w:rsidRPr="00B241DA" w:rsidRDefault="0028670E" w:rsidP="004279F9">
      <w:pPr>
        <w:suppressAutoHyphens/>
        <w:autoSpaceDN w:val="0"/>
        <w:textAlignment w:val="baseline"/>
        <w:rPr>
          <w:rFonts w:eastAsia="SimSun" w:cs="Times New Roman"/>
          <w:color w:val="000000"/>
          <w:kern w:val="3"/>
          <w:szCs w:val="24"/>
        </w:rPr>
      </w:pPr>
    </w:p>
    <w:p w14:paraId="7453E30E" w14:textId="17FE3CA7" w:rsidR="00872375" w:rsidRPr="00B241DA" w:rsidRDefault="00872375" w:rsidP="004279F9">
      <w:pPr>
        <w:suppressAutoHyphens/>
        <w:autoSpaceDN w:val="0"/>
        <w:textAlignment w:val="baseline"/>
        <w:rPr>
          <w:rFonts w:eastAsia="SimSun" w:cs="Times New Roman"/>
          <w:b/>
          <w:color w:val="000000"/>
          <w:kern w:val="3"/>
          <w:szCs w:val="24"/>
        </w:rPr>
      </w:pPr>
      <w:r w:rsidRPr="00B241DA">
        <w:rPr>
          <w:rFonts w:eastAsia="SimSun" w:cs="Times New Roman"/>
          <w:b/>
          <w:color w:val="000000"/>
          <w:kern w:val="3"/>
          <w:szCs w:val="24"/>
        </w:rPr>
        <w:t>Bibhas Kumar Dey</w:t>
      </w:r>
      <w:r w:rsidR="0024127E" w:rsidRPr="00B241DA">
        <w:rPr>
          <w:rFonts w:eastAsia="SimSun" w:cs="Times New Roman"/>
          <w:b/>
          <w:color w:val="000000"/>
          <w:kern w:val="3"/>
          <w:szCs w:val="24"/>
          <w:vertAlign w:val="superscript"/>
        </w:rPr>
        <w:t>*</w:t>
      </w:r>
    </w:p>
    <w:p w14:paraId="513A947C" w14:textId="0E2AFA06" w:rsidR="00872375" w:rsidRPr="00B241DA" w:rsidRDefault="00A42204" w:rsidP="004279F9">
      <w:pPr>
        <w:suppressAutoHyphens/>
        <w:autoSpaceDN w:val="0"/>
        <w:textAlignment w:val="baseline"/>
        <w:rPr>
          <w:rFonts w:eastAsia="SimSun" w:cs="Times New Roman"/>
          <w:color w:val="000000"/>
          <w:kern w:val="3"/>
          <w:szCs w:val="24"/>
        </w:rPr>
      </w:pPr>
      <w:r>
        <w:rPr>
          <w:rFonts w:eastAsia="SimSun" w:cs="Times New Roman"/>
          <w:color w:val="000000"/>
          <w:kern w:val="3"/>
          <w:szCs w:val="24"/>
        </w:rPr>
        <w:t>Transportation Modeler</w:t>
      </w:r>
    </w:p>
    <w:p w14:paraId="4F5F3163" w14:textId="185D50B0" w:rsidR="00872375" w:rsidRPr="00B241DA" w:rsidRDefault="00A42204" w:rsidP="004279F9">
      <w:pPr>
        <w:suppressAutoHyphens/>
        <w:autoSpaceDN w:val="0"/>
        <w:textAlignment w:val="baseline"/>
        <w:rPr>
          <w:rFonts w:eastAsia="SimSun" w:cs="Times New Roman"/>
          <w:color w:val="000000"/>
          <w:kern w:val="3"/>
          <w:szCs w:val="24"/>
        </w:rPr>
      </w:pPr>
      <w:proofErr w:type="spellStart"/>
      <w:r>
        <w:rPr>
          <w:rFonts w:eastAsia="SimSun" w:cs="Times New Roman"/>
          <w:color w:val="000000"/>
          <w:kern w:val="3"/>
          <w:szCs w:val="24"/>
        </w:rPr>
        <w:t>Connetics</w:t>
      </w:r>
      <w:proofErr w:type="spellEnd"/>
      <w:r>
        <w:rPr>
          <w:rFonts w:eastAsia="SimSun" w:cs="Times New Roman"/>
          <w:color w:val="000000"/>
          <w:kern w:val="3"/>
          <w:szCs w:val="24"/>
        </w:rPr>
        <w:t xml:space="preserve"> Transportation Group</w:t>
      </w:r>
    </w:p>
    <w:p w14:paraId="3901D24B" w14:textId="77777777" w:rsidR="00872375" w:rsidRPr="00B241DA" w:rsidRDefault="00872375" w:rsidP="004279F9">
      <w:pPr>
        <w:suppressAutoHyphens/>
        <w:autoSpaceDN w:val="0"/>
        <w:textAlignment w:val="baseline"/>
        <w:rPr>
          <w:rFonts w:eastAsia="SimSun" w:cs="Times New Roman"/>
          <w:color w:val="000000"/>
          <w:kern w:val="3"/>
          <w:szCs w:val="24"/>
        </w:rPr>
      </w:pPr>
      <w:r w:rsidRPr="00B241DA">
        <w:rPr>
          <w:rFonts w:eastAsia="SimSun" w:cs="Times New Roman"/>
          <w:color w:val="000000"/>
          <w:kern w:val="3"/>
          <w:szCs w:val="24"/>
        </w:rPr>
        <w:t>Tel: 1-407-823-4815; Fax: 1-407-823-3315</w:t>
      </w:r>
    </w:p>
    <w:p w14:paraId="15ED4DFB" w14:textId="77777777" w:rsidR="00872375" w:rsidRPr="00B241DA" w:rsidRDefault="00872375" w:rsidP="004279F9">
      <w:pPr>
        <w:suppressAutoHyphens/>
        <w:autoSpaceDN w:val="0"/>
        <w:textAlignment w:val="baseline"/>
        <w:rPr>
          <w:rFonts w:eastAsia="SimSun" w:cs="Times New Roman"/>
          <w:color w:val="7030A0"/>
          <w:kern w:val="3"/>
          <w:szCs w:val="24"/>
        </w:rPr>
      </w:pPr>
      <w:r w:rsidRPr="00B241DA">
        <w:rPr>
          <w:rFonts w:eastAsia="SimSun" w:cs="Times New Roman"/>
          <w:color w:val="000000"/>
          <w:kern w:val="3"/>
          <w:szCs w:val="24"/>
        </w:rPr>
        <w:t xml:space="preserve">Email: </w:t>
      </w:r>
      <w:hyperlink r:id="rId11" w:history="1">
        <w:r w:rsidRPr="00B241DA">
          <w:rPr>
            <w:rFonts w:eastAsia="SimSun" w:cs="Times New Roman"/>
            <w:color w:val="0000FF"/>
            <w:kern w:val="3"/>
            <w:szCs w:val="24"/>
            <w:u w:val="single"/>
          </w:rPr>
          <w:t>bibhas.ce@knights.ucf.edu</w:t>
        </w:r>
      </w:hyperlink>
    </w:p>
    <w:p w14:paraId="4BD55BA4" w14:textId="77777777" w:rsidR="00872375" w:rsidRPr="00B241DA" w:rsidRDefault="00872375" w:rsidP="004279F9">
      <w:pPr>
        <w:suppressAutoHyphens/>
        <w:autoSpaceDN w:val="0"/>
        <w:textAlignment w:val="baseline"/>
        <w:rPr>
          <w:rFonts w:eastAsia="SimSun" w:cs="Times New Roman"/>
          <w:color w:val="000000"/>
          <w:kern w:val="3"/>
          <w:szCs w:val="24"/>
        </w:rPr>
      </w:pPr>
    </w:p>
    <w:p w14:paraId="28623C8F" w14:textId="73DA2071" w:rsidR="00872375" w:rsidRDefault="00872375" w:rsidP="004279F9">
      <w:pPr>
        <w:suppressAutoHyphens/>
        <w:autoSpaceDN w:val="0"/>
        <w:textAlignment w:val="baseline"/>
        <w:rPr>
          <w:rFonts w:eastAsia="SimSun" w:cs="Times New Roman"/>
          <w:color w:val="000000"/>
          <w:kern w:val="3"/>
          <w:szCs w:val="24"/>
        </w:rPr>
      </w:pPr>
    </w:p>
    <w:p w14:paraId="666A4DE0" w14:textId="77777777" w:rsidR="00492C90" w:rsidRPr="00643415" w:rsidRDefault="00492C90" w:rsidP="00492C90">
      <w:pPr>
        <w:suppressAutoHyphens/>
        <w:autoSpaceDN w:val="0"/>
        <w:textAlignment w:val="baseline"/>
        <w:rPr>
          <w:rFonts w:eastAsia="SimSun"/>
          <w:b/>
          <w:bCs/>
          <w:kern w:val="3"/>
        </w:rPr>
      </w:pPr>
      <w:r w:rsidRPr="00643415">
        <w:rPr>
          <w:rFonts w:eastAsia="SimSun"/>
          <w:b/>
          <w:bCs/>
          <w:kern w:val="3"/>
        </w:rPr>
        <w:t>Sudipta Dey Tirtha</w:t>
      </w:r>
    </w:p>
    <w:p w14:paraId="173A71B4" w14:textId="77777777" w:rsidR="00492C90" w:rsidRPr="00643415" w:rsidRDefault="00492C90" w:rsidP="00492C90">
      <w:pPr>
        <w:suppressAutoHyphens/>
        <w:autoSpaceDN w:val="0"/>
        <w:textAlignment w:val="baseline"/>
        <w:rPr>
          <w:rFonts w:eastAsia="SimSun"/>
          <w:kern w:val="3"/>
        </w:rPr>
      </w:pPr>
      <w:r w:rsidRPr="00643415">
        <w:rPr>
          <w:rFonts w:eastAsia="SimSun"/>
          <w:kern w:val="3"/>
        </w:rPr>
        <w:t>Doctoral Student</w:t>
      </w:r>
    </w:p>
    <w:p w14:paraId="3828CC60" w14:textId="77777777" w:rsidR="00492C90" w:rsidRPr="00643415" w:rsidRDefault="00492C90" w:rsidP="00492C90">
      <w:pPr>
        <w:suppressAutoHyphens/>
        <w:autoSpaceDN w:val="0"/>
        <w:textAlignment w:val="baseline"/>
        <w:rPr>
          <w:rFonts w:eastAsia="SimSun"/>
          <w:kern w:val="3"/>
        </w:rPr>
      </w:pPr>
      <w:r w:rsidRPr="00643415">
        <w:rPr>
          <w:rFonts w:eastAsia="SimSun"/>
          <w:kern w:val="3"/>
        </w:rPr>
        <w:t xml:space="preserve">Department of Civil, Environmental &amp; Construction Engineering </w:t>
      </w:r>
    </w:p>
    <w:p w14:paraId="10354B61" w14:textId="77777777" w:rsidR="00492C90" w:rsidRPr="00643415" w:rsidRDefault="00492C90" w:rsidP="00492C90">
      <w:pPr>
        <w:suppressAutoHyphens/>
        <w:autoSpaceDN w:val="0"/>
        <w:textAlignment w:val="baseline"/>
        <w:rPr>
          <w:rFonts w:eastAsia="SimSun"/>
          <w:kern w:val="3"/>
        </w:rPr>
      </w:pPr>
      <w:r w:rsidRPr="00643415">
        <w:rPr>
          <w:rFonts w:eastAsia="SimSun"/>
          <w:kern w:val="3"/>
        </w:rPr>
        <w:t>University of Central Florida</w:t>
      </w:r>
    </w:p>
    <w:p w14:paraId="67998D2C" w14:textId="77777777" w:rsidR="00492C90" w:rsidRPr="00643415" w:rsidRDefault="00492C90" w:rsidP="00492C90">
      <w:pPr>
        <w:suppressAutoHyphens/>
        <w:autoSpaceDN w:val="0"/>
        <w:textAlignment w:val="baseline"/>
        <w:rPr>
          <w:rFonts w:eastAsia="SimSun"/>
          <w:kern w:val="3"/>
        </w:rPr>
      </w:pPr>
      <w:r w:rsidRPr="00643415">
        <w:rPr>
          <w:rFonts w:eastAsia="SimSun"/>
          <w:kern w:val="3"/>
        </w:rPr>
        <w:t>Tel: 407-543-7521</w:t>
      </w:r>
    </w:p>
    <w:p w14:paraId="08C9AF06" w14:textId="51765F1C" w:rsidR="00492C90" w:rsidRPr="00643415" w:rsidRDefault="00492C90" w:rsidP="00492C90">
      <w:pPr>
        <w:suppressAutoHyphens/>
        <w:autoSpaceDN w:val="0"/>
        <w:textAlignment w:val="baseline"/>
        <w:rPr>
          <w:rFonts w:eastAsia="SimSun"/>
          <w:kern w:val="3"/>
        </w:rPr>
      </w:pPr>
      <w:r w:rsidRPr="00643415">
        <w:rPr>
          <w:rFonts w:eastAsia="SimSun"/>
          <w:kern w:val="3"/>
        </w:rPr>
        <w:t xml:space="preserve">Email: </w:t>
      </w:r>
      <w:hyperlink r:id="rId12" w:history="1">
        <w:r w:rsidR="00C55743" w:rsidRPr="00FA19EC">
          <w:rPr>
            <w:rStyle w:val="Hyperlink"/>
            <w:rFonts w:eastAsia="SimSun"/>
            <w:kern w:val="3"/>
          </w:rPr>
          <w:t>sudiptadeytirtha2018@knights.ucf.edu</w:t>
        </w:r>
      </w:hyperlink>
      <w:r w:rsidR="00C55743">
        <w:rPr>
          <w:rFonts w:eastAsia="SimSun"/>
          <w:kern w:val="3"/>
        </w:rPr>
        <w:t xml:space="preserve"> </w:t>
      </w:r>
      <w:r w:rsidR="00C55743">
        <w:rPr>
          <w:rStyle w:val="Hyperlink"/>
          <w:rFonts w:eastAsia="SimSun"/>
          <w:color w:val="auto"/>
          <w:kern w:val="3"/>
        </w:rPr>
        <w:t xml:space="preserve"> </w:t>
      </w:r>
      <w:r w:rsidRPr="00643415">
        <w:rPr>
          <w:rFonts w:eastAsia="SimSun"/>
          <w:kern w:val="3"/>
        </w:rPr>
        <w:t xml:space="preserve">   </w:t>
      </w:r>
    </w:p>
    <w:p w14:paraId="6B7273FB" w14:textId="7FA9945B" w:rsidR="00AE19CD" w:rsidRDefault="00AE19CD" w:rsidP="004279F9">
      <w:pPr>
        <w:suppressAutoHyphens/>
        <w:autoSpaceDN w:val="0"/>
        <w:textAlignment w:val="baseline"/>
        <w:rPr>
          <w:rFonts w:eastAsia="SimSun" w:cs="Times New Roman"/>
          <w:color w:val="000000"/>
          <w:kern w:val="3"/>
          <w:szCs w:val="24"/>
        </w:rPr>
      </w:pPr>
    </w:p>
    <w:p w14:paraId="27AD597A" w14:textId="77777777" w:rsidR="00AE19CD" w:rsidRPr="00B241DA" w:rsidRDefault="00AE19CD" w:rsidP="004279F9">
      <w:pPr>
        <w:suppressAutoHyphens/>
        <w:autoSpaceDN w:val="0"/>
        <w:textAlignment w:val="baseline"/>
        <w:rPr>
          <w:rFonts w:eastAsia="SimSun" w:cs="Times New Roman"/>
          <w:color w:val="000000"/>
          <w:kern w:val="3"/>
          <w:szCs w:val="24"/>
        </w:rPr>
      </w:pPr>
    </w:p>
    <w:p w14:paraId="5BB9F2F8" w14:textId="3DF6BF27" w:rsidR="00872375" w:rsidRPr="00B241DA" w:rsidRDefault="00872375" w:rsidP="004279F9">
      <w:pPr>
        <w:suppressAutoHyphens/>
        <w:autoSpaceDN w:val="0"/>
        <w:textAlignment w:val="baseline"/>
        <w:rPr>
          <w:rFonts w:eastAsia="SimSun" w:cs="Times New Roman"/>
          <w:b/>
          <w:color w:val="000000"/>
          <w:kern w:val="3"/>
          <w:szCs w:val="24"/>
        </w:rPr>
      </w:pPr>
      <w:r w:rsidRPr="00B241DA">
        <w:rPr>
          <w:rFonts w:eastAsia="SimSun" w:cs="Times New Roman"/>
          <w:b/>
          <w:color w:val="000000"/>
          <w:kern w:val="3"/>
          <w:szCs w:val="24"/>
        </w:rPr>
        <w:t>Naveen Eluru</w:t>
      </w:r>
    </w:p>
    <w:p w14:paraId="07AAF6B4" w14:textId="2D1B0C37" w:rsidR="00872375" w:rsidRPr="00B241DA" w:rsidRDefault="00872375" w:rsidP="004279F9">
      <w:pPr>
        <w:suppressAutoHyphens/>
        <w:autoSpaceDN w:val="0"/>
        <w:textAlignment w:val="baseline"/>
        <w:rPr>
          <w:rFonts w:eastAsia="SimSun" w:cs="Times New Roman"/>
          <w:color w:val="000000"/>
          <w:kern w:val="3"/>
          <w:szCs w:val="24"/>
        </w:rPr>
      </w:pPr>
      <w:r w:rsidRPr="00B241DA">
        <w:rPr>
          <w:rFonts w:eastAsia="SimSun" w:cs="Times New Roman"/>
          <w:color w:val="000000"/>
          <w:kern w:val="3"/>
          <w:szCs w:val="24"/>
        </w:rPr>
        <w:t>Professor</w:t>
      </w:r>
    </w:p>
    <w:p w14:paraId="44C70C5D" w14:textId="77777777" w:rsidR="00872375" w:rsidRPr="00B241DA" w:rsidRDefault="00872375" w:rsidP="004279F9">
      <w:pPr>
        <w:suppressAutoHyphens/>
        <w:autoSpaceDN w:val="0"/>
        <w:textAlignment w:val="baseline"/>
        <w:rPr>
          <w:rFonts w:eastAsia="SimSun" w:cs="Times New Roman"/>
          <w:color w:val="000000"/>
          <w:kern w:val="3"/>
          <w:szCs w:val="24"/>
        </w:rPr>
      </w:pPr>
      <w:r w:rsidRPr="00B241DA">
        <w:rPr>
          <w:rFonts w:eastAsia="SimSun" w:cs="Times New Roman"/>
          <w:color w:val="000000"/>
          <w:kern w:val="3"/>
          <w:szCs w:val="24"/>
        </w:rPr>
        <w:t>Department of Civil, Environmental and Construction Engineering</w:t>
      </w:r>
    </w:p>
    <w:p w14:paraId="233235BC" w14:textId="77777777" w:rsidR="00872375" w:rsidRPr="00B241DA" w:rsidRDefault="00872375" w:rsidP="004279F9">
      <w:pPr>
        <w:suppressAutoHyphens/>
        <w:autoSpaceDN w:val="0"/>
        <w:textAlignment w:val="baseline"/>
        <w:rPr>
          <w:rFonts w:eastAsia="SimSun" w:cs="Times New Roman"/>
          <w:color w:val="000000"/>
          <w:kern w:val="3"/>
          <w:szCs w:val="24"/>
        </w:rPr>
      </w:pPr>
      <w:r w:rsidRPr="00B241DA">
        <w:rPr>
          <w:rFonts w:eastAsia="SimSun" w:cs="Times New Roman"/>
          <w:color w:val="000000"/>
          <w:kern w:val="3"/>
          <w:szCs w:val="24"/>
        </w:rPr>
        <w:t>University of Central Florida</w:t>
      </w:r>
    </w:p>
    <w:p w14:paraId="584440FE" w14:textId="77777777" w:rsidR="00872375" w:rsidRPr="00B241DA" w:rsidRDefault="00872375" w:rsidP="004279F9">
      <w:pPr>
        <w:suppressAutoHyphens/>
        <w:autoSpaceDN w:val="0"/>
        <w:textAlignment w:val="baseline"/>
        <w:rPr>
          <w:rFonts w:eastAsia="SimSun" w:cs="Times New Roman"/>
          <w:color w:val="000000"/>
          <w:kern w:val="3"/>
          <w:szCs w:val="24"/>
        </w:rPr>
      </w:pPr>
      <w:r w:rsidRPr="00B241DA">
        <w:rPr>
          <w:rFonts w:eastAsia="SimSun" w:cs="Times New Roman"/>
          <w:color w:val="000000"/>
          <w:kern w:val="3"/>
          <w:szCs w:val="24"/>
        </w:rPr>
        <w:t>Tel: 1-407-823-4815; Fax: 1-407-823-3315</w:t>
      </w:r>
    </w:p>
    <w:p w14:paraId="4D7E25FE" w14:textId="00C9BF87" w:rsidR="00872375" w:rsidRPr="00B241DA" w:rsidRDefault="00872375" w:rsidP="004279F9">
      <w:pPr>
        <w:suppressAutoHyphens/>
        <w:autoSpaceDN w:val="0"/>
        <w:textAlignment w:val="baseline"/>
        <w:rPr>
          <w:rFonts w:eastAsia="SimSun" w:cs="Times New Roman"/>
          <w:color w:val="0000FF"/>
          <w:kern w:val="3"/>
          <w:szCs w:val="24"/>
          <w:u w:val="single"/>
        </w:rPr>
      </w:pPr>
      <w:r w:rsidRPr="00B241DA">
        <w:rPr>
          <w:rFonts w:eastAsia="SimSun" w:cs="Times New Roman"/>
          <w:color w:val="000000"/>
          <w:kern w:val="3"/>
          <w:szCs w:val="24"/>
        </w:rPr>
        <w:t xml:space="preserve">Email: </w:t>
      </w:r>
      <w:hyperlink r:id="rId13" w:history="1">
        <w:r w:rsidR="007B0BB7" w:rsidRPr="00B241DA">
          <w:rPr>
            <w:rStyle w:val="Hyperlink"/>
            <w:rFonts w:eastAsia="SimSun" w:cs="Times New Roman"/>
            <w:kern w:val="3"/>
            <w:szCs w:val="24"/>
          </w:rPr>
          <w:t>naveen.eluru@ucf.edu</w:t>
        </w:r>
      </w:hyperlink>
      <w:r w:rsidR="005D5501" w:rsidRPr="00B241DA">
        <w:rPr>
          <w:rFonts w:eastAsia="SimSun" w:cs="Times New Roman"/>
          <w:color w:val="0000FF"/>
          <w:kern w:val="3"/>
          <w:szCs w:val="24"/>
          <w:u w:val="single"/>
        </w:rPr>
        <w:t xml:space="preserve"> </w:t>
      </w:r>
    </w:p>
    <w:p w14:paraId="56C560E1" w14:textId="2B7E3E9B" w:rsidR="00512324" w:rsidRPr="00B241DA" w:rsidRDefault="00512324" w:rsidP="004279F9">
      <w:pPr>
        <w:suppressAutoHyphens/>
        <w:autoSpaceDN w:val="0"/>
        <w:textAlignment w:val="baseline"/>
        <w:rPr>
          <w:rFonts w:eastAsia="SimSun" w:cs="Times New Roman"/>
          <w:color w:val="0000FF"/>
          <w:kern w:val="3"/>
          <w:szCs w:val="24"/>
          <w:u w:val="single"/>
        </w:rPr>
      </w:pPr>
    </w:p>
    <w:p w14:paraId="25348F23" w14:textId="2EFD281B" w:rsidR="00512324" w:rsidRPr="00B241DA" w:rsidRDefault="00512324" w:rsidP="004279F9">
      <w:pPr>
        <w:suppressAutoHyphens/>
        <w:autoSpaceDN w:val="0"/>
        <w:textAlignment w:val="baseline"/>
        <w:rPr>
          <w:rFonts w:eastAsia="SimSun" w:cs="Times New Roman"/>
          <w:color w:val="0000FF"/>
          <w:kern w:val="3"/>
          <w:szCs w:val="24"/>
          <w:u w:val="single"/>
        </w:rPr>
      </w:pPr>
    </w:p>
    <w:p w14:paraId="567D4C09" w14:textId="03F5EF8E" w:rsidR="00512324" w:rsidRPr="00B241DA" w:rsidRDefault="00512324" w:rsidP="00512324">
      <w:pPr>
        <w:pStyle w:val="Default"/>
      </w:pPr>
      <w:r w:rsidRPr="00B241DA">
        <w:rPr>
          <w:b/>
          <w:bCs/>
        </w:rPr>
        <w:t xml:space="preserve">Karthik C. Konduri </w:t>
      </w:r>
      <w:r w:rsidRPr="00B241DA">
        <w:t xml:space="preserve"> </w:t>
      </w:r>
    </w:p>
    <w:p w14:paraId="1FDAC645" w14:textId="51DDB7C8" w:rsidR="00512324" w:rsidRPr="00B241DA" w:rsidRDefault="00B241DA" w:rsidP="00512324">
      <w:pPr>
        <w:pStyle w:val="Default"/>
      </w:pPr>
      <w:r w:rsidRPr="00B241DA">
        <w:t>Assistant Professor</w:t>
      </w:r>
    </w:p>
    <w:p w14:paraId="4509454A" w14:textId="1CFED6B0" w:rsidR="006030DF" w:rsidRPr="00B241DA" w:rsidRDefault="006030DF" w:rsidP="006030DF">
      <w:pPr>
        <w:pStyle w:val="Default"/>
      </w:pPr>
      <w:r w:rsidRPr="00B241DA">
        <w:t xml:space="preserve">Department of Civil and Environmental Engineering </w:t>
      </w:r>
    </w:p>
    <w:p w14:paraId="0FB3F417" w14:textId="70F507B4" w:rsidR="006030DF" w:rsidRPr="00B241DA" w:rsidRDefault="006030DF" w:rsidP="006030DF">
      <w:pPr>
        <w:pStyle w:val="Default"/>
      </w:pPr>
      <w:r w:rsidRPr="00B241DA">
        <w:t xml:space="preserve">University of Connecticut </w:t>
      </w:r>
    </w:p>
    <w:p w14:paraId="05A7BF6C" w14:textId="1A34E15C" w:rsidR="006030DF" w:rsidRPr="00B241DA" w:rsidRDefault="006030DF" w:rsidP="006030DF">
      <w:pPr>
        <w:pStyle w:val="Default"/>
      </w:pPr>
      <w:r w:rsidRPr="00B241DA">
        <w:t>Castleman Build</w:t>
      </w:r>
      <w:r w:rsidR="00BE39B7" w:rsidRPr="00B241DA">
        <w:t>ing Rm 331, Storrs, CT 06269</w:t>
      </w:r>
    </w:p>
    <w:p w14:paraId="0F673408" w14:textId="2CD65CF4" w:rsidR="006030DF" w:rsidRPr="00B241DA" w:rsidRDefault="006030DF" w:rsidP="006030DF">
      <w:pPr>
        <w:suppressAutoHyphens/>
        <w:autoSpaceDN w:val="0"/>
        <w:textAlignment w:val="baseline"/>
        <w:rPr>
          <w:rFonts w:eastAsia="SimSun" w:cs="Times New Roman"/>
          <w:color w:val="000000"/>
          <w:kern w:val="3"/>
          <w:szCs w:val="24"/>
        </w:rPr>
      </w:pPr>
      <w:r w:rsidRPr="00B241DA">
        <w:rPr>
          <w:rFonts w:cs="Times New Roman"/>
          <w:szCs w:val="24"/>
        </w:rPr>
        <w:t xml:space="preserve">Tel: 860-486-2733; Email: </w:t>
      </w:r>
      <w:hyperlink r:id="rId14" w:history="1">
        <w:r w:rsidR="002D0467" w:rsidRPr="00B241DA">
          <w:rPr>
            <w:rStyle w:val="Hyperlink"/>
            <w:rFonts w:eastAsia="SimSun" w:cs="Times New Roman"/>
            <w:kern w:val="3"/>
            <w:szCs w:val="24"/>
          </w:rPr>
          <w:t xml:space="preserve">karthik.konduri@uconn.edu </w:t>
        </w:r>
      </w:hyperlink>
    </w:p>
    <w:p w14:paraId="7B845351" w14:textId="77777777" w:rsidR="00872375" w:rsidRPr="00B241DA" w:rsidRDefault="00872375" w:rsidP="004279F9">
      <w:pPr>
        <w:suppressAutoHyphens/>
        <w:autoSpaceDN w:val="0"/>
        <w:textAlignment w:val="baseline"/>
        <w:rPr>
          <w:rFonts w:eastAsia="SimSun" w:cs="Times New Roman"/>
          <w:color w:val="000000"/>
          <w:kern w:val="3"/>
          <w:szCs w:val="24"/>
        </w:rPr>
      </w:pPr>
    </w:p>
    <w:p w14:paraId="19D7DF99" w14:textId="1B8FE632" w:rsidR="00872375" w:rsidRPr="00B241DA" w:rsidRDefault="00872375" w:rsidP="004279F9">
      <w:pPr>
        <w:suppressAutoHyphens/>
        <w:autoSpaceDN w:val="0"/>
        <w:textAlignment w:val="baseline"/>
        <w:rPr>
          <w:rFonts w:eastAsia="SimSun" w:cs="Times New Roman"/>
          <w:color w:val="000000"/>
          <w:kern w:val="3"/>
          <w:szCs w:val="24"/>
        </w:rPr>
      </w:pPr>
    </w:p>
    <w:p w14:paraId="7A7ED91D" w14:textId="77777777" w:rsidR="009B54BD" w:rsidRPr="00B241DA" w:rsidRDefault="009B54BD" w:rsidP="004279F9">
      <w:pPr>
        <w:suppressAutoHyphens/>
        <w:autoSpaceDN w:val="0"/>
        <w:textAlignment w:val="baseline"/>
        <w:rPr>
          <w:rFonts w:eastAsia="SimSun" w:cs="Times New Roman"/>
          <w:color w:val="000000"/>
          <w:kern w:val="3"/>
          <w:szCs w:val="24"/>
        </w:rPr>
      </w:pPr>
    </w:p>
    <w:p w14:paraId="4DAB523D" w14:textId="77777777" w:rsidR="00872375" w:rsidRPr="00B241DA" w:rsidRDefault="00872375" w:rsidP="004279F9">
      <w:pPr>
        <w:rPr>
          <w:rFonts w:eastAsia="Calibri" w:cs="Times New Roman"/>
          <w:b/>
          <w:szCs w:val="24"/>
        </w:rPr>
      </w:pPr>
    </w:p>
    <w:p w14:paraId="407ED3B0" w14:textId="77777777" w:rsidR="00872375" w:rsidRPr="00B241DA" w:rsidRDefault="00872375" w:rsidP="004279F9">
      <w:pPr>
        <w:rPr>
          <w:rFonts w:eastAsia="Calibri" w:cs="Times New Roman"/>
          <w:b/>
          <w:szCs w:val="24"/>
        </w:rPr>
      </w:pPr>
    </w:p>
    <w:p w14:paraId="5C8BE57F" w14:textId="77777777" w:rsidR="00872375" w:rsidRPr="00B241DA" w:rsidRDefault="00872375" w:rsidP="004279F9">
      <w:pPr>
        <w:rPr>
          <w:rFonts w:eastAsia="Calibri" w:cs="Times New Roman"/>
          <w:b/>
          <w:szCs w:val="24"/>
        </w:rPr>
      </w:pPr>
      <w:r w:rsidRPr="00B241DA">
        <w:rPr>
          <w:rFonts w:eastAsia="Calibri" w:cs="Times New Roman"/>
          <w:szCs w:val="24"/>
        </w:rPr>
        <w:t>*Corresponding author</w:t>
      </w:r>
    </w:p>
    <w:p w14:paraId="7DF01BD0" w14:textId="77777777" w:rsidR="00872375" w:rsidRPr="00FF2046" w:rsidRDefault="00872375" w:rsidP="004279F9">
      <w:pPr>
        <w:rPr>
          <w:rFonts w:eastAsia="Calibri"/>
          <w:b/>
        </w:rPr>
      </w:pPr>
    </w:p>
    <w:p w14:paraId="3A855E07" w14:textId="0897090E" w:rsidR="003F5F2A" w:rsidRPr="00FF2046" w:rsidRDefault="003F5F2A" w:rsidP="004279F9">
      <w:pPr>
        <w:rPr>
          <w:rFonts w:cs="Calibri"/>
        </w:rPr>
      </w:pPr>
    </w:p>
    <w:p w14:paraId="01C37756" w14:textId="77777777" w:rsidR="00872375" w:rsidRPr="00FF2046" w:rsidRDefault="00872375" w:rsidP="004279F9">
      <w:pPr>
        <w:rPr>
          <w:b/>
        </w:rPr>
      </w:pPr>
    </w:p>
    <w:p w14:paraId="3A926B71" w14:textId="77777777" w:rsidR="00872375" w:rsidRPr="00FF2046" w:rsidRDefault="00872375" w:rsidP="004279F9">
      <w:pPr>
        <w:rPr>
          <w:b/>
        </w:rPr>
      </w:pPr>
    </w:p>
    <w:p w14:paraId="48FF4605" w14:textId="3C101DE4" w:rsidR="00872375" w:rsidRPr="00FF2046" w:rsidRDefault="00872375" w:rsidP="004279F9">
      <w:pPr>
        <w:rPr>
          <w:b/>
        </w:rPr>
      </w:pPr>
    </w:p>
    <w:p w14:paraId="6462027F" w14:textId="77777777" w:rsidR="00406EFD" w:rsidRPr="00FF2046" w:rsidRDefault="00406EFD" w:rsidP="004279F9">
      <w:pPr>
        <w:rPr>
          <w:b/>
        </w:rPr>
        <w:sectPr w:rsidR="00406EFD" w:rsidRPr="00FF2046" w:rsidSect="00D80FBB">
          <w:headerReference w:type="default" r:id="rId15"/>
          <w:headerReference w:type="first" r:id="rId16"/>
          <w:type w:val="continuous"/>
          <w:pgSz w:w="12240" w:h="15840" w:code="1"/>
          <w:pgMar w:top="1440" w:right="1440" w:bottom="1440" w:left="1440" w:header="720" w:footer="720" w:gutter="0"/>
          <w:cols w:space="720"/>
          <w:titlePg/>
          <w:docGrid w:linePitch="360"/>
        </w:sectPr>
      </w:pPr>
    </w:p>
    <w:p w14:paraId="63342B31" w14:textId="77777777" w:rsidR="00D80FBB" w:rsidRDefault="00D80FBB" w:rsidP="00050192">
      <w:pPr>
        <w:rPr>
          <w:b/>
          <w:bCs/>
        </w:rPr>
      </w:pPr>
    </w:p>
    <w:p w14:paraId="7027D636" w14:textId="77777777" w:rsidR="00D80FBB" w:rsidRDefault="00D80FBB" w:rsidP="00050192">
      <w:pPr>
        <w:rPr>
          <w:b/>
          <w:bCs/>
        </w:rPr>
      </w:pPr>
    </w:p>
    <w:p w14:paraId="30F59F8B" w14:textId="77777777" w:rsidR="00D80FBB" w:rsidRDefault="00D80FBB" w:rsidP="00050192">
      <w:pPr>
        <w:rPr>
          <w:b/>
          <w:bCs/>
        </w:rPr>
      </w:pPr>
    </w:p>
    <w:p w14:paraId="43D59D46" w14:textId="4351B766" w:rsidR="00802409" w:rsidRPr="00050192" w:rsidRDefault="00050192" w:rsidP="00050192">
      <w:pPr>
        <w:rPr>
          <w:b/>
          <w:bCs/>
        </w:rPr>
      </w:pPr>
      <w:r w:rsidRPr="00050192">
        <w:rPr>
          <w:b/>
          <w:bCs/>
        </w:rPr>
        <w:lastRenderedPageBreak/>
        <w:t>ABSTRACT</w:t>
      </w:r>
    </w:p>
    <w:p w14:paraId="78C9C1A2" w14:textId="77777777" w:rsidR="00627EF7" w:rsidRDefault="00627EF7" w:rsidP="001207D8">
      <w:pPr>
        <w:rPr>
          <w:szCs w:val="24"/>
        </w:rPr>
      </w:pPr>
    </w:p>
    <w:p w14:paraId="6AD7D249" w14:textId="0500FA1D" w:rsidR="00627EF7" w:rsidRDefault="00627EF7" w:rsidP="00627EF7">
      <w:pPr>
        <w:rPr>
          <w:szCs w:val="24"/>
        </w:rPr>
      </w:pPr>
      <w:r w:rsidRPr="00B241DA">
        <w:rPr>
          <w:rFonts w:cs="Times New Roman"/>
          <w:szCs w:val="24"/>
        </w:rPr>
        <w:t xml:space="preserve">The proposed study contributes to our understanding of the ongoing transformation of </w:t>
      </w:r>
      <w:proofErr w:type="spellStart"/>
      <w:r w:rsidR="0095029D">
        <w:rPr>
          <w:rFonts w:cs="Times New Roman"/>
          <w:szCs w:val="24"/>
        </w:rPr>
        <w:t>ridehailing</w:t>
      </w:r>
      <w:proofErr w:type="spellEnd"/>
      <w:r w:rsidRPr="00B241DA">
        <w:rPr>
          <w:rFonts w:cs="Times New Roman"/>
          <w:szCs w:val="24"/>
        </w:rPr>
        <w:t xml:space="preserve"> market by examining </w:t>
      </w:r>
      <w:r>
        <w:rPr>
          <w:rFonts w:cs="Times New Roman"/>
          <w:szCs w:val="24"/>
        </w:rPr>
        <w:t xml:space="preserve">the </w:t>
      </w:r>
      <w:r w:rsidRPr="00B241DA">
        <w:rPr>
          <w:rFonts w:cs="Times New Roman"/>
          <w:szCs w:val="24"/>
        </w:rPr>
        <w:t>N</w:t>
      </w:r>
      <w:r>
        <w:rPr>
          <w:rFonts w:cs="Times New Roman"/>
          <w:szCs w:val="24"/>
        </w:rPr>
        <w:t xml:space="preserve">ew </w:t>
      </w:r>
      <w:r w:rsidRPr="00B241DA">
        <w:rPr>
          <w:rFonts w:cs="Times New Roman"/>
          <w:szCs w:val="24"/>
        </w:rPr>
        <w:t>Y</w:t>
      </w:r>
      <w:r>
        <w:rPr>
          <w:rFonts w:cs="Times New Roman"/>
          <w:szCs w:val="24"/>
        </w:rPr>
        <w:t xml:space="preserve">ork </w:t>
      </w:r>
      <w:r w:rsidRPr="00B241DA">
        <w:rPr>
          <w:rFonts w:cs="Times New Roman"/>
          <w:szCs w:val="24"/>
        </w:rPr>
        <w:t>C</w:t>
      </w:r>
      <w:r>
        <w:rPr>
          <w:rFonts w:cs="Times New Roman"/>
          <w:szCs w:val="24"/>
        </w:rPr>
        <w:t xml:space="preserve">ity </w:t>
      </w:r>
      <w:r w:rsidRPr="00FF2046">
        <w:t xml:space="preserve">Taxi &amp; Limousine Commission </w:t>
      </w:r>
      <w:r w:rsidRPr="00B241DA">
        <w:rPr>
          <w:rFonts w:cs="Times New Roman"/>
          <w:szCs w:val="24"/>
        </w:rPr>
        <w:t xml:space="preserve">data from a fine spatial and temporal resolution. </w:t>
      </w:r>
      <w:r>
        <w:rPr>
          <w:rFonts w:cs="Times New Roman"/>
          <w:szCs w:val="24"/>
        </w:rPr>
        <w:t>W</w:t>
      </w:r>
      <w:r w:rsidRPr="00B241DA">
        <w:rPr>
          <w:rFonts w:cs="Times New Roman"/>
          <w:szCs w:val="24"/>
        </w:rPr>
        <w:t xml:space="preserve">e examine taxi </w:t>
      </w:r>
      <w:proofErr w:type="gramStart"/>
      <w:r w:rsidRPr="00B241DA">
        <w:rPr>
          <w:rFonts w:cs="Times New Roman"/>
          <w:szCs w:val="24"/>
        </w:rPr>
        <w:t>zone based</w:t>
      </w:r>
      <w:proofErr w:type="gramEnd"/>
      <w:r w:rsidRPr="00B241DA">
        <w:rPr>
          <w:rFonts w:cs="Times New Roman"/>
          <w:szCs w:val="24"/>
        </w:rPr>
        <w:t xml:space="preserve"> demand data from NYC for each month and explore the reasons contributing to (a) the increase in </w:t>
      </w:r>
      <w:proofErr w:type="spellStart"/>
      <w:r w:rsidR="0095029D">
        <w:rPr>
          <w:rFonts w:cs="Times New Roman"/>
          <w:szCs w:val="24"/>
        </w:rPr>
        <w:t>ridehailing</w:t>
      </w:r>
      <w:proofErr w:type="spellEnd"/>
      <w:r w:rsidRPr="00B241DA">
        <w:rPr>
          <w:rFonts w:cs="Times New Roman"/>
          <w:szCs w:val="24"/>
        </w:rPr>
        <w:t xml:space="preserve"> demand and (b) the shift from traditional taxi services to </w:t>
      </w:r>
      <w:r>
        <w:rPr>
          <w:rFonts w:cs="Times New Roman"/>
          <w:szCs w:val="24"/>
        </w:rPr>
        <w:t>Transportation Networking Company (</w:t>
      </w:r>
      <w:r w:rsidRPr="00B241DA">
        <w:rPr>
          <w:rFonts w:cs="Times New Roman"/>
          <w:szCs w:val="24"/>
        </w:rPr>
        <w:t>TNC</w:t>
      </w:r>
      <w:r>
        <w:rPr>
          <w:rFonts w:cs="Times New Roman"/>
          <w:szCs w:val="24"/>
        </w:rPr>
        <w:t>)</w:t>
      </w:r>
      <w:r w:rsidRPr="00B241DA">
        <w:rPr>
          <w:rFonts w:cs="Times New Roman"/>
          <w:szCs w:val="24"/>
        </w:rPr>
        <w:t xml:space="preserve"> services. The first component – taxi zone </w:t>
      </w:r>
      <w:proofErr w:type="spellStart"/>
      <w:r w:rsidR="0095029D">
        <w:rPr>
          <w:rFonts w:cs="Times New Roman"/>
          <w:szCs w:val="24"/>
        </w:rPr>
        <w:t>ridehailing</w:t>
      </w:r>
      <w:proofErr w:type="spellEnd"/>
      <w:r w:rsidRPr="00B241DA">
        <w:rPr>
          <w:rFonts w:cs="Times New Roman"/>
          <w:szCs w:val="24"/>
        </w:rPr>
        <w:t xml:space="preserve"> demand - is analyzed adopting a negative binomial count model. The second component - share of traditional and TNC services demand - is analyzed using a multinomial fractional split model. </w:t>
      </w:r>
      <w:r w:rsidRPr="00FF2046">
        <w:rPr>
          <w:szCs w:val="24"/>
        </w:rPr>
        <w:t>The two model components are stitched together in a joint framework that allows for the influence of repeated observations as well as for the presence of common unobserved factors affecting the two components.</w:t>
      </w:r>
      <w:r>
        <w:rPr>
          <w:szCs w:val="24"/>
        </w:rPr>
        <w:t xml:space="preserve"> </w:t>
      </w:r>
      <w:r w:rsidRPr="00FF2046">
        <w:rPr>
          <w:szCs w:val="24"/>
        </w:rPr>
        <w:t xml:space="preserve">The model estimation considered a comprehensive set of independent variables including transportation infrastructure variables, land use and built environment variables, weather attributes, and temporal attributes. </w:t>
      </w:r>
      <w:r w:rsidRPr="00FF2046">
        <w:t xml:space="preserve">Several performance measures were generated using the joint model for estimation and validation datasets. </w:t>
      </w:r>
      <w:r>
        <w:rPr>
          <w:rFonts w:cs="Times New Roman"/>
          <w:szCs w:val="24"/>
        </w:rPr>
        <w:t>A</w:t>
      </w:r>
      <w:r w:rsidRPr="00B241DA">
        <w:rPr>
          <w:rFonts w:cs="Times New Roman"/>
          <w:szCs w:val="24"/>
        </w:rPr>
        <w:t xml:space="preserve"> </w:t>
      </w:r>
      <w:r>
        <w:rPr>
          <w:rFonts w:cs="Times New Roman"/>
          <w:szCs w:val="24"/>
        </w:rPr>
        <w:t>prediction</w:t>
      </w:r>
      <w:r w:rsidRPr="00B241DA">
        <w:rPr>
          <w:rFonts w:cs="Times New Roman"/>
          <w:szCs w:val="24"/>
        </w:rPr>
        <w:t xml:space="preserve"> exercise is conducted to illustrate how the proposed model system can be utilized for predicting future </w:t>
      </w:r>
      <w:proofErr w:type="spellStart"/>
      <w:r w:rsidR="0095029D">
        <w:rPr>
          <w:rFonts w:cs="Times New Roman"/>
          <w:szCs w:val="24"/>
        </w:rPr>
        <w:t>ridehailing</w:t>
      </w:r>
      <w:proofErr w:type="spellEnd"/>
      <w:r w:rsidRPr="00B241DA">
        <w:rPr>
          <w:rFonts w:cs="Times New Roman"/>
          <w:szCs w:val="24"/>
        </w:rPr>
        <w:t xml:space="preserve"> trends.</w:t>
      </w:r>
      <w:r>
        <w:rPr>
          <w:rFonts w:cs="Times New Roman"/>
          <w:szCs w:val="24"/>
        </w:rPr>
        <w:t xml:space="preserve"> Finally, an elasticity exercise is conducted to estimate the influence of independent variables on the </w:t>
      </w:r>
      <w:proofErr w:type="spellStart"/>
      <w:r w:rsidR="0095029D">
        <w:rPr>
          <w:rFonts w:cs="Times New Roman"/>
          <w:szCs w:val="24"/>
        </w:rPr>
        <w:t>ridehailing</w:t>
      </w:r>
      <w:proofErr w:type="spellEnd"/>
      <w:r>
        <w:rPr>
          <w:rFonts w:cs="Times New Roman"/>
          <w:szCs w:val="24"/>
        </w:rPr>
        <w:t xml:space="preserve"> market.  </w:t>
      </w:r>
    </w:p>
    <w:p w14:paraId="02E0BA75" w14:textId="77777777" w:rsidR="00627EF7" w:rsidRDefault="00627EF7" w:rsidP="001207D8">
      <w:pPr>
        <w:rPr>
          <w:szCs w:val="24"/>
        </w:rPr>
      </w:pPr>
    </w:p>
    <w:p w14:paraId="113131B0" w14:textId="77777777" w:rsidR="00DD25BE" w:rsidRPr="00FF2046" w:rsidRDefault="00DD25BE" w:rsidP="00FE40DC">
      <w:pPr>
        <w:rPr>
          <w:rFonts w:eastAsia="Calibri"/>
        </w:rPr>
      </w:pPr>
    </w:p>
    <w:p w14:paraId="651C08BB" w14:textId="60402C1D" w:rsidR="00616624" w:rsidRPr="00AE19CD" w:rsidRDefault="00616624" w:rsidP="004279F9">
      <w:pPr>
        <w:rPr>
          <w:i/>
          <w:color w:val="000000" w:themeColor="text1"/>
        </w:rPr>
      </w:pPr>
      <w:bookmarkStart w:id="0" w:name="_Hlk520752440"/>
      <w:r w:rsidRPr="00AE19CD">
        <w:rPr>
          <w:b/>
          <w:bCs/>
          <w:i/>
          <w:color w:val="000000" w:themeColor="text1"/>
        </w:rPr>
        <w:t>Keywords:</w:t>
      </w:r>
      <w:bookmarkEnd w:id="0"/>
      <w:r w:rsidR="004C3283" w:rsidRPr="00AE19CD">
        <w:rPr>
          <w:i/>
          <w:color w:val="000000" w:themeColor="text1"/>
        </w:rPr>
        <w:t xml:space="preserve"> </w:t>
      </w:r>
      <w:proofErr w:type="spellStart"/>
      <w:r w:rsidR="0095029D" w:rsidRPr="00AE19CD">
        <w:rPr>
          <w:i/>
          <w:color w:val="000000" w:themeColor="text1"/>
        </w:rPr>
        <w:t>Ridehailing</w:t>
      </w:r>
      <w:proofErr w:type="spellEnd"/>
      <w:r w:rsidR="004C3283" w:rsidRPr="00AE19CD">
        <w:rPr>
          <w:i/>
          <w:color w:val="000000" w:themeColor="text1"/>
        </w:rPr>
        <w:t xml:space="preserve"> </w:t>
      </w:r>
      <w:r w:rsidR="004C3283" w:rsidRPr="00AE19CD">
        <w:rPr>
          <w:i/>
          <w:color w:val="000000" w:themeColor="text1"/>
          <w:szCs w:val="24"/>
        </w:rPr>
        <w:t>demand</w:t>
      </w:r>
      <w:r w:rsidR="004C3283" w:rsidRPr="00AE19CD">
        <w:rPr>
          <w:i/>
          <w:color w:val="000000" w:themeColor="text1"/>
        </w:rPr>
        <w:t>, NB-MNL Fractional split model, Time elapsed, Correlation</w:t>
      </w:r>
    </w:p>
    <w:p w14:paraId="05FE1D5F" w14:textId="6E705D0E" w:rsidR="00616624" w:rsidRPr="00FF2046" w:rsidRDefault="00616624" w:rsidP="004279F9"/>
    <w:p w14:paraId="67AECD9B" w14:textId="3812A653" w:rsidR="00616624" w:rsidRPr="00FF2046" w:rsidRDefault="00616624" w:rsidP="004279F9"/>
    <w:p w14:paraId="3E839106" w14:textId="585F68F9" w:rsidR="00616624" w:rsidRPr="00FF2046" w:rsidRDefault="00616624" w:rsidP="004279F9"/>
    <w:p w14:paraId="5F4AF178" w14:textId="591E80B4" w:rsidR="00616624" w:rsidRPr="00FF2046" w:rsidRDefault="00616624" w:rsidP="004279F9"/>
    <w:p w14:paraId="023C59C1" w14:textId="604BE4DA" w:rsidR="00616624" w:rsidRPr="00FF2046" w:rsidRDefault="00616624" w:rsidP="004279F9"/>
    <w:p w14:paraId="25C380BC" w14:textId="77777777" w:rsidR="00AE19CD" w:rsidRDefault="00AE19CD">
      <w:pPr>
        <w:spacing w:after="200" w:line="276" w:lineRule="auto"/>
        <w:jc w:val="left"/>
        <w:rPr>
          <w:rFonts w:eastAsia="SimSun"/>
          <w:b/>
          <w:caps/>
          <w:kern w:val="3"/>
          <w:szCs w:val="24"/>
        </w:rPr>
      </w:pPr>
      <w:r>
        <w:br w:type="page"/>
      </w:r>
    </w:p>
    <w:p w14:paraId="4DA12C4C" w14:textId="6E82AA13" w:rsidR="0078607A" w:rsidRPr="00FF2046" w:rsidRDefault="00DE728B" w:rsidP="00ED3B6E">
      <w:pPr>
        <w:pStyle w:val="TRBHead1"/>
      </w:pPr>
      <w:r w:rsidRPr="00FF2046">
        <w:lastRenderedPageBreak/>
        <w:t>introduction</w:t>
      </w:r>
    </w:p>
    <w:p w14:paraId="246445E4" w14:textId="6DA0280D" w:rsidR="00A42856" w:rsidRPr="00FF2046" w:rsidRDefault="00652C34" w:rsidP="00DE728B">
      <w:bookmarkStart w:id="1" w:name="_Hlk56632583"/>
      <w:bookmarkStart w:id="2" w:name="_Hlk14752598"/>
      <w:r w:rsidRPr="00675E3D">
        <w:t xml:space="preserve">In most urban regions, individuals, who do not have access to or do not prefer to use personal vehicles, have the option of either using public transit, </w:t>
      </w:r>
      <w:r w:rsidR="00AE19CD">
        <w:t>bike/scooter sharing</w:t>
      </w:r>
      <w:r w:rsidRPr="00675E3D">
        <w:t xml:space="preserve"> systems (for short distance trips) or a </w:t>
      </w:r>
      <w:proofErr w:type="spellStart"/>
      <w:r w:rsidR="0095029D">
        <w:t>ridehailing</w:t>
      </w:r>
      <w:proofErr w:type="spellEnd"/>
      <w:r w:rsidRPr="00675E3D">
        <w:t xml:space="preserve"> service (such as taxi or Uber). </w:t>
      </w:r>
      <w:bookmarkEnd w:id="1"/>
      <w:r w:rsidRPr="00675E3D">
        <w:t xml:space="preserve">While public transit systems are constrained by predefined routes and fixed schedules, </w:t>
      </w:r>
      <w:r w:rsidR="00AE19CD">
        <w:t>bike/scooter</w:t>
      </w:r>
      <w:r w:rsidR="00AE19CD" w:rsidRPr="00675E3D">
        <w:t xml:space="preserve"> </w:t>
      </w:r>
      <w:r w:rsidRPr="00675E3D">
        <w:t xml:space="preserve">sharing systems are limited by small distance range, </w:t>
      </w:r>
      <w:proofErr w:type="spellStart"/>
      <w:r w:rsidR="0095029D">
        <w:t>ridehailing</w:t>
      </w:r>
      <w:proofErr w:type="spellEnd"/>
      <w:r w:rsidRPr="00675E3D">
        <w:t xml:space="preserve"> services at a cost provide individuals with convenient door-to-door car trips without the additional challenges associated with driving/bicycling (such as having to find a parking spot, concentrating on driving and physical effort of bicycling).</w:t>
      </w:r>
      <w:r w:rsidRPr="00921534">
        <w:t xml:space="preserve"> </w:t>
      </w:r>
      <w:r w:rsidR="007122C0" w:rsidRPr="00FF2046">
        <w:t>In recent years</w:t>
      </w:r>
      <w:r w:rsidR="007122C0" w:rsidRPr="00FF2046">
        <w:rPr>
          <w:szCs w:val="24"/>
        </w:rPr>
        <w:t xml:space="preserve">, </w:t>
      </w:r>
      <w:proofErr w:type="spellStart"/>
      <w:r w:rsidR="0095029D">
        <w:rPr>
          <w:szCs w:val="24"/>
        </w:rPr>
        <w:t>ridehailing</w:t>
      </w:r>
      <w:proofErr w:type="spellEnd"/>
      <w:r w:rsidR="007122C0" w:rsidRPr="00FF2046">
        <w:rPr>
          <w:szCs w:val="24"/>
        </w:rPr>
        <w:t xml:space="preserve"> has undergone a rapid transformation in response to the transformative technological changes including smart mobile availability, ease of hailing a ride using mobile applications, integration of seamless payment systems and real-time driver and user reviews. </w:t>
      </w:r>
      <w:r w:rsidR="00D418D3" w:rsidRPr="00FF2046">
        <w:t>T</w:t>
      </w:r>
      <w:r w:rsidR="007122C0" w:rsidRPr="00FF2046">
        <w:rPr>
          <w:szCs w:val="24"/>
        </w:rPr>
        <w:t xml:space="preserve">he convenience offered by transport networking companies (TNC) </w:t>
      </w:r>
      <w:r w:rsidR="005E3C29">
        <w:rPr>
          <w:szCs w:val="24"/>
        </w:rPr>
        <w:t>(</w:t>
      </w:r>
      <w:r w:rsidR="007122C0" w:rsidRPr="00FF2046">
        <w:rPr>
          <w:szCs w:val="24"/>
        </w:rPr>
        <w:t>such as Uber, Lyft, and Via</w:t>
      </w:r>
      <w:r w:rsidR="005E3C29">
        <w:rPr>
          <w:szCs w:val="24"/>
        </w:rPr>
        <w:t>)</w:t>
      </w:r>
      <w:r w:rsidR="007122C0" w:rsidRPr="00FF2046">
        <w:rPr>
          <w:szCs w:val="24"/>
        </w:rPr>
        <w:t xml:space="preserve"> has allowed for tremendous growth in </w:t>
      </w:r>
      <w:proofErr w:type="spellStart"/>
      <w:r w:rsidR="0095029D">
        <w:rPr>
          <w:szCs w:val="24"/>
        </w:rPr>
        <w:t>ridehailing</w:t>
      </w:r>
      <w:proofErr w:type="spellEnd"/>
      <w:r w:rsidR="007122C0" w:rsidRPr="00FF2046">
        <w:rPr>
          <w:szCs w:val="24"/>
        </w:rPr>
        <w:t xml:space="preserve"> demand. </w:t>
      </w:r>
      <w:bookmarkStart w:id="3" w:name="_Hlk56296918"/>
      <w:r w:rsidR="007122C0" w:rsidRPr="00FF2046">
        <w:rPr>
          <w:szCs w:val="24"/>
        </w:rPr>
        <w:t>For example, in New York City, the average daily trips by taxi (</w:t>
      </w:r>
      <w:r w:rsidR="00DF717E">
        <w:rPr>
          <w:szCs w:val="24"/>
        </w:rPr>
        <w:t>Y</w:t>
      </w:r>
      <w:r w:rsidR="00DF717E" w:rsidRPr="00FF2046">
        <w:rPr>
          <w:szCs w:val="24"/>
        </w:rPr>
        <w:t xml:space="preserve">ellow </w:t>
      </w:r>
      <w:r w:rsidR="007122C0" w:rsidRPr="00FF2046">
        <w:rPr>
          <w:szCs w:val="24"/>
        </w:rPr>
        <w:t xml:space="preserve">taxi) </w:t>
      </w:r>
      <w:proofErr w:type="gramStart"/>
      <w:r w:rsidR="007122C0" w:rsidRPr="00FF2046">
        <w:rPr>
          <w:szCs w:val="24"/>
        </w:rPr>
        <w:t>was</w:t>
      </w:r>
      <w:proofErr w:type="gramEnd"/>
      <w:r w:rsidR="007122C0" w:rsidRPr="00FF2046">
        <w:rPr>
          <w:szCs w:val="24"/>
        </w:rPr>
        <w:t xml:space="preserve"> varying between 400</w:t>
      </w:r>
      <w:r w:rsidR="00A86A1E">
        <w:rPr>
          <w:szCs w:val="24"/>
        </w:rPr>
        <w:t>,000</w:t>
      </w:r>
      <w:r w:rsidR="007122C0" w:rsidRPr="00FF2046">
        <w:rPr>
          <w:szCs w:val="24"/>
        </w:rPr>
        <w:t>and 500</w:t>
      </w:r>
      <w:r w:rsidR="00A86A1E">
        <w:rPr>
          <w:szCs w:val="24"/>
        </w:rPr>
        <w:t>,000</w:t>
      </w:r>
      <w:r w:rsidR="007122C0" w:rsidRPr="00FF2046">
        <w:rPr>
          <w:szCs w:val="24"/>
        </w:rPr>
        <w:t xml:space="preserve"> for the years 2010</w:t>
      </w:r>
      <w:r w:rsidR="00DF717E">
        <w:rPr>
          <w:szCs w:val="24"/>
        </w:rPr>
        <w:t>-</w:t>
      </w:r>
      <w:r w:rsidR="007122C0" w:rsidRPr="00FF2046">
        <w:rPr>
          <w:szCs w:val="24"/>
        </w:rPr>
        <w:t>2014</w:t>
      </w:r>
      <w:r w:rsidR="00934094">
        <w:rPr>
          <w:szCs w:val="24"/>
        </w:rPr>
        <w:t xml:space="preserve"> </w:t>
      </w:r>
      <w:r w:rsidR="00934094" w:rsidRPr="00934094">
        <w:rPr>
          <w:i/>
          <w:iCs/>
          <w:szCs w:val="24"/>
        </w:rPr>
        <w:t>(1)</w:t>
      </w:r>
      <w:r w:rsidR="007122C0" w:rsidRPr="00FF2046">
        <w:rPr>
          <w:szCs w:val="24"/>
        </w:rPr>
        <w:t xml:space="preserve">. </w:t>
      </w:r>
      <w:bookmarkEnd w:id="3"/>
      <w:r w:rsidR="007122C0" w:rsidRPr="00FF2046">
        <w:rPr>
          <w:szCs w:val="24"/>
        </w:rPr>
        <w:t xml:space="preserve">However, since 2014, with the advent of TNC services in the city, the total number of trips have increased. </w:t>
      </w:r>
      <w:bookmarkStart w:id="4" w:name="_Hlk55321545"/>
      <w:r w:rsidR="007122C0" w:rsidRPr="00FF2046">
        <w:t xml:space="preserve">Based on </w:t>
      </w:r>
      <w:r w:rsidR="003858BA" w:rsidRPr="003858BA">
        <w:t xml:space="preserve">New York City Taxi &amp; Limousine Commission </w:t>
      </w:r>
      <w:r w:rsidR="003858BA">
        <w:t>(</w:t>
      </w:r>
      <w:r w:rsidR="007122C0" w:rsidRPr="00FF2046">
        <w:t>NYCTLC</w:t>
      </w:r>
      <w:r w:rsidR="003858BA">
        <w:t>)</w:t>
      </w:r>
      <w:r w:rsidR="007122C0" w:rsidRPr="00FF2046">
        <w:t xml:space="preserve"> report</w:t>
      </w:r>
      <w:r w:rsidR="00934094">
        <w:t xml:space="preserve"> </w:t>
      </w:r>
      <w:r w:rsidR="00934094" w:rsidRPr="00934094">
        <w:rPr>
          <w:i/>
          <w:iCs/>
        </w:rPr>
        <w:t>(1)</w:t>
      </w:r>
      <w:r w:rsidR="007122C0" w:rsidRPr="00FF2046">
        <w:t xml:space="preserve">, from 2015 to 2018, </w:t>
      </w:r>
      <w:r w:rsidR="007122C0" w:rsidRPr="00FF2046">
        <w:rPr>
          <w:szCs w:val="24"/>
        </w:rPr>
        <w:t>TNC</w:t>
      </w:r>
      <w:r w:rsidR="007122C0" w:rsidRPr="00FF2046">
        <w:t xml:space="preserve"> daily trips increased from 60,000 to 700,000 while traditional taxi (Yellow and Green together) daily trips declined from 450,000 to 285,000</w:t>
      </w:r>
      <w:r w:rsidR="00A42856" w:rsidRPr="00FF2046">
        <w:t>.</w:t>
      </w:r>
      <w:r w:rsidR="0000423D" w:rsidRPr="00FF2046">
        <w:t xml:space="preserve"> </w:t>
      </w:r>
      <w:bookmarkEnd w:id="4"/>
      <w:r w:rsidR="00A42856" w:rsidRPr="00FF2046">
        <w:t>The trend observed in NYC is not an exception</w:t>
      </w:r>
      <w:r w:rsidR="00704619" w:rsidRPr="00FF2046">
        <w:t xml:space="preserve">. </w:t>
      </w:r>
      <w:r w:rsidR="00704619" w:rsidRPr="00FF2046">
        <w:rPr>
          <w:szCs w:val="24"/>
        </w:rPr>
        <w:t xml:space="preserve">A recent report analyzing reimbursed travel in the US has found that the share of Uber and Lyft has increased from 8% to 72.5% </w:t>
      </w:r>
      <w:r w:rsidR="002814FD" w:rsidRPr="00FF2046">
        <w:rPr>
          <w:szCs w:val="24"/>
        </w:rPr>
        <w:t xml:space="preserve">from </w:t>
      </w:r>
      <w:r w:rsidR="00704619" w:rsidRPr="00FF2046">
        <w:rPr>
          <w:szCs w:val="24"/>
        </w:rPr>
        <w:t>2014-2018 at the cost of taxi and rental car business share</w:t>
      </w:r>
      <w:r w:rsidR="00934094">
        <w:rPr>
          <w:szCs w:val="24"/>
        </w:rPr>
        <w:t xml:space="preserve"> </w:t>
      </w:r>
      <w:r w:rsidR="00934094" w:rsidRPr="00934094">
        <w:rPr>
          <w:i/>
          <w:iCs/>
          <w:szCs w:val="24"/>
        </w:rPr>
        <w:t>(2)</w:t>
      </w:r>
      <w:r w:rsidR="00704619" w:rsidRPr="00934094">
        <w:rPr>
          <w:i/>
          <w:iCs/>
          <w:szCs w:val="24"/>
        </w:rPr>
        <w:t>.</w:t>
      </w:r>
      <w:r w:rsidR="00704619" w:rsidRPr="00FF2046">
        <w:rPr>
          <w:szCs w:val="24"/>
        </w:rPr>
        <w:t xml:space="preserve"> </w:t>
      </w:r>
    </w:p>
    <w:p w14:paraId="55A55FC8" w14:textId="330A3E3E" w:rsidR="00D418D3" w:rsidRPr="00FF2046" w:rsidRDefault="00704619" w:rsidP="00FE40DC">
      <w:pPr>
        <w:ind w:firstLine="720"/>
        <w:rPr>
          <w:szCs w:val="24"/>
        </w:rPr>
      </w:pPr>
      <w:r w:rsidRPr="00FF2046">
        <w:t xml:space="preserve">The TNC service induced transformation can be viewed as constituting two major components. The first component is the </w:t>
      </w:r>
      <w:r w:rsidR="00CD6D2A" w:rsidRPr="00FF2046">
        <w:t>overall increase in</w:t>
      </w:r>
      <w:r w:rsidRPr="00FF2046">
        <w:t xml:space="preserve"> </w:t>
      </w:r>
      <w:proofErr w:type="spellStart"/>
      <w:r w:rsidRPr="00FF2046">
        <w:t>ridehailing</w:t>
      </w:r>
      <w:proofErr w:type="spellEnd"/>
      <w:r w:rsidRPr="00FF2046">
        <w:t xml:space="preserve"> demand</w:t>
      </w:r>
      <w:r w:rsidR="00CD6D2A" w:rsidRPr="00FF2046">
        <w:t xml:space="preserve"> </w:t>
      </w:r>
      <w:r w:rsidRPr="00FF2046">
        <w:t>possibly drawing from population of individuals driving, using public transit</w:t>
      </w:r>
      <w:r w:rsidR="005E3C29">
        <w:t>,</w:t>
      </w:r>
      <w:r w:rsidRPr="00FF2046">
        <w:t xml:space="preserve"> and even inducing newer travel. </w:t>
      </w:r>
      <w:r w:rsidR="00CD6D2A" w:rsidRPr="00FF2046">
        <w:rPr>
          <w:szCs w:val="24"/>
        </w:rPr>
        <w:t>The second component of the transformation is the shift</w:t>
      </w:r>
      <w:r w:rsidR="0000423D" w:rsidRPr="00FF2046">
        <w:rPr>
          <w:szCs w:val="24"/>
        </w:rPr>
        <w:t xml:space="preserve"> in</w:t>
      </w:r>
      <w:r w:rsidR="00CD6D2A" w:rsidRPr="00FF2046">
        <w:rPr>
          <w:szCs w:val="24"/>
        </w:rPr>
        <w:t xml:space="preserve"> the share of traditional taxi service demand toward TNC services</w:t>
      </w:r>
      <w:r w:rsidR="00934094">
        <w:rPr>
          <w:szCs w:val="24"/>
        </w:rPr>
        <w:t xml:space="preserve"> </w:t>
      </w:r>
      <w:r w:rsidR="00934094" w:rsidRPr="00934094">
        <w:rPr>
          <w:i/>
          <w:iCs/>
          <w:szCs w:val="24"/>
        </w:rPr>
        <w:t>(3)</w:t>
      </w:r>
      <w:r w:rsidR="00CD6D2A" w:rsidRPr="00FF2046">
        <w:rPr>
          <w:szCs w:val="24"/>
        </w:rPr>
        <w:t>. In a short timeframe, in NYC, TNC services have increased their market share from 0 to nearly 70%</w:t>
      </w:r>
      <w:r w:rsidR="003B6512" w:rsidRPr="00FF2046">
        <w:rPr>
          <w:szCs w:val="24"/>
        </w:rPr>
        <w:t xml:space="preserve"> by the end of 2018</w:t>
      </w:r>
      <w:r w:rsidR="00CD6D2A" w:rsidRPr="00FF2046">
        <w:rPr>
          <w:szCs w:val="24"/>
        </w:rPr>
        <w:t xml:space="preserve">. </w:t>
      </w:r>
      <w:r w:rsidR="0075128A" w:rsidRPr="00FF2046">
        <w:rPr>
          <w:szCs w:val="24"/>
        </w:rPr>
        <w:t xml:space="preserve">While preliminary research has begun to explore the reasons for the transformation, it is safe to assume economists and social scientists will continue to examine the transformation for several years into the future. </w:t>
      </w:r>
    </w:p>
    <w:p w14:paraId="54F7AC08" w14:textId="48AC4D88" w:rsidR="0000423D" w:rsidRPr="00FF2046" w:rsidRDefault="0075128A" w:rsidP="00FE40DC">
      <w:pPr>
        <w:ind w:firstLine="720"/>
        <w:rPr>
          <w:szCs w:val="24"/>
        </w:rPr>
      </w:pPr>
      <w:r w:rsidRPr="00FF2046">
        <w:rPr>
          <w:szCs w:val="24"/>
        </w:rPr>
        <w:t>The proposed study contributes to our understanding of this transformation</w:t>
      </w:r>
      <w:r w:rsidR="00E35BC4" w:rsidRPr="00FF2046">
        <w:rPr>
          <w:szCs w:val="24"/>
        </w:rPr>
        <w:t xml:space="preserve"> by examining the NYC data from a fine spatial </w:t>
      </w:r>
      <w:r w:rsidR="00051AD5" w:rsidRPr="00FF2046">
        <w:rPr>
          <w:szCs w:val="24"/>
        </w:rPr>
        <w:t xml:space="preserve">and temporal </w:t>
      </w:r>
      <w:r w:rsidR="00E35BC4" w:rsidRPr="00FF2046">
        <w:rPr>
          <w:szCs w:val="24"/>
        </w:rPr>
        <w:t>resolution</w:t>
      </w:r>
      <w:r w:rsidR="00BC2C57" w:rsidRPr="00FF2046">
        <w:rPr>
          <w:szCs w:val="24"/>
        </w:rPr>
        <w:t xml:space="preserve"> by adopting an innovative joint econometric model system</w:t>
      </w:r>
      <w:r w:rsidR="00E35BC4" w:rsidRPr="00FF2046">
        <w:rPr>
          <w:szCs w:val="24"/>
        </w:rPr>
        <w:t xml:space="preserve">. </w:t>
      </w:r>
      <w:r w:rsidR="0000423D" w:rsidRPr="00FF2046">
        <w:rPr>
          <w:szCs w:val="24"/>
        </w:rPr>
        <w:t xml:space="preserve">The study examines two components of the transformation (a) the increase in </w:t>
      </w:r>
      <w:proofErr w:type="spellStart"/>
      <w:r w:rsidR="0095029D">
        <w:rPr>
          <w:szCs w:val="24"/>
        </w:rPr>
        <w:t>ridehailing</w:t>
      </w:r>
      <w:proofErr w:type="spellEnd"/>
      <w:r w:rsidR="0000423D" w:rsidRPr="00FF2046">
        <w:rPr>
          <w:szCs w:val="24"/>
        </w:rPr>
        <w:t xml:space="preserve"> demand and (b) the shift from traditional taxi services to TNC services. The first component – taxi zone </w:t>
      </w:r>
      <w:proofErr w:type="spellStart"/>
      <w:r w:rsidR="0095029D">
        <w:rPr>
          <w:szCs w:val="24"/>
        </w:rPr>
        <w:t>ridehailing</w:t>
      </w:r>
      <w:proofErr w:type="spellEnd"/>
      <w:r w:rsidR="0000423D" w:rsidRPr="00FF2046">
        <w:rPr>
          <w:szCs w:val="24"/>
        </w:rPr>
        <w:t xml:space="preserve"> demand - is analyzed adopting a negative binomial count model. The second component - share of traditional and TNC services demand - is analyzed using a multinomial fractional split model. The two model components are stitched together in a joint framework that allows for the influence of repeated observations as well as for the presence of common unobserved factors affecting the two components. </w:t>
      </w:r>
      <w:bookmarkStart w:id="5" w:name="_Hlk55321649"/>
      <w:r w:rsidR="0000423D" w:rsidRPr="00FF2046">
        <w:rPr>
          <w:szCs w:val="24"/>
        </w:rPr>
        <w:t>The study employs trip level data from the NYC</w:t>
      </w:r>
      <w:r w:rsidR="00952E45">
        <w:rPr>
          <w:szCs w:val="24"/>
        </w:rPr>
        <w:t>TLC</w:t>
      </w:r>
      <w:r w:rsidR="0000423D" w:rsidRPr="00FF2046">
        <w:rPr>
          <w:szCs w:val="24"/>
        </w:rPr>
        <w:t xml:space="preserve"> from January 2015 through December 2018 for the analysis.</w:t>
      </w:r>
      <w:bookmarkEnd w:id="5"/>
      <w:r w:rsidR="0000423D" w:rsidRPr="00FF2046">
        <w:rPr>
          <w:szCs w:val="24"/>
        </w:rPr>
        <w:t xml:space="preserve"> The data is aggregated by taxi zone for every month in the study period and </w:t>
      </w:r>
      <w:r w:rsidR="00020CA7" w:rsidRPr="00FF2046">
        <w:rPr>
          <w:szCs w:val="24"/>
        </w:rPr>
        <w:t>analyzed</w:t>
      </w:r>
      <w:r w:rsidR="0000423D" w:rsidRPr="00FF2046">
        <w:rPr>
          <w:szCs w:val="24"/>
        </w:rPr>
        <w:t xml:space="preserve"> by </w:t>
      </w:r>
      <w:proofErr w:type="spellStart"/>
      <w:r w:rsidR="0095029D">
        <w:rPr>
          <w:szCs w:val="24"/>
        </w:rPr>
        <w:t>ridehailing</w:t>
      </w:r>
      <w:proofErr w:type="spellEnd"/>
      <w:r w:rsidR="0000423D" w:rsidRPr="00FF2046">
        <w:rPr>
          <w:szCs w:val="24"/>
        </w:rPr>
        <w:t xml:space="preserve"> alternatives: </w:t>
      </w:r>
      <w:r w:rsidR="00573A35">
        <w:rPr>
          <w:szCs w:val="24"/>
        </w:rPr>
        <w:t>Y</w:t>
      </w:r>
      <w:r w:rsidR="0000423D" w:rsidRPr="00FF2046">
        <w:rPr>
          <w:szCs w:val="24"/>
        </w:rPr>
        <w:t>ellow</w:t>
      </w:r>
      <w:r w:rsidR="002814FD" w:rsidRPr="00FF2046">
        <w:rPr>
          <w:szCs w:val="24"/>
        </w:rPr>
        <w:t xml:space="preserve"> taxi</w:t>
      </w:r>
      <w:r w:rsidR="0000423D" w:rsidRPr="00FF2046">
        <w:rPr>
          <w:szCs w:val="24"/>
        </w:rPr>
        <w:t xml:space="preserve">, </w:t>
      </w:r>
      <w:r w:rsidR="00573A35">
        <w:rPr>
          <w:szCs w:val="24"/>
        </w:rPr>
        <w:t>G</w:t>
      </w:r>
      <w:r w:rsidR="0000423D" w:rsidRPr="00FF2046">
        <w:rPr>
          <w:szCs w:val="24"/>
        </w:rPr>
        <w:t>reen</w:t>
      </w:r>
      <w:r w:rsidR="002814FD" w:rsidRPr="00FF2046">
        <w:rPr>
          <w:szCs w:val="24"/>
        </w:rPr>
        <w:t xml:space="preserve"> taxi</w:t>
      </w:r>
      <w:r w:rsidR="0000423D" w:rsidRPr="00FF2046">
        <w:rPr>
          <w:szCs w:val="24"/>
        </w:rPr>
        <w:t xml:space="preserve"> and TNC</w:t>
      </w:r>
      <w:r w:rsidR="002814FD" w:rsidRPr="00FF2046">
        <w:rPr>
          <w:szCs w:val="24"/>
        </w:rPr>
        <w:t xml:space="preserve"> services (including Uber, Lyft, </w:t>
      </w:r>
      <w:proofErr w:type="gramStart"/>
      <w:r w:rsidR="002814FD" w:rsidRPr="00FF2046">
        <w:rPr>
          <w:szCs w:val="24"/>
        </w:rPr>
        <w:t>Juno</w:t>
      </w:r>
      <w:proofErr w:type="gramEnd"/>
      <w:r w:rsidR="002814FD" w:rsidRPr="00FF2046">
        <w:rPr>
          <w:szCs w:val="24"/>
        </w:rPr>
        <w:t xml:space="preserve"> and Via)</w:t>
      </w:r>
      <w:r w:rsidR="0000423D" w:rsidRPr="00FF2046">
        <w:rPr>
          <w:szCs w:val="24"/>
        </w:rPr>
        <w:t xml:space="preserve">. </w:t>
      </w:r>
    </w:p>
    <w:bookmarkEnd w:id="2"/>
    <w:p w14:paraId="711C2F99" w14:textId="017F5D54" w:rsidR="00122BC8" w:rsidRPr="00FF2046" w:rsidRDefault="00122BC8" w:rsidP="00122BC8"/>
    <w:p w14:paraId="7C816E34" w14:textId="77777777" w:rsidR="00B1043B" w:rsidRPr="00FF2046" w:rsidRDefault="00B1043B" w:rsidP="00ED3B6E">
      <w:pPr>
        <w:pStyle w:val="TRBHead1"/>
      </w:pPr>
      <w:r w:rsidRPr="00FF2046">
        <w:t>earlier research and current study</w:t>
      </w:r>
    </w:p>
    <w:p w14:paraId="0C6DB4CF" w14:textId="67A604DE" w:rsidR="00B1043B" w:rsidRPr="00FF2046" w:rsidRDefault="00B1043B" w:rsidP="00A12841">
      <w:pPr>
        <w:rPr>
          <w:szCs w:val="24"/>
        </w:rPr>
      </w:pPr>
      <w:r w:rsidRPr="00FF2046">
        <w:t xml:space="preserve">Literature related to </w:t>
      </w:r>
      <w:proofErr w:type="spellStart"/>
      <w:r w:rsidR="0095029D">
        <w:t>ridehailing</w:t>
      </w:r>
      <w:proofErr w:type="spellEnd"/>
      <w:r w:rsidRPr="00FF2046">
        <w:t xml:space="preserve"> vehicles can be categorized into three main </w:t>
      </w:r>
      <w:r w:rsidR="00A55C15" w:rsidRPr="00FF2046">
        <w:t>streams</w:t>
      </w:r>
      <w:r w:rsidRPr="00FF2046">
        <w:t>: a) studies in</w:t>
      </w:r>
      <w:r w:rsidR="0031077C" w:rsidRPr="00FF2046">
        <w:t>ve</w:t>
      </w:r>
      <w:r w:rsidRPr="00FF2046">
        <w:t>stigating various operational and quantitative aspects of taxis</w:t>
      </w:r>
      <w:r w:rsidR="0031077C" w:rsidRPr="00FF2046">
        <w:t xml:space="preserve">, </w:t>
      </w:r>
      <w:r w:rsidRPr="00FF2046">
        <w:t xml:space="preserve">b) studies investigating the </w:t>
      </w:r>
      <w:r w:rsidRPr="00FF2046">
        <w:lastRenderedPageBreak/>
        <w:t>ev</w:t>
      </w:r>
      <w:r w:rsidR="00BB3975" w:rsidRPr="00FF2046">
        <w:t>o</w:t>
      </w:r>
      <w:r w:rsidRPr="00FF2046">
        <w:t xml:space="preserve">lution and various qualitative aspects of </w:t>
      </w:r>
      <w:r w:rsidR="0031077C" w:rsidRPr="00FF2046">
        <w:t xml:space="preserve">TNC based </w:t>
      </w:r>
      <w:proofErr w:type="spellStart"/>
      <w:r w:rsidR="0095029D">
        <w:t>ridehailing</w:t>
      </w:r>
      <w:proofErr w:type="spellEnd"/>
      <w:r w:rsidRPr="00FF2046">
        <w:t xml:space="preserve"> and c) studies examin</w:t>
      </w:r>
      <w:r w:rsidR="00BB3975" w:rsidRPr="00FF2046">
        <w:t>ing</w:t>
      </w:r>
      <w:r w:rsidRPr="00FF2046">
        <w:t xml:space="preserve"> the relationship between</w:t>
      </w:r>
      <w:r w:rsidR="0031077C" w:rsidRPr="00FF2046">
        <w:t xml:space="preserve"> various</w:t>
      </w:r>
      <w:r w:rsidRPr="00FF2046">
        <w:t xml:space="preserve"> </w:t>
      </w:r>
      <w:proofErr w:type="spellStart"/>
      <w:r w:rsidR="0095029D">
        <w:t>ridehailing</w:t>
      </w:r>
      <w:proofErr w:type="spellEnd"/>
      <w:r w:rsidRPr="00FF2046">
        <w:t xml:space="preserve"> system</w:t>
      </w:r>
      <w:r w:rsidR="0031077C" w:rsidRPr="00FF2046">
        <w:t>s and their interaction with</w:t>
      </w:r>
      <w:r w:rsidRPr="00FF2046">
        <w:t xml:space="preserve"> public transportation</w:t>
      </w:r>
      <w:r w:rsidR="00163DC8">
        <w:rPr>
          <w:rStyle w:val="FootnoteReference"/>
        </w:rPr>
        <w:footnoteReference w:id="1"/>
      </w:r>
      <w:r w:rsidRPr="00FF2046">
        <w:t xml:space="preserve">. </w:t>
      </w:r>
    </w:p>
    <w:p w14:paraId="67BE1CAC" w14:textId="141E1810" w:rsidR="00B1043B" w:rsidRPr="00FF2046" w:rsidRDefault="00B1043B" w:rsidP="00A12841">
      <w:r w:rsidRPr="00FF2046">
        <w:tab/>
        <w:t xml:space="preserve">The </w:t>
      </w:r>
      <w:r w:rsidRPr="00FF2046">
        <w:rPr>
          <w:i/>
          <w:iCs/>
          <w:u w:val="single"/>
        </w:rPr>
        <w:t>first group of studies</w:t>
      </w:r>
      <w:r w:rsidRPr="00FF2046">
        <w:t xml:space="preserve"> focused on taxi services from different perspectives, including entry regulation (see Schaller </w:t>
      </w:r>
      <w:r w:rsidR="00934094" w:rsidRPr="00934094">
        <w:rPr>
          <w:i/>
          <w:iCs/>
        </w:rPr>
        <w:t>(4)</w:t>
      </w:r>
      <w:r w:rsidRPr="00FF2046">
        <w:t xml:space="preserve"> for US and Canada regulation and Çetin and </w:t>
      </w:r>
      <w:proofErr w:type="spellStart"/>
      <w:r w:rsidRPr="00FF2046">
        <w:t>Eryigit</w:t>
      </w:r>
      <w:proofErr w:type="spellEnd"/>
      <w:r w:rsidRPr="00FF2046">
        <w:t xml:space="preserve"> </w:t>
      </w:r>
      <w:r w:rsidR="00934094" w:rsidRPr="00934094">
        <w:rPr>
          <w:i/>
          <w:iCs/>
        </w:rPr>
        <w:t>(5)</w:t>
      </w:r>
      <w:r w:rsidRPr="00FF2046">
        <w:t xml:space="preserve"> for Istanbul regulation), demand and pricing</w:t>
      </w:r>
      <w:r w:rsidR="00934094">
        <w:t xml:space="preserve"> </w:t>
      </w:r>
      <w:r w:rsidR="00934094" w:rsidRPr="00934094">
        <w:rPr>
          <w:i/>
          <w:iCs/>
        </w:rPr>
        <w:t>(6-8)</w:t>
      </w:r>
      <w:r w:rsidRPr="00FF2046">
        <w:t>, and impact of emerging technologies such as electric and autonomous vehicles</w:t>
      </w:r>
      <w:r w:rsidR="00934094">
        <w:t xml:space="preserve"> </w:t>
      </w:r>
      <w:r w:rsidR="00934094" w:rsidRPr="00934094">
        <w:rPr>
          <w:i/>
          <w:iCs/>
        </w:rPr>
        <w:t>(9-11)</w:t>
      </w:r>
      <w:r w:rsidRPr="00FF2046">
        <w:t>. Several studies analyzed different aspects of taxi operations including taxi passenger search schemes and routing of vacant taxis to improve the efficiency of taxi services</w:t>
      </w:r>
      <w:r w:rsidR="00934094">
        <w:t xml:space="preserve"> </w:t>
      </w:r>
      <w:r w:rsidR="00934094" w:rsidRPr="00934094">
        <w:rPr>
          <w:i/>
          <w:iCs/>
        </w:rPr>
        <w:t>(12-17)</w:t>
      </w:r>
      <w:r w:rsidRPr="00FF2046">
        <w:t>. Crash injury severity and safety issues related to taxi services are also examined by several researchers</w:t>
      </w:r>
      <w:r w:rsidR="00934094">
        <w:t xml:space="preserve"> </w:t>
      </w:r>
      <w:r w:rsidR="00934094" w:rsidRPr="00934094">
        <w:rPr>
          <w:i/>
          <w:iCs/>
        </w:rPr>
        <w:t>(18-22)</w:t>
      </w:r>
      <w:r w:rsidRPr="00FF2046">
        <w:t xml:space="preserve">. </w:t>
      </w:r>
    </w:p>
    <w:p w14:paraId="70968C15" w14:textId="18E38E62" w:rsidR="00D661B6" w:rsidRPr="00FF2046" w:rsidRDefault="00375025" w:rsidP="00FE40DC">
      <w:pPr>
        <w:ind w:firstLine="720"/>
        <w:rPr>
          <w:szCs w:val="24"/>
        </w:rPr>
      </w:pPr>
      <w:r w:rsidRPr="00FF2046">
        <w:t>The</w:t>
      </w:r>
      <w:r w:rsidR="00B55AE6" w:rsidRPr="00FF2046">
        <w:t xml:space="preserve"> </w:t>
      </w:r>
      <w:r w:rsidRPr="00FF2046">
        <w:rPr>
          <w:i/>
          <w:iCs/>
          <w:u w:val="single"/>
        </w:rPr>
        <w:t>second group of studies</w:t>
      </w:r>
      <w:r w:rsidRPr="00FF2046">
        <w:t xml:space="preserve"> </w:t>
      </w:r>
      <w:r w:rsidRPr="00FF2046">
        <w:rPr>
          <w:szCs w:val="24"/>
        </w:rPr>
        <w:t xml:space="preserve">explored TNC evolution, factors that affected usage, licensing and policy formulation, pricing mechanisms, and comparison across </w:t>
      </w:r>
      <w:proofErr w:type="spellStart"/>
      <w:r w:rsidR="0095029D">
        <w:rPr>
          <w:szCs w:val="24"/>
        </w:rPr>
        <w:t>ridehailing</w:t>
      </w:r>
      <w:proofErr w:type="spellEnd"/>
      <w:r w:rsidRPr="00FF2046">
        <w:rPr>
          <w:szCs w:val="24"/>
        </w:rPr>
        <w:t xml:space="preserve"> services (with taxis or between various smart phone based </w:t>
      </w:r>
      <w:proofErr w:type="spellStart"/>
      <w:r w:rsidR="0095029D">
        <w:rPr>
          <w:szCs w:val="24"/>
        </w:rPr>
        <w:t>ridehailing</w:t>
      </w:r>
      <w:proofErr w:type="spellEnd"/>
      <w:r w:rsidRPr="00FF2046">
        <w:rPr>
          <w:szCs w:val="24"/>
        </w:rPr>
        <w:t xml:space="preserve"> companies). These studies typically rely on questionnaire interviews, and online surveys f</w:t>
      </w:r>
      <w:r w:rsidR="004E2702" w:rsidRPr="00FF2046">
        <w:rPr>
          <w:szCs w:val="24"/>
        </w:rPr>
        <w:t>or</w:t>
      </w:r>
      <w:r w:rsidRPr="00FF2046">
        <w:rPr>
          <w:szCs w:val="24"/>
        </w:rPr>
        <w:t xml:space="preserve"> data collection. </w:t>
      </w:r>
      <w:r w:rsidRPr="00FF2046">
        <w:rPr>
          <w:color w:val="000000" w:themeColor="text1"/>
          <w:szCs w:val="24"/>
        </w:rPr>
        <w:t xml:space="preserve">TNC evolution studies focused on the definition of </w:t>
      </w:r>
      <w:proofErr w:type="spellStart"/>
      <w:r w:rsidR="0095029D">
        <w:rPr>
          <w:color w:val="000000" w:themeColor="text1"/>
          <w:szCs w:val="24"/>
        </w:rPr>
        <w:t>ridehailing</w:t>
      </w:r>
      <w:proofErr w:type="spellEnd"/>
      <w:r w:rsidRPr="00FF2046">
        <w:rPr>
          <w:color w:val="000000" w:themeColor="text1"/>
          <w:szCs w:val="24"/>
        </w:rPr>
        <w:t xml:space="preserve"> systems, how </w:t>
      </w:r>
      <w:proofErr w:type="spellStart"/>
      <w:r w:rsidR="0095029D">
        <w:rPr>
          <w:color w:val="000000" w:themeColor="text1"/>
          <w:szCs w:val="24"/>
        </w:rPr>
        <w:t>ridehailing</w:t>
      </w:r>
      <w:proofErr w:type="spellEnd"/>
      <w:r w:rsidRPr="00FF2046">
        <w:rPr>
          <w:color w:val="000000" w:themeColor="text1"/>
          <w:szCs w:val="24"/>
        </w:rPr>
        <w:t xml:space="preserve"> services have evolved over time</w:t>
      </w:r>
      <w:r w:rsidR="00934094">
        <w:rPr>
          <w:color w:val="000000" w:themeColor="text1"/>
          <w:szCs w:val="24"/>
        </w:rPr>
        <w:t xml:space="preserve"> </w:t>
      </w:r>
      <w:r w:rsidR="00934094" w:rsidRPr="00934094">
        <w:rPr>
          <w:i/>
          <w:iCs/>
          <w:color w:val="000000" w:themeColor="text1"/>
          <w:szCs w:val="24"/>
        </w:rPr>
        <w:t>(23-25)</w:t>
      </w:r>
      <w:r w:rsidRPr="00FF2046">
        <w:rPr>
          <w:color w:val="000000" w:themeColor="text1"/>
          <w:szCs w:val="24"/>
        </w:rPr>
        <w:t xml:space="preserve">, investigated the challenges and opportunities presented by real-time services and highlighted various opportunities for </w:t>
      </w:r>
      <w:r w:rsidR="00BB3975" w:rsidRPr="00FF2046">
        <w:rPr>
          <w:color w:val="000000" w:themeColor="text1"/>
          <w:szCs w:val="24"/>
        </w:rPr>
        <w:t xml:space="preserve">the </w:t>
      </w:r>
      <w:r w:rsidRPr="00FF2046">
        <w:rPr>
          <w:color w:val="000000" w:themeColor="text1"/>
          <w:szCs w:val="24"/>
        </w:rPr>
        <w:t>future</w:t>
      </w:r>
      <w:r w:rsidR="00934094">
        <w:rPr>
          <w:color w:val="000000" w:themeColor="text1"/>
          <w:szCs w:val="24"/>
        </w:rPr>
        <w:t xml:space="preserve"> </w:t>
      </w:r>
      <w:r w:rsidR="00934094" w:rsidRPr="00934094">
        <w:rPr>
          <w:i/>
          <w:iCs/>
          <w:color w:val="000000" w:themeColor="text1"/>
          <w:szCs w:val="24"/>
        </w:rPr>
        <w:t>(26; 27)</w:t>
      </w:r>
      <w:r w:rsidRPr="00FF2046">
        <w:rPr>
          <w:color w:val="000000" w:themeColor="text1"/>
          <w:szCs w:val="24"/>
        </w:rPr>
        <w:t xml:space="preserve">. </w:t>
      </w:r>
      <w:r w:rsidR="00934707" w:rsidRPr="00FF2046">
        <w:rPr>
          <w:color w:val="000000" w:themeColor="text1"/>
          <w:szCs w:val="24"/>
        </w:rPr>
        <w:t xml:space="preserve">A set of studies explored the influence of various factors affecting TNC usage. For example, </w:t>
      </w:r>
      <w:r w:rsidR="00BC2C57" w:rsidRPr="00FF2046">
        <w:rPr>
          <w:szCs w:val="24"/>
        </w:rPr>
        <w:t xml:space="preserve">Cramer and Krueger </w:t>
      </w:r>
      <w:r w:rsidR="00934094" w:rsidRPr="00934094">
        <w:rPr>
          <w:i/>
          <w:iCs/>
          <w:szCs w:val="24"/>
        </w:rPr>
        <w:t>(28)</w:t>
      </w:r>
      <w:r w:rsidR="00BC2C57" w:rsidRPr="00FF2046">
        <w:rPr>
          <w:szCs w:val="24"/>
        </w:rPr>
        <w:t xml:space="preserve"> analyzed passenger service times for Uber and taxi across five major cities in the US. The authors concluded that availability of driver-passenger reviews, Uber’s flexible labor supply model coupled with inefficient taxi regulations for passenger safety contributed to higher Uber utilization rates.</w:t>
      </w:r>
      <w:r w:rsidR="000357E2" w:rsidRPr="00FF2046">
        <w:rPr>
          <w:szCs w:val="24"/>
        </w:rPr>
        <w:t xml:space="preserve"> Multiple studies explored pricing</w:t>
      </w:r>
      <w:r w:rsidR="00C62A97">
        <w:rPr>
          <w:szCs w:val="24"/>
        </w:rPr>
        <w:t>,</w:t>
      </w:r>
      <w:r w:rsidR="000357E2" w:rsidRPr="00FF2046">
        <w:rPr>
          <w:szCs w:val="24"/>
        </w:rPr>
        <w:t xml:space="preserve"> </w:t>
      </w:r>
      <w:r w:rsidR="00C62A97">
        <w:rPr>
          <w:szCs w:val="24"/>
        </w:rPr>
        <w:t>and waiting times</w:t>
      </w:r>
      <w:r w:rsidR="000357E2" w:rsidRPr="00FF2046">
        <w:rPr>
          <w:szCs w:val="24"/>
        </w:rPr>
        <w:t xml:space="preserve"> </w:t>
      </w:r>
      <w:r w:rsidR="00C62A97">
        <w:rPr>
          <w:szCs w:val="24"/>
        </w:rPr>
        <w:t xml:space="preserve">associated with </w:t>
      </w:r>
      <w:r w:rsidR="000357E2" w:rsidRPr="00FF2046">
        <w:rPr>
          <w:szCs w:val="24"/>
        </w:rPr>
        <w:t xml:space="preserve">various </w:t>
      </w:r>
      <w:proofErr w:type="spellStart"/>
      <w:r w:rsidR="0095029D">
        <w:rPr>
          <w:szCs w:val="24"/>
        </w:rPr>
        <w:t>ridehailing</w:t>
      </w:r>
      <w:proofErr w:type="spellEnd"/>
      <w:r w:rsidR="000357E2" w:rsidRPr="00FF2046">
        <w:rPr>
          <w:szCs w:val="24"/>
        </w:rPr>
        <w:t xml:space="preserve"> companies</w:t>
      </w:r>
      <w:r w:rsidR="00934094">
        <w:rPr>
          <w:szCs w:val="24"/>
        </w:rPr>
        <w:t xml:space="preserve"> </w:t>
      </w:r>
      <w:r w:rsidR="00934094" w:rsidRPr="00934094">
        <w:rPr>
          <w:i/>
          <w:iCs/>
          <w:szCs w:val="24"/>
        </w:rPr>
        <w:t>(29-32)</w:t>
      </w:r>
      <w:r w:rsidR="000357E2" w:rsidRPr="00FF2046">
        <w:rPr>
          <w:szCs w:val="24"/>
        </w:rPr>
        <w:t xml:space="preserve">. </w:t>
      </w:r>
      <w:r w:rsidR="00DA02FE" w:rsidRPr="00FF2046">
        <w:rPr>
          <w:szCs w:val="24"/>
        </w:rPr>
        <w:t xml:space="preserve">Another subset of studies conducted quantitative analysis using TNC usage data exploring trip patterns (a) to identify factors influencing TNC demand, (b) to understand TNC demand and its relationship with existing transportation modes. </w:t>
      </w:r>
      <w:r w:rsidR="0018356B" w:rsidRPr="00FF2046">
        <w:rPr>
          <w:szCs w:val="24"/>
        </w:rPr>
        <w:t>F</w:t>
      </w:r>
      <w:r w:rsidR="00DA02FE" w:rsidRPr="00FF2046">
        <w:rPr>
          <w:szCs w:val="24"/>
        </w:rPr>
        <w:t xml:space="preserve">actors that were found to affect </w:t>
      </w:r>
      <w:proofErr w:type="spellStart"/>
      <w:r w:rsidR="0095029D">
        <w:rPr>
          <w:szCs w:val="24"/>
        </w:rPr>
        <w:t>ridehailing</w:t>
      </w:r>
      <w:proofErr w:type="spellEnd"/>
      <w:r w:rsidR="00DA02FE" w:rsidRPr="00FF2046">
        <w:rPr>
          <w:szCs w:val="24"/>
        </w:rPr>
        <w:t xml:space="preserve"> demand include </w:t>
      </w:r>
      <w:r w:rsidR="0018356B" w:rsidRPr="00FF2046">
        <w:rPr>
          <w:szCs w:val="24"/>
        </w:rPr>
        <w:t xml:space="preserve">temporal and weather patterns, </w:t>
      </w:r>
      <w:r w:rsidR="00DA02FE" w:rsidRPr="00FF2046">
        <w:rPr>
          <w:szCs w:val="24"/>
        </w:rPr>
        <w:t xml:space="preserve">land use attributes such as lower transit access time, higher length of roadways, lower vehicle ownership, higher </w:t>
      </w:r>
      <w:proofErr w:type="gramStart"/>
      <w:r w:rsidR="00DA02FE" w:rsidRPr="00FF2046">
        <w:rPr>
          <w:szCs w:val="24"/>
        </w:rPr>
        <w:t>income</w:t>
      </w:r>
      <w:proofErr w:type="gramEnd"/>
      <w:r w:rsidR="00DA02FE" w:rsidRPr="00FF2046">
        <w:rPr>
          <w:szCs w:val="24"/>
        </w:rPr>
        <w:t xml:space="preserve"> and more job opportunities</w:t>
      </w:r>
      <w:r w:rsidR="00934094">
        <w:rPr>
          <w:szCs w:val="24"/>
        </w:rPr>
        <w:t xml:space="preserve"> </w:t>
      </w:r>
      <w:r w:rsidR="00934094" w:rsidRPr="00934094">
        <w:rPr>
          <w:i/>
          <w:iCs/>
          <w:szCs w:val="24"/>
        </w:rPr>
        <w:t>(33-35)</w:t>
      </w:r>
      <w:r w:rsidR="00DA02FE" w:rsidRPr="00FF2046">
        <w:rPr>
          <w:szCs w:val="24"/>
        </w:rPr>
        <w:t>.</w:t>
      </w:r>
    </w:p>
    <w:p w14:paraId="439C5D0E" w14:textId="0D17A7E2" w:rsidR="000679D0" w:rsidRPr="00B241DA" w:rsidRDefault="00375025" w:rsidP="00225A69">
      <w:pPr>
        <w:rPr>
          <w:rFonts w:cs="Times New Roman"/>
          <w:szCs w:val="24"/>
        </w:rPr>
      </w:pPr>
      <w:r w:rsidRPr="00FF2046">
        <w:rPr>
          <w:szCs w:val="24"/>
        </w:rPr>
        <w:tab/>
      </w:r>
      <w:r w:rsidR="00B1043B" w:rsidRPr="00FF2046">
        <w:rPr>
          <w:szCs w:val="24"/>
        </w:rPr>
        <w:t xml:space="preserve">The </w:t>
      </w:r>
      <w:r w:rsidR="00B1043B" w:rsidRPr="00FF2046">
        <w:rPr>
          <w:i/>
          <w:iCs/>
          <w:szCs w:val="24"/>
          <w:u w:val="single"/>
        </w:rPr>
        <w:t>third</w:t>
      </w:r>
      <w:r w:rsidR="00B1043B" w:rsidRPr="00FF2046">
        <w:rPr>
          <w:i/>
          <w:iCs/>
          <w:u w:val="single"/>
        </w:rPr>
        <w:t xml:space="preserve"> group of studies</w:t>
      </w:r>
      <w:r w:rsidR="00B1043B" w:rsidRPr="00FF2046">
        <w:t xml:space="preserve"> </w:t>
      </w:r>
      <w:r w:rsidR="00B1043B" w:rsidRPr="00FF2046">
        <w:rPr>
          <w:szCs w:val="24"/>
        </w:rPr>
        <w:t xml:space="preserve">is comprised of </w:t>
      </w:r>
      <w:r w:rsidR="00BC2C57" w:rsidRPr="00FF2046">
        <w:rPr>
          <w:szCs w:val="24"/>
        </w:rPr>
        <w:t xml:space="preserve">research </w:t>
      </w:r>
      <w:r w:rsidR="00B1043B" w:rsidRPr="00FF2046">
        <w:rPr>
          <w:szCs w:val="24"/>
        </w:rPr>
        <w:t xml:space="preserve">conducting comparative analysis using </w:t>
      </w:r>
      <w:proofErr w:type="spellStart"/>
      <w:r w:rsidR="0095029D">
        <w:rPr>
          <w:szCs w:val="24"/>
        </w:rPr>
        <w:t>ridehailing</w:t>
      </w:r>
      <w:proofErr w:type="spellEnd"/>
      <w:r w:rsidR="00B1043B" w:rsidRPr="00FF2046">
        <w:rPr>
          <w:szCs w:val="24"/>
        </w:rPr>
        <w:t xml:space="preserve"> usage data. </w:t>
      </w:r>
      <w:r w:rsidR="00B1043B" w:rsidRPr="00FF2046">
        <w:t xml:space="preserve">The research </w:t>
      </w:r>
      <w:r w:rsidR="0018356B" w:rsidRPr="00FF2046">
        <w:t xml:space="preserve">conducted </w:t>
      </w:r>
      <w:r w:rsidR="00B1043B" w:rsidRPr="00FF2046">
        <w:t xml:space="preserve">in this paper falls into this third category. </w:t>
      </w:r>
      <w:r w:rsidR="00B1043B" w:rsidRPr="00FF2046">
        <w:rPr>
          <w:szCs w:val="24"/>
        </w:rPr>
        <w:t xml:space="preserve">A group of studies investigate the new age </w:t>
      </w:r>
      <w:proofErr w:type="spellStart"/>
      <w:r w:rsidR="0095029D">
        <w:rPr>
          <w:szCs w:val="24"/>
        </w:rPr>
        <w:t>ridehailing</w:t>
      </w:r>
      <w:proofErr w:type="spellEnd"/>
      <w:r w:rsidR="00B1043B" w:rsidRPr="00FF2046">
        <w:rPr>
          <w:szCs w:val="24"/>
        </w:rPr>
        <w:t xml:space="preserve"> demand considering relationship between </w:t>
      </w:r>
      <w:proofErr w:type="spellStart"/>
      <w:r w:rsidR="0095029D">
        <w:rPr>
          <w:szCs w:val="24"/>
        </w:rPr>
        <w:t>ridehailing</w:t>
      </w:r>
      <w:proofErr w:type="spellEnd"/>
      <w:r w:rsidR="00B1043B" w:rsidRPr="00FF2046">
        <w:rPr>
          <w:szCs w:val="24"/>
        </w:rPr>
        <w:t xml:space="preserve"> services with public transit system</w:t>
      </w:r>
      <w:r w:rsidR="00934094">
        <w:rPr>
          <w:szCs w:val="24"/>
        </w:rPr>
        <w:t xml:space="preserve"> </w:t>
      </w:r>
      <w:r w:rsidR="00934094" w:rsidRPr="00934094">
        <w:rPr>
          <w:i/>
          <w:iCs/>
          <w:szCs w:val="24"/>
        </w:rPr>
        <w:t>(3; 36-38)</w:t>
      </w:r>
      <w:r w:rsidR="00B1043B" w:rsidRPr="00FF2046">
        <w:rPr>
          <w:szCs w:val="24"/>
        </w:rPr>
        <w:t xml:space="preserve">. </w:t>
      </w:r>
      <w:r w:rsidR="00225A69" w:rsidRPr="00FF2046">
        <w:rPr>
          <w:szCs w:val="24"/>
        </w:rPr>
        <w:t xml:space="preserve">Rayle et al. </w:t>
      </w:r>
      <w:r w:rsidR="00934094" w:rsidRPr="00934094">
        <w:rPr>
          <w:i/>
          <w:iCs/>
          <w:szCs w:val="24"/>
        </w:rPr>
        <w:t>(37)</w:t>
      </w:r>
      <w:r w:rsidR="00934094">
        <w:rPr>
          <w:szCs w:val="24"/>
        </w:rPr>
        <w:t xml:space="preserve"> </w:t>
      </w:r>
      <w:r w:rsidR="00225A69" w:rsidRPr="00FF2046">
        <w:rPr>
          <w:szCs w:val="24"/>
        </w:rPr>
        <w:t>conducted a trip intercept survey to understand the source of TNC demand and concluded that nearly 50% of the demand is transferred from public transit and driving.</w:t>
      </w:r>
      <w:r w:rsidR="00D26A2A" w:rsidRPr="00FF2046">
        <w:rPr>
          <w:szCs w:val="24"/>
        </w:rPr>
        <w:t xml:space="preserve"> </w:t>
      </w:r>
      <w:r w:rsidR="00225A69" w:rsidRPr="00FF2046">
        <w:rPr>
          <w:szCs w:val="24"/>
        </w:rPr>
        <w:t xml:space="preserve">Studies comparing the emerging </w:t>
      </w:r>
      <w:proofErr w:type="spellStart"/>
      <w:r w:rsidR="0095029D">
        <w:rPr>
          <w:szCs w:val="24"/>
        </w:rPr>
        <w:t>ridehailing</w:t>
      </w:r>
      <w:proofErr w:type="spellEnd"/>
      <w:r w:rsidR="00225A69" w:rsidRPr="00FF2046">
        <w:rPr>
          <w:szCs w:val="24"/>
        </w:rPr>
        <w:t xml:space="preserve"> services with existing services such as public transit and bicycle sharing offer interesting results. Gerte et al. </w:t>
      </w:r>
      <w:r w:rsidR="00934094" w:rsidRPr="00934094">
        <w:rPr>
          <w:i/>
          <w:iCs/>
          <w:szCs w:val="24"/>
        </w:rPr>
        <w:t>(3)</w:t>
      </w:r>
      <w:r w:rsidR="00934094">
        <w:rPr>
          <w:szCs w:val="24"/>
        </w:rPr>
        <w:t xml:space="preserve"> </w:t>
      </w:r>
      <w:r w:rsidR="00225A69" w:rsidRPr="00FF2046">
        <w:rPr>
          <w:szCs w:val="24"/>
        </w:rPr>
        <w:t xml:space="preserve">found evidence for shifting taxi demand to smart phone based </w:t>
      </w:r>
      <w:proofErr w:type="spellStart"/>
      <w:r w:rsidR="0095029D">
        <w:rPr>
          <w:szCs w:val="24"/>
        </w:rPr>
        <w:t>ridehailing</w:t>
      </w:r>
      <w:proofErr w:type="spellEnd"/>
      <w:r w:rsidR="00225A69" w:rsidRPr="00FF2046">
        <w:rPr>
          <w:szCs w:val="24"/>
        </w:rPr>
        <w:t xml:space="preserve"> services in New York City. Further, the study also found evidence of substitution relationship between </w:t>
      </w:r>
      <w:proofErr w:type="spellStart"/>
      <w:r w:rsidR="0095029D">
        <w:rPr>
          <w:szCs w:val="24"/>
        </w:rPr>
        <w:t>ridehailing</w:t>
      </w:r>
      <w:proofErr w:type="spellEnd"/>
      <w:r w:rsidR="00225A69" w:rsidRPr="00FF2046">
        <w:rPr>
          <w:szCs w:val="24"/>
        </w:rPr>
        <w:t xml:space="preserve"> and bicycle share systems. Koma</w:t>
      </w:r>
      <w:r w:rsidR="009E4B70">
        <w:rPr>
          <w:szCs w:val="24"/>
        </w:rPr>
        <w:t>n</w:t>
      </w:r>
      <w:r w:rsidR="00225A69" w:rsidRPr="00FF2046">
        <w:rPr>
          <w:szCs w:val="24"/>
        </w:rPr>
        <w:t xml:space="preserve">duri et al. </w:t>
      </w:r>
      <w:r w:rsidR="00934094" w:rsidRPr="00934094">
        <w:rPr>
          <w:i/>
          <w:iCs/>
          <w:szCs w:val="24"/>
        </w:rPr>
        <w:t>(38)</w:t>
      </w:r>
      <w:r w:rsidR="00934094">
        <w:rPr>
          <w:szCs w:val="24"/>
        </w:rPr>
        <w:t xml:space="preserve"> </w:t>
      </w:r>
      <w:r w:rsidR="00225A69" w:rsidRPr="00FF2046">
        <w:rPr>
          <w:szCs w:val="24"/>
        </w:rPr>
        <w:t xml:space="preserve">analyzed data from </w:t>
      </w:r>
      <w:proofErr w:type="spellStart"/>
      <w:r w:rsidR="00225A69" w:rsidRPr="00FF2046">
        <w:rPr>
          <w:szCs w:val="24"/>
        </w:rPr>
        <w:t>RideAustin</w:t>
      </w:r>
      <w:proofErr w:type="spellEnd"/>
      <w:r w:rsidR="00225A69" w:rsidRPr="00FF2046">
        <w:rPr>
          <w:szCs w:val="24"/>
        </w:rPr>
        <w:t xml:space="preserve">, to examine the trip length and temporal distribution of the trips. A comparison of the adoption of </w:t>
      </w:r>
      <w:proofErr w:type="spellStart"/>
      <w:r w:rsidR="00225A69" w:rsidRPr="00FF2046">
        <w:rPr>
          <w:szCs w:val="24"/>
        </w:rPr>
        <w:t>RideAustin</w:t>
      </w:r>
      <w:proofErr w:type="spellEnd"/>
      <w:r w:rsidR="00225A69" w:rsidRPr="00FF2046">
        <w:rPr>
          <w:szCs w:val="24"/>
        </w:rPr>
        <w:t xml:space="preserve"> relative to public transit alternatives illustrated that </w:t>
      </w:r>
      <w:r w:rsidR="0018356B" w:rsidRPr="00FF2046">
        <w:rPr>
          <w:szCs w:val="24"/>
        </w:rPr>
        <w:t xml:space="preserve">riders </w:t>
      </w:r>
      <w:r w:rsidR="00225A69" w:rsidRPr="00FF2046">
        <w:rPr>
          <w:szCs w:val="24"/>
        </w:rPr>
        <w:t xml:space="preserve">were choosing </w:t>
      </w:r>
      <w:proofErr w:type="spellStart"/>
      <w:r w:rsidR="00225A69" w:rsidRPr="00FF2046">
        <w:rPr>
          <w:szCs w:val="24"/>
        </w:rPr>
        <w:t>RideAustin</w:t>
      </w:r>
      <w:proofErr w:type="spellEnd"/>
      <w:r w:rsidR="00225A69" w:rsidRPr="00FF2046">
        <w:rPr>
          <w:szCs w:val="24"/>
        </w:rPr>
        <w:t xml:space="preserve"> to minimize travel time (highlighting the higher value of time for these travelers</w:t>
      </w:r>
      <w:bookmarkStart w:id="6" w:name="_Hlk60969453"/>
      <w:r w:rsidR="00225A69" w:rsidRPr="00FF2046">
        <w:rPr>
          <w:szCs w:val="24"/>
        </w:rPr>
        <w:t xml:space="preserve">). </w:t>
      </w:r>
      <w:r w:rsidR="00C62A97">
        <w:rPr>
          <w:szCs w:val="24"/>
        </w:rPr>
        <w:t xml:space="preserve">Using the same data, </w:t>
      </w:r>
      <w:proofErr w:type="gramStart"/>
      <w:r w:rsidR="00C62A97">
        <w:rPr>
          <w:szCs w:val="24"/>
        </w:rPr>
        <w:t>Yu</w:t>
      </w:r>
      <w:proofErr w:type="gramEnd"/>
      <w:r w:rsidR="00C62A97">
        <w:rPr>
          <w:szCs w:val="24"/>
        </w:rPr>
        <w:t xml:space="preserve"> and P</w:t>
      </w:r>
      <w:r w:rsidR="00C62A97" w:rsidRPr="00C41F18">
        <w:rPr>
          <w:szCs w:val="24"/>
        </w:rPr>
        <w:t>eng</w:t>
      </w:r>
      <w:r w:rsidR="00C62A97">
        <w:rPr>
          <w:szCs w:val="24"/>
        </w:rPr>
        <w:t xml:space="preserve"> </w:t>
      </w:r>
      <w:r w:rsidR="00934094" w:rsidRPr="00934094">
        <w:rPr>
          <w:i/>
          <w:iCs/>
          <w:szCs w:val="24"/>
        </w:rPr>
        <w:t>(39)</w:t>
      </w:r>
      <w:r w:rsidR="00C62A97">
        <w:rPr>
          <w:szCs w:val="24"/>
        </w:rPr>
        <w:t xml:space="preserve"> and </w:t>
      </w:r>
      <w:r w:rsidR="00C62A97" w:rsidRPr="00FE15F5">
        <w:rPr>
          <w:rFonts w:cs="Times New Roman"/>
          <w:szCs w:val="24"/>
        </w:rPr>
        <w:t xml:space="preserve">Lavieri et al. </w:t>
      </w:r>
      <w:r w:rsidR="00C62A97" w:rsidRPr="00BE3F4E">
        <w:rPr>
          <w:rFonts w:cs="Times New Roman"/>
          <w:i/>
          <w:iCs/>
          <w:szCs w:val="24"/>
        </w:rPr>
        <w:t>(4</w:t>
      </w:r>
      <w:r w:rsidR="00C41F18">
        <w:rPr>
          <w:rFonts w:cs="Times New Roman"/>
          <w:i/>
          <w:iCs/>
          <w:szCs w:val="24"/>
        </w:rPr>
        <w:t>0</w:t>
      </w:r>
      <w:r w:rsidR="00C62A97" w:rsidRPr="00BE3F4E">
        <w:rPr>
          <w:rFonts w:cs="Times New Roman"/>
          <w:i/>
          <w:iCs/>
          <w:szCs w:val="24"/>
        </w:rPr>
        <w:t>)</w:t>
      </w:r>
      <w:r w:rsidR="00C62A97" w:rsidRPr="00FE15F5">
        <w:rPr>
          <w:rFonts w:cs="Times New Roman"/>
          <w:szCs w:val="24"/>
        </w:rPr>
        <w:t xml:space="preserve"> </w:t>
      </w:r>
      <w:r w:rsidR="00C62A97">
        <w:rPr>
          <w:rFonts w:cs="Times New Roman"/>
          <w:szCs w:val="24"/>
        </w:rPr>
        <w:t xml:space="preserve">studied TNC trip demand and found that </w:t>
      </w:r>
      <w:r w:rsidR="00C62A97" w:rsidRPr="00FE15F5">
        <w:rPr>
          <w:rFonts w:cs="Times New Roman"/>
          <w:szCs w:val="24"/>
        </w:rPr>
        <w:t>population characteristics, household characteristics</w:t>
      </w:r>
      <w:r w:rsidR="00C62A97">
        <w:rPr>
          <w:rFonts w:cs="Times New Roman"/>
          <w:szCs w:val="24"/>
        </w:rPr>
        <w:t>, built environment</w:t>
      </w:r>
      <w:r w:rsidR="00C62A97" w:rsidRPr="00FE15F5">
        <w:rPr>
          <w:rFonts w:cs="Times New Roman"/>
          <w:szCs w:val="24"/>
        </w:rPr>
        <w:t xml:space="preserve"> and transit supply influence TNC trip demand. </w:t>
      </w:r>
      <w:bookmarkEnd w:id="6"/>
      <w:r w:rsidR="00225A69" w:rsidRPr="00FF2046">
        <w:rPr>
          <w:szCs w:val="24"/>
        </w:rPr>
        <w:t xml:space="preserve">Poulsen et al. </w:t>
      </w:r>
      <w:r w:rsidR="00934094" w:rsidRPr="00934094">
        <w:rPr>
          <w:i/>
          <w:iCs/>
          <w:szCs w:val="24"/>
        </w:rPr>
        <w:t>(41)</w:t>
      </w:r>
      <w:r w:rsidR="00934094">
        <w:rPr>
          <w:szCs w:val="24"/>
        </w:rPr>
        <w:t xml:space="preserve"> </w:t>
      </w:r>
      <w:r w:rsidR="00225A69" w:rsidRPr="00FF2046">
        <w:rPr>
          <w:szCs w:val="24"/>
        </w:rPr>
        <w:t xml:space="preserve">examined how the </w:t>
      </w:r>
      <w:r w:rsidR="0018356B" w:rsidRPr="00FF2046">
        <w:rPr>
          <w:szCs w:val="24"/>
        </w:rPr>
        <w:t>t</w:t>
      </w:r>
      <w:r w:rsidR="00225A69" w:rsidRPr="00FF2046">
        <w:rPr>
          <w:szCs w:val="24"/>
        </w:rPr>
        <w:t xml:space="preserve">wo systems that were introduced </w:t>
      </w:r>
      <w:proofErr w:type="gramStart"/>
      <w:r w:rsidR="00225A69" w:rsidRPr="00FF2046">
        <w:rPr>
          <w:szCs w:val="24"/>
        </w:rPr>
        <w:t>in</w:t>
      </w:r>
      <w:proofErr w:type="gramEnd"/>
      <w:r w:rsidR="00225A69" w:rsidRPr="00FF2046">
        <w:rPr>
          <w:szCs w:val="24"/>
        </w:rPr>
        <w:t xml:space="preserve"> the same time performed - Uber and Green taxis - in Manhattan area and found that the growth rate for Uber was substantially higher. Babar and Burtch </w:t>
      </w:r>
      <w:r w:rsidR="00934094" w:rsidRPr="00934094">
        <w:rPr>
          <w:i/>
          <w:iCs/>
          <w:szCs w:val="24"/>
        </w:rPr>
        <w:t>(42)</w:t>
      </w:r>
      <w:r w:rsidR="00225A69" w:rsidRPr="00FF2046">
        <w:rPr>
          <w:szCs w:val="24"/>
        </w:rPr>
        <w:t xml:space="preserve"> compared the utilization rate of transit service in the </w:t>
      </w:r>
      <w:r w:rsidR="00225A69" w:rsidRPr="00FF2046">
        <w:rPr>
          <w:szCs w:val="24"/>
        </w:rPr>
        <w:lastRenderedPageBreak/>
        <w:t xml:space="preserve">US after the introduction of TNC services </w:t>
      </w:r>
      <w:r w:rsidR="00225A69" w:rsidRPr="00B241DA">
        <w:rPr>
          <w:rFonts w:cs="Times New Roman"/>
          <w:szCs w:val="24"/>
        </w:rPr>
        <w:t>and found that utilization rate of bus service dropped while long-haul transit services (such as subway and commuter rail) experienced increasing utilization.</w:t>
      </w:r>
      <w:r w:rsidR="00D26A2A" w:rsidRPr="00B241DA">
        <w:rPr>
          <w:rFonts w:cs="Times New Roman"/>
          <w:szCs w:val="24"/>
        </w:rPr>
        <w:t xml:space="preserve"> </w:t>
      </w:r>
      <w:r w:rsidR="00287261">
        <w:rPr>
          <w:rFonts w:cs="Times New Roman"/>
          <w:szCs w:val="24"/>
        </w:rPr>
        <w:t xml:space="preserve"> </w:t>
      </w:r>
      <w:bookmarkStart w:id="7" w:name="_Hlk60969436"/>
      <w:r w:rsidR="00FE15F5" w:rsidRPr="00FE15F5">
        <w:rPr>
          <w:rFonts w:cs="Times New Roman"/>
          <w:szCs w:val="24"/>
        </w:rPr>
        <w:t xml:space="preserve">Nie </w:t>
      </w:r>
      <w:r w:rsidR="0097779B" w:rsidRPr="00492C90">
        <w:rPr>
          <w:rFonts w:cs="Times New Roman"/>
          <w:i/>
          <w:iCs/>
          <w:szCs w:val="24"/>
        </w:rPr>
        <w:t>(4</w:t>
      </w:r>
      <w:r w:rsidR="00C41F18">
        <w:rPr>
          <w:rFonts w:cs="Times New Roman"/>
          <w:i/>
          <w:iCs/>
          <w:szCs w:val="24"/>
        </w:rPr>
        <w:t>4</w:t>
      </w:r>
      <w:r w:rsidR="0097779B" w:rsidRPr="00492C90">
        <w:rPr>
          <w:rFonts w:cs="Times New Roman"/>
          <w:i/>
          <w:iCs/>
          <w:szCs w:val="24"/>
        </w:rPr>
        <w:t>)</w:t>
      </w:r>
      <w:r w:rsidR="00FE15F5" w:rsidRPr="00FE15F5">
        <w:rPr>
          <w:rFonts w:cs="Times New Roman"/>
          <w:szCs w:val="24"/>
        </w:rPr>
        <w:t xml:space="preserve"> </w:t>
      </w:r>
      <w:r w:rsidR="00C62A97" w:rsidRPr="00727F1D">
        <w:rPr>
          <w:szCs w:val="24"/>
        </w:rPr>
        <w:t xml:space="preserve">examined the competition between taxi industry and TNC and interestingly found that taxi industry in Shenzhen, China survived the emergence of </w:t>
      </w:r>
      <w:proofErr w:type="spellStart"/>
      <w:r w:rsidR="00C62A97" w:rsidRPr="00727F1D">
        <w:rPr>
          <w:szCs w:val="24"/>
        </w:rPr>
        <w:t>ridesourcing</w:t>
      </w:r>
      <w:proofErr w:type="spellEnd"/>
      <w:r w:rsidR="00C62A97" w:rsidRPr="00727F1D">
        <w:rPr>
          <w:szCs w:val="24"/>
        </w:rPr>
        <w:t>.</w:t>
      </w:r>
      <w:r w:rsidR="00C62A97" w:rsidRPr="00C41F18">
        <w:rPr>
          <w:szCs w:val="24"/>
        </w:rPr>
        <w:t xml:space="preserve"> </w:t>
      </w:r>
      <w:r w:rsidR="00C62A97" w:rsidRPr="00C41F18">
        <w:rPr>
          <w:rFonts w:cs="Times New Roman"/>
          <w:szCs w:val="24"/>
        </w:rPr>
        <w:t xml:space="preserve">Wang et al. </w:t>
      </w:r>
      <w:r w:rsidR="00C62A97" w:rsidRPr="00C41F18">
        <w:rPr>
          <w:rFonts w:cs="Times New Roman"/>
          <w:i/>
          <w:iCs/>
          <w:szCs w:val="24"/>
        </w:rPr>
        <w:t>(4</w:t>
      </w:r>
      <w:r w:rsidR="00C41F18" w:rsidRPr="00C41F18">
        <w:rPr>
          <w:rFonts w:cs="Times New Roman"/>
          <w:i/>
          <w:iCs/>
          <w:szCs w:val="24"/>
        </w:rPr>
        <w:t>5</w:t>
      </w:r>
      <w:r w:rsidR="00C62A97" w:rsidRPr="00C41F18">
        <w:rPr>
          <w:rFonts w:cs="Times New Roman"/>
          <w:i/>
          <w:iCs/>
          <w:szCs w:val="24"/>
        </w:rPr>
        <w:t>)</w:t>
      </w:r>
      <w:r w:rsidR="00C62A97" w:rsidRPr="000679D0">
        <w:rPr>
          <w:rFonts w:cs="Times New Roman"/>
          <w:szCs w:val="24"/>
        </w:rPr>
        <w:t xml:space="preserve"> analyzed the market equilibrium under TNC and traditional taxi services and found that changes in platform charges can alter the equilibrium. </w:t>
      </w:r>
      <w:r w:rsidR="00C62A97">
        <w:rPr>
          <w:rFonts w:cs="Times New Roman"/>
          <w:szCs w:val="24"/>
        </w:rPr>
        <w:t xml:space="preserve"> More recently multiple studies have </w:t>
      </w:r>
      <w:r w:rsidR="00163DC8">
        <w:rPr>
          <w:rFonts w:cs="Times New Roman"/>
          <w:szCs w:val="24"/>
        </w:rPr>
        <w:t xml:space="preserve">conducted economic analysis of </w:t>
      </w:r>
      <w:proofErr w:type="spellStart"/>
      <w:r w:rsidR="00163DC8">
        <w:rPr>
          <w:rFonts w:cs="Times New Roman"/>
          <w:szCs w:val="24"/>
        </w:rPr>
        <w:t>ridehailing</w:t>
      </w:r>
      <w:proofErr w:type="spellEnd"/>
      <w:r w:rsidR="00163DC8">
        <w:rPr>
          <w:rFonts w:cs="Times New Roman"/>
          <w:szCs w:val="24"/>
        </w:rPr>
        <w:t xml:space="preserve"> markets focusing on passenger and driver matching and studying the </w:t>
      </w:r>
      <w:r w:rsidR="00C62A97">
        <w:rPr>
          <w:rFonts w:cs="Times New Roman"/>
          <w:szCs w:val="24"/>
        </w:rPr>
        <w:t xml:space="preserve">impact of ride splitting among passengers on TNC demand </w:t>
      </w:r>
      <w:r w:rsidR="00C62A97" w:rsidRPr="00C41F18">
        <w:rPr>
          <w:rFonts w:cs="Times New Roman"/>
          <w:i/>
          <w:iCs/>
          <w:szCs w:val="24"/>
        </w:rPr>
        <w:t>(</w:t>
      </w:r>
      <w:r w:rsidR="00C41F18" w:rsidRPr="00C41F18">
        <w:rPr>
          <w:rFonts w:cs="Times New Roman"/>
          <w:i/>
          <w:iCs/>
          <w:szCs w:val="24"/>
        </w:rPr>
        <w:t>46</w:t>
      </w:r>
      <w:r w:rsidR="00727F1D">
        <w:rPr>
          <w:rFonts w:cs="Times New Roman"/>
          <w:i/>
          <w:iCs/>
          <w:szCs w:val="24"/>
        </w:rPr>
        <w:t>-</w:t>
      </w:r>
      <w:r w:rsidR="00C62A97" w:rsidRPr="00C41F18">
        <w:rPr>
          <w:rFonts w:cs="Times New Roman"/>
          <w:i/>
          <w:iCs/>
          <w:szCs w:val="24"/>
        </w:rPr>
        <w:t>4</w:t>
      </w:r>
      <w:r w:rsidR="00C41F18" w:rsidRPr="00C41F18">
        <w:rPr>
          <w:rFonts w:cs="Times New Roman"/>
          <w:i/>
          <w:iCs/>
          <w:szCs w:val="24"/>
        </w:rPr>
        <w:t>8</w:t>
      </w:r>
      <w:r w:rsidR="00C62A97" w:rsidRPr="00C41F18">
        <w:rPr>
          <w:rFonts w:cs="Times New Roman"/>
          <w:i/>
          <w:iCs/>
          <w:szCs w:val="24"/>
        </w:rPr>
        <w:t>)</w:t>
      </w:r>
      <w:r w:rsidR="00C41F18">
        <w:rPr>
          <w:rFonts w:cs="Times New Roman"/>
          <w:szCs w:val="24"/>
        </w:rPr>
        <w:t>.</w:t>
      </w:r>
      <w:bookmarkEnd w:id="7"/>
      <w:r w:rsidR="000679D0">
        <w:rPr>
          <w:rFonts w:cs="Times New Roman"/>
          <w:szCs w:val="24"/>
        </w:rPr>
        <w:tab/>
      </w:r>
    </w:p>
    <w:p w14:paraId="5FB96063" w14:textId="77777777" w:rsidR="00DA4AE4" w:rsidRPr="00B241DA" w:rsidRDefault="00DA4AE4" w:rsidP="00225A69">
      <w:pPr>
        <w:rPr>
          <w:rFonts w:cs="Times New Roman"/>
          <w:szCs w:val="24"/>
        </w:rPr>
      </w:pPr>
    </w:p>
    <w:p w14:paraId="743352EF" w14:textId="77777777" w:rsidR="00B1043B" w:rsidRPr="00B241DA" w:rsidRDefault="00B1043B" w:rsidP="00842E37">
      <w:pPr>
        <w:pStyle w:val="Heading2"/>
      </w:pPr>
      <w:r w:rsidRPr="00B241DA">
        <w:t>Current Study in Context</w:t>
      </w:r>
    </w:p>
    <w:p w14:paraId="63D3A09A" w14:textId="57C950FA" w:rsidR="008F08BF" w:rsidRPr="00B241DA" w:rsidRDefault="00EE7E12" w:rsidP="007D0DFF">
      <w:pPr>
        <w:autoSpaceDE w:val="0"/>
        <w:autoSpaceDN w:val="0"/>
        <w:adjustRightInd w:val="0"/>
        <w:rPr>
          <w:rFonts w:cs="Times New Roman"/>
          <w:szCs w:val="24"/>
        </w:rPr>
      </w:pPr>
      <w:r w:rsidRPr="00B241DA">
        <w:rPr>
          <w:rFonts w:cs="Times New Roman"/>
          <w:szCs w:val="24"/>
        </w:rPr>
        <w:t xml:space="preserve">The proposed study contributes to our understanding of </w:t>
      </w:r>
      <w:r w:rsidR="0018356B" w:rsidRPr="00B241DA">
        <w:rPr>
          <w:rFonts w:cs="Times New Roman"/>
          <w:szCs w:val="24"/>
        </w:rPr>
        <w:t xml:space="preserve">the ongoing </w:t>
      </w:r>
      <w:r w:rsidRPr="00B241DA">
        <w:rPr>
          <w:rFonts w:cs="Times New Roman"/>
          <w:szCs w:val="24"/>
        </w:rPr>
        <w:t xml:space="preserve">transformation </w:t>
      </w:r>
      <w:r w:rsidR="0018356B" w:rsidRPr="00B241DA">
        <w:rPr>
          <w:rFonts w:cs="Times New Roman"/>
          <w:szCs w:val="24"/>
        </w:rPr>
        <w:t xml:space="preserve">of </w:t>
      </w:r>
      <w:proofErr w:type="spellStart"/>
      <w:r w:rsidR="0095029D">
        <w:rPr>
          <w:rFonts w:cs="Times New Roman"/>
          <w:szCs w:val="24"/>
        </w:rPr>
        <w:t>ridehailing</w:t>
      </w:r>
      <w:proofErr w:type="spellEnd"/>
      <w:r w:rsidR="0018356B" w:rsidRPr="00B241DA">
        <w:rPr>
          <w:rFonts w:cs="Times New Roman"/>
          <w:szCs w:val="24"/>
        </w:rPr>
        <w:t xml:space="preserve"> market </w:t>
      </w:r>
      <w:r w:rsidRPr="00B241DA">
        <w:rPr>
          <w:rFonts w:cs="Times New Roman"/>
          <w:szCs w:val="24"/>
        </w:rPr>
        <w:t>by examining the NYC data from a fine spatial and temporal resolution</w:t>
      </w:r>
      <w:r w:rsidR="00BC2C57" w:rsidRPr="00B241DA">
        <w:rPr>
          <w:rFonts w:cs="Times New Roman"/>
          <w:szCs w:val="24"/>
        </w:rPr>
        <w:t xml:space="preserve"> using an innovative joint econometric model</w:t>
      </w:r>
      <w:r w:rsidRPr="00B241DA">
        <w:rPr>
          <w:rFonts w:cs="Times New Roman"/>
          <w:szCs w:val="24"/>
        </w:rPr>
        <w:t xml:space="preserve">. Specifically, as opposed to considering the transformation at a regional scale and in a </w:t>
      </w:r>
      <w:proofErr w:type="gramStart"/>
      <w:r w:rsidRPr="00B241DA">
        <w:rPr>
          <w:rFonts w:cs="Times New Roman"/>
          <w:szCs w:val="24"/>
        </w:rPr>
        <w:t>4 year</w:t>
      </w:r>
      <w:proofErr w:type="gramEnd"/>
      <w:r w:rsidRPr="00B241DA">
        <w:rPr>
          <w:rFonts w:cs="Times New Roman"/>
          <w:szCs w:val="24"/>
        </w:rPr>
        <w:t xml:space="preserve"> period, we examine taxi zone based demand data from NYC for each month and explore the reasons contributing to (a) the increase in </w:t>
      </w:r>
      <w:proofErr w:type="spellStart"/>
      <w:r w:rsidR="0095029D">
        <w:rPr>
          <w:rFonts w:cs="Times New Roman"/>
          <w:szCs w:val="24"/>
        </w:rPr>
        <w:t>ridehailing</w:t>
      </w:r>
      <w:proofErr w:type="spellEnd"/>
      <w:r w:rsidRPr="00B241DA">
        <w:rPr>
          <w:rFonts w:cs="Times New Roman"/>
          <w:szCs w:val="24"/>
        </w:rPr>
        <w:t xml:space="preserve"> demand and (b) the shift from traditional taxi services to TNC services. </w:t>
      </w:r>
      <w:r w:rsidR="003D66CB">
        <w:rPr>
          <w:rFonts w:cs="Times New Roman"/>
          <w:szCs w:val="24"/>
        </w:rPr>
        <w:t xml:space="preserve">A negative binomial count model and a multinomial fractional split model are used to analyze </w:t>
      </w:r>
      <w:proofErr w:type="spellStart"/>
      <w:r w:rsidR="0095029D">
        <w:rPr>
          <w:rFonts w:cs="Times New Roman"/>
          <w:szCs w:val="24"/>
        </w:rPr>
        <w:t>ridehailing</w:t>
      </w:r>
      <w:proofErr w:type="spellEnd"/>
      <w:r w:rsidR="003D66CB">
        <w:rPr>
          <w:rFonts w:cs="Times New Roman"/>
          <w:szCs w:val="24"/>
        </w:rPr>
        <w:t xml:space="preserve"> demand and proportion of traditional and TNC </w:t>
      </w:r>
      <w:proofErr w:type="gramStart"/>
      <w:r w:rsidR="003D66CB">
        <w:rPr>
          <w:rFonts w:cs="Times New Roman"/>
          <w:szCs w:val="24"/>
        </w:rPr>
        <w:t>demand</w:t>
      </w:r>
      <w:proofErr w:type="gramEnd"/>
      <w:r w:rsidR="003D66CB">
        <w:rPr>
          <w:rFonts w:cs="Times New Roman"/>
          <w:szCs w:val="24"/>
        </w:rPr>
        <w:t xml:space="preserve"> respectively. </w:t>
      </w:r>
      <w:r w:rsidRPr="00B241DA">
        <w:rPr>
          <w:rFonts w:cs="Times New Roman"/>
          <w:szCs w:val="24"/>
        </w:rPr>
        <w:t xml:space="preserve">As the data for the two components is obtained for the same spatial record, there are several common unobserved factors influencing the two variables. The database generated </w:t>
      </w:r>
      <w:r w:rsidR="0018356B" w:rsidRPr="00B241DA">
        <w:rPr>
          <w:rFonts w:cs="Times New Roman"/>
          <w:szCs w:val="24"/>
        </w:rPr>
        <w:t xml:space="preserve">also </w:t>
      </w:r>
      <w:r w:rsidRPr="00B241DA">
        <w:rPr>
          <w:rFonts w:cs="Times New Roman"/>
          <w:szCs w:val="24"/>
        </w:rPr>
        <w:t>has multiple data points for each spatial unit. Thus, a joint econometric model that accommodates for repeated measures (panel) and common unobserved factors across the two dependent variables is developed</w:t>
      </w:r>
      <w:r w:rsidR="0018356B" w:rsidRPr="00B241DA">
        <w:rPr>
          <w:rFonts w:cs="Times New Roman"/>
          <w:szCs w:val="24"/>
        </w:rPr>
        <w:t>. Specifically, we build on the cross-section</w:t>
      </w:r>
      <w:r w:rsidR="00BC2C57" w:rsidRPr="00B241DA">
        <w:rPr>
          <w:rFonts w:cs="Times New Roman"/>
          <w:szCs w:val="24"/>
        </w:rPr>
        <w:t>al</w:t>
      </w:r>
      <w:r w:rsidR="0018356B" w:rsidRPr="00B241DA">
        <w:rPr>
          <w:rFonts w:cs="Times New Roman"/>
          <w:szCs w:val="24"/>
        </w:rPr>
        <w:t xml:space="preserve"> joint negative binomial and multinomial </w:t>
      </w:r>
      <w:r w:rsidR="00FF07B4" w:rsidRPr="00B241DA">
        <w:rPr>
          <w:rFonts w:cs="Times New Roman"/>
          <w:szCs w:val="24"/>
        </w:rPr>
        <w:t>fractional</w:t>
      </w:r>
      <w:r w:rsidR="0018356B" w:rsidRPr="00B241DA">
        <w:rPr>
          <w:rFonts w:cs="Times New Roman"/>
          <w:szCs w:val="24"/>
        </w:rPr>
        <w:t xml:space="preserve"> split model developed in </w:t>
      </w:r>
      <w:r w:rsidRPr="00727F1D">
        <w:rPr>
          <w:rFonts w:cs="Times New Roman"/>
          <w:szCs w:val="24"/>
        </w:rPr>
        <w:t>Bhowmik et al.</w:t>
      </w:r>
      <w:r w:rsidR="00B31A78" w:rsidRPr="00727F1D">
        <w:rPr>
          <w:rFonts w:cs="Times New Roman"/>
          <w:szCs w:val="24"/>
        </w:rPr>
        <w:t xml:space="preserve"> </w:t>
      </w:r>
      <w:r w:rsidR="0097779B" w:rsidRPr="00727F1D">
        <w:rPr>
          <w:rFonts w:cs="Times New Roman"/>
          <w:i/>
          <w:iCs/>
          <w:szCs w:val="24"/>
        </w:rPr>
        <w:t>(</w:t>
      </w:r>
      <w:r w:rsidR="00727F1D" w:rsidRPr="00727F1D">
        <w:rPr>
          <w:rFonts w:cs="Times New Roman"/>
          <w:i/>
          <w:iCs/>
          <w:szCs w:val="24"/>
        </w:rPr>
        <w:t>49</w:t>
      </w:r>
      <w:r w:rsidR="0097779B" w:rsidRPr="00727F1D">
        <w:rPr>
          <w:rFonts w:cs="Times New Roman"/>
          <w:i/>
          <w:iCs/>
          <w:szCs w:val="24"/>
        </w:rPr>
        <w:t>)</w:t>
      </w:r>
      <w:r w:rsidR="00727F1D">
        <w:rPr>
          <w:rFonts w:cs="Times New Roman"/>
          <w:i/>
          <w:iCs/>
          <w:szCs w:val="24"/>
        </w:rPr>
        <w:t xml:space="preserve"> </w:t>
      </w:r>
      <w:r w:rsidR="0018356B" w:rsidRPr="00B241DA">
        <w:rPr>
          <w:rFonts w:cs="Times New Roman"/>
          <w:szCs w:val="24"/>
        </w:rPr>
        <w:t xml:space="preserve">for </w:t>
      </w:r>
      <w:r w:rsidRPr="00B241DA">
        <w:rPr>
          <w:rFonts w:cs="Times New Roman"/>
          <w:szCs w:val="24"/>
        </w:rPr>
        <w:t xml:space="preserve">a different </w:t>
      </w:r>
      <w:r w:rsidR="0018356B" w:rsidRPr="00B241DA">
        <w:rPr>
          <w:rFonts w:cs="Times New Roman"/>
          <w:szCs w:val="24"/>
        </w:rPr>
        <w:t xml:space="preserve">empirical </w:t>
      </w:r>
      <w:r w:rsidRPr="00B241DA">
        <w:rPr>
          <w:rFonts w:cs="Times New Roman"/>
          <w:szCs w:val="24"/>
        </w:rPr>
        <w:t xml:space="preserve">context. </w:t>
      </w:r>
      <w:r w:rsidR="00957872">
        <w:rPr>
          <w:rFonts w:cs="Times New Roman"/>
          <w:szCs w:val="24"/>
        </w:rPr>
        <w:t xml:space="preserve">The reader would note that </w:t>
      </w:r>
      <w:r w:rsidR="00957872" w:rsidRPr="00B241DA">
        <w:rPr>
          <w:rFonts w:cs="Times New Roman"/>
          <w:szCs w:val="24"/>
        </w:rPr>
        <w:t xml:space="preserve">traditional and TNC services demand </w:t>
      </w:r>
      <w:r w:rsidR="00957872">
        <w:rPr>
          <w:rFonts w:cs="Times New Roman"/>
          <w:szCs w:val="24"/>
        </w:rPr>
        <w:t xml:space="preserve">can also be analyzed using a multivariate random parameter negative binomial model system. In the multivariate model system, the main interaction across </w:t>
      </w:r>
      <w:r w:rsidR="00957872" w:rsidRPr="00957872">
        <w:rPr>
          <w:rFonts w:cs="Times New Roman"/>
          <w:szCs w:val="24"/>
        </w:rPr>
        <w:t xml:space="preserve">different </w:t>
      </w:r>
      <w:r w:rsidR="00957872">
        <w:rPr>
          <w:rFonts w:cs="Times New Roman"/>
          <w:szCs w:val="24"/>
        </w:rPr>
        <w:t>demand</w:t>
      </w:r>
      <w:r w:rsidR="00957872" w:rsidRPr="00957872">
        <w:rPr>
          <w:rFonts w:cs="Times New Roman"/>
          <w:szCs w:val="24"/>
        </w:rPr>
        <w:t xml:space="preserve"> variables is sought</w:t>
      </w:r>
      <w:r w:rsidR="00957872">
        <w:rPr>
          <w:rFonts w:cs="Times New Roman"/>
          <w:szCs w:val="24"/>
        </w:rPr>
        <w:t xml:space="preserve"> </w:t>
      </w:r>
      <w:r w:rsidR="00957872" w:rsidRPr="00957872">
        <w:rPr>
          <w:rFonts w:cs="Times New Roman"/>
          <w:szCs w:val="24"/>
        </w:rPr>
        <w:t>through unobserved effects</w:t>
      </w:r>
      <w:r w:rsidR="00957872">
        <w:rPr>
          <w:rFonts w:cs="Times New Roman"/>
          <w:szCs w:val="24"/>
        </w:rPr>
        <w:t xml:space="preserve">. On the other hand, the </w:t>
      </w:r>
      <w:r w:rsidR="00957872">
        <w:t xml:space="preserve">fractional split approach directly relates an exogenous variable to demand proportions simultaneously and allows for the estimation of a parsimonious specification. Further, </w:t>
      </w:r>
      <w:r w:rsidR="00957872">
        <w:rPr>
          <w:rFonts w:cs="Times New Roman"/>
          <w:szCs w:val="24"/>
        </w:rPr>
        <w:t xml:space="preserve">as illustrated in Bhowmik et al. </w:t>
      </w:r>
      <w:r w:rsidR="00934094" w:rsidRPr="00727F1D">
        <w:rPr>
          <w:rFonts w:cs="Times New Roman"/>
          <w:i/>
          <w:iCs/>
          <w:szCs w:val="24"/>
        </w:rPr>
        <w:t>(49)</w:t>
      </w:r>
      <w:r w:rsidR="00957872">
        <w:rPr>
          <w:rFonts w:cs="Times New Roman"/>
          <w:szCs w:val="24"/>
        </w:rPr>
        <w:t xml:space="preserve">, the fractional split model system outperforms the traditional multivariate count system in model prediction. </w:t>
      </w:r>
    </w:p>
    <w:p w14:paraId="4340B0ED" w14:textId="2D0C0C4F" w:rsidR="00891949" w:rsidRPr="00B241DA" w:rsidRDefault="00EE7E12" w:rsidP="00ED6D3F">
      <w:pPr>
        <w:autoSpaceDE w:val="0"/>
        <w:autoSpaceDN w:val="0"/>
        <w:adjustRightInd w:val="0"/>
        <w:ind w:firstLine="720"/>
        <w:rPr>
          <w:rFonts w:cs="Times New Roman"/>
        </w:rPr>
      </w:pPr>
      <w:r w:rsidRPr="00B241DA">
        <w:rPr>
          <w:rFonts w:cs="Times New Roman"/>
          <w:szCs w:val="24"/>
        </w:rPr>
        <w:t>The econometric model will explore how various attributes typically considered within the transportation planning process affect the transformation. The comprehensive set of independent variables considered include transportation infrastructure variables, land use and built environment variables, weather attributes, and temporal attributes</w:t>
      </w:r>
      <w:r w:rsidR="00181764">
        <w:rPr>
          <w:rFonts w:cs="Times New Roman"/>
          <w:szCs w:val="24"/>
        </w:rPr>
        <w:t xml:space="preserve"> (as has been considered </w:t>
      </w:r>
      <w:r w:rsidR="007C61F8">
        <w:rPr>
          <w:rFonts w:cs="Times New Roman"/>
          <w:szCs w:val="24"/>
        </w:rPr>
        <w:t xml:space="preserve">in </w:t>
      </w:r>
      <w:r w:rsidR="00960A10">
        <w:rPr>
          <w:rFonts w:cs="Times New Roman"/>
          <w:szCs w:val="24"/>
        </w:rPr>
        <w:t xml:space="preserve">other studies such as </w:t>
      </w:r>
      <w:r w:rsidR="00DD3215" w:rsidRPr="000B4CB7">
        <w:rPr>
          <w:rFonts w:cs="Times New Roman"/>
          <w:szCs w:val="24"/>
        </w:rPr>
        <w:t xml:space="preserve">Yu and Peng </w:t>
      </w:r>
      <w:r w:rsidR="00DD3215" w:rsidRPr="00934094">
        <w:rPr>
          <w:rFonts w:cs="Times New Roman"/>
          <w:i/>
          <w:iCs/>
          <w:szCs w:val="24"/>
        </w:rPr>
        <w:t>(39)</w:t>
      </w:r>
      <w:r w:rsidR="00DD3215" w:rsidRPr="000B4CB7">
        <w:rPr>
          <w:rFonts w:cs="Times New Roman"/>
          <w:szCs w:val="24"/>
        </w:rPr>
        <w:t xml:space="preserve"> and Lavieri et al. </w:t>
      </w:r>
      <w:r w:rsidR="00DD3215" w:rsidRPr="00934094">
        <w:rPr>
          <w:rFonts w:cs="Times New Roman"/>
          <w:i/>
          <w:iCs/>
          <w:szCs w:val="24"/>
        </w:rPr>
        <w:t>(40)</w:t>
      </w:r>
      <w:r w:rsidR="00DD3215">
        <w:rPr>
          <w:rFonts w:cs="Times New Roman"/>
          <w:szCs w:val="24"/>
        </w:rPr>
        <w:t>)</w:t>
      </w:r>
      <w:r w:rsidRPr="00B241DA">
        <w:rPr>
          <w:rFonts w:cs="Times New Roman"/>
          <w:szCs w:val="24"/>
        </w:rPr>
        <w:t>. The study recognizes that technology adoption cannot be explained by simply considering the variables described. To quantify the impact of time, we explicitly consider time elapsed since the beginning of TNC data collection in NYC as a surrogate variable</w:t>
      </w:r>
      <w:r w:rsidR="0018356B" w:rsidRPr="00B241DA">
        <w:rPr>
          <w:rFonts w:cs="Times New Roman"/>
          <w:szCs w:val="24"/>
        </w:rPr>
        <w:t xml:space="preserve"> of technological adoption impact</w:t>
      </w:r>
      <w:r w:rsidRPr="00B241DA">
        <w:rPr>
          <w:rFonts w:cs="Times New Roman"/>
          <w:szCs w:val="24"/>
        </w:rPr>
        <w:t xml:space="preserve">. </w:t>
      </w:r>
      <w:r w:rsidR="0018356B" w:rsidRPr="00B241DA">
        <w:rPr>
          <w:rFonts w:cs="Times New Roman"/>
        </w:rPr>
        <w:t xml:space="preserve">To conduct our research analysis, the data is drawn from New York City Taxi &amp; Limousine Commission (NYCTLC) website from January 2015 through December 2018. The data was processed to obtain monthly pickup demand for three </w:t>
      </w:r>
      <w:proofErr w:type="spellStart"/>
      <w:r w:rsidR="0095029D">
        <w:rPr>
          <w:rFonts w:cs="Times New Roman"/>
        </w:rPr>
        <w:t>ridehailing</w:t>
      </w:r>
      <w:proofErr w:type="spellEnd"/>
      <w:r w:rsidR="0018356B" w:rsidRPr="00B241DA">
        <w:rPr>
          <w:rFonts w:cs="Times New Roman"/>
        </w:rPr>
        <w:t xml:space="preserve"> </w:t>
      </w:r>
      <w:r w:rsidR="005C060D" w:rsidRPr="00B241DA">
        <w:rPr>
          <w:rFonts w:cs="Times New Roman"/>
        </w:rPr>
        <w:t>alternatives</w:t>
      </w:r>
      <w:r w:rsidR="0018356B" w:rsidRPr="00B241DA">
        <w:rPr>
          <w:rFonts w:cs="Times New Roman"/>
        </w:rPr>
        <w:t xml:space="preserve"> (</w:t>
      </w:r>
      <w:r w:rsidR="00573A35">
        <w:rPr>
          <w:rFonts w:cs="Times New Roman"/>
        </w:rPr>
        <w:t>Y</w:t>
      </w:r>
      <w:r w:rsidR="0018356B" w:rsidRPr="00B241DA">
        <w:rPr>
          <w:rFonts w:cs="Times New Roman"/>
        </w:rPr>
        <w:t xml:space="preserve">ellow taxi, </w:t>
      </w:r>
      <w:r w:rsidR="00573A35">
        <w:rPr>
          <w:rFonts w:cs="Times New Roman"/>
        </w:rPr>
        <w:t>G</w:t>
      </w:r>
      <w:r w:rsidR="0018356B" w:rsidRPr="00B241DA">
        <w:rPr>
          <w:rFonts w:cs="Times New Roman"/>
        </w:rPr>
        <w:t xml:space="preserve">reen taxi and </w:t>
      </w:r>
      <w:r w:rsidR="005C060D" w:rsidRPr="00B241DA">
        <w:rPr>
          <w:rFonts w:cs="Times New Roman"/>
        </w:rPr>
        <w:t>TNCs</w:t>
      </w:r>
      <w:r w:rsidR="0018356B" w:rsidRPr="00B241DA">
        <w:rPr>
          <w:rFonts w:cs="Times New Roman"/>
        </w:rPr>
        <w:t xml:space="preserve">) at the taxi zone level. </w:t>
      </w:r>
      <w:r w:rsidRPr="00B241DA">
        <w:rPr>
          <w:rFonts w:cs="Times New Roman"/>
          <w:szCs w:val="24"/>
        </w:rPr>
        <w:t xml:space="preserve">The model estimates are validated using a </w:t>
      </w:r>
      <w:r w:rsidR="005E3C29" w:rsidRPr="00B241DA">
        <w:rPr>
          <w:rFonts w:cs="Times New Roman"/>
          <w:szCs w:val="24"/>
        </w:rPr>
        <w:t>holdout</w:t>
      </w:r>
      <w:r w:rsidRPr="00B241DA">
        <w:rPr>
          <w:rFonts w:cs="Times New Roman"/>
          <w:szCs w:val="24"/>
        </w:rPr>
        <w:t xml:space="preserve"> sample. Further, a policy exercise is conducted to illustrate how the proposed model system can be utilized for </w:t>
      </w:r>
      <w:r w:rsidR="005C060D" w:rsidRPr="00B241DA">
        <w:rPr>
          <w:rFonts w:cs="Times New Roman"/>
          <w:szCs w:val="24"/>
        </w:rPr>
        <w:t xml:space="preserve">predicting future </w:t>
      </w:r>
      <w:proofErr w:type="spellStart"/>
      <w:r w:rsidR="0095029D">
        <w:rPr>
          <w:rFonts w:cs="Times New Roman"/>
          <w:szCs w:val="24"/>
        </w:rPr>
        <w:t>ridehailing</w:t>
      </w:r>
      <w:proofErr w:type="spellEnd"/>
      <w:r w:rsidR="005C060D" w:rsidRPr="00B241DA">
        <w:rPr>
          <w:rFonts w:cs="Times New Roman"/>
          <w:szCs w:val="24"/>
        </w:rPr>
        <w:t xml:space="preserve"> trends.</w:t>
      </w:r>
    </w:p>
    <w:p w14:paraId="35C77A12" w14:textId="684CABC7" w:rsidR="00650883" w:rsidRPr="00B241DA" w:rsidRDefault="00650883" w:rsidP="00650883">
      <w:pPr>
        <w:ind w:firstLine="720"/>
        <w:rPr>
          <w:rFonts w:eastAsiaTheme="minorEastAsia" w:cs="Times New Roman"/>
          <w:szCs w:val="24"/>
        </w:rPr>
      </w:pPr>
    </w:p>
    <w:p w14:paraId="514441BC" w14:textId="77777777" w:rsidR="00C74079" w:rsidRDefault="00C74079" w:rsidP="00ED3B6E"/>
    <w:p w14:paraId="44AD2224" w14:textId="77777777" w:rsidR="00C74079" w:rsidRDefault="00C74079" w:rsidP="00ED3B6E"/>
    <w:p w14:paraId="112DEF14" w14:textId="41039ADE" w:rsidR="00650883" w:rsidRPr="00B241DA" w:rsidRDefault="00650883" w:rsidP="00ED3B6E">
      <w:pPr>
        <w:pStyle w:val="TRBHead1"/>
      </w:pPr>
      <w:r w:rsidRPr="00B241DA">
        <w:lastRenderedPageBreak/>
        <w:t xml:space="preserve">Data </w:t>
      </w:r>
    </w:p>
    <w:p w14:paraId="2A397AA7" w14:textId="77777777" w:rsidR="00650883" w:rsidRPr="00B241DA" w:rsidRDefault="00650883" w:rsidP="00650883">
      <w:pPr>
        <w:rPr>
          <w:rFonts w:cs="Times New Roman"/>
          <w:szCs w:val="24"/>
        </w:rPr>
      </w:pPr>
    </w:p>
    <w:p w14:paraId="7A232ED5" w14:textId="77777777" w:rsidR="00650883" w:rsidRPr="00B241DA" w:rsidRDefault="00650883" w:rsidP="00ED3B6E">
      <w:pPr>
        <w:pStyle w:val="Heading2"/>
      </w:pPr>
      <w:r w:rsidRPr="00B241DA">
        <w:t>Data Source</w:t>
      </w:r>
    </w:p>
    <w:p w14:paraId="32C89D3D" w14:textId="48DCB4ED" w:rsidR="00650883" w:rsidRPr="00B241DA" w:rsidRDefault="00650883" w:rsidP="006D5D87">
      <w:pPr>
        <w:rPr>
          <w:rFonts w:cs="Times New Roman"/>
          <w:szCs w:val="24"/>
        </w:rPr>
      </w:pPr>
      <w:bookmarkStart w:id="8" w:name="_Hlk55321821"/>
      <w:r w:rsidRPr="00B241DA">
        <w:rPr>
          <w:rFonts w:cs="Times New Roman"/>
          <w:szCs w:val="24"/>
        </w:rPr>
        <w:t xml:space="preserve">The NYCTLC provides spatially aggregated trip data from all </w:t>
      </w:r>
      <w:r w:rsidR="003B6512" w:rsidRPr="00B241DA">
        <w:rPr>
          <w:rFonts w:cs="Times New Roman"/>
          <w:szCs w:val="24"/>
        </w:rPr>
        <w:t>transportation</w:t>
      </w:r>
      <w:r w:rsidR="006D5D87" w:rsidRPr="00B241DA">
        <w:rPr>
          <w:rFonts w:cs="Times New Roman"/>
          <w:szCs w:val="24"/>
        </w:rPr>
        <w:t xml:space="preserve"> networking </w:t>
      </w:r>
      <w:r w:rsidRPr="00B241DA">
        <w:rPr>
          <w:rFonts w:cs="Times New Roman"/>
          <w:szCs w:val="24"/>
        </w:rPr>
        <w:t xml:space="preserve">companies (taxi, Uber, Lyft, </w:t>
      </w:r>
      <w:proofErr w:type="gramStart"/>
      <w:r w:rsidRPr="00B241DA">
        <w:rPr>
          <w:rFonts w:cs="Times New Roman"/>
          <w:szCs w:val="24"/>
        </w:rPr>
        <w:t>Juno</w:t>
      </w:r>
      <w:proofErr w:type="gramEnd"/>
      <w:r w:rsidRPr="00B241DA">
        <w:rPr>
          <w:rFonts w:cs="Times New Roman"/>
          <w:szCs w:val="24"/>
        </w:rPr>
        <w:t xml:space="preserve"> and Via) for public use (</w:t>
      </w:r>
      <w:hyperlink r:id="rId17" w:history="1">
        <w:r w:rsidRPr="00B241DA">
          <w:rPr>
            <w:rStyle w:val="Hyperlink"/>
            <w:rFonts w:cs="Times New Roman"/>
            <w:szCs w:val="24"/>
          </w:rPr>
          <w:t>https://www1.nyc.gov/site/tlc/about/tlc-trip-record-data.page</w:t>
        </w:r>
      </w:hyperlink>
      <w:r w:rsidRPr="00B241DA">
        <w:rPr>
          <w:rFonts w:cs="Times New Roman"/>
          <w:szCs w:val="24"/>
        </w:rPr>
        <w:t xml:space="preserve">). </w:t>
      </w:r>
      <w:bookmarkStart w:id="9" w:name="_Hlk56374933"/>
      <w:bookmarkEnd w:id="8"/>
      <w:r w:rsidRPr="00B241DA">
        <w:rPr>
          <w:rStyle w:val="ms-font-s"/>
          <w:rFonts w:cs="Times New Roman"/>
          <w:color w:val="000000" w:themeColor="text1"/>
          <w:szCs w:val="24"/>
        </w:rPr>
        <w:t xml:space="preserve">Yellow taxis are traditional and iconic </w:t>
      </w:r>
      <w:proofErr w:type="spellStart"/>
      <w:r w:rsidR="0095029D">
        <w:rPr>
          <w:rStyle w:val="ms-font-s"/>
          <w:rFonts w:cs="Times New Roman"/>
          <w:color w:val="000000" w:themeColor="text1"/>
          <w:szCs w:val="24"/>
        </w:rPr>
        <w:t>ridehailing</w:t>
      </w:r>
      <w:proofErr w:type="spellEnd"/>
      <w:r w:rsidRPr="00B241DA">
        <w:rPr>
          <w:rStyle w:val="ms-font-s"/>
          <w:rFonts w:cs="Times New Roman"/>
          <w:color w:val="000000" w:themeColor="text1"/>
          <w:szCs w:val="24"/>
        </w:rPr>
        <w:t xml:space="preserve"> service in NYC while </w:t>
      </w:r>
      <w:r w:rsidR="00573A35">
        <w:rPr>
          <w:rStyle w:val="ms-font-s"/>
          <w:rFonts w:cs="Times New Roman"/>
          <w:color w:val="000000" w:themeColor="text1"/>
          <w:szCs w:val="24"/>
        </w:rPr>
        <w:t>G</w:t>
      </w:r>
      <w:r w:rsidRPr="00B241DA">
        <w:rPr>
          <w:rStyle w:val="ms-font-s"/>
          <w:rFonts w:cs="Times New Roman"/>
          <w:color w:val="000000" w:themeColor="text1"/>
          <w:szCs w:val="24"/>
        </w:rPr>
        <w:t xml:space="preserve">reen taxis known as </w:t>
      </w:r>
      <w:proofErr w:type="spellStart"/>
      <w:r w:rsidRPr="00B241DA">
        <w:rPr>
          <w:rStyle w:val="ms-font-s"/>
          <w:rFonts w:cs="Times New Roman"/>
          <w:color w:val="000000" w:themeColor="text1"/>
          <w:szCs w:val="24"/>
        </w:rPr>
        <w:t>boro</w:t>
      </w:r>
      <w:proofErr w:type="spellEnd"/>
      <w:r w:rsidRPr="00B241DA">
        <w:rPr>
          <w:rStyle w:val="ms-font-s"/>
          <w:rFonts w:cs="Times New Roman"/>
          <w:color w:val="000000" w:themeColor="text1"/>
          <w:szCs w:val="24"/>
        </w:rPr>
        <w:t xml:space="preserve"> taxis and street-hail liveries </w:t>
      </w:r>
      <w:r w:rsidR="006D5D87" w:rsidRPr="00B241DA">
        <w:rPr>
          <w:rStyle w:val="ms-font-s"/>
          <w:rFonts w:cs="Times New Roman"/>
          <w:color w:val="000000" w:themeColor="text1"/>
          <w:szCs w:val="24"/>
        </w:rPr>
        <w:t>started operation in</w:t>
      </w:r>
      <w:r w:rsidRPr="00B241DA">
        <w:rPr>
          <w:rStyle w:val="ms-font-s"/>
          <w:rFonts w:cs="Times New Roman"/>
          <w:color w:val="000000" w:themeColor="text1"/>
          <w:szCs w:val="24"/>
        </w:rPr>
        <w:t xml:space="preserve"> August 2013</w:t>
      </w:r>
      <w:r w:rsidR="0039557D">
        <w:rPr>
          <w:rStyle w:val="ms-font-s"/>
          <w:rFonts w:cs="Times New Roman"/>
          <w:color w:val="000000" w:themeColor="text1"/>
          <w:szCs w:val="24"/>
        </w:rPr>
        <w:t xml:space="preserve"> </w:t>
      </w:r>
      <w:r w:rsidR="007D2286">
        <w:rPr>
          <w:rStyle w:val="ms-font-s"/>
          <w:rFonts w:cs="Times New Roman"/>
          <w:color w:val="000000" w:themeColor="text1"/>
          <w:szCs w:val="24"/>
        </w:rPr>
        <w:t xml:space="preserve">and </w:t>
      </w:r>
      <w:r w:rsidR="0039557D" w:rsidRPr="00ED4D1A">
        <w:rPr>
          <w:rFonts w:cs="Times New Roman"/>
          <w:szCs w:val="24"/>
        </w:rPr>
        <w:t>operate</w:t>
      </w:r>
      <w:r w:rsidR="007D2286">
        <w:rPr>
          <w:rFonts w:cs="Times New Roman"/>
          <w:szCs w:val="24"/>
        </w:rPr>
        <w:t xml:space="preserve"> pickups</w:t>
      </w:r>
      <w:r w:rsidR="0039557D" w:rsidRPr="00ED4D1A">
        <w:rPr>
          <w:rFonts w:cs="Times New Roman"/>
          <w:szCs w:val="24"/>
        </w:rPr>
        <w:t xml:space="preserve"> in northern Manhattan, Bronx, Brooklyn, Staten Island and Queens </w:t>
      </w:r>
      <w:r w:rsidR="007D2286">
        <w:rPr>
          <w:rFonts w:cs="Times New Roman"/>
          <w:szCs w:val="24"/>
        </w:rPr>
        <w:t xml:space="preserve">with the ability to </w:t>
      </w:r>
      <w:r w:rsidR="0039557D" w:rsidRPr="00ED4D1A">
        <w:rPr>
          <w:rFonts w:cs="Times New Roman"/>
          <w:szCs w:val="24"/>
        </w:rPr>
        <w:t>drop off anywhere in NYC</w:t>
      </w:r>
      <w:r w:rsidRPr="00B241DA">
        <w:rPr>
          <w:rStyle w:val="ms-font-s"/>
          <w:rFonts w:cs="Times New Roman"/>
          <w:color w:val="000000" w:themeColor="text1"/>
          <w:szCs w:val="24"/>
        </w:rPr>
        <w:t xml:space="preserve">. </w:t>
      </w:r>
      <w:bookmarkEnd w:id="9"/>
      <w:r w:rsidR="006D5D87" w:rsidRPr="00B241DA">
        <w:rPr>
          <w:rStyle w:val="ms-font-s"/>
          <w:rFonts w:cs="Times New Roman"/>
          <w:color w:val="000000" w:themeColor="text1"/>
          <w:szCs w:val="24"/>
        </w:rPr>
        <w:t xml:space="preserve">TNCs became operation at around a similar time frame. Thus, it is informative to examine how the share of </w:t>
      </w:r>
      <w:r w:rsidR="00573A35">
        <w:rPr>
          <w:rStyle w:val="ms-font-s"/>
          <w:rFonts w:cs="Times New Roman"/>
          <w:color w:val="000000" w:themeColor="text1"/>
          <w:szCs w:val="24"/>
        </w:rPr>
        <w:t>G</w:t>
      </w:r>
      <w:r w:rsidR="006D5D87" w:rsidRPr="00B241DA">
        <w:rPr>
          <w:rStyle w:val="ms-font-s"/>
          <w:rFonts w:cs="Times New Roman"/>
          <w:color w:val="000000" w:themeColor="text1"/>
          <w:szCs w:val="24"/>
        </w:rPr>
        <w:t xml:space="preserve">reen taxi and </w:t>
      </w:r>
      <w:r w:rsidR="003B6512" w:rsidRPr="00B241DA">
        <w:rPr>
          <w:rStyle w:val="ms-font-s"/>
          <w:rFonts w:cs="Times New Roman"/>
          <w:color w:val="000000" w:themeColor="text1"/>
          <w:szCs w:val="24"/>
        </w:rPr>
        <w:t>TNCs</w:t>
      </w:r>
      <w:r w:rsidR="006D5D87" w:rsidRPr="00B241DA">
        <w:rPr>
          <w:rStyle w:val="ms-font-s"/>
          <w:rFonts w:cs="Times New Roman"/>
          <w:color w:val="000000" w:themeColor="text1"/>
          <w:szCs w:val="24"/>
        </w:rPr>
        <w:t xml:space="preserve"> has evolved with time. </w:t>
      </w:r>
      <w:r w:rsidRPr="00B241DA">
        <w:rPr>
          <w:rStyle w:val="ms-font-s"/>
          <w:rFonts w:cs="Times New Roman"/>
          <w:color w:val="000000" w:themeColor="text1"/>
          <w:szCs w:val="24"/>
        </w:rPr>
        <w:t xml:space="preserve">The trip itinerary dataset was collected from 2015-2018 for </w:t>
      </w:r>
      <w:r w:rsidR="00573A35">
        <w:rPr>
          <w:rStyle w:val="ms-font-s"/>
          <w:rFonts w:cs="Times New Roman"/>
          <w:color w:val="000000" w:themeColor="text1"/>
          <w:szCs w:val="24"/>
        </w:rPr>
        <w:t>Y</w:t>
      </w:r>
      <w:r w:rsidRPr="00B241DA">
        <w:rPr>
          <w:rStyle w:val="ms-font-s"/>
          <w:rFonts w:cs="Times New Roman"/>
          <w:color w:val="000000" w:themeColor="text1"/>
          <w:szCs w:val="24"/>
        </w:rPr>
        <w:t xml:space="preserve">ellow taxi, </w:t>
      </w:r>
      <w:r w:rsidR="00573A35">
        <w:rPr>
          <w:rStyle w:val="ms-font-s"/>
          <w:rFonts w:cs="Times New Roman"/>
          <w:color w:val="000000" w:themeColor="text1"/>
          <w:szCs w:val="24"/>
        </w:rPr>
        <w:t>G</w:t>
      </w:r>
      <w:r w:rsidRPr="00B241DA">
        <w:rPr>
          <w:rStyle w:val="ms-font-s"/>
          <w:rFonts w:cs="Times New Roman"/>
          <w:color w:val="000000" w:themeColor="text1"/>
          <w:szCs w:val="24"/>
        </w:rPr>
        <w:t xml:space="preserve">reen taxi and </w:t>
      </w:r>
      <w:r w:rsidR="006D5D87" w:rsidRPr="00B241DA">
        <w:rPr>
          <w:rStyle w:val="ms-font-s"/>
          <w:rFonts w:cs="Times New Roman"/>
          <w:color w:val="000000" w:themeColor="text1"/>
          <w:szCs w:val="24"/>
        </w:rPr>
        <w:t>TNC</w:t>
      </w:r>
      <w:r w:rsidRPr="00B241DA">
        <w:rPr>
          <w:rStyle w:val="ms-font-s"/>
          <w:rFonts w:cs="Times New Roman"/>
          <w:color w:val="000000" w:themeColor="text1"/>
          <w:szCs w:val="24"/>
        </w:rPr>
        <w:t xml:space="preserve"> (Uber, Lyft, </w:t>
      </w:r>
      <w:proofErr w:type="gramStart"/>
      <w:r w:rsidRPr="00B241DA">
        <w:rPr>
          <w:rStyle w:val="ms-font-s"/>
          <w:rFonts w:cs="Times New Roman"/>
          <w:color w:val="000000" w:themeColor="text1"/>
          <w:szCs w:val="24"/>
        </w:rPr>
        <w:t>Juno</w:t>
      </w:r>
      <w:proofErr w:type="gramEnd"/>
      <w:r w:rsidRPr="00B241DA">
        <w:rPr>
          <w:rStyle w:val="ms-font-s"/>
          <w:rFonts w:cs="Times New Roman"/>
          <w:color w:val="000000" w:themeColor="text1"/>
          <w:szCs w:val="24"/>
        </w:rPr>
        <w:t xml:space="preserve"> and Via) for our analysis. </w:t>
      </w:r>
      <w:r w:rsidRPr="00B241DA">
        <w:rPr>
          <w:rFonts w:cs="Times New Roman"/>
          <w:szCs w:val="24"/>
        </w:rPr>
        <w:t>The dataset provides information on start and end time of trips, origin and destination defined as taxi zone ID, trip distance and vehicle license number. The trip data was augmented with other sources including: (1) built environment attributes derived from New York City open data (</w:t>
      </w:r>
      <w:hyperlink r:id="rId18" w:history="1">
        <w:r w:rsidRPr="00B241DA">
          <w:rPr>
            <w:rStyle w:val="Hyperlink"/>
            <w:rFonts w:cs="Times New Roman"/>
            <w:szCs w:val="24"/>
          </w:rPr>
          <w:t>https://nycopendata.socrata.com</w:t>
        </w:r>
      </w:hyperlink>
      <w:r w:rsidRPr="00B241DA">
        <w:rPr>
          <w:rFonts w:cs="Times New Roman"/>
          <w:szCs w:val="24"/>
        </w:rPr>
        <w:t>); (2) socio-demographic characteristics at the census tract/zip code level gathered from US 2010 census data; (3) the</w:t>
      </w:r>
      <w:r w:rsidRPr="00FF2046">
        <w:rPr>
          <w:rFonts w:cs="Times New Roman"/>
          <w:szCs w:val="24"/>
        </w:rPr>
        <w:t xml:space="preserve"> </w:t>
      </w:r>
      <w:r w:rsidRPr="00B241DA">
        <w:rPr>
          <w:rFonts w:cs="Times New Roman"/>
          <w:szCs w:val="24"/>
        </w:rPr>
        <w:t>weather information corresponding to the Central Park station retrieved from the National Climatic Data Center (</w:t>
      </w:r>
      <w:hyperlink r:id="rId19" w:history="1">
        <w:r w:rsidRPr="00B241DA">
          <w:rPr>
            <w:rStyle w:val="Hyperlink"/>
            <w:rFonts w:cs="Times New Roman"/>
            <w:szCs w:val="24"/>
          </w:rPr>
          <w:t>http://www.ncdc.noaa.gov/data-access</w:t>
        </w:r>
      </w:hyperlink>
      <w:r w:rsidRPr="00B241DA">
        <w:rPr>
          <w:rFonts w:cs="Times New Roman"/>
          <w:szCs w:val="24"/>
        </w:rPr>
        <w:t>).</w:t>
      </w:r>
    </w:p>
    <w:p w14:paraId="5544EA60" w14:textId="77777777" w:rsidR="00650883" w:rsidRPr="00B241DA" w:rsidRDefault="00650883" w:rsidP="00650883">
      <w:pPr>
        <w:rPr>
          <w:rStyle w:val="ms-font-s"/>
          <w:rFonts w:cs="Times New Roman"/>
          <w:color w:val="000000" w:themeColor="text1"/>
          <w:szCs w:val="24"/>
        </w:rPr>
      </w:pPr>
    </w:p>
    <w:p w14:paraId="4FE04E13" w14:textId="49193C5A" w:rsidR="00650883" w:rsidRPr="00B241DA" w:rsidRDefault="00650883" w:rsidP="00842E37">
      <w:pPr>
        <w:pStyle w:val="Heading2"/>
        <w:rPr>
          <w:rStyle w:val="ms-font-s"/>
        </w:rPr>
      </w:pPr>
      <w:r w:rsidRPr="00B241DA">
        <w:t>Sample Formation</w:t>
      </w:r>
      <w:r w:rsidR="00C64B68" w:rsidRPr="00B241DA">
        <w:t xml:space="preserve"> and Dependent Variable</w:t>
      </w:r>
      <w:r w:rsidRPr="00B241DA">
        <w:rPr>
          <w:rStyle w:val="ms-font-s"/>
        </w:rPr>
        <w:tab/>
        <w:t xml:space="preserve"> </w:t>
      </w:r>
    </w:p>
    <w:p w14:paraId="6B2009A3" w14:textId="58F55371" w:rsidR="00650883" w:rsidRPr="00B241DA" w:rsidRDefault="00650883" w:rsidP="00650883">
      <w:pPr>
        <w:rPr>
          <w:rStyle w:val="ms-font-s"/>
          <w:rFonts w:cs="Times New Roman"/>
          <w:color w:val="000000" w:themeColor="text1"/>
          <w:szCs w:val="24"/>
        </w:rPr>
      </w:pPr>
      <w:r w:rsidRPr="00B241DA">
        <w:rPr>
          <w:rFonts w:cs="Times New Roman"/>
          <w:szCs w:val="24"/>
        </w:rPr>
        <w:t xml:space="preserve">A series of data cleaning and compilation exercises were undertaken for generating the sample data for estimation purposes. </w:t>
      </w:r>
      <w:r w:rsidRPr="00B241DA">
        <w:rPr>
          <w:rStyle w:val="ms-font-s"/>
          <w:rFonts w:cs="Times New Roman"/>
          <w:i/>
          <w:iCs/>
          <w:color w:val="000000" w:themeColor="text1"/>
          <w:szCs w:val="24"/>
          <w:u w:val="single"/>
        </w:rPr>
        <w:t>First</w:t>
      </w:r>
      <w:r w:rsidRPr="00B241DA">
        <w:rPr>
          <w:rStyle w:val="ms-font-s"/>
          <w:rFonts w:cs="Times New Roman"/>
          <w:color w:val="000000" w:themeColor="text1"/>
          <w:szCs w:val="24"/>
        </w:rPr>
        <w:t xml:space="preserve">, trips with missing or inconsistent information were removed. </w:t>
      </w:r>
      <w:r w:rsidRPr="00B241DA">
        <w:rPr>
          <w:rStyle w:val="ms-font-s"/>
          <w:rFonts w:cs="Times New Roman"/>
          <w:i/>
          <w:iCs/>
          <w:color w:val="000000" w:themeColor="text1"/>
          <w:szCs w:val="24"/>
          <w:u w:val="single"/>
        </w:rPr>
        <w:t>Second</w:t>
      </w:r>
      <w:r w:rsidRPr="00B241DA">
        <w:rPr>
          <w:rStyle w:val="ms-font-s"/>
          <w:rFonts w:cs="Times New Roman"/>
          <w:color w:val="000000" w:themeColor="text1"/>
          <w:szCs w:val="24"/>
        </w:rPr>
        <w:t>, trips longer than 500 minutes in duration (around 0.</w:t>
      </w:r>
      <w:r w:rsidR="00C209A0">
        <w:rPr>
          <w:rStyle w:val="ms-font-s"/>
          <w:rFonts w:cs="Times New Roman"/>
          <w:color w:val="000000" w:themeColor="text1"/>
          <w:szCs w:val="24"/>
        </w:rPr>
        <w:t>08</w:t>
      </w:r>
      <w:r w:rsidRPr="00B241DA">
        <w:rPr>
          <w:rStyle w:val="ms-font-s"/>
          <w:rFonts w:cs="Times New Roman"/>
          <w:color w:val="000000" w:themeColor="text1"/>
          <w:szCs w:val="24"/>
        </w:rPr>
        <w:t xml:space="preserve">% of all trips) were deleted considering that </w:t>
      </w:r>
      <w:r w:rsidRPr="00B241DA">
        <w:rPr>
          <w:rFonts w:cs="Times New Roman"/>
          <w:szCs w:val="24"/>
        </w:rPr>
        <w:t>these trips</w:t>
      </w:r>
      <w:r w:rsidRPr="00B241DA">
        <w:rPr>
          <w:rStyle w:val="ms-font-s"/>
          <w:rFonts w:cs="Times New Roman"/>
          <w:color w:val="000000" w:themeColor="text1"/>
          <w:szCs w:val="24"/>
        </w:rPr>
        <w:t xml:space="preserve"> </w:t>
      </w:r>
      <w:r w:rsidRPr="00B241DA">
        <w:rPr>
          <w:rFonts w:cs="Times New Roman"/>
          <w:szCs w:val="24"/>
        </w:rPr>
        <w:t>are not typical ride-sharing trips</w:t>
      </w:r>
      <w:r w:rsidRPr="00B241DA">
        <w:rPr>
          <w:rStyle w:val="ms-font-s"/>
          <w:rFonts w:cs="Times New Roman"/>
          <w:color w:val="000000" w:themeColor="text1"/>
          <w:szCs w:val="24"/>
        </w:rPr>
        <w:t xml:space="preserve">. These trips could also be a result of two possibilities; either destination of those trips could be outside NYC or due to technical issues the trip information was recorded incorrectly. </w:t>
      </w:r>
      <w:r w:rsidRPr="00B241DA">
        <w:rPr>
          <w:rStyle w:val="ms-font-s"/>
          <w:rFonts w:cs="Times New Roman"/>
          <w:i/>
          <w:iCs/>
          <w:color w:val="000000" w:themeColor="text1"/>
          <w:szCs w:val="24"/>
          <w:u w:val="single"/>
        </w:rPr>
        <w:t>Third</w:t>
      </w:r>
      <w:r w:rsidRPr="00B241DA">
        <w:rPr>
          <w:rStyle w:val="ms-font-s"/>
          <w:rFonts w:cs="Times New Roman"/>
          <w:color w:val="000000" w:themeColor="text1"/>
          <w:szCs w:val="24"/>
        </w:rPr>
        <w:t xml:space="preserve">, trips that had the origin and destination outside of NYC taxi zone were also eliminated. Therefore, we focus on trips that originated and were destined within NYC taxi zone region only. </w:t>
      </w:r>
    </w:p>
    <w:p w14:paraId="1A7D0040" w14:textId="28B93F5C" w:rsidR="00547A61" w:rsidRPr="00B241DA" w:rsidRDefault="00650883" w:rsidP="005D12B7">
      <w:pPr>
        <w:rPr>
          <w:rFonts w:cs="Times New Roman"/>
          <w:color w:val="000000" w:themeColor="text1"/>
          <w:szCs w:val="24"/>
        </w:rPr>
      </w:pPr>
      <w:r w:rsidRPr="00B241DA">
        <w:rPr>
          <w:rStyle w:val="ms-font-s"/>
          <w:rFonts w:cs="Times New Roman"/>
          <w:color w:val="000000" w:themeColor="text1"/>
          <w:szCs w:val="24"/>
        </w:rPr>
        <w:tab/>
        <w:t xml:space="preserve">For the given study period (January 2015 to December 2018), the total number of available taxi zones in NYC was 259. Initially, we aggregated pickup data for each month from January 2015 to December 2018 for each origin taxi zone ID. Figure 1(a) represents the total trips generated </w:t>
      </w:r>
      <w:r w:rsidR="005C060D" w:rsidRPr="00B241DA">
        <w:rPr>
          <w:rStyle w:val="ms-font-s"/>
          <w:rFonts w:cs="Times New Roman"/>
          <w:color w:val="000000" w:themeColor="text1"/>
          <w:szCs w:val="24"/>
        </w:rPr>
        <w:t xml:space="preserve">in </w:t>
      </w:r>
      <w:r w:rsidRPr="00B241DA">
        <w:rPr>
          <w:rStyle w:val="ms-font-s"/>
          <w:rFonts w:cs="Times New Roman"/>
          <w:color w:val="000000" w:themeColor="text1"/>
          <w:szCs w:val="24"/>
        </w:rPr>
        <w:t xml:space="preserve">each month from January 2015 to December 2018 by each </w:t>
      </w:r>
      <w:proofErr w:type="spellStart"/>
      <w:r w:rsidR="0095029D">
        <w:rPr>
          <w:rStyle w:val="ms-font-s"/>
          <w:rFonts w:cs="Times New Roman"/>
          <w:color w:val="000000" w:themeColor="text1"/>
          <w:szCs w:val="24"/>
        </w:rPr>
        <w:t>ridehailing</w:t>
      </w:r>
      <w:proofErr w:type="spellEnd"/>
      <w:r w:rsidRPr="00B241DA">
        <w:rPr>
          <w:rStyle w:val="ms-font-s"/>
          <w:rFonts w:cs="Times New Roman"/>
          <w:color w:val="000000" w:themeColor="text1"/>
          <w:szCs w:val="24"/>
        </w:rPr>
        <w:t xml:space="preserve"> </w:t>
      </w:r>
      <w:r w:rsidR="005C060D" w:rsidRPr="00B241DA">
        <w:rPr>
          <w:rStyle w:val="ms-font-s"/>
          <w:rFonts w:cs="Times New Roman"/>
          <w:color w:val="000000" w:themeColor="text1"/>
          <w:szCs w:val="24"/>
        </w:rPr>
        <w:t xml:space="preserve">alternatives </w:t>
      </w:r>
      <w:r w:rsidRPr="00B241DA">
        <w:rPr>
          <w:rStyle w:val="ms-font-s"/>
          <w:rFonts w:cs="Times New Roman"/>
          <w:color w:val="000000" w:themeColor="text1"/>
          <w:szCs w:val="24"/>
        </w:rPr>
        <w:t xml:space="preserve">while Figure 1(b) represents the proportion of total trips shared by </w:t>
      </w:r>
      <w:r w:rsidR="00573A35">
        <w:rPr>
          <w:rStyle w:val="ms-font-s"/>
          <w:rFonts w:cs="Times New Roman"/>
          <w:color w:val="000000" w:themeColor="text1"/>
          <w:szCs w:val="24"/>
        </w:rPr>
        <w:t>Y</w:t>
      </w:r>
      <w:r w:rsidRPr="00B241DA">
        <w:rPr>
          <w:rStyle w:val="ms-font-s"/>
          <w:rFonts w:cs="Times New Roman"/>
          <w:color w:val="000000" w:themeColor="text1"/>
          <w:szCs w:val="24"/>
        </w:rPr>
        <w:t xml:space="preserve">ellow taxi, </w:t>
      </w:r>
      <w:r w:rsidR="00573A35">
        <w:rPr>
          <w:rStyle w:val="ms-font-s"/>
          <w:rFonts w:cs="Times New Roman"/>
          <w:color w:val="000000" w:themeColor="text1"/>
          <w:szCs w:val="24"/>
        </w:rPr>
        <w:t>G</w:t>
      </w:r>
      <w:r w:rsidRPr="00B241DA">
        <w:rPr>
          <w:rStyle w:val="ms-font-s"/>
          <w:rFonts w:cs="Times New Roman"/>
          <w:color w:val="000000" w:themeColor="text1"/>
          <w:szCs w:val="24"/>
        </w:rPr>
        <w:t xml:space="preserve">reen taxi and </w:t>
      </w:r>
      <w:r w:rsidR="003B6512" w:rsidRPr="00B241DA">
        <w:rPr>
          <w:rStyle w:val="ms-font-s"/>
          <w:rFonts w:cs="Times New Roman"/>
          <w:color w:val="000000" w:themeColor="text1"/>
          <w:szCs w:val="24"/>
        </w:rPr>
        <w:t>TNC services</w:t>
      </w:r>
      <w:r w:rsidRPr="00B241DA">
        <w:rPr>
          <w:rStyle w:val="ms-font-s"/>
          <w:rFonts w:cs="Times New Roman"/>
          <w:color w:val="000000" w:themeColor="text1"/>
          <w:szCs w:val="24"/>
        </w:rPr>
        <w:t xml:space="preserve">. </w:t>
      </w:r>
      <w:r w:rsidR="00CD391A" w:rsidRPr="00B241DA">
        <w:rPr>
          <w:rStyle w:val="ms-font-s"/>
          <w:rFonts w:cs="Times New Roman"/>
          <w:color w:val="000000" w:themeColor="text1"/>
          <w:szCs w:val="24"/>
        </w:rPr>
        <w:t xml:space="preserve">The evolving number of trips by </w:t>
      </w:r>
      <w:proofErr w:type="spellStart"/>
      <w:r w:rsidR="0095029D">
        <w:rPr>
          <w:rStyle w:val="ms-font-s"/>
          <w:rFonts w:cs="Times New Roman"/>
          <w:color w:val="000000" w:themeColor="text1"/>
          <w:szCs w:val="24"/>
        </w:rPr>
        <w:t>ridehailing</w:t>
      </w:r>
      <w:proofErr w:type="spellEnd"/>
      <w:r w:rsidR="00CD391A" w:rsidRPr="00B241DA">
        <w:rPr>
          <w:rStyle w:val="ms-font-s"/>
          <w:rFonts w:cs="Times New Roman"/>
          <w:color w:val="000000" w:themeColor="text1"/>
          <w:szCs w:val="24"/>
        </w:rPr>
        <w:t xml:space="preserve"> type offers clear depiction of how demand has increased as well as how TNC demand has surpassed traditional taxi demand. </w:t>
      </w:r>
      <w:r w:rsidR="003B6512" w:rsidRPr="00B241DA">
        <w:rPr>
          <w:rStyle w:val="ms-font-s"/>
          <w:rFonts w:cs="Times New Roman"/>
          <w:color w:val="000000" w:themeColor="text1"/>
          <w:szCs w:val="24"/>
        </w:rPr>
        <w:t>TNC service share cross</w:t>
      </w:r>
      <w:r w:rsidR="005C060D" w:rsidRPr="00B241DA">
        <w:rPr>
          <w:rStyle w:val="ms-font-s"/>
          <w:rFonts w:cs="Times New Roman"/>
          <w:color w:val="000000" w:themeColor="text1"/>
          <w:szCs w:val="24"/>
        </w:rPr>
        <w:t>ed</w:t>
      </w:r>
      <w:r w:rsidR="003B6512" w:rsidRPr="00B241DA">
        <w:rPr>
          <w:rStyle w:val="ms-font-s"/>
          <w:rFonts w:cs="Times New Roman"/>
          <w:color w:val="000000" w:themeColor="text1"/>
          <w:szCs w:val="24"/>
        </w:rPr>
        <w:t xml:space="preserve"> the share of</w:t>
      </w:r>
      <w:r w:rsidR="00CD391A" w:rsidRPr="00B241DA">
        <w:rPr>
          <w:rStyle w:val="ms-font-s"/>
          <w:rFonts w:cs="Times New Roman"/>
          <w:color w:val="000000" w:themeColor="text1"/>
          <w:szCs w:val="24"/>
        </w:rPr>
        <w:t xml:space="preserve"> </w:t>
      </w:r>
      <w:r w:rsidR="00573A35">
        <w:rPr>
          <w:rStyle w:val="ms-font-s"/>
          <w:rFonts w:cs="Times New Roman"/>
          <w:color w:val="000000" w:themeColor="text1"/>
          <w:szCs w:val="24"/>
        </w:rPr>
        <w:t>Y</w:t>
      </w:r>
      <w:r w:rsidR="00CD391A" w:rsidRPr="00B241DA">
        <w:rPr>
          <w:rStyle w:val="ms-font-s"/>
          <w:rFonts w:cs="Times New Roman"/>
          <w:color w:val="000000" w:themeColor="text1"/>
          <w:szCs w:val="24"/>
        </w:rPr>
        <w:t xml:space="preserve">ellow taxi in February 2017. </w:t>
      </w:r>
      <w:r w:rsidRPr="00B241DA">
        <w:rPr>
          <w:rStyle w:val="ms-font-s"/>
          <w:rFonts w:cs="Times New Roman"/>
          <w:color w:val="000000" w:themeColor="text1"/>
          <w:szCs w:val="24"/>
        </w:rPr>
        <w:t xml:space="preserve">Figure 1(b) represents the trips proportion shared by </w:t>
      </w:r>
      <w:r w:rsidR="003B6512" w:rsidRPr="00B241DA">
        <w:rPr>
          <w:rStyle w:val="ms-font-s"/>
          <w:rFonts w:cs="Times New Roman"/>
          <w:color w:val="000000" w:themeColor="text1"/>
          <w:szCs w:val="24"/>
        </w:rPr>
        <w:t xml:space="preserve">the </w:t>
      </w:r>
      <w:r w:rsidRPr="00B241DA">
        <w:rPr>
          <w:rStyle w:val="ms-font-s"/>
          <w:rFonts w:cs="Times New Roman"/>
          <w:color w:val="000000" w:themeColor="text1"/>
          <w:szCs w:val="24"/>
        </w:rPr>
        <w:t xml:space="preserve">three </w:t>
      </w:r>
      <w:proofErr w:type="spellStart"/>
      <w:r w:rsidR="0095029D">
        <w:rPr>
          <w:rStyle w:val="ms-font-s"/>
          <w:rFonts w:cs="Times New Roman"/>
          <w:color w:val="000000" w:themeColor="text1"/>
          <w:szCs w:val="24"/>
        </w:rPr>
        <w:t>ridehailing</w:t>
      </w:r>
      <w:proofErr w:type="spellEnd"/>
      <w:r w:rsidR="00CD391A" w:rsidRPr="00B241DA">
        <w:rPr>
          <w:rStyle w:val="ms-font-s"/>
          <w:rFonts w:cs="Times New Roman"/>
          <w:color w:val="000000" w:themeColor="text1"/>
          <w:szCs w:val="24"/>
        </w:rPr>
        <w:t xml:space="preserve"> alternatives </w:t>
      </w:r>
      <w:r w:rsidRPr="00B241DA">
        <w:rPr>
          <w:rStyle w:val="ms-font-s"/>
          <w:rFonts w:cs="Times New Roman"/>
          <w:color w:val="000000" w:themeColor="text1"/>
          <w:szCs w:val="24"/>
        </w:rPr>
        <w:t xml:space="preserve">from 2015 to 2018. The Figure highlights TNC’s trip share </w:t>
      </w:r>
      <w:r w:rsidR="00CD391A" w:rsidRPr="00B241DA">
        <w:rPr>
          <w:rStyle w:val="ms-font-s"/>
          <w:rFonts w:cs="Times New Roman"/>
          <w:color w:val="000000" w:themeColor="text1"/>
          <w:szCs w:val="24"/>
        </w:rPr>
        <w:t>increase</w:t>
      </w:r>
      <w:r w:rsidR="003B6512" w:rsidRPr="00B241DA">
        <w:rPr>
          <w:rStyle w:val="ms-font-s"/>
          <w:rFonts w:cs="Times New Roman"/>
          <w:color w:val="000000" w:themeColor="text1"/>
          <w:szCs w:val="24"/>
        </w:rPr>
        <w:t>d</w:t>
      </w:r>
      <w:r w:rsidR="00CD391A" w:rsidRPr="00B241DA">
        <w:rPr>
          <w:rStyle w:val="ms-font-s"/>
          <w:rFonts w:cs="Times New Roman"/>
          <w:color w:val="000000" w:themeColor="text1"/>
          <w:szCs w:val="24"/>
        </w:rPr>
        <w:t xml:space="preserve"> </w:t>
      </w:r>
      <w:r w:rsidRPr="00B241DA">
        <w:rPr>
          <w:rStyle w:val="ms-font-s"/>
          <w:rFonts w:cs="Times New Roman"/>
          <w:color w:val="000000" w:themeColor="text1"/>
          <w:szCs w:val="24"/>
        </w:rPr>
        <w:t xml:space="preserve">from 13% to 70% </w:t>
      </w:r>
      <w:r w:rsidR="00CD391A" w:rsidRPr="00B241DA">
        <w:rPr>
          <w:rStyle w:val="ms-font-s"/>
          <w:rFonts w:cs="Times New Roman"/>
          <w:color w:val="000000" w:themeColor="text1"/>
          <w:szCs w:val="24"/>
        </w:rPr>
        <w:t>from</w:t>
      </w:r>
      <w:r w:rsidRPr="00B241DA">
        <w:rPr>
          <w:rStyle w:val="ms-font-s"/>
          <w:rFonts w:cs="Times New Roman"/>
          <w:color w:val="000000" w:themeColor="text1"/>
          <w:szCs w:val="24"/>
        </w:rPr>
        <w:t xml:space="preserve"> 2015-2018 while </w:t>
      </w:r>
      <w:r w:rsidR="00573A35">
        <w:rPr>
          <w:rStyle w:val="ms-font-s"/>
          <w:rFonts w:cs="Times New Roman"/>
          <w:color w:val="000000" w:themeColor="text1"/>
          <w:szCs w:val="24"/>
        </w:rPr>
        <w:t>Y</w:t>
      </w:r>
      <w:r w:rsidRPr="00B241DA">
        <w:rPr>
          <w:rStyle w:val="ms-font-s"/>
          <w:rFonts w:cs="Times New Roman"/>
          <w:color w:val="000000" w:themeColor="text1"/>
          <w:szCs w:val="24"/>
        </w:rPr>
        <w:t xml:space="preserve">ellow taxis share declined from 77% to 27%. </w:t>
      </w:r>
      <w:r w:rsidR="00CD391A" w:rsidRPr="00B241DA">
        <w:rPr>
          <w:rStyle w:val="ms-font-s"/>
          <w:rFonts w:cs="Times New Roman"/>
          <w:color w:val="000000" w:themeColor="text1"/>
          <w:szCs w:val="24"/>
        </w:rPr>
        <w:t xml:space="preserve">It is important to note that the share of </w:t>
      </w:r>
      <w:r w:rsidR="00573A35">
        <w:rPr>
          <w:rStyle w:val="ms-font-s"/>
          <w:rFonts w:cs="Times New Roman"/>
          <w:color w:val="000000" w:themeColor="text1"/>
          <w:szCs w:val="24"/>
        </w:rPr>
        <w:t>G</w:t>
      </w:r>
      <w:r w:rsidR="00CD391A" w:rsidRPr="00B241DA">
        <w:rPr>
          <w:rStyle w:val="ms-font-s"/>
          <w:rFonts w:cs="Times New Roman"/>
          <w:color w:val="000000" w:themeColor="text1"/>
          <w:szCs w:val="24"/>
        </w:rPr>
        <w:t xml:space="preserve">reen taxi dropped consistently to become almost negligible in 2018. The main reason we still retained </w:t>
      </w:r>
      <w:r w:rsidR="00573A35">
        <w:rPr>
          <w:rStyle w:val="ms-font-s"/>
          <w:rFonts w:cs="Times New Roman"/>
          <w:color w:val="000000" w:themeColor="text1"/>
          <w:szCs w:val="24"/>
        </w:rPr>
        <w:t>G</w:t>
      </w:r>
      <w:r w:rsidR="00CD391A" w:rsidRPr="00B241DA">
        <w:rPr>
          <w:rStyle w:val="ms-font-s"/>
          <w:rFonts w:cs="Times New Roman"/>
          <w:color w:val="000000" w:themeColor="text1"/>
          <w:szCs w:val="24"/>
        </w:rPr>
        <w:t>reen taxi as a separate alternative is to contrast two services</w:t>
      </w:r>
      <w:r w:rsidR="005C060D" w:rsidRPr="00B241DA">
        <w:rPr>
          <w:rStyle w:val="ms-font-s"/>
          <w:rFonts w:cs="Times New Roman"/>
          <w:color w:val="000000" w:themeColor="text1"/>
          <w:szCs w:val="24"/>
        </w:rPr>
        <w:t xml:space="preserve"> (</w:t>
      </w:r>
      <w:r w:rsidR="00573A35">
        <w:rPr>
          <w:rStyle w:val="ms-font-s"/>
          <w:rFonts w:cs="Times New Roman"/>
          <w:color w:val="000000" w:themeColor="text1"/>
          <w:szCs w:val="24"/>
        </w:rPr>
        <w:t>G</w:t>
      </w:r>
      <w:r w:rsidR="005C060D" w:rsidRPr="00B241DA">
        <w:rPr>
          <w:rStyle w:val="ms-font-s"/>
          <w:rFonts w:cs="Times New Roman"/>
          <w:color w:val="000000" w:themeColor="text1"/>
          <w:szCs w:val="24"/>
        </w:rPr>
        <w:t>reen taxi and TNCs)</w:t>
      </w:r>
      <w:r w:rsidR="00CD391A" w:rsidRPr="00B241DA">
        <w:rPr>
          <w:rStyle w:val="ms-font-s"/>
          <w:rFonts w:cs="Times New Roman"/>
          <w:color w:val="000000" w:themeColor="text1"/>
          <w:szCs w:val="24"/>
        </w:rPr>
        <w:t xml:space="preserve"> that started operation in the same time frame.</w:t>
      </w:r>
      <w:r w:rsidR="005D12B7" w:rsidRPr="00B241DA">
        <w:rPr>
          <w:rStyle w:val="ms-font-s"/>
          <w:rFonts w:cs="Times New Roman"/>
          <w:color w:val="000000" w:themeColor="text1"/>
          <w:szCs w:val="24"/>
        </w:rPr>
        <w:t xml:space="preserve"> For our analysis, we aggregated trip data for 48 months from January 2015 to December 2018. To obtain a reasonable sample size for model estimation, 24 months were randomly selected for each taxi zone</w:t>
      </w:r>
      <w:r w:rsidR="005C060D" w:rsidRPr="00B241DA">
        <w:rPr>
          <w:rStyle w:val="ms-font-s"/>
          <w:rFonts w:cs="Times New Roman"/>
          <w:color w:val="000000" w:themeColor="text1"/>
          <w:szCs w:val="24"/>
        </w:rPr>
        <w:t xml:space="preserve"> for analysi</w:t>
      </w:r>
      <w:r w:rsidR="005D12B7" w:rsidRPr="00B241DA">
        <w:rPr>
          <w:rStyle w:val="ms-font-s"/>
          <w:rFonts w:cs="Times New Roman"/>
          <w:color w:val="000000" w:themeColor="text1"/>
          <w:szCs w:val="24"/>
        </w:rPr>
        <w:t xml:space="preserve">s. </w:t>
      </w:r>
    </w:p>
    <w:p w14:paraId="552DDD4A" w14:textId="77777777" w:rsidR="005D12B7" w:rsidRPr="00FF2046" w:rsidRDefault="005D12B7" w:rsidP="005D12B7">
      <w:pPr>
        <w:rPr>
          <w:rFonts w:cs="Times New Roman"/>
          <w:szCs w:val="24"/>
        </w:rPr>
      </w:pPr>
    </w:p>
    <w:p w14:paraId="2BE15520" w14:textId="10FD212B" w:rsidR="005D12B7" w:rsidRPr="00FF2046" w:rsidRDefault="005D12B7" w:rsidP="005C60E8">
      <w:pPr>
        <w:jc w:val="center"/>
        <w:rPr>
          <w:rStyle w:val="ms-font-s"/>
          <w:rFonts w:cs="Times New Roman"/>
          <w:color w:val="000000" w:themeColor="text1"/>
          <w:szCs w:val="24"/>
        </w:rPr>
      </w:pPr>
      <w:bookmarkStart w:id="10" w:name="_Hlk55320746"/>
      <w:r w:rsidRPr="00FF2046">
        <w:rPr>
          <w:noProof/>
        </w:rPr>
        <w:lastRenderedPageBreak/>
        <w:drawing>
          <wp:inline distT="0" distB="0" distL="0" distR="0" wp14:anchorId="732FC3D9" wp14:editId="41E05A15">
            <wp:extent cx="4453255" cy="2861310"/>
            <wp:effectExtent l="0" t="0" r="4445" b="15240"/>
            <wp:docPr id="6" name="Chart 6">
              <a:extLst xmlns:a="http://schemas.openxmlformats.org/drawingml/2006/main">
                <a:ext uri="{FF2B5EF4-FFF2-40B4-BE49-F238E27FC236}">
                  <a16:creationId xmlns:a16="http://schemas.microsoft.com/office/drawing/2014/main" id="{5F06EDE0-FC1A-4723-B1FB-84B207E6D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8B82B7" w14:textId="1A1D3AE7" w:rsidR="005D12B7" w:rsidRPr="00FF2046" w:rsidRDefault="005D12B7" w:rsidP="005C60E8">
      <w:pPr>
        <w:pStyle w:val="ListParagraph"/>
        <w:numPr>
          <w:ilvl w:val="0"/>
          <w:numId w:val="17"/>
        </w:numPr>
        <w:jc w:val="center"/>
        <w:rPr>
          <w:rStyle w:val="ms-font-s"/>
          <w:rFonts w:cs="Times New Roman"/>
          <w:b/>
          <w:bCs/>
          <w:color w:val="000000" w:themeColor="text1"/>
          <w:szCs w:val="24"/>
        </w:rPr>
      </w:pPr>
      <w:r w:rsidRPr="00FF2046">
        <w:rPr>
          <w:rStyle w:val="ms-font-s"/>
          <w:rFonts w:cs="Times New Roman"/>
          <w:b/>
          <w:bCs/>
          <w:szCs w:val="24"/>
        </w:rPr>
        <w:t xml:space="preserve">Total monthly trips of all </w:t>
      </w:r>
      <w:proofErr w:type="spellStart"/>
      <w:r w:rsidR="0095029D">
        <w:rPr>
          <w:rStyle w:val="ms-font-s"/>
          <w:rFonts w:cs="Times New Roman"/>
          <w:b/>
          <w:bCs/>
          <w:szCs w:val="24"/>
        </w:rPr>
        <w:t>ridehailing</w:t>
      </w:r>
      <w:proofErr w:type="spellEnd"/>
      <w:r w:rsidRPr="00FF2046">
        <w:rPr>
          <w:rStyle w:val="ms-font-s"/>
          <w:rFonts w:cs="Times New Roman"/>
          <w:b/>
          <w:bCs/>
          <w:szCs w:val="24"/>
        </w:rPr>
        <w:t xml:space="preserve"> </w:t>
      </w:r>
      <w:r w:rsidR="005C060D" w:rsidRPr="00FF2046">
        <w:rPr>
          <w:rStyle w:val="ms-font-s"/>
          <w:rFonts w:cs="Times New Roman"/>
          <w:b/>
          <w:bCs/>
          <w:szCs w:val="24"/>
        </w:rPr>
        <w:t>alternatives</w:t>
      </w:r>
      <w:r w:rsidRPr="00FF2046">
        <w:rPr>
          <w:rStyle w:val="ms-font-s"/>
          <w:rFonts w:cs="Times New Roman"/>
          <w:b/>
          <w:bCs/>
          <w:szCs w:val="24"/>
        </w:rPr>
        <w:t>.</w:t>
      </w:r>
    </w:p>
    <w:p w14:paraId="49229B5E" w14:textId="77777777" w:rsidR="005D12B7" w:rsidRPr="00FF2046" w:rsidRDefault="005D12B7" w:rsidP="005D12B7">
      <w:pPr>
        <w:rPr>
          <w:rStyle w:val="ms-font-s"/>
          <w:rFonts w:cs="Times New Roman"/>
          <w:color w:val="000000" w:themeColor="text1"/>
          <w:szCs w:val="24"/>
        </w:rPr>
      </w:pPr>
    </w:p>
    <w:p w14:paraId="4FAF4CC6" w14:textId="77777777" w:rsidR="005D12B7" w:rsidRPr="00FF2046" w:rsidRDefault="005D12B7" w:rsidP="005C60E8">
      <w:pPr>
        <w:jc w:val="center"/>
        <w:rPr>
          <w:rStyle w:val="ms-font-s"/>
          <w:rFonts w:cs="Times New Roman"/>
          <w:color w:val="000000" w:themeColor="text1"/>
          <w:szCs w:val="24"/>
        </w:rPr>
      </w:pPr>
      <w:r w:rsidRPr="00FF2046">
        <w:rPr>
          <w:noProof/>
        </w:rPr>
        <w:drawing>
          <wp:inline distT="0" distB="0" distL="0" distR="0" wp14:anchorId="6B512816" wp14:editId="237BBB3F">
            <wp:extent cx="4453255" cy="2525486"/>
            <wp:effectExtent l="0" t="0" r="4445" b="8255"/>
            <wp:docPr id="8" name="Chart 8">
              <a:extLst xmlns:a="http://schemas.openxmlformats.org/drawingml/2006/main">
                <a:ext uri="{FF2B5EF4-FFF2-40B4-BE49-F238E27FC236}">
                  <a16:creationId xmlns:a16="http://schemas.microsoft.com/office/drawing/2014/main" id="{1C2946AA-0A81-47B5-B9AA-2C7225AEB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2129CA" w14:textId="6E696CC2" w:rsidR="005D12B7" w:rsidRPr="00FF2046" w:rsidRDefault="005D12B7" w:rsidP="005C60E8">
      <w:pPr>
        <w:pStyle w:val="ListParagraph"/>
        <w:numPr>
          <w:ilvl w:val="0"/>
          <w:numId w:val="17"/>
        </w:numPr>
        <w:jc w:val="center"/>
        <w:rPr>
          <w:rStyle w:val="ms-font-s"/>
          <w:rFonts w:cs="Times New Roman"/>
          <w:b/>
          <w:bCs/>
          <w:color w:val="000000" w:themeColor="text1"/>
          <w:szCs w:val="24"/>
        </w:rPr>
      </w:pPr>
      <w:r w:rsidRPr="00FF2046">
        <w:rPr>
          <w:rStyle w:val="ms-font-s"/>
          <w:rFonts w:cs="Times New Roman"/>
          <w:b/>
          <w:bCs/>
          <w:color w:val="000000" w:themeColor="text1"/>
          <w:szCs w:val="24"/>
        </w:rPr>
        <w:t xml:space="preserve">Monthly trips share between three </w:t>
      </w:r>
      <w:proofErr w:type="spellStart"/>
      <w:r w:rsidR="0095029D">
        <w:rPr>
          <w:rStyle w:val="ms-font-s"/>
          <w:rFonts w:cs="Times New Roman"/>
          <w:b/>
          <w:bCs/>
          <w:color w:val="000000" w:themeColor="text1"/>
          <w:szCs w:val="24"/>
        </w:rPr>
        <w:t>ridehailing</w:t>
      </w:r>
      <w:proofErr w:type="spellEnd"/>
      <w:r w:rsidRPr="00FF2046">
        <w:rPr>
          <w:rStyle w:val="ms-font-s"/>
          <w:rFonts w:cs="Times New Roman"/>
          <w:b/>
          <w:bCs/>
          <w:color w:val="000000" w:themeColor="text1"/>
          <w:szCs w:val="24"/>
        </w:rPr>
        <w:t xml:space="preserve"> alternatives.</w:t>
      </w:r>
    </w:p>
    <w:p w14:paraId="70BF374E" w14:textId="77777777" w:rsidR="00FF2046" w:rsidRDefault="00FF2046" w:rsidP="002810B5">
      <w:pPr>
        <w:rPr>
          <w:rFonts w:cs="Times New Roman"/>
          <w:b/>
          <w:bCs/>
          <w:szCs w:val="24"/>
        </w:rPr>
      </w:pPr>
    </w:p>
    <w:p w14:paraId="54742296" w14:textId="5D21B23A" w:rsidR="005D12B7" w:rsidRPr="00FF2046" w:rsidRDefault="005D12B7" w:rsidP="008B7D6A">
      <w:pPr>
        <w:jc w:val="center"/>
        <w:rPr>
          <w:rStyle w:val="ms-font-s"/>
          <w:rFonts w:cs="Times New Roman"/>
          <w:color w:val="000000" w:themeColor="text1"/>
          <w:szCs w:val="24"/>
        </w:rPr>
      </w:pPr>
      <w:r w:rsidRPr="00FF2046">
        <w:rPr>
          <w:rFonts w:cs="Times New Roman"/>
          <w:b/>
          <w:bCs/>
          <w:szCs w:val="24"/>
        </w:rPr>
        <w:t>Figure 1 Dependent variable distribution.</w:t>
      </w:r>
    </w:p>
    <w:bookmarkEnd w:id="10"/>
    <w:p w14:paraId="377BA5FA" w14:textId="77777777" w:rsidR="005D12B7" w:rsidRPr="00FF2046" w:rsidRDefault="005D12B7" w:rsidP="002810B5">
      <w:pPr>
        <w:rPr>
          <w:rFonts w:cs="Times New Roman"/>
          <w:szCs w:val="24"/>
        </w:rPr>
      </w:pPr>
    </w:p>
    <w:p w14:paraId="6005A01D" w14:textId="77777777" w:rsidR="005D12B7" w:rsidRPr="00B241DA" w:rsidRDefault="005D12B7" w:rsidP="00842E37">
      <w:pPr>
        <w:pStyle w:val="Heading2"/>
      </w:pPr>
      <w:r w:rsidRPr="00B241DA">
        <w:t>Exogenous Variables</w:t>
      </w:r>
    </w:p>
    <w:p w14:paraId="52DC5632" w14:textId="7F514B6F" w:rsidR="005D12B7" w:rsidRPr="00B241DA" w:rsidRDefault="005D12B7" w:rsidP="005D12B7">
      <w:pPr>
        <w:rPr>
          <w:rFonts w:cs="Times New Roman"/>
          <w:szCs w:val="24"/>
        </w:rPr>
      </w:pPr>
      <w:r w:rsidRPr="00B241DA">
        <w:rPr>
          <w:rFonts w:cs="Times New Roman"/>
          <w:szCs w:val="24"/>
        </w:rPr>
        <w:t>Several independent variables generated in our study</w:t>
      </w:r>
      <w:r w:rsidR="00642C06" w:rsidRPr="00B241DA">
        <w:rPr>
          <w:rFonts w:cs="Times New Roman"/>
          <w:szCs w:val="24"/>
        </w:rPr>
        <w:t xml:space="preserve"> are described below:</w:t>
      </w:r>
      <w:r w:rsidRPr="00B241DA">
        <w:rPr>
          <w:rFonts w:cs="Times New Roman"/>
          <w:szCs w:val="24"/>
        </w:rPr>
        <w:t xml:space="preserve"> </w:t>
      </w:r>
    </w:p>
    <w:p w14:paraId="10DA02DB" w14:textId="32F9F3FB" w:rsidR="002810B5" w:rsidRPr="00B241DA" w:rsidRDefault="005D12B7" w:rsidP="002810B5">
      <w:pPr>
        <w:rPr>
          <w:rFonts w:cs="Times New Roman"/>
          <w:szCs w:val="24"/>
        </w:rPr>
      </w:pPr>
      <w:r w:rsidRPr="00B241DA">
        <w:rPr>
          <w:rFonts w:cs="Times New Roman"/>
          <w:szCs w:val="24"/>
        </w:rPr>
        <w:tab/>
      </w:r>
      <w:r w:rsidRPr="00B241DA">
        <w:rPr>
          <w:rFonts w:cs="Times New Roman"/>
          <w:szCs w:val="24"/>
          <w:u w:val="single"/>
        </w:rPr>
        <w:t>Transportation infrastructure attributes</w:t>
      </w:r>
      <w:r w:rsidRPr="00B241DA">
        <w:rPr>
          <w:rFonts w:cs="Times New Roman"/>
          <w:szCs w:val="24"/>
        </w:rPr>
        <w:t xml:space="preserve"> created at the taxi zone level include bike route length density (capturing the effect of availability of bicycle facilities on system usage), </w:t>
      </w:r>
      <w:r w:rsidR="00CD391A" w:rsidRPr="00B241DA">
        <w:rPr>
          <w:rFonts w:cs="Times New Roman"/>
          <w:szCs w:val="24"/>
        </w:rPr>
        <w:t xml:space="preserve">number of bikeshare stations, </w:t>
      </w:r>
      <w:r w:rsidR="002810B5" w:rsidRPr="00B241DA">
        <w:rPr>
          <w:rFonts w:cs="Times New Roman"/>
          <w:szCs w:val="24"/>
        </w:rPr>
        <w:t>length of streets (minor and major streets). Number of subway stations and bus stops in the taxi zone were generated to examine the influence of public transit on rider’s preference of mode choice.</w:t>
      </w:r>
    </w:p>
    <w:p w14:paraId="5BEF5AEF" w14:textId="2714EE70" w:rsidR="002810B5" w:rsidRPr="00B241DA" w:rsidRDefault="00DC5239" w:rsidP="002810B5">
      <w:pPr>
        <w:rPr>
          <w:rFonts w:cs="Times New Roman"/>
          <w:szCs w:val="24"/>
        </w:rPr>
      </w:pPr>
      <w:r w:rsidRPr="00B241DA">
        <w:rPr>
          <w:rFonts w:cs="Times New Roman"/>
          <w:szCs w:val="24"/>
        </w:rPr>
        <w:tab/>
      </w:r>
      <w:r w:rsidR="002810B5" w:rsidRPr="00B241DA">
        <w:rPr>
          <w:rFonts w:cs="Times New Roman"/>
          <w:szCs w:val="24"/>
        </w:rPr>
        <w:t xml:space="preserve">Several </w:t>
      </w:r>
      <w:r w:rsidR="002810B5" w:rsidRPr="00B241DA">
        <w:rPr>
          <w:rFonts w:cs="Times New Roman"/>
          <w:szCs w:val="24"/>
          <w:u w:val="single"/>
        </w:rPr>
        <w:t>land use and built environment variables</w:t>
      </w:r>
      <w:r w:rsidR="002810B5" w:rsidRPr="00B241DA">
        <w:rPr>
          <w:rFonts w:cs="Times New Roman"/>
          <w:szCs w:val="24"/>
        </w:rPr>
        <w:t xml:space="preserve"> were considered including population density, job density and establishment density, the number of institutional facilities (schools, colleges, hospitals), the number of point of interests (museums, shopping malls), and the number </w:t>
      </w:r>
      <w:r w:rsidR="002810B5" w:rsidRPr="00B241DA">
        <w:rPr>
          <w:rFonts w:cs="Times New Roman"/>
          <w:szCs w:val="24"/>
        </w:rPr>
        <w:lastRenderedPageBreak/>
        <w:t>of restaurants (including coffee shops and bars), total area of parks and commercial space (office, industry, retail) within each taxi zones. Distance of destination from Times Square and airport were estimated by using the shortest path algorithm tool of ArcGIS software. Airport indicator variable for the taxi zone was generated to examine the additional impact of airport destination. Population, job density and median income information was collected from US Census for 2015-2017 and extrapolated for 2018. Household car ownership information for 2018 was used to generate proportion of zero car ownership at taxi zone level to examine the impact of car ownership on riders’ trip count and mode choice preferences. Non-motorized vehicle score (average of walk score</w:t>
      </w:r>
      <w:r w:rsidR="004F45F8">
        <w:rPr>
          <w:rStyle w:val="FootnoteReference"/>
          <w:rFonts w:cs="Times New Roman"/>
          <w:szCs w:val="24"/>
        </w:rPr>
        <w:footnoteReference w:id="2"/>
      </w:r>
      <w:r w:rsidR="002810B5" w:rsidRPr="00B241DA">
        <w:rPr>
          <w:rFonts w:cs="Times New Roman"/>
          <w:szCs w:val="24"/>
        </w:rPr>
        <w:t xml:space="preserve"> and bike score) and transit score associated with each </w:t>
      </w:r>
      <w:r w:rsidR="00FF07B4" w:rsidRPr="00B241DA">
        <w:rPr>
          <w:rFonts w:cs="Times New Roman"/>
          <w:szCs w:val="24"/>
        </w:rPr>
        <w:t>taxi zone</w:t>
      </w:r>
      <w:r w:rsidR="002810B5" w:rsidRPr="00B241DA">
        <w:rPr>
          <w:rFonts w:cs="Times New Roman"/>
          <w:szCs w:val="24"/>
        </w:rPr>
        <w:t xml:space="preserve"> was considered at the census tract level. Further, crime density and accident density were also generated at taxi zone level. Total number of crimes of all types for previous year was aggregated at census tract level and crime density was estimated by dividing corresponding year’s population. In a similar manner, total number of accidents for each month was considered to generate accident density. </w:t>
      </w:r>
    </w:p>
    <w:p w14:paraId="333B7D97" w14:textId="0880E55E" w:rsidR="00A908C7" w:rsidRPr="00B241DA" w:rsidRDefault="008D62D8" w:rsidP="002810B5">
      <w:pPr>
        <w:rPr>
          <w:rFonts w:cs="Times New Roman"/>
          <w:szCs w:val="24"/>
        </w:rPr>
      </w:pPr>
      <w:r w:rsidRPr="00B241DA">
        <w:rPr>
          <w:rFonts w:cs="Times New Roman"/>
          <w:szCs w:val="24"/>
        </w:rPr>
        <w:tab/>
      </w:r>
      <w:r w:rsidRPr="00B241DA">
        <w:rPr>
          <w:rFonts w:cs="Times New Roman"/>
          <w:szCs w:val="24"/>
          <w:u w:val="single"/>
        </w:rPr>
        <w:t>Weather variables</w:t>
      </w:r>
      <w:r w:rsidRPr="00B241DA">
        <w:rPr>
          <w:rFonts w:cs="Times New Roman"/>
          <w:szCs w:val="24"/>
        </w:rPr>
        <w:t xml:space="preserve"> include average temperature, precipitation, and snow for that particular month of the year. Several interaction variables were also created. Seasonality is the on</w:t>
      </w:r>
      <w:r w:rsidR="006C27F6" w:rsidRPr="00B241DA">
        <w:rPr>
          <w:rFonts w:cs="Times New Roman"/>
          <w:szCs w:val="24"/>
        </w:rPr>
        <w:t xml:space="preserve">e of the </w:t>
      </w:r>
      <w:r w:rsidRPr="00B241DA">
        <w:rPr>
          <w:rFonts w:cs="Times New Roman"/>
          <w:szCs w:val="24"/>
          <w:u w:val="single"/>
        </w:rPr>
        <w:t>temporal</w:t>
      </w:r>
      <w:r w:rsidR="006C27F6" w:rsidRPr="00B241DA">
        <w:rPr>
          <w:rFonts w:cs="Times New Roman"/>
          <w:szCs w:val="24"/>
          <w:u w:val="single"/>
        </w:rPr>
        <w:t xml:space="preserve"> variables</w:t>
      </w:r>
      <w:r w:rsidRPr="00B241DA">
        <w:rPr>
          <w:rFonts w:cs="Times New Roman"/>
          <w:szCs w:val="24"/>
        </w:rPr>
        <w:t xml:space="preserve"> considered. We consider winter (December-February), Spring (March-May), Summer (June-August) and Fall (September-November) as dummy variables.</w:t>
      </w:r>
      <w:r w:rsidR="00AA0B26" w:rsidRPr="00B241DA">
        <w:rPr>
          <w:rFonts w:cs="Times New Roman"/>
          <w:szCs w:val="24"/>
        </w:rPr>
        <w:t xml:space="preserve"> </w:t>
      </w:r>
      <w:r w:rsidR="00A908C7" w:rsidRPr="00B241DA">
        <w:rPr>
          <w:rFonts w:cs="Times New Roman"/>
          <w:szCs w:val="24"/>
        </w:rPr>
        <w:t>Finally, we</w:t>
      </w:r>
      <w:r w:rsidR="00A908C7" w:rsidRPr="00FF2046">
        <w:rPr>
          <w:szCs w:val="24"/>
        </w:rPr>
        <w:t xml:space="preserve"> </w:t>
      </w:r>
      <w:r w:rsidR="00A908C7" w:rsidRPr="00B241DA">
        <w:rPr>
          <w:rFonts w:cs="Times New Roman"/>
          <w:szCs w:val="24"/>
        </w:rPr>
        <w:t>recognize that technology adoption cannot be explained by simply considering the variables described. To quantify the impact of time, we explicitly consider time elapsed since the beginning of TNC data collection</w:t>
      </w:r>
      <w:r w:rsidR="0084079F" w:rsidRPr="00B241DA">
        <w:rPr>
          <w:rFonts w:cs="Times New Roman"/>
          <w:szCs w:val="24"/>
        </w:rPr>
        <w:t xml:space="preserve"> (and other functional forms of the variable)</w:t>
      </w:r>
      <w:r w:rsidR="00A908C7" w:rsidRPr="00B241DA">
        <w:rPr>
          <w:rFonts w:cs="Times New Roman"/>
          <w:szCs w:val="24"/>
        </w:rPr>
        <w:t xml:space="preserve"> </w:t>
      </w:r>
      <w:r w:rsidR="006B3C2B" w:rsidRPr="00B241DA">
        <w:rPr>
          <w:rFonts w:cs="Times New Roman"/>
          <w:szCs w:val="24"/>
        </w:rPr>
        <w:t xml:space="preserve">as a </w:t>
      </w:r>
      <w:r w:rsidR="006B3C2B" w:rsidRPr="00B241DA">
        <w:rPr>
          <w:rFonts w:cs="Times New Roman"/>
          <w:szCs w:val="24"/>
          <w:u w:val="single"/>
        </w:rPr>
        <w:t>temporal variable</w:t>
      </w:r>
      <w:r w:rsidR="00A908C7" w:rsidRPr="00B241DA">
        <w:rPr>
          <w:rFonts w:cs="Times New Roman"/>
          <w:szCs w:val="24"/>
        </w:rPr>
        <w:t xml:space="preserve">. </w:t>
      </w:r>
    </w:p>
    <w:p w14:paraId="53EC0111" w14:textId="77777777" w:rsidR="00E44772" w:rsidRPr="00B241DA" w:rsidRDefault="00E44772" w:rsidP="002810B5">
      <w:pPr>
        <w:rPr>
          <w:rFonts w:cs="Times New Roman"/>
          <w:szCs w:val="24"/>
        </w:rPr>
      </w:pPr>
    </w:p>
    <w:p w14:paraId="4D16761C" w14:textId="77777777" w:rsidR="001E4EA5" w:rsidRPr="00B241DA" w:rsidRDefault="001E4EA5" w:rsidP="00ED3B6E">
      <w:pPr>
        <w:pStyle w:val="TRBHead1"/>
      </w:pPr>
      <w:r w:rsidRPr="00B241DA">
        <w:t>Methodology</w:t>
      </w:r>
    </w:p>
    <w:p w14:paraId="71BDE031" w14:textId="5D7E3B32" w:rsidR="001E4EA5" w:rsidRPr="00B241DA" w:rsidRDefault="001E4EA5" w:rsidP="001E4EA5">
      <w:pPr>
        <w:rPr>
          <w:rFonts w:eastAsia="Times New Roman" w:cs="Times New Roman"/>
          <w:szCs w:val="24"/>
        </w:rPr>
      </w:pPr>
      <w:r w:rsidRPr="00B241DA">
        <w:rPr>
          <w:rFonts w:cs="Times New Roman"/>
          <w:szCs w:val="24"/>
        </w:rPr>
        <w:t xml:space="preserve">The proposed joint econometric system jointly models “total number of trips” and “proportion of trips by type of </w:t>
      </w:r>
      <w:proofErr w:type="spellStart"/>
      <w:r w:rsidR="0095029D">
        <w:rPr>
          <w:rFonts w:cs="Times New Roman"/>
          <w:szCs w:val="24"/>
        </w:rPr>
        <w:t>ridehailing</w:t>
      </w:r>
      <w:proofErr w:type="spellEnd"/>
      <w:r w:rsidRPr="00B241DA">
        <w:rPr>
          <w:rFonts w:cs="Times New Roman"/>
          <w:szCs w:val="24"/>
        </w:rPr>
        <w:t xml:space="preserve">”. </w:t>
      </w:r>
      <w:r w:rsidRPr="00B241DA">
        <w:rPr>
          <w:rFonts w:eastAsia="Times New Roman" w:cs="Times New Roman"/>
          <w:szCs w:val="24"/>
        </w:rPr>
        <w:t>The first variable is modeled using a Negative Binomial (NB) model and the second variable is analyzed using the multinomial logit fractional split (MNLFS) model. The mathematical details of the Joint NB-MNLFS model follows.</w:t>
      </w:r>
    </w:p>
    <w:p w14:paraId="1C4EB7B5" w14:textId="77777777" w:rsidR="001E4EA5" w:rsidRPr="00B241DA" w:rsidRDefault="001E4EA5" w:rsidP="001E4EA5">
      <w:pPr>
        <w:rPr>
          <w:rStyle w:val="ms-font-s"/>
          <w:rFonts w:cs="Times New Roman"/>
          <w:color w:val="000000" w:themeColor="text1"/>
          <w:szCs w:val="24"/>
        </w:rPr>
      </w:pPr>
      <w:r w:rsidRPr="00B241DA">
        <w:rPr>
          <w:rFonts w:eastAsia="Times New Roman" w:cs="Times New Roman"/>
          <w:szCs w:val="24"/>
        </w:rPr>
        <w:t xml:space="preserve"> </w:t>
      </w:r>
    </w:p>
    <w:p w14:paraId="12EA50A1" w14:textId="77777777" w:rsidR="001E4EA5" w:rsidRPr="002D5A3A" w:rsidRDefault="001E4EA5" w:rsidP="002D5A3A">
      <w:pPr>
        <w:pStyle w:val="Heading2"/>
        <w:numPr>
          <w:ilvl w:val="1"/>
          <w:numId w:val="26"/>
        </w:numPr>
        <w:rPr>
          <w:rStyle w:val="ms-font-s"/>
        </w:rPr>
      </w:pPr>
      <w:r w:rsidRPr="002D5A3A">
        <w:rPr>
          <w:rStyle w:val="ms-font-s"/>
        </w:rPr>
        <w:t>NB Component</w:t>
      </w:r>
    </w:p>
    <w:p w14:paraId="4223FAF8" w14:textId="478B1229" w:rsidR="001E4EA5" w:rsidRPr="00B241DA" w:rsidRDefault="001E4EA5" w:rsidP="001E4EA5">
      <w:pPr>
        <w:rPr>
          <w:rStyle w:val="ms-font-s"/>
          <w:rFonts w:cs="Times New Roman"/>
          <w:color w:val="000000" w:themeColor="text1"/>
          <w:szCs w:val="24"/>
        </w:rPr>
      </w:pPr>
      <w:r w:rsidRPr="00B241DA">
        <w:rPr>
          <w:rStyle w:val="ms-font-s"/>
          <w:rFonts w:cs="Times New Roman"/>
          <w:color w:val="000000" w:themeColor="text1"/>
          <w:szCs w:val="24"/>
        </w:rPr>
        <w:t xml:space="preserve">Let </w:t>
      </w:r>
      <m:oMath>
        <m:r>
          <w:rPr>
            <w:rStyle w:val="ms-font-s"/>
            <w:rFonts w:ascii="Cambria Math" w:hAnsi="Cambria Math" w:cs="Times New Roman"/>
            <w:color w:val="000000" w:themeColor="text1"/>
            <w:szCs w:val="24"/>
          </w:rPr>
          <m:t>i</m:t>
        </m:r>
      </m:oMath>
      <w:r w:rsidRPr="00B241DA">
        <w:rPr>
          <w:rStyle w:val="ms-font-s"/>
          <w:rFonts w:cs="Times New Roman"/>
          <w:color w:val="000000" w:themeColor="text1"/>
          <w:szCs w:val="24"/>
        </w:rPr>
        <w:t xml:space="preserve"> be the index for taxi zone </w:t>
      </w:r>
      <m:oMath>
        <m:r>
          <m:rPr>
            <m:sty m:val="p"/>
          </m:rPr>
          <w:rPr>
            <w:rStyle w:val="ms-font-s"/>
            <w:rFonts w:ascii="Cambria Math" w:hAnsi="Cambria Math" w:cs="Times New Roman"/>
            <w:color w:val="000000" w:themeColor="text1"/>
            <w:szCs w:val="24"/>
          </w:rPr>
          <m:t>(</m:t>
        </m:r>
        <m:r>
          <w:rPr>
            <w:rStyle w:val="ms-font-s"/>
            <w:rFonts w:ascii="Cambria Math" w:hAnsi="Cambria Math" w:cs="Times New Roman"/>
            <w:color w:val="000000" w:themeColor="text1"/>
            <w:szCs w:val="24"/>
          </w:rPr>
          <m:t>i=1,2,3,…,N</m:t>
        </m:r>
        <m:r>
          <m:rPr>
            <m:sty m:val="p"/>
          </m:rPr>
          <w:rPr>
            <w:rStyle w:val="ms-font-s"/>
            <w:rFonts w:ascii="Cambria Math" w:hAnsi="Cambria Math" w:cs="Times New Roman"/>
            <w:color w:val="000000" w:themeColor="text1"/>
            <w:szCs w:val="24"/>
          </w:rPr>
          <m:t xml:space="preserve">) </m:t>
        </m:r>
      </m:oMath>
      <w:r w:rsidRPr="00B241DA">
        <w:rPr>
          <w:rStyle w:val="ms-font-s"/>
          <w:rFonts w:cs="Times New Roman"/>
          <w:color w:val="000000" w:themeColor="text1"/>
          <w:szCs w:val="24"/>
        </w:rPr>
        <w:t xml:space="preserve">and </w:t>
      </w:r>
      <m:oMath>
        <m:sSub>
          <m:sSubPr>
            <m:ctrlPr>
              <w:rPr>
                <w:rStyle w:val="ms-font-s"/>
                <w:rFonts w:ascii="Cambria Math" w:hAnsi="Cambria Math" w:cs="Times New Roman"/>
                <w:i/>
                <w:color w:val="000000" w:themeColor="text1"/>
                <w:szCs w:val="24"/>
              </w:rPr>
            </m:ctrlPr>
          </m:sSubPr>
          <m:e>
            <m:r>
              <w:rPr>
                <w:rStyle w:val="ms-font-s"/>
                <w:rFonts w:ascii="Cambria Math" w:hAnsi="Cambria Math" w:cs="Times New Roman"/>
                <w:color w:val="000000" w:themeColor="text1"/>
                <w:szCs w:val="24"/>
              </w:rPr>
              <m:t>y</m:t>
            </m:r>
          </m:e>
          <m:sub>
            <m:r>
              <w:rPr>
                <w:rStyle w:val="ms-font-s"/>
                <w:rFonts w:ascii="Cambria Math" w:hAnsi="Cambria Math" w:cs="Times New Roman"/>
                <w:color w:val="000000" w:themeColor="text1"/>
                <w:szCs w:val="24"/>
              </w:rPr>
              <m:t>it</m:t>
            </m:r>
          </m:sub>
        </m:sSub>
      </m:oMath>
      <w:r w:rsidRPr="00B241DA">
        <w:rPr>
          <w:rStyle w:val="ms-font-s"/>
          <w:rFonts w:cs="Times New Roman"/>
          <w:color w:val="000000" w:themeColor="text1"/>
          <w:szCs w:val="24"/>
        </w:rPr>
        <w:t xml:space="preserve"> be the </w:t>
      </w:r>
      <w:proofErr w:type="spellStart"/>
      <w:r w:rsidR="0095029D">
        <w:rPr>
          <w:rStyle w:val="ms-font-s"/>
          <w:rFonts w:cs="Times New Roman"/>
          <w:color w:val="000000" w:themeColor="text1"/>
          <w:szCs w:val="24"/>
        </w:rPr>
        <w:t>ridehailing</w:t>
      </w:r>
      <w:proofErr w:type="spellEnd"/>
      <w:r w:rsidRPr="00B241DA">
        <w:rPr>
          <w:rStyle w:val="ms-font-s"/>
          <w:rFonts w:cs="Times New Roman"/>
          <w:color w:val="000000" w:themeColor="text1"/>
          <w:szCs w:val="24"/>
        </w:rPr>
        <w:t xml:space="preserve"> demand for a taxi zone </w:t>
      </w:r>
      <m:oMath>
        <m:r>
          <w:rPr>
            <w:rStyle w:val="ms-font-s"/>
            <w:rFonts w:ascii="Cambria Math" w:hAnsi="Cambria Math" w:cs="Times New Roman"/>
            <w:color w:val="000000" w:themeColor="text1"/>
            <w:szCs w:val="24"/>
          </w:rPr>
          <m:t>i</m:t>
        </m:r>
      </m:oMath>
      <w:r w:rsidRPr="00B241DA">
        <w:rPr>
          <w:rStyle w:val="ms-font-s"/>
          <w:rFonts w:eastAsiaTheme="minorEastAsia" w:cs="Times New Roman"/>
          <w:color w:val="000000" w:themeColor="text1"/>
          <w:szCs w:val="24"/>
        </w:rPr>
        <w:t xml:space="preserve"> </w:t>
      </w:r>
      <w:r w:rsidRPr="00B241DA">
        <w:rPr>
          <w:rStyle w:val="ms-font-s"/>
          <w:rFonts w:cs="Times New Roman"/>
          <w:color w:val="000000" w:themeColor="text1"/>
          <w:szCs w:val="24"/>
        </w:rPr>
        <w:t xml:space="preserve">in time period  </w:t>
      </w:r>
      <m:oMath>
        <m:r>
          <m:rPr>
            <m:sty m:val="p"/>
          </m:rPr>
          <w:rPr>
            <w:rStyle w:val="ms-font-s"/>
            <w:rFonts w:ascii="Cambria Math" w:hAnsi="Cambria Math" w:cs="Times New Roman"/>
            <w:color w:val="000000" w:themeColor="text1"/>
            <w:szCs w:val="24"/>
          </w:rPr>
          <m:t>(</m:t>
        </m:r>
        <m:r>
          <w:rPr>
            <w:rStyle w:val="ms-font-s"/>
            <w:rFonts w:ascii="Cambria Math" w:hAnsi="Cambria Math" w:cs="Times New Roman"/>
            <w:color w:val="000000" w:themeColor="text1"/>
            <w:szCs w:val="24"/>
          </w:rPr>
          <m:t>t=1,2,3,…,T</m:t>
        </m:r>
      </m:oMath>
      <w:r w:rsidRPr="00B241DA">
        <w:rPr>
          <w:rStyle w:val="ms-font-s"/>
          <w:rFonts w:cs="Times New Roman"/>
          <w:i/>
          <w:color w:val="000000" w:themeColor="text1"/>
          <w:szCs w:val="24"/>
        </w:rPr>
        <w:t>)</w:t>
      </w:r>
      <w:r w:rsidRPr="00B241DA">
        <w:rPr>
          <w:rStyle w:val="ms-font-s"/>
          <w:rFonts w:cs="Times New Roman"/>
          <w:color w:val="000000" w:themeColor="text1"/>
          <w:szCs w:val="24"/>
        </w:rPr>
        <w:t xml:space="preserve">. The NB probability expression for random variable </w:t>
      </w:r>
      <m:oMath>
        <m:sSub>
          <m:sSubPr>
            <m:ctrlPr>
              <w:rPr>
                <w:rStyle w:val="ms-font-s"/>
                <w:rFonts w:ascii="Cambria Math" w:hAnsi="Cambria Math" w:cs="Times New Roman"/>
                <w:i/>
                <w:color w:val="000000" w:themeColor="text1"/>
                <w:szCs w:val="24"/>
              </w:rPr>
            </m:ctrlPr>
          </m:sSubPr>
          <m:e>
            <m:r>
              <w:rPr>
                <w:rStyle w:val="ms-font-s"/>
                <w:rFonts w:ascii="Cambria Math" w:hAnsi="Cambria Math" w:cs="Times New Roman"/>
                <w:color w:val="000000" w:themeColor="text1"/>
                <w:szCs w:val="24"/>
              </w:rPr>
              <m:t>y</m:t>
            </m:r>
          </m:e>
          <m:sub>
            <m:r>
              <w:rPr>
                <w:rStyle w:val="ms-font-s"/>
                <w:rFonts w:ascii="Cambria Math" w:hAnsi="Cambria Math" w:cs="Times New Roman"/>
                <w:color w:val="000000" w:themeColor="text1"/>
                <w:szCs w:val="24"/>
              </w:rPr>
              <m:t>it</m:t>
            </m:r>
          </m:sub>
        </m:sSub>
        <m:r>
          <w:rPr>
            <w:rStyle w:val="ms-font-s"/>
            <w:rFonts w:ascii="Cambria Math" w:hAnsi="Cambria Math" w:cs="Times New Roman"/>
            <w:color w:val="000000" w:themeColor="text1"/>
            <w:szCs w:val="24"/>
          </w:rPr>
          <m:t xml:space="preserve"> </m:t>
        </m:r>
      </m:oMath>
      <w:r w:rsidRPr="00B241DA">
        <w:rPr>
          <w:rStyle w:val="ms-font-s"/>
          <w:rFonts w:cs="Times New Roman"/>
          <w:color w:val="000000" w:themeColor="text1"/>
          <w:szCs w:val="24"/>
        </w:rPr>
        <w:t>can be written as</w:t>
      </w:r>
      <w:r w:rsidR="00727F1D">
        <w:rPr>
          <w:rStyle w:val="ms-font-s"/>
          <w:rFonts w:cs="Times New Roman"/>
          <w:color w:val="000000" w:themeColor="text1"/>
          <w:szCs w:val="24"/>
        </w:rPr>
        <w:t xml:space="preserve"> </w:t>
      </w:r>
      <w:r w:rsidR="0097779B" w:rsidRPr="00235CCF">
        <w:rPr>
          <w:rStyle w:val="ms-font-s"/>
          <w:rFonts w:cs="Times New Roman"/>
          <w:i/>
          <w:iCs/>
          <w:color w:val="000000" w:themeColor="text1"/>
          <w:szCs w:val="24"/>
        </w:rPr>
        <w:t>(5</w:t>
      </w:r>
      <w:r w:rsidR="00727F1D">
        <w:rPr>
          <w:rStyle w:val="ms-font-s"/>
          <w:rFonts w:cs="Times New Roman"/>
          <w:i/>
          <w:iCs/>
          <w:color w:val="000000" w:themeColor="text1"/>
          <w:szCs w:val="24"/>
        </w:rPr>
        <w:t>0</w:t>
      </w:r>
      <w:r w:rsidR="0097779B" w:rsidRPr="00235CCF">
        <w:rPr>
          <w:rStyle w:val="ms-font-s"/>
          <w:rFonts w:cs="Times New Roman"/>
          <w:i/>
          <w:iCs/>
          <w:color w:val="000000" w:themeColor="text1"/>
          <w:szCs w:val="24"/>
        </w:rPr>
        <w:t>)</w:t>
      </w:r>
      <w:r w:rsidRPr="00B241DA">
        <w:rPr>
          <w:rStyle w:val="ms-font-s"/>
          <w:rFonts w:cs="Times New Roman"/>
          <w:color w:val="000000" w:themeColor="text1"/>
          <w:szCs w:val="24"/>
        </w:rPr>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gridCol w:w="504"/>
      </w:tblGrid>
      <w:tr w:rsidR="001E4EA5" w:rsidRPr="00B241DA" w14:paraId="1812D5AD" w14:textId="77777777" w:rsidTr="004E2702">
        <w:trPr>
          <w:trHeight w:val="1305"/>
        </w:trPr>
        <w:tc>
          <w:tcPr>
            <w:tcW w:w="4731" w:type="pct"/>
            <w:vAlign w:val="center"/>
          </w:tcPr>
          <w:p w14:paraId="795FC4B2" w14:textId="77777777" w:rsidR="001E4EA5" w:rsidRPr="00B241DA" w:rsidRDefault="00D80FBB" w:rsidP="004E2702">
            <w:pPr>
              <w:spacing w:line="276" w:lineRule="auto"/>
              <w:rPr>
                <w:rFonts w:ascii="Times New Roman" w:eastAsia="Calibri" w:hAnsi="Times New Roman" w:cs="Times New Roman"/>
                <w:sz w:val="24"/>
                <w:szCs w:val="24"/>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it</m:t>
                    </m:r>
                  </m:sub>
                </m:sSub>
                <m:d>
                  <m:dPr>
                    <m:ctrlPr>
                      <w:rPr>
                        <w:rFonts w:ascii="Cambria Math" w:eastAsia="Calibri"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y</m:t>
                        </m:r>
                      </m:e>
                      <m:sub>
                        <m:r>
                          <w:rPr>
                            <w:rFonts w:ascii="Cambria Math" w:eastAsia="Times New Roman" w:hAnsi="Cambria Math" w:cs="Times New Roman"/>
                            <w:sz w:val="24"/>
                            <w:szCs w:val="24"/>
                            <w:lang w:val="en-US"/>
                          </w:rPr>
                          <m:t>it</m:t>
                        </m:r>
                      </m:sub>
                    </m:sSub>
                  </m:e>
                </m:d>
                <m:r>
                  <w:rPr>
                    <w:rFonts w:ascii="Cambria Math" w:eastAsia="Calibri" w:hAnsi="Cambria Math" w:cs="Times New Roman"/>
                    <w:sz w:val="24"/>
                    <w:szCs w:val="24"/>
                    <w:lang w:val="en-US"/>
                  </w:rPr>
                  <m:t xml:space="preserve">= </m:t>
                </m:r>
                <m:f>
                  <m:fPr>
                    <m:ctrlPr>
                      <w:rPr>
                        <w:rFonts w:ascii="Cambria Math" w:eastAsia="Calibri" w:hAnsi="Cambria Math" w:cs="Times New Roman"/>
                        <w:i/>
                        <w:sz w:val="24"/>
                        <w:szCs w:val="24"/>
                        <w:lang w:val="en-US"/>
                      </w:rPr>
                    </m:ctrlPr>
                  </m:fPr>
                  <m:num>
                    <m:r>
                      <m:rPr>
                        <m:sty m:val="p"/>
                      </m:rPr>
                      <w:rPr>
                        <w:rFonts w:ascii="Cambria Math" w:eastAsia="Calibri" w:hAnsi="Cambria Math" w:cs="Times New Roman"/>
                        <w:sz w:val="24"/>
                        <w:szCs w:val="24"/>
                        <w:lang w:val="en-US"/>
                      </w:rPr>
                      <m:t>Γ</m:t>
                    </m:r>
                    <m:d>
                      <m:dPr>
                        <m:ctrlPr>
                          <w:rPr>
                            <w:rFonts w:ascii="Cambria Math" w:eastAsia="Calibri" w:hAnsi="Cambria Math" w:cs="Times New Roman"/>
                            <w:i/>
                            <w:sz w:val="24"/>
                            <w:szCs w:val="24"/>
                            <w:lang w:val="en-US"/>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y</m:t>
                            </m:r>
                          </m:e>
                          <m:sub>
                            <m:r>
                              <w:rPr>
                                <w:rFonts w:ascii="Cambria Math" w:eastAsia="Calibri" w:hAnsi="Cambria Math" w:cs="Times New Roman"/>
                                <w:sz w:val="24"/>
                                <w:szCs w:val="24"/>
                                <w:lang w:val="en-US"/>
                              </w:rPr>
                              <m:t>it</m:t>
                            </m:r>
                          </m:sub>
                        </m:sSub>
                        <m:r>
                          <w:rPr>
                            <w:rFonts w:ascii="Cambria Math" w:eastAsia="Calibri" w:hAnsi="Cambria Math" w:cs="Times New Roman"/>
                            <w:sz w:val="24"/>
                            <w:szCs w:val="24"/>
                            <w:lang w:val="en-US"/>
                          </w:rPr>
                          <m: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α</m:t>
                            </m:r>
                          </m:e>
                          <m:sup>
                            <m:r>
                              <w:rPr>
                                <w:rFonts w:ascii="Cambria Math" w:eastAsia="Calibri" w:hAnsi="Cambria Math" w:cs="Times New Roman"/>
                                <w:sz w:val="24"/>
                                <w:szCs w:val="24"/>
                                <w:lang w:val="en-US"/>
                              </w:rPr>
                              <m:t>-1</m:t>
                            </m:r>
                          </m:sup>
                        </m:sSup>
                      </m:e>
                    </m:d>
                  </m:num>
                  <m:den>
                    <m:r>
                      <m:rPr>
                        <m:sty m:val="p"/>
                      </m:rPr>
                      <w:rPr>
                        <w:rFonts w:ascii="Cambria Math" w:eastAsia="Calibri" w:hAnsi="Cambria Math" w:cs="Times New Roman"/>
                        <w:sz w:val="24"/>
                        <w:szCs w:val="24"/>
                        <w:lang w:val="en-US"/>
                      </w:rPr>
                      <m:t>Γ</m:t>
                    </m:r>
                    <m:d>
                      <m:dPr>
                        <m:ctrlPr>
                          <w:rPr>
                            <w:rFonts w:ascii="Cambria Math" w:eastAsia="Calibri" w:hAnsi="Cambria Math" w:cs="Times New Roman"/>
                            <w:sz w:val="24"/>
                            <w:szCs w:val="24"/>
                            <w:lang w:val="en-US"/>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y</m:t>
                            </m:r>
                          </m:e>
                          <m:sub>
                            <m:r>
                              <w:rPr>
                                <w:rFonts w:ascii="Cambria Math" w:eastAsia="Calibri" w:hAnsi="Cambria Math" w:cs="Times New Roman"/>
                                <w:sz w:val="24"/>
                                <w:szCs w:val="24"/>
                                <w:lang w:val="en-US"/>
                              </w:rPr>
                              <m:t>it</m:t>
                            </m:r>
                          </m:sub>
                        </m:sSub>
                        <m:r>
                          <w:rPr>
                            <w:rFonts w:ascii="Cambria Math" w:eastAsia="Calibri" w:hAnsi="Cambria Math" w:cs="Times New Roman"/>
                            <w:sz w:val="24"/>
                            <w:szCs w:val="24"/>
                            <w:lang w:val="en-US"/>
                          </w:rPr>
                          <m:t>+1</m:t>
                        </m:r>
                      </m:e>
                    </m:d>
                    <m:r>
                      <m:rPr>
                        <m:sty m:val="p"/>
                      </m:rPr>
                      <w:rPr>
                        <w:rFonts w:ascii="Cambria Math" w:eastAsia="Calibri" w:hAnsi="Cambria Math" w:cs="Times New Roman"/>
                        <w:sz w:val="24"/>
                        <w:szCs w:val="24"/>
                        <w:lang w:val="en-US"/>
                      </w:rPr>
                      <m:t>Γ</m:t>
                    </m:r>
                    <m:d>
                      <m:dPr>
                        <m:ctrlPr>
                          <w:rPr>
                            <w:rFonts w:ascii="Cambria Math" w:eastAsia="Calibri" w:hAnsi="Cambria Math" w:cs="Times New Roman"/>
                            <w:sz w:val="24"/>
                            <w:szCs w:val="24"/>
                            <w:lang w:val="en-US"/>
                          </w:rPr>
                        </m:ctrlPr>
                      </m:dPr>
                      <m:e>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α</m:t>
                            </m:r>
                          </m:e>
                          <m:sup>
                            <m:r>
                              <w:rPr>
                                <w:rFonts w:ascii="Cambria Math" w:eastAsia="Calibri" w:hAnsi="Cambria Math" w:cs="Times New Roman"/>
                                <w:sz w:val="24"/>
                                <w:szCs w:val="24"/>
                                <w:lang w:val="en-US"/>
                              </w:rPr>
                              <m:t>-1</m:t>
                            </m:r>
                          </m:sup>
                        </m:sSup>
                      </m:e>
                    </m:d>
                  </m:den>
                </m:f>
                <m:sSup>
                  <m:sSupPr>
                    <m:ctrlPr>
                      <w:rPr>
                        <w:rFonts w:ascii="Cambria Math" w:eastAsia="Calibri" w:hAnsi="Cambria Math" w:cs="Times New Roman"/>
                        <w:i/>
                        <w:sz w:val="24"/>
                        <w:szCs w:val="24"/>
                        <w:lang w:val="en-US"/>
                      </w:rPr>
                    </m:ctrlPr>
                  </m:sSupPr>
                  <m:e>
                    <m:d>
                      <m:dPr>
                        <m:ctrlPr>
                          <w:rPr>
                            <w:rFonts w:ascii="Cambria Math" w:eastAsia="Calibri" w:hAnsi="Cambria Math" w:cs="Times New Roman"/>
                            <w:i/>
                            <w:sz w:val="24"/>
                            <w:szCs w:val="24"/>
                            <w:lang w:val="en-US"/>
                          </w:rPr>
                        </m:ctrlPr>
                      </m:dPr>
                      <m:e>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1</m:t>
                            </m:r>
                          </m:num>
                          <m:den>
                            <m:r>
                              <w:rPr>
                                <w:rFonts w:ascii="Cambria Math" w:eastAsia="Calibri" w:hAnsi="Cambria Math" w:cs="Times New Roman"/>
                                <w:sz w:val="24"/>
                                <w:szCs w:val="24"/>
                                <w:lang w:val="en-US"/>
                              </w:rPr>
                              <m:t>1+α</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μ</m:t>
                                </m:r>
                              </m:e>
                              <m:sub>
                                <m:r>
                                  <w:rPr>
                                    <w:rFonts w:ascii="Cambria Math" w:eastAsia="Calibri" w:hAnsi="Cambria Math" w:cs="Times New Roman"/>
                                    <w:sz w:val="24"/>
                                    <w:szCs w:val="24"/>
                                    <w:lang w:val="en-US"/>
                                  </w:rPr>
                                  <m:t>it</m:t>
                                </m:r>
                              </m:sub>
                            </m:sSub>
                          </m:den>
                        </m:f>
                      </m:e>
                    </m:d>
                  </m:e>
                  <m:sup>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1</m:t>
                        </m:r>
                      </m:num>
                      <m:den>
                        <m:r>
                          <w:rPr>
                            <w:rFonts w:ascii="Cambria Math" w:eastAsia="Calibri" w:hAnsi="Cambria Math" w:cs="Times New Roman"/>
                            <w:sz w:val="24"/>
                            <w:szCs w:val="24"/>
                            <w:lang w:val="en-US"/>
                          </w:rPr>
                          <m:t>α</m:t>
                        </m:r>
                      </m:den>
                    </m:f>
                  </m:sup>
                </m:sSup>
                <m:sSup>
                  <m:sSupPr>
                    <m:ctrlPr>
                      <w:rPr>
                        <w:rFonts w:ascii="Cambria Math" w:eastAsia="Calibri" w:hAnsi="Cambria Math" w:cs="Times New Roman"/>
                        <w:i/>
                        <w:sz w:val="24"/>
                        <w:szCs w:val="24"/>
                        <w:lang w:val="en-US"/>
                      </w:rPr>
                    </m:ctrlPr>
                  </m:sSupPr>
                  <m:e>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1-</m:t>
                        </m:r>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1</m:t>
                            </m:r>
                          </m:num>
                          <m:den>
                            <m:r>
                              <w:rPr>
                                <w:rFonts w:ascii="Cambria Math" w:eastAsia="Calibri" w:hAnsi="Cambria Math" w:cs="Times New Roman"/>
                                <w:sz w:val="24"/>
                                <w:szCs w:val="24"/>
                                <w:lang w:val="en-US"/>
                              </w:rPr>
                              <m:t>1+α</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μ</m:t>
                                </m:r>
                              </m:e>
                              <m:sub>
                                <m:r>
                                  <w:rPr>
                                    <w:rFonts w:ascii="Cambria Math" w:eastAsia="Calibri" w:hAnsi="Cambria Math" w:cs="Times New Roman"/>
                                    <w:sz w:val="24"/>
                                    <w:szCs w:val="24"/>
                                    <w:lang w:val="en-US"/>
                                  </w:rPr>
                                  <m:t>it</m:t>
                                </m:r>
                              </m:sub>
                            </m:sSub>
                          </m:den>
                        </m:f>
                      </m:e>
                    </m:d>
                  </m:e>
                  <m:sup>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y</m:t>
                        </m:r>
                      </m:e>
                      <m:sub>
                        <m:r>
                          <w:rPr>
                            <w:rFonts w:ascii="Cambria Math" w:eastAsia="Calibri" w:hAnsi="Cambria Math" w:cs="Times New Roman"/>
                            <w:sz w:val="24"/>
                            <w:szCs w:val="24"/>
                            <w:lang w:val="en-US"/>
                          </w:rPr>
                          <m:t>it</m:t>
                        </m:r>
                      </m:sub>
                    </m:sSub>
                  </m:sup>
                </m:sSup>
              </m:oMath>
            </m:oMathPara>
          </w:p>
        </w:tc>
        <w:tc>
          <w:tcPr>
            <w:tcW w:w="269" w:type="pct"/>
            <w:vAlign w:val="center"/>
          </w:tcPr>
          <w:p w14:paraId="6A09E13D" w14:textId="77777777" w:rsidR="001E4EA5" w:rsidRPr="00B241DA" w:rsidRDefault="001E4EA5" w:rsidP="004E2702">
            <w:pPr>
              <w:spacing w:line="276" w:lineRule="auto"/>
              <w:contextualSpacing/>
              <w:jc w:val="center"/>
              <w:rPr>
                <w:rFonts w:ascii="Times New Roman" w:eastAsia="Calibri" w:hAnsi="Times New Roman" w:cs="Times New Roman"/>
                <w:sz w:val="24"/>
                <w:szCs w:val="24"/>
                <w:lang w:val="en-US"/>
              </w:rPr>
            </w:pPr>
            <w:r w:rsidRPr="00B241DA">
              <w:rPr>
                <w:rFonts w:ascii="Times New Roman" w:eastAsia="Calibri" w:hAnsi="Times New Roman" w:cs="Times New Roman"/>
                <w:sz w:val="24"/>
                <w:szCs w:val="24"/>
                <w:lang w:val="en-US"/>
              </w:rPr>
              <w:t xml:space="preserve">   (1)</w:t>
            </w:r>
          </w:p>
        </w:tc>
      </w:tr>
    </w:tbl>
    <w:p w14:paraId="259C12A2" w14:textId="77777777" w:rsidR="001E4EA5" w:rsidRPr="00B241DA" w:rsidRDefault="001E4EA5" w:rsidP="001E4EA5">
      <w:pPr>
        <w:rPr>
          <w:rStyle w:val="ms-font-s"/>
          <w:rFonts w:cs="Times New Roman"/>
          <w:color w:val="000000" w:themeColor="text1"/>
          <w:szCs w:val="24"/>
        </w:rPr>
      </w:pPr>
      <w:r w:rsidRPr="00B241DA">
        <w:rPr>
          <w:rStyle w:val="ms-font-s"/>
          <w:rFonts w:cs="Times New Roman"/>
          <w:color w:val="000000" w:themeColor="text1"/>
          <w:szCs w:val="24"/>
        </w:rPr>
        <w:t>where,</w:t>
      </w:r>
      <w:r w:rsidRPr="00B241DA">
        <w:rPr>
          <w:rFonts w:cs="Times New Roman"/>
          <w:szCs w:val="24"/>
        </w:rPr>
        <w:t xml:space="preserve"> </w:t>
      </w:r>
      <m:oMath>
        <m:sSub>
          <m:sSubPr>
            <m:ctrlPr>
              <w:rPr>
                <w:rFonts w:ascii="Cambria Math" w:eastAsia="Calibri" w:hAnsi="Cambria Math" w:cs="Times New Roman"/>
                <w:i/>
                <w:szCs w:val="24"/>
              </w:rPr>
            </m:ctrlPr>
          </m:sSubPr>
          <m:e>
            <m:r>
              <w:rPr>
                <w:rFonts w:ascii="Cambria Math" w:eastAsia="Calibri" w:hAnsi="Cambria Math" w:cs="Times New Roman"/>
                <w:szCs w:val="24"/>
              </w:rPr>
              <m:t>P</m:t>
            </m:r>
          </m:e>
          <m:sub>
            <m:r>
              <w:rPr>
                <w:rFonts w:ascii="Cambria Math" w:eastAsia="Calibri" w:hAnsi="Cambria Math" w:cs="Times New Roman"/>
                <w:szCs w:val="24"/>
              </w:rPr>
              <m:t>it</m:t>
            </m:r>
          </m:sub>
        </m:sSub>
      </m:oMath>
      <w:r w:rsidRPr="00B241DA">
        <w:rPr>
          <w:rFonts w:eastAsiaTheme="minorEastAsia" w:cs="Times New Roman"/>
          <w:szCs w:val="24"/>
        </w:rPr>
        <w:t xml:space="preserve"> </w:t>
      </w:r>
      <w:r w:rsidRPr="00B241DA">
        <w:rPr>
          <w:rFonts w:cs="Times New Roman"/>
          <w:szCs w:val="24"/>
        </w:rPr>
        <w:t xml:space="preserve">is the probability that taxi zone </w:t>
      </w:r>
      <m:oMath>
        <m:r>
          <w:rPr>
            <w:rStyle w:val="ms-font-s"/>
            <w:rFonts w:ascii="Cambria Math" w:hAnsi="Cambria Math" w:cs="Times New Roman"/>
            <w:color w:val="000000" w:themeColor="text1"/>
            <w:szCs w:val="24"/>
          </w:rPr>
          <m:t>i</m:t>
        </m:r>
      </m:oMath>
      <w:r w:rsidRPr="00B241DA">
        <w:rPr>
          <w:rFonts w:cs="Times New Roman"/>
          <w:szCs w:val="24"/>
        </w:rPr>
        <w:t xml:space="preserve">  has </w:t>
      </w:r>
      <m:oMath>
        <m:sSub>
          <m:sSubPr>
            <m:ctrlPr>
              <w:rPr>
                <w:rFonts w:ascii="Cambria Math" w:eastAsia="Calibri" w:hAnsi="Cambria Math" w:cs="Times New Roman"/>
                <w:i/>
                <w:szCs w:val="24"/>
              </w:rPr>
            </m:ctrlPr>
          </m:sSubPr>
          <m:e>
            <m:r>
              <w:rPr>
                <w:rFonts w:ascii="Cambria Math" w:eastAsia="Calibri" w:hAnsi="Cambria Math" w:cs="Times New Roman"/>
                <w:szCs w:val="24"/>
              </w:rPr>
              <m:t>y</m:t>
            </m:r>
          </m:e>
          <m:sub>
            <m:r>
              <w:rPr>
                <w:rFonts w:ascii="Cambria Math" w:eastAsia="Calibri" w:hAnsi="Cambria Math" w:cs="Times New Roman"/>
                <w:szCs w:val="24"/>
              </w:rPr>
              <m:t>it</m:t>
            </m:r>
          </m:sub>
        </m:sSub>
      </m:oMath>
      <w:r w:rsidRPr="00B241DA">
        <w:rPr>
          <w:rFonts w:cs="Times New Roman"/>
          <w:szCs w:val="24"/>
        </w:rPr>
        <w:t xml:space="preserve"> number of trips over time period of </w:t>
      </w:r>
      <m:oMath>
        <m:r>
          <w:rPr>
            <w:rStyle w:val="ms-font-s"/>
            <w:rFonts w:ascii="Cambria Math" w:hAnsi="Cambria Math" w:cs="Times New Roman"/>
            <w:color w:val="000000" w:themeColor="text1"/>
            <w:szCs w:val="24"/>
          </w:rPr>
          <m:t>t</m:t>
        </m:r>
      </m:oMath>
      <w:r w:rsidRPr="00B241DA">
        <w:rPr>
          <w:rFonts w:cs="Times New Roman"/>
          <w:szCs w:val="24"/>
        </w:rPr>
        <w:t xml:space="preserve">. </w:t>
      </w:r>
      <w:r w:rsidRPr="00B241DA">
        <w:rPr>
          <w:rStyle w:val="ms-font-s"/>
          <w:rFonts w:cs="Times New Roman"/>
          <w:color w:val="000000" w:themeColor="text1"/>
          <w:szCs w:val="24"/>
        </w:rPr>
        <w:t xml:space="preserve"> </w:t>
      </w:r>
      <m:oMath>
        <m:r>
          <w:rPr>
            <w:rStyle w:val="ms-font-s"/>
            <w:rFonts w:ascii="Cambria Math" w:hAnsi="Cambria Math" w:cs="Times New Roman"/>
            <w:color w:val="000000" w:themeColor="text1"/>
            <w:szCs w:val="24"/>
          </w:rPr>
          <m:t>Γ(∙)</m:t>
        </m:r>
      </m:oMath>
      <w:r w:rsidRPr="00B241DA">
        <w:rPr>
          <w:rStyle w:val="ms-font-s"/>
          <w:rFonts w:cs="Times New Roman"/>
          <w:color w:val="000000" w:themeColor="text1"/>
          <w:szCs w:val="24"/>
        </w:rPr>
        <w:t xml:space="preserve"> is the Gamma function, </w:t>
      </w:r>
      <m:oMath>
        <m:r>
          <w:rPr>
            <w:rFonts w:ascii="Cambria Math" w:eastAsia="Calibri" w:hAnsi="Cambria Math" w:cs="Times New Roman"/>
            <w:szCs w:val="24"/>
          </w:rPr>
          <m:t>α</m:t>
        </m:r>
      </m:oMath>
      <w:r w:rsidRPr="00B241DA">
        <w:rPr>
          <w:rStyle w:val="ms-font-s"/>
          <w:rFonts w:cs="Times New Roman"/>
          <w:color w:val="000000" w:themeColor="text1"/>
          <w:szCs w:val="24"/>
        </w:rPr>
        <w:t xml:space="preserve"> is the NB dispersion parameter and </w:t>
      </w:r>
      <m:oMath>
        <m:sSub>
          <m:sSubPr>
            <m:ctrlPr>
              <w:rPr>
                <w:rStyle w:val="ms-font-s"/>
                <w:rFonts w:ascii="Cambria Math" w:hAnsi="Cambria Math" w:cs="Times New Roman"/>
                <w:i/>
                <w:color w:val="000000" w:themeColor="text1"/>
                <w:szCs w:val="24"/>
              </w:rPr>
            </m:ctrlPr>
          </m:sSubPr>
          <m:e>
            <m:r>
              <w:rPr>
                <w:rStyle w:val="ms-font-s"/>
                <w:rFonts w:ascii="Cambria Math" w:hAnsi="Cambria Math" w:cs="Times New Roman"/>
                <w:color w:val="000000" w:themeColor="text1"/>
                <w:szCs w:val="24"/>
              </w:rPr>
              <m:t>μ</m:t>
            </m:r>
          </m:e>
          <m:sub>
            <m:r>
              <w:rPr>
                <w:rStyle w:val="ms-font-s"/>
                <w:rFonts w:ascii="Cambria Math" w:hAnsi="Cambria Math" w:cs="Times New Roman"/>
                <w:color w:val="000000" w:themeColor="text1"/>
                <w:szCs w:val="24"/>
              </w:rPr>
              <m:t>it</m:t>
            </m:r>
          </m:sub>
        </m:sSub>
      </m:oMath>
      <w:r w:rsidRPr="00B241DA">
        <w:rPr>
          <w:rStyle w:val="ms-font-s"/>
          <w:rFonts w:cs="Times New Roman"/>
          <w:color w:val="000000" w:themeColor="text1"/>
          <w:szCs w:val="24"/>
        </w:rPr>
        <w:t xml:space="preserve"> is the expected number of trips listed in taxi zone </w:t>
      </w:r>
      <m:oMath>
        <m:r>
          <w:rPr>
            <w:rStyle w:val="ms-font-s"/>
            <w:rFonts w:ascii="Cambria Math" w:hAnsi="Cambria Math" w:cs="Times New Roman"/>
            <w:color w:val="000000" w:themeColor="text1"/>
            <w:szCs w:val="24"/>
          </w:rPr>
          <m:t>i</m:t>
        </m:r>
      </m:oMath>
      <w:r w:rsidRPr="00B241DA">
        <w:rPr>
          <w:rStyle w:val="ms-font-s"/>
          <w:rFonts w:cs="Times New Roman"/>
          <w:color w:val="000000" w:themeColor="text1"/>
          <w:szCs w:val="24"/>
        </w:rPr>
        <w:t xml:space="preserve"> for time period</w:t>
      </w:r>
      <m:oMath>
        <m:r>
          <w:rPr>
            <w:rStyle w:val="ms-font-s"/>
            <w:rFonts w:ascii="Cambria Math" w:hAnsi="Cambria Math" w:cs="Times New Roman"/>
            <w:color w:val="000000" w:themeColor="text1"/>
            <w:szCs w:val="24"/>
          </w:rPr>
          <m:t xml:space="preserve"> t</m:t>
        </m:r>
      </m:oMath>
      <w:r w:rsidRPr="00B241DA">
        <w:rPr>
          <w:rStyle w:val="ms-font-s"/>
          <w:rFonts w:eastAsiaTheme="minorEastAsia" w:cs="Times New Roman"/>
          <w:color w:val="000000" w:themeColor="text1"/>
          <w:szCs w:val="24"/>
        </w:rPr>
        <w:t xml:space="preserve"> and can be expressed </w:t>
      </w:r>
      <w:r w:rsidRPr="00B241DA">
        <w:rPr>
          <w:rStyle w:val="ms-font-s"/>
          <w:rFonts w:cs="Times New Roman"/>
          <w:color w:val="000000" w:themeColor="text1"/>
          <w:szCs w:val="24"/>
        </w:rPr>
        <w:t xml:space="preserve">using a log-link function </w:t>
      </w:r>
      <w:proofErr w:type="gramStart"/>
      <w:r w:rsidRPr="00B241DA">
        <w:rPr>
          <w:rStyle w:val="ms-font-s"/>
          <w:rFonts w:cs="Times New Roman"/>
          <w:color w:val="000000" w:themeColor="text1"/>
          <w:szCs w:val="24"/>
        </w:rPr>
        <w:t>as:</w:t>
      </w:r>
      <w:proofErr w:type="gramEnd"/>
      <w:r w:rsidRPr="00B241DA">
        <w:rPr>
          <w:rStyle w:val="ms-font-s"/>
          <w:rFonts w:cs="Times New Roman"/>
          <w:color w:val="000000" w:themeColor="text1"/>
          <w:szCs w:val="24"/>
        </w:rPr>
        <w:t xml:space="preserve"> </w:t>
      </w:r>
    </w:p>
    <w:tbl>
      <w:tblPr>
        <w:tblStyle w:val="TableGrid2"/>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5"/>
        <w:gridCol w:w="1396"/>
      </w:tblGrid>
      <w:tr w:rsidR="001E4EA5" w:rsidRPr="00B241DA" w14:paraId="6887790F" w14:textId="77777777" w:rsidTr="004E2702">
        <w:tc>
          <w:tcPr>
            <w:tcW w:w="4255" w:type="pct"/>
          </w:tcPr>
          <w:p w14:paraId="6F83A0F3" w14:textId="77777777" w:rsidR="001E4EA5" w:rsidRPr="00B241DA" w:rsidRDefault="00D80FBB" w:rsidP="004E2702">
            <w:pPr>
              <w:spacing w:before="360" w:after="360"/>
              <w:rPr>
                <w:rFonts w:ascii="Times New Roman" w:eastAsia="Calibri" w:hAnsi="Times New Roman" w:cs="Times New Roman"/>
                <w:sz w:val="24"/>
                <w:szCs w:val="24"/>
                <w:lang w:val="en-US"/>
              </w:rPr>
            </w:pPr>
            <m:oMathPara>
              <m:oMathParaPr>
                <m:jc m:val="left"/>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μ</m:t>
                    </m:r>
                  </m:e>
                  <m:sub>
                    <m:r>
                      <w:rPr>
                        <w:rFonts w:ascii="Cambria Math" w:eastAsia="Times New Roman" w:hAnsi="Cambria Math" w:cs="Times New Roman"/>
                        <w:sz w:val="24"/>
                        <w:szCs w:val="24"/>
                        <w:lang w:val="en-US"/>
                      </w:rPr>
                      <m:t>it</m:t>
                    </m:r>
                  </m:sub>
                </m:sSub>
                <m:r>
                  <w:rPr>
                    <w:rFonts w:ascii="Cambria Math" w:eastAsia="Times New Roman" w:hAnsi="Cambria Math" w:cs="Times New Roman"/>
                    <w:sz w:val="24"/>
                    <w:szCs w:val="24"/>
                    <w:lang w:val="en-US"/>
                  </w:rPr>
                  <m:t>=E</m:t>
                </m:r>
                <m:d>
                  <m:dPr>
                    <m:ctrlPr>
                      <w:rPr>
                        <w:rFonts w:ascii="Cambria Math" w:eastAsia="Times New Roman" w:hAnsi="Cambria Math" w:cs="Times New Roman"/>
                        <w:i/>
                        <w:sz w:val="24"/>
                        <w:szCs w:val="24"/>
                        <w:lang w:val="en-US"/>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y</m:t>
                        </m:r>
                      </m:e>
                      <m:sub>
                        <m:r>
                          <w:rPr>
                            <w:rFonts w:ascii="Cambria Math" w:eastAsia="Calibri" w:hAnsi="Cambria Math" w:cs="Times New Roman"/>
                            <w:sz w:val="24"/>
                            <w:szCs w:val="24"/>
                            <w:lang w:val="en-US"/>
                          </w:rPr>
                          <m:t>it</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m:rPr>
                            <m:sty m:val="bi"/>
                          </m:rP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it</m:t>
                        </m:r>
                      </m:sub>
                    </m:sSub>
                  </m:e>
                </m:d>
                <m:r>
                  <w:rPr>
                    <w:rFonts w:ascii="Cambria Math" w:eastAsia="Times New Roman" w:hAnsi="Cambria Math" w:cs="Times New Roman"/>
                    <w:sz w:val="24"/>
                    <w:szCs w:val="24"/>
                    <w:lang w:val="en-US"/>
                  </w:rPr>
                  <m:t>=exp</m:t>
                </m:r>
                <m:d>
                  <m:dPr>
                    <m:ctrlPr>
                      <w:rPr>
                        <w:rFonts w:ascii="Cambria Math" w:eastAsia="Times New Roman" w:hAnsi="Cambria Math" w:cs="Times New Roman"/>
                        <w:i/>
                        <w:sz w:val="24"/>
                        <w:szCs w:val="24"/>
                        <w:lang w:val="en-US"/>
                      </w:rPr>
                    </m:ctrlPr>
                  </m:dPr>
                  <m:e>
                    <m:d>
                      <m:dPr>
                        <m:ctrlPr>
                          <w:rPr>
                            <w:rFonts w:ascii="Cambria Math" w:eastAsia="Times New Roman" w:hAnsi="Cambria Math" w:cs="Times New Roman"/>
                            <w:b/>
                            <w:i/>
                            <w:sz w:val="24"/>
                            <w:szCs w:val="24"/>
                            <w:lang w:val="en-US"/>
                          </w:rPr>
                        </m:ctrlPr>
                      </m:dPr>
                      <m:e>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 xml:space="preserve"> + </m:t>
                            </m:r>
                            <m:r>
                              <m:rPr>
                                <m:sty m:val="bi"/>
                              </m:rPr>
                              <w:rPr>
                                <w:rFonts w:ascii="Cambria Math" w:eastAsia="Times New Roman" w:hAnsi="Cambria Math" w:cs="Times New Roman"/>
                                <w:sz w:val="24"/>
                                <w:szCs w:val="24"/>
                                <w:lang w:val="en-US"/>
                              </w:rPr>
                              <m:t>ℵ</m:t>
                            </m:r>
                          </m:e>
                          <m:sub>
                            <m:r>
                              <w:rPr>
                                <w:rFonts w:ascii="Cambria Math" w:eastAsia="Times New Roman" w:hAnsi="Cambria Math" w:cs="Times New Roman"/>
                                <w:sz w:val="24"/>
                                <w:szCs w:val="24"/>
                                <w:lang w:val="en-US"/>
                              </w:rPr>
                              <m:t>i</m:t>
                            </m:r>
                          </m:sub>
                        </m:sSub>
                        <m:ctrlPr>
                          <w:rPr>
                            <w:rFonts w:ascii="Cambria Math" w:eastAsia="Times New Roman" w:hAnsi="Cambria Math" w:cs="Times New Roman"/>
                            <w:i/>
                            <w:sz w:val="24"/>
                            <w:szCs w:val="24"/>
                            <w:lang w:val="en-US"/>
                          </w:rPr>
                        </m:ctrlPr>
                      </m:e>
                    </m:d>
                    <m:sSub>
                      <m:sSubPr>
                        <m:ctrlPr>
                          <w:rPr>
                            <w:rFonts w:ascii="Cambria Math" w:eastAsia="Times New Roman" w:hAnsi="Cambria Math" w:cs="Times New Roman"/>
                            <w:i/>
                            <w:sz w:val="24"/>
                            <w:szCs w:val="24"/>
                            <w:lang w:val="en-US"/>
                          </w:rPr>
                        </m:ctrlPr>
                      </m:sSubPr>
                      <m:e>
                        <m:r>
                          <m:rPr>
                            <m:sty m:val="bi"/>
                          </m:rP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it</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itj</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φ</m:t>
                        </m:r>
                      </m:e>
                      <m:sub>
                        <m:r>
                          <w:rPr>
                            <w:rFonts w:ascii="Cambria Math" w:eastAsia="Times New Roman" w:hAnsi="Cambria Math" w:cs="Times New Roman"/>
                            <w:sz w:val="24"/>
                            <w:szCs w:val="24"/>
                            <w:lang w:val="en-US"/>
                          </w:rPr>
                          <m:t>it</m:t>
                        </m:r>
                      </m:sub>
                    </m:sSub>
                  </m:e>
                </m:d>
              </m:oMath>
            </m:oMathPara>
          </w:p>
        </w:tc>
        <w:tc>
          <w:tcPr>
            <w:tcW w:w="745" w:type="pct"/>
            <w:vAlign w:val="center"/>
          </w:tcPr>
          <w:p w14:paraId="27C26AC9" w14:textId="77777777" w:rsidR="001E4EA5" w:rsidRPr="00B241DA" w:rsidRDefault="001E4EA5" w:rsidP="004E2702">
            <w:pPr>
              <w:spacing w:before="360" w:after="360"/>
              <w:ind w:left="850"/>
              <w:contextualSpacing/>
              <w:jc w:val="center"/>
              <w:rPr>
                <w:rFonts w:ascii="Times New Roman" w:eastAsia="Calibri" w:hAnsi="Times New Roman" w:cs="Times New Roman"/>
                <w:sz w:val="24"/>
                <w:szCs w:val="24"/>
                <w:lang w:val="en-US"/>
              </w:rPr>
            </w:pPr>
            <w:r w:rsidRPr="00B241DA">
              <w:rPr>
                <w:rFonts w:ascii="Times New Roman" w:eastAsia="Calibri" w:hAnsi="Times New Roman" w:cs="Times New Roman"/>
                <w:sz w:val="24"/>
                <w:szCs w:val="24"/>
                <w:lang w:val="en-US"/>
              </w:rPr>
              <w:t>(2)</w:t>
            </w:r>
          </w:p>
        </w:tc>
      </w:tr>
    </w:tbl>
    <w:p w14:paraId="303C1EB3" w14:textId="73BD73D3" w:rsidR="001E4EA5" w:rsidRPr="00B241DA" w:rsidRDefault="001E4EA5" w:rsidP="001E4EA5">
      <w:pPr>
        <w:rPr>
          <w:rFonts w:eastAsia="Times New Roman" w:cs="Times New Roman"/>
          <w:szCs w:val="24"/>
        </w:rPr>
      </w:pPr>
      <w:r w:rsidRPr="00B241DA">
        <w:rPr>
          <w:rFonts w:eastAsia="Times New Roman" w:cs="Times New Roman"/>
          <w:szCs w:val="24"/>
        </w:rPr>
        <w:t xml:space="preserve">where, </w:t>
      </w:r>
      <m:oMath>
        <m:sSub>
          <m:sSubPr>
            <m:ctrlPr>
              <w:rPr>
                <w:rFonts w:ascii="Cambria Math" w:eastAsia="Times New Roman" w:hAnsi="Cambria Math" w:cs="Times New Roman"/>
                <w:i/>
                <w:szCs w:val="24"/>
              </w:rPr>
            </m:ctrlPr>
          </m:sSubPr>
          <m:e>
            <m:r>
              <m:rPr>
                <m:sty m:val="bi"/>
              </m:rPr>
              <w:rPr>
                <w:rFonts w:ascii="Cambria Math" w:eastAsia="Times New Roman" w:hAnsi="Cambria Math" w:cs="Times New Roman"/>
                <w:szCs w:val="24"/>
              </w:rPr>
              <m:t>x</m:t>
            </m:r>
          </m:e>
          <m:sub>
            <m:r>
              <w:rPr>
                <w:rFonts w:ascii="Cambria Math" w:eastAsia="Times New Roman" w:hAnsi="Cambria Math" w:cs="Times New Roman"/>
                <w:szCs w:val="24"/>
              </w:rPr>
              <m:t>it</m:t>
            </m:r>
          </m:sub>
        </m:sSub>
      </m:oMath>
      <w:r w:rsidRPr="00B241DA">
        <w:rPr>
          <w:rFonts w:eastAsia="Times New Roman" w:cs="Times New Roman"/>
          <w:szCs w:val="24"/>
        </w:rPr>
        <w:t xml:space="preserve"> is a vector of explanatory variables associated with taxi zone </w:t>
      </w:r>
      <m:oMath>
        <m:r>
          <w:rPr>
            <w:rFonts w:ascii="Cambria Math" w:eastAsia="Times New Roman" w:hAnsi="Cambria Math" w:cs="Times New Roman"/>
            <w:szCs w:val="24"/>
          </w:rPr>
          <m:t>i</m:t>
        </m:r>
      </m:oMath>
      <w:r w:rsidRPr="00B241DA">
        <w:rPr>
          <w:rFonts w:eastAsia="Times New Roman" w:cs="Times New Roman"/>
          <w:szCs w:val="24"/>
        </w:rPr>
        <w:t xml:space="preserve"> for time period </w:t>
      </w:r>
      <m:oMath>
        <m:r>
          <w:rPr>
            <w:rFonts w:ascii="Cambria Math" w:eastAsia="Times New Roman" w:hAnsi="Cambria Math" w:cs="Times New Roman"/>
            <w:szCs w:val="24"/>
          </w:rPr>
          <m:t>t</m:t>
        </m:r>
      </m:oMath>
      <w:r w:rsidRPr="00B241DA">
        <w:rPr>
          <w:rFonts w:eastAsia="Times New Roman" w:cs="Times New Roman"/>
          <w:szCs w:val="24"/>
        </w:rPr>
        <w:t xml:space="preserve">. </w:t>
      </w:r>
      <m:oMath>
        <m:r>
          <m:rPr>
            <m:sty m:val="bi"/>
          </m:rPr>
          <w:rPr>
            <w:rFonts w:ascii="Cambria Math" w:eastAsia="Times New Roman" w:hAnsi="Cambria Math" w:cs="Times New Roman"/>
            <w:szCs w:val="24"/>
          </w:rPr>
          <m:t>∂</m:t>
        </m:r>
      </m:oMath>
      <w:r w:rsidRPr="00B241DA">
        <w:rPr>
          <w:rFonts w:eastAsia="Times New Roman" w:cs="Times New Roman"/>
          <w:b/>
          <w:szCs w:val="24"/>
        </w:rPr>
        <w:t xml:space="preserve"> </w:t>
      </w:r>
      <w:r w:rsidRPr="00B241DA">
        <w:rPr>
          <w:rFonts w:eastAsia="Times New Roman" w:cs="Times New Roman"/>
          <w:szCs w:val="24"/>
        </w:rPr>
        <w:t xml:space="preserve">is a vector of coefficients to be estimated. </w:t>
      </w:r>
      <m:oMath>
        <m:sSub>
          <m:sSubPr>
            <m:ctrlPr>
              <w:rPr>
                <w:rFonts w:ascii="Cambria Math" w:eastAsia="Times New Roman" w:hAnsi="Cambria Math" w:cs="Times New Roman"/>
                <w:i/>
                <w:szCs w:val="24"/>
              </w:rPr>
            </m:ctrlPr>
          </m:sSubPr>
          <m:e>
            <m:r>
              <m:rPr>
                <m:sty m:val="bi"/>
              </m:rPr>
              <w:rPr>
                <w:rFonts w:ascii="Cambria Math" w:eastAsia="Times New Roman" w:hAnsi="Cambria Math" w:cs="Times New Roman"/>
                <w:szCs w:val="24"/>
              </w:rPr>
              <m:t>ℵ</m:t>
            </m:r>
          </m:e>
          <m:sub>
            <m:r>
              <w:rPr>
                <w:rFonts w:ascii="Cambria Math" w:eastAsia="Times New Roman" w:hAnsi="Cambria Math" w:cs="Times New Roman"/>
                <w:szCs w:val="24"/>
              </w:rPr>
              <m:t>i</m:t>
            </m:r>
          </m:sub>
        </m:sSub>
      </m:oMath>
      <w:r w:rsidRPr="00B241DA">
        <w:rPr>
          <w:rFonts w:eastAsia="Times New Roman" w:cs="Times New Roman"/>
          <w:szCs w:val="24"/>
        </w:rPr>
        <w:t xml:space="preserve"> is a vector of unobserved factors on </w:t>
      </w:r>
      <w:proofErr w:type="spellStart"/>
      <w:r w:rsidR="0095029D">
        <w:rPr>
          <w:rFonts w:eastAsia="Times New Roman" w:cs="Times New Roman"/>
          <w:szCs w:val="24"/>
        </w:rPr>
        <w:t>ridehailing</w:t>
      </w:r>
      <w:proofErr w:type="spellEnd"/>
      <w:r w:rsidRPr="00B241DA">
        <w:rPr>
          <w:rFonts w:eastAsia="Times New Roman" w:cs="Times New Roman"/>
          <w:szCs w:val="24"/>
        </w:rPr>
        <w:t xml:space="preserve"> demand propensity and its associated zonal characteristics assumed to be a realization from standard normal distribution: </w:t>
      </w:r>
      <m:oMath>
        <m:sSub>
          <m:sSubPr>
            <m:ctrlPr>
              <w:rPr>
                <w:rFonts w:ascii="Cambria Math" w:eastAsia="Times New Roman" w:hAnsi="Cambria Math" w:cs="Times New Roman"/>
                <w:i/>
                <w:szCs w:val="24"/>
              </w:rPr>
            </m:ctrlPr>
          </m:sSubPr>
          <m:e>
            <m:r>
              <m:rPr>
                <m:sty m:val="bi"/>
              </m:rPr>
              <w:rPr>
                <w:rFonts w:ascii="Cambria Math" w:eastAsia="Times New Roman" w:hAnsi="Cambria Math" w:cs="Times New Roman"/>
                <w:szCs w:val="24"/>
              </w:rPr>
              <m:t>ℵ</m:t>
            </m:r>
          </m:e>
          <m:sub>
            <m:r>
              <w:rPr>
                <w:rFonts w:ascii="Cambria Math" w:eastAsia="Times New Roman" w:hAnsi="Cambria Math" w:cs="Times New Roman"/>
                <w:szCs w:val="24"/>
              </w:rPr>
              <m:t>i</m:t>
            </m:r>
          </m:sub>
        </m:sSub>
        <m:r>
          <w:rPr>
            <w:rFonts w:ascii="Cambria Math" w:eastAsia="Times New Roman" w:hAnsi="Cambria Math" w:cs="Times New Roman"/>
            <w:szCs w:val="24"/>
          </w:rPr>
          <m:t xml:space="preserve">~N(0, </m:t>
        </m:r>
        <m:sSup>
          <m:sSupPr>
            <m:ctrlPr>
              <w:rPr>
                <w:rFonts w:ascii="Cambria Math" w:eastAsia="Times New Roman" w:hAnsi="Cambria Math" w:cs="Times New Roman"/>
                <w:i/>
                <w:szCs w:val="24"/>
              </w:rPr>
            </m:ctrlPr>
          </m:sSupPr>
          <m:e>
            <m:r>
              <m:rPr>
                <m:sty m:val="bi"/>
              </m:rPr>
              <w:rPr>
                <w:rFonts w:ascii="Cambria Math" w:eastAsia="Times New Roman" w:hAnsi="Cambria Math" w:cs="Times New Roman"/>
                <w:szCs w:val="24"/>
              </w:rPr>
              <m:t>ς</m:t>
            </m:r>
          </m:e>
          <m:sup>
            <m:r>
              <w:rPr>
                <w:rFonts w:ascii="Cambria Math" w:eastAsia="Times New Roman" w:hAnsi="Cambria Math" w:cs="Times New Roman"/>
                <w:szCs w:val="24"/>
              </w:rPr>
              <m:t>2</m:t>
            </m:r>
          </m:sup>
        </m:sSup>
        <m:r>
          <w:rPr>
            <w:rFonts w:ascii="Cambria Math" w:eastAsiaTheme="minorEastAsia" w:hAnsi="Cambria Math" w:cs="Times New Roman"/>
            <w:szCs w:val="24"/>
          </w:rPr>
          <m:t>)</m:t>
        </m:r>
      </m:oMath>
      <w:r w:rsidRPr="00B241DA">
        <w:rPr>
          <w:rFonts w:eastAsiaTheme="minorEastAsia" w:cs="Times New Roman"/>
          <w:szCs w:val="24"/>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δ</m:t>
            </m:r>
          </m:e>
          <m:sub>
            <m:r>
              <w:rPr>
                <w:rFonts w:ascii="Cambria Math" w:eastAsia="Times New Roman" w:hAnsi="Cambria Math" w:cs="Times New Roman"/>
                <w:szCs w:val="24"/>
              </w:rPr>
              <m:t>itj</m:t>
            </m:r>
          </m:sub>
        </m:sSub>
      </m:oMath>
      <w:r w:rsidRPr="00B241DA">
        <w:rPr>
          <w:rFonts w:eastAsia="Times New Roman" w:cs="Times New Roman"/>
          <w:szCs w:val="24"/>
        </w:rPr>
        <w:t xml:space="preserve"> captures unobserved factors that simultaneously impact total number of trips and proportion of trips by </w:t>
      </w:r>
      <w:proofErr w:type="spellStart"/>
      <w:r w:rsidR="0095029D">
        <w:rPr>
          <w:rFonts w:eastAsia="Times New Roman" w:cs="Times New Roman"/>
          <w:szCs w:val="24"/>
        </w:rPr>
        <w:t>ridehailing</w:t>
      </w:r>
      <w:proofErr w:type="spellEnd"/>
      <w:r w:rsidRPr="00B241DA">
        <w:rPr>
          <w:rFonts w:eastAsia="Times New Roman" w:cs="Times New Roman"/>
          <w:szCs w:val="24"/>
        </w:rPr>
        <w:t xml:space="preserve"> type </w:t>
      </w:r>
      <m:oMath>
        <m:r>
          <w:rPr>
            <w:rFonts w:ascii="Cambria Math" w:eastAsia="Times New Roman" w:hAnsi="Cambria Math" w:cs="Times New Roman"/>
            <w:szCs w:val="24"/>
          </w:rPr>
          <m:t xml:space="preserve">j </m:t>
        </m:r>
        <m:r>
          <m:rPr>
            <m:sty m:val="p"/>
          </m:rPr>
          <w:rPr>
            <w:rFonts w:ascii="Cambria Math" w:eastAsia="Times New Roman" w:hAnsi="Cambria Math" w:cs="Times New Roman"/>
            <w:szCs w:val="24"/>
          </w:rPr>
          <m:t>(</m:t>
        </m:r>
        <m:r>
          <w:rPr>
            <w:rFonts w:ascii="Cambria Math" w:eastAsia="Times New Roman" w:hAnsi="Cambria Math" w:cs="Times New Roman"/>
            <w:szCs w:val="24"/>
          </w:rPr>
          <m:t>j</m:t>
        </m:r>
        <m:r>
          <m:rPr>
            <m:sty m:val="p"/>
          </m:rPr>
          <w:rPr>
            <w:rFonts w:ascii="Cambria Math" w:eastAsia="Times New Roman" w:hAnsi="Cambria Math" w:cs="Times New Roman"/>
            <w:szCs w:val="24"/>
          </w:rPr>
          <m:t>=1, 2,3;J=3)</m:t>
        </m:r>
      </m:oMath>
      <w:r w:rsidRPr="00B241DA">
        <w:rPr>
          <w:rFonts w:eastAsia="Times New Roman" w:cs="Times New Roman"/>
          <w:szCs w:val="24"/>
        </w:rPr>
        <w:t xml:space="preserve"> for taxi zone </w:t>
      </w:r>
      <m:oMath>
        <m:r>
          <w:rPr>
            <w:rFonts w:ascii="Cambria Math" w:eastAsia="Times New Roman" w:hAnsi="Cambria Math" w:cs="Times New Roman"/>
            <w:szCs w:val="24"/>
          </w:rPr>
          <m:t>i</m:t>
        </m:r>
      </m:oMath>
      <w:r w:rsidRPr="00B241DA">
        <w:rPr>
          <w:rFonts w:eastAsia="Times New Roman" w:cs="Times New Roman"/>
          <w:szCs w:val="24"/>
        </w:rPr>
        <w:t xml:space="preserve"> and time period </w:t>
      </w:r>
      <m:oMath>
        <m:r>
          <w:rPr>
            <w:rFonts w:ascii="Cambria Math" w:eastAsia="Times New Roman" w:hAnsi="Cambria Math" w:cs="Times New Roman"/>
            <w:szCs w:val="24"/>
          </w:rPr>
          <m:t>t</m:t>
        </m:r>
      </m:oMath>
      <w:r w:rsidRPr="00B241DA">
        <w:rPr>
          <w:rFonts w:eastAsia="Times New Roman" w:cs="Times New Roman"/>
          <w:szCs w:val="24"/>
        </w:rPr>
        <w:t xml:space="preserve">. </w:t>
      </w:r>
      <m:oMath>
        <m:r>
          <w:rPr>
            <w:rFonts w:ascii="Cambria Math" w:eastAsia="Times New Roman" w:hAnsi="Cambria Math" w:cs="Times New Roman"/>
            <w:szCs w:val="24"/>
          </w:rPr>
          <m:t xml:space="preserve"> </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φ</m:t>
            </m:r>
          </m:e>
          <m:sub>
            <m:r>
              <w:rPr>
                <w:rFonts w:ascii="Cambria Math" w:eastAsia="Times New Roman" w:hAnsi="Cambria Math" w:cs="Times New Roman"/>
                <w:szCs w:val="24"/>
              </w:rPr>
              <m:t>it</m:t>
            </m:r>
          </m:sub>
        </m:sSub>
      </m:oMath>
      <w:r w:rsidRPr="00B241DA">
        <w:rPr>
          <w:rFonts w:eastAsia="Times New Roman" w:cs="Times New Roman"/>
          <w:szCs w:val="24"/>
        </w:rPr>
        <w:t xml:space="preserve"> is a gamma distributed error term with mean 1 and variance </w:t>
      </w:r>
      <m:oMath>
        <m:r>
          <w:rPr>
            <w:rFonts w:ascii="Cambria Math" w:eastAsia="Calibri" w:hAnsi="Cambria Math" w:cs="Times New Roman"/>
            <w:szCs w:val="24"/>
          </w:rPr>
          <m:t>α</m:t>
        </m:r>
      </m:oMath>
      <w:r w:rsidRPr="00B241DA">
        <w:rPr>
          <w:rFonts w:eastAsia="Times New Roman" w:cs="Times New Roman"/>
          <w:szCs w:val="24"/>
        </w:rPr>
        <w:t xml:space="preserve">. </w:t>
      </w:r>
    </w:p>
    <w:p w14:paraId="0D72823C" w14:textId="77777777" w:rsidR="001E4EA5" w:rsidRPr="00B241DA" w:rsidRDefault="001E4EA5" w:rsidP="001E4EA5">
      <w:pPr>
        <w:rPr>
          <w:rStyle w:val="ms-font-s"/>
          <w:rFonts w:cs="Times New Roman"/>
          <w:color w:val="000000" w:themeColor="text1"/>
          <w:szCs w:val="24"/>
        </w:rPr>
      </w:pPr>
    </w:p>
    <w:p w14:paraId="7CFAFD07" w14:textId="6D8C63A2" w:rsidR="001E4EA5" w:rsidRPr="00E558CE" w:rsidRDefault="001E4EA5" w:rsidP="00E558CE">
      <w:pPr>
        <w:pStyle w:val="Heading2"/>
        <w:rPr>
          <w:rStyle w:val="ms-font-s"/>
        </w:rPr>
      </w:pPr>
      <w:r w:rsidRPr="00E558CE">
        <w:rPr>
          <w:rStyle w:val="ms-font-s"/>
        </w:rPr>
        <w:t>MNLFS Component</w:t>
      </w:r>
    </w:p>
    <w:p w14:paraId="43C9EF74" w14:textId="46115957" w:rsidR="001E4EA5" w:rsidRPr="00B241DA" w:rsidRDefault="001E4EA5" w:rsidP="001E4EA5">
      <w:pPr>
        <w:rPr>
          <w:rFonts w:eastAsia="Times New Roman" w:cs="Times New Roman"/>
          <w:szCs w:val="24"/>
        </w:rPr>
      </w:pPr>
      <w:r w:rsidRPr="00B241DA">
        <w:rPr>
          <w:rFonts w:cs="Times New Roman"/>
        </w:rPr>
        <w:t xml:space="preserve">Let </w:t>
      </w:r>
      <m:oMath>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itj</m:t>
            </m:r>
          </m:sub>
        </m:sSub>
      </m:oMath>
      <w:r w:rsidRPr="00B241DA">
        <w:rPr>
          <w:rFonts w:cs="Times New Roman"/>
        </w:rPr>
        <w:t xml:space="preserve"> be the fraction of trips by </w:t>
      </w:r>
      <w:proofErr w:type="spellStart"/>
      <w:r w:rsidR="0095029D">
        <w:rPr>
          <w:rFonts w:cs="Times New Roman"/>
        </w:rPr>
        <w:t>ridehailing</w:t>
      </w:r>
      <w:proofErr w:type="spellEnd"/>
      <w:r w:rsidRPr="00B241DA">
        <w:rPr>
          <w:rFonts w:cs="Times New Roman"/>
        </w:rPr>
        <w:t xml:space="preserve"> type </w:t>
      </w:r>
      <m:oMath>
        <m:r>
          <w:rPr>
            <w:rFonts w:ascii="Cambria Math" w:hAnsi="Cambria Math" w:cs="Times New Roman"/>
          </w:rPr>
          <m:t>j</m:t>
        </m:r>
      </m:oMath>
      <w:r w:rsidRPr="00B241DA">
        <w:rPr>
          <w:rFonts w:cs="Times New Roman"/>
        </w:rPr>
        <w:t xml:space="preserve">  in taxi zone </w:t>
      </w:r>
      <m:oMath>
        <m:r>
          <w:rPr>
            <w:rFonts w:ascii="Cambria Math" w:hAnsi="Cambria Math" w:cs="Times New Roman"/>
          </w:rPr>
          <m:t>i</m:t>
        </m:r>
      </m:oMath>
      <w:r w:rsidRPr="00B241DA">
        <w:rPr>
          <w:rFonts w:cs="Times New Roman"/>
        </w:rPr>
        <w:t xml:space="preserve"> and time period </w:t>
      </w:r>
      <m:oMath>
        <m:r>
          <w:rPr>
            <w:rFonts w:ascii="Cambria Math" w:hAnsi="Cambria Math" w:cs="Times New Roman"/>
          </w:rPr>
          <m:t>t</m:t>
        </m:r>
      </m:oMath>
      <w:r w:rsidRPr="00B241DA">
        <w:rPr>
          <w:rFonts w:cs="Times New Roman"/>
          <w:iCs/>
        </w:rPr>
        <w:t>.</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E4EA5" w:rsidRPr="00B241DA" w14:paraId="0FFB6DD8" w14:textId="77777777" w:rsidTr="004E2702">
        <w:tc>
          <w:tcPr>
            <w:tcW w:w="4349" w:type="pct"/>
            <w:vAlign w:val="center"/>
          </w:tcPr>
          <w:p w14:paraId="34F3FCFF" w14:textId="77777777" w:rsidR="001E4EA5" w:rsidRPr="00B241DA" w:rsidRDefault="001E4EA5" w:rsidP="004E2702">
            <w:pPr>
              <w:spacing w:before="360" w:after="360"/>
              <w:rPr>
                <w:rFonts w:ascii="Times New Roman" w:eastAsia="Calibri" w:hAnsi="Times New Roman" w:cs="Times New Roman"/>
                <w:sz w:val="24"/>
                <w:szCs w:val="24"/>
                <w:lang w:val="en-US"/>
              </w:rPr>
            </w:pPr>
            <m:oMathPara>
              <m:oMathParaPr>
                <m:jc m:val="left"/>
              </m:oMathParaPr>
              <m:oMath>
                <m:r>
                  <w:rPr>
                    <w:rFonts w:ascii="Cambria Math" w:hAnsi="Cambria Math" w:cs="Times New Roman"/>
                    <w:sz w:val="24"/>
                    <w:szCs w:val="24"/>
                    <w:lang w:val="en-US" w:eastAsia="ko-KR"/>
                  </w:rPr>
                  <m:t>0≤</m:t>
                </m:r>
                <m:sSub>
                  <m:sSubPr>
                    <m:ctrlPr>
                      <w:rPr>
                        <w:rFonts w:ascii="Cambria Math" w:hAnsi="Cambria Math" w:cs="Times New Roman"/>
                        <w:i/>
                        <w:sz w:val="24"/>
                        <w:szCs w:val="24"/>
                        <w:lang w:val="en-US" w:eastAsia="ko-KR"/>
                      </w:rPr>
                    </m:ctrlPr>
                  </m:sSubPr>
                  <m:e>
                    <m:r>
                      <w:rPr>
                        <w:rFonts w:ascii="Cambria Math" w:hAnsi="Cambria Math" w:cs="Times New Roman"/>
                        <w:sz w:val="24"/>
                        <w:szCs w:val="24"/>
                        <w:lang w:val="en-US" w:eastAsia="ko-KR"/>
                      </w:rPr>
                      <m:t>z</m:t>
                    </m:r>
                  </m:e>
                  <m:sub>
                    <m:r>
                      <w:rPr>
                        <w:rFonts w:ascii="Cambria Math" w:hAnsi="Cambria Math" w:cs="Times New Roman"/>
                        <w:sz w:val="24"/>
                        <w:szCs w:val="24"/>
                        <w:lang w:val="en-US" w:eastAsia="ko-KR"/>
                      </w:rPr>
                      <m:t>itj</m:t>
                    </m:r>
                  </m:sub>
                </m:sSub>
                <m:r>
                  <w:rPr>
                    <w:rFonts w:ascii="Cambria Math" w:hAnsi="Cambria Math" w:cs="Times New Roman"/>
                    <w:sz w:val="24"/>
                    <w:szCs w:val="24"/>
                    <w:lang w:val="en-US" w:eastAsia="ko-KR"/>
                  </w:rPr>
                  <m:t xml:space="preserve">≤1,  </m:t>
                </m:r>
                <m:nary>
                  <m:naryPr>
                    <m:chr m:val="∑"/>
                    <m:limLoc m:val="subSup"/>
                    <m:ctrlPr>
                      <w:rPr>
                        <w:rFonts w:ascii="Cambria Math" w:hAnsi="Cambria Math" w:cs="Times New Roman"/>
                        <w:i/>
                        <w:sz w:val="24"/>
                        <w:szCs w:val="24"/>
                        <w:lang w:val="en-US" w:eastAsia="ko-KR"/>
                      </w:rPr>
                    </m:ctrlPr>
                  </m:naryPr>
                  <m:sub>
                    <m:r>
                      <w:rPr>
                        <w:rFonts w:ascii="Cambria Math" w:hAnsi="Cambria Math" w:cs="Times New Roman"/>
                        <w:sz w:val="24"/>
                        <w:szCs w:val="24"/>
                        <w:lang w:val="en-US" w:eastAsia="ko-KR"/>
                      </w:rPr>
                      <m:t>j=1</m:t>
                    </m:r>
                  </m:sub>
                  <m:sup>
                    <m:r>
                      <w:rPr>
                        <w:rFonts w:ascii="Cambria Math" w:hAnsi="Cambria Math" w:cs="Times New Roman"/>
                        <w:sz w:val="24"/>
                        <w:szCs w:val="24"/>
                        <w:lang w:val="en-US" w:eastAsia="ko-KR"/>
                      </w:rPr>
                      <m:t>J</m:t>
                    </m:r>
                  </m:sup>
                  <m:e>
                    <m:sSub>
                      <m:sSubPr>
                        <m:ctrlPr>
                          <w:rPr>
                            <w:rFonts w:ascii="Cambria Math" w:hAnsi="Cambria Math" w:cs="Times New Roman"/>
                            <w:i/>
                            <w:sz w:val="24"/>
                            <w:szCs w:val="24"/>
                            <w:lang w:val="en-US" w:eastAsia="ko-KR"/>
                          </w:rPr>
                        </m:ctrlPr>
                      </m:sSubPr>
                      <m:e>
                        <m:r>
                          <w:rPr>
                            <w:rFonts w:ascii="Cambria Math" w:hAnsi="Cambria Math" w:cs="Times New Roman"/>
                            <w:sz w:val="24"/>
                            <w:szCs w:val="24"/>
                            <w:lang w:val="en-US" w:eastAsia="ko-KR"/>
                          </w:rPr>
                          <m:t>z</m:t>
                        </m:r>
                      </m:e>
                      <m:sub>
                        <m:r>
                          <w:rPr>
                            <w:rFonts w:ascii="Cambria Math" w:hAnsi="Cambria Math" w:cs="Times New Roman"/>
                            <w:sz w:val="24"/>
                            <w:szCs w:val="24"/>
                            <w:lang w:val="en-US" w:eastAsia="ko-KR"/>
                          </w:rPr>
                          <m:t>itj</m:t>
                        </m:r>
                      </m:sub>
                    </m:sSub>
                    <m:r>
                      <w:rPr>
                        <w:rFonts w:ascii="Cambria Math" w:hAnsi="Cambria Math" w:cs="Times New Roman"/>
                        <w:sz w:val="24"/>
                        <w:szCs w:val="24"/>
                        <w:lang w:val="en-US" w:eastAsia="ko-KR"/>
                      </w:rPr>
                      <m:t>=1</m:t>
                    </m:r>
                  </m:e>
                </m:nary>
              </m:oMath>
            </m:oMathPara>
          </w:p>
        </w:tc>
        <w:tc>
          <w:tcPr>
            <w:tcW w:w="651" w:type="pct"/>
            <w:vAlign w:val="center"/>
          </w:tcPr>
          <w:p w14:paraId="0F3DA3E6" w14:textId="77777777" w:rsidR="001E4EA5" w:rsidRPr="00B241DA" w:rsidRDefault="001E4EA5" w:rsidP="004E2702">
            <w:pPr>
              <w:spacing w:before="360" w:after="360"/>
              <w:ind w:left="850"/>
              <w:contextualSpacing/>
              <w:jc w:val="right"/>
              <w:rPr>
                <w:rFonts w:ascii="Times New Roman" w:eastAsia="Calibri" w:hAnsi="Times New Roman" w:cs="Times New Roman"/>
                <w:sz w:val="24"/>
                <w:szCs w:val="24"/>
                <w:lang w:val="en-US"/>
              </w:rPr>
            </w:pPr>
            <w:r w:rsidRPr="00B241DA">
              <w:rPr>
                <w:rFonts w:ascii="Times New Roman" w:eastAsia="Calibri" w:hAnsi="Times New Roman" w:cs="Times New Roman"/>
                <w:sz w:val="24"/>
                <w:szCs w:val="24"/>
                <w:lang w:val="en-US"/>
              </w:rPr>
              <w:t>(3)</w:t>
            </w:r>
          </w:p>
          <w:p w14:paraId="4AC55930" w14:textId="77777777" w:rsidR="001E4EA5" w:rsidRPr="00B241DA" w:rsidRDefault="001E4EA5" w:rsidP="004E2702">
            <w:pPr>
              <w:spacing w:before="360" w:after="360"/>
              <w:ind w:left="850"/>
              <w:contextualSpacing/>
              <w:jc w:val="right"/>
              <w:rPr>
                <w:rFonts w:ascii="Times New Roman" w:eastAsia="Calibri" w:hAnsi="Times New Roman" w:cs="Times New Roman"/>
                <w:sz w:val="24"/>
                <w:szCs w:val="24"/>
                <w:lang w:val="en-US"/>
              </w:rPr>
            </w:pPr>
          </w:p>
        </w:tc>
      </w:tr>
    </w:tbl>
    <w:p w14:paraId="3BB19E0F" w14:textId="77777777" w:rsidR="001E4EA5" w:rsidRPr="00B241DA" w:rsidRDefault="001E4EA5" w:rsidP="001E4EA5">
      <w:pPr>
        <w:ind w:firstLine="720"/>
        <w:rPr>
          <w:rFonts w:eastAsia="Times New Roman" w:cs="Times New Roman"/>
          <w:szCs w:val="24"/>
        </w:rPr>
      </w:pPr>
      <w:r w:rsidRPr="00B241DA">
        <w:rPr>
          <w:rFonts w:eastAsia="Times New Roman" w:cs="Times New Roman"/>
          <w:szCs w:val="24"/>
        </w:rPr>
        <w:t xml:space="preserve">Let the fraction </w:t>
      </w:r>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z</m:t>
            </m:r>
          </m:e>
          <m:sub>
            <m:r>
              <w:rPr>
                <w:rFonts w:ascii="Cambria Math" w:eastAsia="Times New Roman" w:hAnsi="Cambria Math" w:cs="Times New Roman"/>
                <w:szCs w:val="24"/>
              </w:rPr>
              <m:t>itj</m:t>
            </m:r>
          </m:sub>
        </m:sSub>
      </m:oMath>
      <w:r w:rsidRPr="00B241DA">
        <w:rPr>
          <w:rFonts w:eastAsia="Times New Roman" w:cs="Times New Roman"/>
          <w:szCs w:val="24"/>
        </w:rPr>
        <w:t xml:space="preserve"> be a function of a vector </w:t>
      </w:r>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w</m:t>
            </m:r>
          </m:e>
          <m:sub>
            <m:r>
              <w:rPr>
                <w:rFonts w:ascii="Cambria Math" w:eastAsia="Times New Roman" w:hAnsi="Cambria Math" w:cs="Times New Roman"/>
                <w:szCs w:val="24"/>
              </w:rPr>
              <m:t>itj</m:t>
            </m:r>
          </m:sub>
        </m:sSub>
      </m:oMath>
      <w:r w:rsidRPr="00B241DA">
        <w:rPr>
          <w:rFonts w:eastAsia="Times New Roman" w:cs="Times New Roman"/>
          <w:szCs w:val="24"/>
        </w:rPr>
        <w:t xml:space="preserve"> of relevant explanatory variables associated with attributes of taxi zone </w:t>
      </w:r>
      <m:oMath>
        <m:r>
          <w:rPr>
            <w:rFonts w:ascii="Cambria Math" w:eastAsia="Times New Roman" w:hAnsi="Cambria Math" w:cs="Times New Roman"/>
            <w:szCs w:val="24"/>
          </w:rPr>
          <m:t>i</m:t>
        </m:r>
      </m:oMath>
      <w:r w:rsidRPr="00B241DA">
        <w:rPr>
          <w:rFonts w:eastAsia="Times New Roman" w:cs="Times New Roman"/>
          <w:szCs w:val="24"/>
        </w:rPr>
        <w:t xml:space="preserve"> and time period </w:t>
      </w:r>
      <m:oMath>
        <m:r>
          <w:rPr>
            <w:rFonts w:ascii="Cambria Math" w:eastAsia="Times New Roman" w:hAnsi="Cambria Math" w:cs="Times New Roman"/>
            <w:szCs w:val="24"/>
          </w:rPr>
          <m:t>j</m:t>
        </m:r>
      </m:oMath>
      <w:r w:rsidRPr="00B241DA">
        <w:rPr>
          <w:rFonts w:eastAsia="Times New Roman" w:cs="Times New Roman"/>
          <w:szCs w:val="24"/>
        </w:rPr>
        <w:t>.</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E4EA5" w:rsidRPr="00B241DA" w14:paraId="1827FB23" w14:textId="77777777" w:rsidTr="004E2702">
        <w:tc>
          <w:tcPr>
            <w:tcW w:w="4349" w:type="pct"/>
            <w:vAlign w:val="center"/>
          </w:tcPr>
          <w:p w14:paraId="28096DD5" w14:textId="77777777" w:rsidR="001E4EA5" w:rsidRPr="00B241DA" w:rsidRDefault="001E4EA5" w:rsidP="004E2702">
            <w:pPr>
              <w:spacing w:before="360" w:after="360"/>
              <w:rPr>
                <w:rFonts w:ascii="Times New Roman" w:eastAsiaTheme="minorEastAsia" w:hAnsi="Times New Roman" w:cs="Times New Roman"/>
                <w:i/>
                <w:sz w:val="24"/>
                <w:szCs w:val="24"/>
                <w:lang w:val="en-US" w:eastAsia="ko-KR"/>
              </w:rPr>
            </w:pPr>
            <m:oMathPara>
              <m:oMathParaPr>
                <m:jc m:val="left"/>
              </m:oMathParaPr>
              <m:oMath>
                <m:r>
                  <w:rPr>
                    <w:rFonts w:ascii="Cambria Math" w:hAnsi="Cambria Math" w:cs="Times New Roman"/>
                    <w:sz w:val="24"/>
                    <w:szCs w:val="24"/>
                    <w:lang w:val="en-US" w:eastAsia="ko-KR"/>
                  </w:rPr>
                  <m:t>E[</m:t>
                </m:r>
                <m:sSub>
                  <m:sSubPr>
                    <m:ctrlPr>
                      <w:rPr>
                        <w:rFonts w:ascii="Cambria Math" w:hAnsi="Cambria Math" w:cs="Times New Roman"/>
                        <w:i/>
                        <w:sz w:val="24"/>
                        <w:szCs w:val="24"/>
                        <w:lang w:val="en-US" w:eastAsia="ko-KR"/>
                      </w:rPr>
                    </m:ctrlPr>
                  </m:sSubPr>
                  <m:e>
                    <m:r>
                      <w:rPr>
                        <w:rFonts w:ascii="Cambria Math" w:hAnsi="Cambria Math" w:cs="Times New Roman"/>
                        <w:sz w:val="24"/>
                        <w:szCs w:val="24"/>
                        <w:lang w:val="en-US" w:eastAsia="ko-KR"/>
                      </w:rPr>
                      <m:t>z</m:t>
                    </m:r>
                  </m:e>
                  <m:sub>
                    <m:r>
                      <w:rPr>
                        <w:rFonts w:ascii="Cambria Math" w:hAnsi="Cambria Math" w:cs="Times New Roman"/>
                        <w:sz w:val="24"/>
                        <w:szCs w:val="24"/>
                        <w:lang w:val="en-US" w:eastAsia="ko-KR"/>
                      </w:rPr>
                      <m:t>itj</m:t>
                    </m:r>
                  </m:sub>
                </m:sSub>
                <m:r>
                  <w:rPr>
                    <w:rFonts w:ascii="Cambria Math" w:hAnsi="Cambria Math" w:cs="Times New Roman"/>
                    <w:sz w:val="24"/>
                    <w:szCs w:val="24"/>
                    <w:lang w:val="en-US" w:eastAsia="ko-KR"/>
                  </w:rPr>
                  <m:t>|</m:t>
                </m:r>
                <m:sSub>
                  <m:sSubPr>
                    <m:ctrlPr>
                      <w:rPr>
                        <w:rFonts w:ascii="Cambria Math" w:eastAsia="Times New Roman" w:hAnsi="Cambria Math" w:cs="Times New Roman"/>
                        <w:sz w:val="24"/>
                        <w:szCs w:val="24"/>
                        <w:lang w:val="en-US"/>
                      </w:rPr>
                    </m:ctrlPr>
                  </m:sSubPr>
                  <m:e>
                    <m:r>
                      <w:rPr>
                        <w:rFonts w:ascii="Cambria Math" w:eastAsia="Times New Roman" w:hAnsi="Cambria Math" w:cs="Times New Roman"/>
                        <w:sz w:val="24"/>
                        <w:szCs w:val="24"/>
                        <w:lang w:val="en-US"/>
                      </w:rPr>
                      <m:t>w</m:t>
                    </m:r>
                  </m:e>
                  <m:sub>
                    <m:r>
                      <w:rPr>
                        <w:rFonts w:ascii="Cambria Math" w:eastAsia="Times New Roman" w:hAnsi="Cambria Math" w:cs="Times New Roman"/>
                        <w:sz w:val="24"/>
                        <w:szCs w:val="24"/>
                        <w:lang w:val="en-US"/>
                      </w:rPr>
                      <m:t>itj</m:t>
                    </m:r>
                  </m:sub>
                </m:sSub>
                <m:r>
                  <w:rPr>
                    <w:rFonts w:ascii="Cambria Math" w:hAnsi="Cambria Math" w:cs="Times New Roman"/>
                    <w:sz w:val="24"/>
                    <w:szCs w:val="24"/>
                    <w:lang w:val="en-US" w:eastAsia="ko-KR"/>
                  </w:rPr>
                  <m:t xml:space="preserve">]= </m:t>
                </m:r>
                <m:sSub>
                  <m:sSubPr>
                    <m:ctrlPr>
                      <w:rPr>
                        <w:rFonts w:ascii="Cambria Math" w:hAnsi="Cambria Math" w:cs="Times New Roman"/>
                        <w:i/>
                        <w:sz w:val="24"/>
                        <w:szCs w:val="24"/>
                        <w:lang w:val="en-US" w:eastAsia="ko-KR"/>
                      </w:rPr>
                    </m:ctrlPr>
                  </m:sSubPr>
                  <m:e>
                    <m:r>
                      <w:rPr>
                        <w:rFonts w:ascii="Cambria Math" w:hAnsi="Cambria Math" w:cs="Times New Roman"/>
                        <w:sz w:val="24"/>
                        <w:szCs w:val="24"/>
                        <w:lang w:val="en-US" w:eastAsia="ko-KR"/>
                      </w:rPr>
                      <m:t>Q</m:t>
                    </m:r>
                  </m:e>
                  <m:sub>
                    <m:r>
                      <w:rPr>
                        <w:rFonts w:ascii="Cambria Math" w:hAnsi="Cambria Math" w:cs="Times New Roman"/>
                        <w:sz w:val="24"/>
                        <w:szCs w:val="24"/>
                        <w:lang w:val="en-US" w:eastAsia="ko-KR"/>
                      </w:rPr>
                      <m:t>itj</m:t>
                    </m:r>
                  </m:sub>
                </m:sSub>
                <m:r>
                  <w:rPr>
                    <w:rFonts w:ascii="Cambria Math" w:hAnsi="Cambria Math" w:cs="Times New Roman"/>
                    <w:sz w:val="24"/>
                    <w:szCs w:val="24"/>
                    <w:lang w:val="en-US" w:eastAsia="ko-KR"/>
                  </w:rPr>
                  <m:t>(∙)</m:t>
                </m:r>
              </m:oMath>
            </m:oMathPara>
          </w:p>
          <w:p w14:paraId="0CC749B1" w14:textId="77777777" w:rsidR="001E4EA5" w:rsidRPr="00B241DA" w:rsidRDefault="001E4EA5" w:rsidP="004E2702">
            <w:pPr>
              <w:spacing w:before="360" w:after="360"/>
              <w:rPr>
                <w:rFonts w:ascii="Times New Roman" w:eastAsia="Calibri" w:hAnsi="Times New Roman" w:cs="Times New Roman"/>
                <w:sz w:val="24"/>
                <w:szCs w:val="24"/>
                <w:lang w:val="en-US"/>
              </w:rPr>
            </w:pPr>
            <m:oMath>
              <m:r>
                <w:rPr>
                  <w:rFonts w:ascii="Cambria Math" w:hAnsi="Cambria Math" w:cs="Times New Roman"/>
                  <w:sz w:val="24"/>
                  <w:szCs w:val="24"/>
                  <w:lang w:val="en-US" w:eastAsia="ko-KR"/>
                </w:rPr>
                <m:t>0&lt;</m:t>
              </m:r>
              <m:sSub>
                <m:sSubPr>
                  <m:ctrlPr>
                    <w:rPr>
                      <w:rFonts w:ascii="Cambria Math" w:hAnsi="Cambria Math" w:cs="Times New Roman"/>
                      <w:i/>
                      <w:sz w:val="24"/>
                      <w:szCs w:val="24"/>
                      <w:lang w:val="en-US" w:eastAsia="ko-KR"/>
                    </w:rPr>
                  </m:ctrlPr>
                </m:sSubPr>
                <m:e>
                  <m:r>
                    <w:rPr>
                      <w:rFonts w:ascii="Cambria Math" w:hAnsi="Cambria Math" w:cs="Times New Roman"/>
                      <w:sz w:val="24"/>
                      <w:szCs w:val="24"/>
                      <w:lang w:val="en-US" w:eastAsia="ko-KR"/>
                    </w:rPr>
                    <m:t>Q</m:t>
                  </m:r>
                </m:e>
                <m:sub>
                  <m:r>
                    <w:rPr>
                      <w:rFonts w:ascii="Cambria Math" w:hAnsi="Cambria Math" w:cs="Times New Roman"/>
                      <w:sz w:val="24"/>
                      <w:szCs w:val="24"/>
                      <w:lang w:val="en-US" w:eastAsia="ko-KR"/>
                    </w:rPr>
                    <m:t>itj</m:t>
                  </m:r>
                </m:sub>
              </m:sSub>
              <m:r>
                <w:rPr>
                  <w:rFonts w:ascii="Cambria Math" w:hAnsi="Cambria Math" w:cs="Times New Roman"/>
                  <w:sz w:val="24"/>
                  <w:szCs w:val="24"/>
                  <w:lang w:val="en-US" w:eastAsia="ko-KR"/>
                </w:rPr>
                <m:t>(∙)&lt;1</m:t>
              </m:r>
            </m:oMath>
            <w:r w:rsidRPr="00B241DA">
              <w:rPr>
                <w:rFonts w:ascii="Times New Roman" w:eastAsiaTheme="minorEastAsia" w:hAnsi="Times New Roman" w:cs="Times New Roman"/>
                <w:sz w:val="24"/>
                <w:szCs w:val="24"/>
                <w:lang w:val="en-US" w:eastAsia="ko-KR"/>
              </w:rPr>
              <w:t xml:space="preserve">,   </w:t>
            </w:r>
            <m:oMath>
              <m:nary>
                <m:naryPr>
                  <m:chr m:val="∑"/>
                  <m:limLoc m:val="subSup"/>
                  <m:ctrlPr>
                    <w:rPr>
                      <w:rFonts w:ascii="Cambria Math" w:hAnsi="Cambria Math" w:cs="Times New Roman"/>
                      <w:i/>
                      <w:sz w:val="24"/>
                      <w:szCs w:val="24"/>
                      <w:lang w:val="en-US" w:eastAsia="ko-KR"/>
                    </w:rPr>
                  </m:ctrlPr>
                </m:naryPr>
                <m:sub>
                  <m:r>
                    <w:rPr>
                      <w:rFonts w:ascii="Cambria Math" w:hAnsi="Cambria Math" w:cs="Times New Roman"/>
                      <w:sz w:val="24"/>
                      <w:szCs w:val="24"/>
                      <w:lang w:val="en-US" w:eastAsia="ko-KR"/>
                    </w:rPr>
                    <m:t>j=1</m:t>
                  </m:r>
                </m:sub>
                <m:sup>
                  <m:r>
                    <w:rPr>
                      <w:rFonts w:ascii="Cambria Math" w:hAnsi="Cambria Math" w:cs="Times New Roman"/>
                      <w:sz w:val="24"/>
                      <w:szCs w:val="24"/>
                      <w:lang w:val="en-US" w:eastAsia="ko-KR"/>
                    </w:rPr>
                    <m:t>J</m:t>
                  </m:r>
                </m:sup>
                <m:e>
                  <m:sSub>
                    <m:sSubPr>
                      <m:ctrlPr>
                        <w:rPr>
                          <w:rFonts w:ascii="Cambria Math" w:hAnsi="Cambria Math" w:cs="Times New Roman"/>
                          <w:i/>
                          <w:sz w:val="24"/>
                          <w:szCs w:val="24"/>
                          <w:lang w:val="en-US" w:eastAsia="ko-KR"/>
                        </w:rPr>
                      </m:ctrlPr>
                    </m:sSubPr>
                    <m:e>
                      <m:r>
                        <w:rPr>
                          <w:rFonts w:ascii="Cambria Math" w:hAnsi="Cambria Math" w:cs="Times New Roman"/>
                          <w:sz w:val="24"/>
                          <w:szCs w:val="24"/>
                          <w:lang w:val="en-US" w:eastAsia="ko-KR"/>
                        </w:rPr>
                        <m:t>Q</m:t>
                      </m:r>
                    </m:e>
                    <m:sub>
                      <m:r>
                        <w:rPr>
                          <w:rFonts w:ascii="Cambria Math" w:hAnsi="Cambria Math" w:cs="Times New Roman"/>
                          <w:sz w:val="24"/>
                          <w:szCs w:val="24"/>
                          <w:lang w:val="en-US" w:eastAsia="ko-KR"/>
                        </w:rPr>
                        <m:t>itj</m:t>
                      </m:r>
                    </m:sub>
                  </m:sSub>
                  <m:r>
                    <w:rPr>
                      <w:rFonts w:ascii="Cambria Math" w:hAnsi="Cambria Math" w:cs="Times New Roman"/>
                      <w:sz w:val="24"/>
                      <w:szCs w:val="24"/>
                      <w:lang w:val="en-US" w:eastAsia="ko-KR"/>
                    </w:rPr>
                    <m:t>(∙)=1</m:t>
                  </m:r>
                </m:e>
              </m:nary>
            </m:oMath>
          </w:p>
        </w:tc>
        <w:tc>
          <w:tcPr>
            <w:tcW w:w="651" w:type="pct"/>
            <w:vAlign w:val="center"/>
          </w:tcPr>
          <w:p w14:paraId="5462BF73" w14:textId="77777777" w:rsidR="001E4EA5" w:rsidRPr="00B241DA" w:rsidRDefault="001E4EA5" w:rsidP="004E2702">
            <w:pPr>
              <w:spacing w:before="360" w:after="360"/>
              <w:ind w:left="850"/>
              <w:contextualSpacing/>
              <w:jc w:val="right"/>
              <w:rPr>
                <w:rFonts w:ascii="Times New Roman" w:eastAsia="Calibri" w:hAnsi="Times New Roman" w:cs="Times New Roman"/>
                <w:sz w:val="24"/>
                <w:szCs w:val="24"/>
                <w:lang w:val="en-US"/>
              </w:rPr>
            </w:pPr>
            <w:r w:rsidRPr="00B241DA">
              <w:rPr>
                <w:rFonts w:ascii="Times New Roman" w:eastAsia="Calibri" w:hAnsi="Times New Roman" w:cs="Times New Roman"/>
                <w:sz w:val="24"/>
                <w:szCs w:val="24"/>
                <w:lang w:val="en-US"/>
              </w:rPr>
              <w:t>(4)</w:t>
            </w:r>
          </w:p>
          <w:p w14:paraId="6B5788CC" w14:textId="77777777" w:rsidR="001E4EA5" w:rsidRPr="00B241DA" w:rsidRDefault="001E4EA5" w:rsidP="004E2702">
            <w:pPr>
              <w:spacing w:before="360" w:after="360"/>
              <w:ind w:left="850"/>
              <w:contextualSpacing/>
              <w:jc w:val="right"/>
              <w:rPr>
                <w:rFonts w:ascii="Times New Roman" w:eastAsia="Calibri" w:hAnsi="Times New Roman" w:cs="Times New Roman"/>
                <w:sz w:val="24"/>
                <w:szCs w:val="24"/>
                <w:lang w:val="en-US"/>
              </w:rPr>
            </w:pPr>
          </w:p>
        </w:tc>
      </w:tr>
    </w:tbl>
    <w:p w14:paraId="50DA3F76" w14:textId="229D49D4" w:rsidR="001E4EA5" w:rsidRPr="00B241DA" w:rsidRDefault="001E4EA5" w:rsidP="001E4EA5">
      <w:pPr>
        <w:rPr>
          <w:rFonts w:eastAsia="Times New Roman" w:cs="Times New Roman"/>
          <w:szCs w:val="24"/>
        </w:rPr>
      </w:pPr>
      <w:r w:rsidRPr="00B241DA">
        <w:rPr>
          <w:rFonts w:eastAsia="Times New Roman" w:cs="Times New Roman"/>
          <w:szCs w:val="24"/>
        </w:rPr>
        <w:t xml:space="preserve">where </w:t>
      </w:r>
      <m:oMath>
        <m:sSub>
          <m:sSubPr>
            <m:ctrlPr>
              <w:rPr>
                <w:rFonts w:ascii="Cambria Math" w:hAnsi="Cambria Math" w:cs="Times New Roman"/>
                <w:i/>
                <w:szCs w:val="24"/>
                <w:lang w:eastAsia="ko-KR"/>
              </w:rPr>
            </m:ctrlPr>
          </m:sSubPr>
          <m:e>
            <m:r>
              <w:rPr>
                <w:rFonts w:ascii="Cambria Math" w:hAnsi="Cambria Math" w:cs="Times New Roman"/>
                <w:szCs w:val="24"/>
                <w:lang w:eastAsia="ko-KR"/>
              </w:rPr>
              <m:t>Q</m:t>
            </m:r>
          </m:e>
          <m:sub>
            <m:r>
              <w:rPr>
                <w:rFonts w:ascii="Cambria Math" w:hAnsi="Cambria Math" w:cs="Times New Roman"/>
                <w:szCs w:val="24"/>
                <w:lang w:eastAsia="ko-KR"/>
              </w:rPr>
              <m:t>itj</m:t>
            </m:r>
          </m:sub>
        </m:sSub>
        <m:r>
          <w:rPr>
            <w:rFonts w:ascii="Cambria Math" w:hAnsi="Cambria Math" w:cs="Times New Roman"/>
            <w:szCs w:val="24"/>
            <w:lang w:eastAsia="ko-KR"/>
          </w:rPr>
          <m:t>(∙)</m:t>
        </m:r>
      </m:oMath>
      <w:r w:rsidRPr="00B241DA">
        <w:rPr>
          <w:rFonts w:eastAsia="Times New Roman" w:cs="Times New Roman"/>
          <w:szCs w:val="24"/>
        </w:rPr>
        <w:t xml:space="preserve"> is a predetermined </w:t>
      </w:r>
      <w:proofErr w:type="gramStart"/>
      <w:r w:rsidRPr="00B241DA">
        <w:rPr>
          <w:rFonts w:eastAsia="Times New Roman" w:cs="Times New Roman"/>
          <w:szCs w:val="24"/>
        </w:rPr>
        <w:t>function.</w:t>
      </w:r>
      <w:proofErr w:type="gramEnd"/>
      <w:r w:rsidRPr="00B241DA">
        <w:rPr>
          <w:rFonts w:eastAsia="Times New Roman" w:cs="Times New Roman"/>
          <w:szCs w:val="24"/>
        </w:rPr>
        <w:t xml:space="preserve"> The properties specified in equation (4) for </w:t>
      </w:r>
      <m:oMath>
        <m:sSub>
          <m:sSubPr>
            <m:ctrlPr>
              <w:rPr>
                <w:rFonts w:ascii="Cambria Math" w:hAnsi="Cambria Math" w:cs="Times New Roman"/>
                <w:i/>
                <w:szCs w:val="24"/>
                <w:lang w:eastAsia="ko-KR"/>
              </w:rPr>
            </m:ctrlPr>
          </m:sSubPr>
          <m:e>
            <m:r>
              <w:rPr>
                <w:rFonts w:ascii="Cambria Math" w:hAnsi="Cambria Math" w:cs="Times New Roman"/>
                <w:szCs w:val="24"/>
                <w:lang w:eastAsia="ko-KR"/>
              </w:rPr>
              <m:t>Q</m:t>
            </m:r>
          </m:e>
          <m:sub>
            <m:r>
              <w:rPr>
                <w:rFonts w:ascii="Cambria Math" w:hAnsi="Cambria Math" w:cs="Times New Roman"/>
                <w:szCs w:val="24"/>
                <w:lang w:eastAsia="ko-KR"/>
              </w:rPr>
              <m:t>itj</m:t>
            </m:r>
          </m:sub>
        </m:sSub>
        <m:r>
          <w:rPr>
            <w:rFonts w:ascii="Cambria Math" w:hAnsi="Cambria Math" w:cs="Times New Roman"/>
            <w:szCs w:val="24"/>
            <w:lang w:eastAsia="ko-KR"/>
          </w:rPr>
          <m:t>(∙)</m:t>
        </m:r>
      </m:oMath>
      <w:r w:rsidRPr="00B241DA">
        <w:rPr>
          <w:rFonts w:eastAsia="Times New Roman" w:cs="Times New Roman"/>
          <w:szCs w:val="24"/>
          <w:lang w:eastAsia="ko-KR"/>
        </w:rPr>
        <w:t xml:space="preserve"> </w:t>
      </w:r>
      <w:r w:rsidRPr="00B241DA">
        <w:rPr>
          <w:rFonts w:eastAsia="Times New Roman" w:cs="Times New Roman"/>
          <w:szCs w:val="24"/>
        </w:rPr>
        <w:t xml:space="preserve">warrant that the predicted fractional </w:t>
      </w:r>
      <w:proofErr w:type="spellStart"/>
      <w:r w:rsidR="0095029D">
        <w:rPr>
          <w:rFonts w:eastAsia="Times New Roman" w:cs="Times New Roman"/>
          <w:szCs w:val="24"/>
        </w:rPr>
        <w:t>ridehailing</w:t>
      </w:r>
      <w:proofErr w:type="spellEnd"/>
      <w:r w:rsidRPr="00B241DA">
        <w:rPr>
          <w:rFonts w:eastAsia="Times New Roman" w:cs="Times New Roman"/>
          <w:szCs w:val="24"/>
        </w:rPr>
        <w:t xml:space="preserve"> types will range between 0 and 1 and will add up to 1 for each zone. In this study, a MNL functional form for </w:t>
      </w:r>
      <m:oMath>
        <m:sSub>
          <m:sSubPr>
            <m:ctrlPr>
              <w:rPr>
                <w:rFonts w:ascii="Cambria Math" w:hAnsi="Cambria Math" w:cs="Times New Roman"/>
                <w:i/>
                <w:szCs w:val="24"/>
                <w:lang w:eastAsia="ko-KR"/>
              </w:rPr>
            </m:ctrlPr>
          </m:sSubPr>
          <m:e>
            <m:r>
              <w:rPr>
                <w:rFonts w:ascii="Cambria Math" w:hAnsi="Cambria Math" w:cs="Times New Roman"/>
                <w:szCs w:val="24"/>
                <w:lang w:eastAsia="ko-KR"/>
              </w:rPr>
              <m:t>Q</m:t>
            </m:r>
          </m:e>
          <m:sub>
            <m:r>
              <w:rPr>
                <w:rFonts w:ascii="Cambria Math" w:hAnsi="Cambria Math" w:cs="Times New Roman"/>
                <w:szCs w:val="24"/>
                <w:lang w:eastAsia="ko-KR"/>
              </w:rPr>
              <m:t>itj</m:t>
            </m:r>
          </m:sub>
        </m:sSub>
      </m:oMath>
      <w:r w:rsidRPr="00B241DA">
        <w:rPr>
          <w:rFonts w:eastAsia="Times New Roman" w:cs="Times New Roman"/>
          <w:szCs w:val="24"/>
        </w:rPr>
        <w:t xml:space="preserve"> in the fractional split model of equation (4). Then equation (4) is rewritten 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E4EA5" w:rsidRPr="00B241DA" w14:paraId="3237FFC7" w14:textId="77777777" w:rsidTr="004E2702">
        <w:tc>
          <w:tcPr>
            <w:tcW w:w="4349" w:type="pct"/>
            <w:vAlign w:val="center"/>
          </w:tcPr>
          <w:p w14:paraId="5FC17239" w14:textId="77777777" w:rsidR="001E4EA5" w:rsidRPr="00B241DA" w:rsidRDefault="001E4EA5" w:rsidP="004E2702">
            <w:pPr>
              <w:spacing w:before="360" w:after="360"/>
              <w:rPr>
                <w:rFonts w:ascii="Times New Roman" w:eastAsia="Calibri" w:hAnsi="Times New Roman" w:cs="Times New Roman"/>
                <w:sz w:val="24"/>
                <w:szCs w:val="24"/>
                <w:lang w:val="en-US"/>
              </w:rPr>
            </w:pPr>
            <m:oMathPara>
              <m:oMathParaPr>
                <m:jc m:val="left"/>
              </m:oMathParaPr>
              <m:oMath>
                <m:r>
                  <w:rPr>
                    <w:rFonts w:ascii="Cambria Math" w:hAnsi="Cambria Math" w:cs="Times New Roman"/>
                    <w:sz w:val="24"/>
                    <w:szCs w:val="24"/>
                    <w:lang w:val="en-US" w:eastAsia="ko-KR"/>
                  </w:rPr>
                  <m:t>E(</m:t>
                </m:r>
                <m:sSub>
                  <m:sSubPr>
                    <m:ctrlPr>
                      <w:rPr>
                        <w:rFonts w:ascii="Cambria Math" w:hAnsi="Cambria Math" w:cs="Times New Roman"/>
                        <w:i/>
                        <w:sz w:val="24"/>
                        <w:szCs w:val="24"/>
                        <w:lang w:val="en-US" w:eastAsia="ko-KR"/>
                      </w:rPr>
                    </m:ctrlPr>
                  </m:sSubPr>
                  <m:e>
                    <m:r>
                      <w:rPr>
                        <w:rFonts w:ascii="Cambria Math" w:hAnsi="Cambria Math" w:cs="Times New Roman"/>
                        <w:sz w:val="24"/>
                        <w:szCs w:val="24"/>
                        <w:lang w:val="en-US" w:eastAsia="ko-KR"/>
                      </w:rPr>
                      <m:t>z</m:t>
                    </m:r>
                  </m:e>
                  <m:sub>
                    <m:r>
                      <w:rPr>
                        <w:rFonts w:ascii="Cambria Math" w:hAnsi="Cambria Math" w:cs="Times New Roman"/>
                        <w:sz w:val="24"/>
                        <w:szCs w:val="24"/>
                        <w:lang w:val="en-US" w:eastAsia="ko-KR"/>
                      </w:rPr>
                      <m:t>itj</m:t>
                    </m:r>
                  </m:sub>
                </m:sSub>
                <m:r>
                  <w:rPr>
                    <w:rFonts w:ascii="Cambria Math" w:hAnsi="Cambria Math" w:cs="Times New Roman"/>
                    <w:sz w:val="24"/>
                    <w:szCs w:val="24"/>
                    <w:lang w:val="en-US" w:eastAsia="ko-KR"/>
                  </w:rPr>
                  <m:t>|</m:t>
                </m:r>
                <m:sSub>
                  <m:sSubPr>
                    <m:ctrlPr>
                      <w:rPr>
                        <w:rFonts w:ascii="Cambria Math" w:eastAsia="Times New Roman" w:hAnsi="Cambria Math" w:cs="Times New Roman"/>
                        <w:sz w:val="24"/>
                        <w:szCs w:val="24"/>
                        <w:lang w:val="en-US"/>
                      </w:rPr>
                    </m:ctrlPr>
                  </m:sSubPr>
                  <m:e>
                    <m:r>
                      <w:rPr>
                        <w:rFonts w:ascii="Cambria Math" w:eastAsia="Times New Roman" w:hAnsi="Cambria Math" w:cs="Times New Roman"/>
                        <w:sz w:val="24"/>
                        <w:szCs w:val="24"/>
                        <w:lang w:val="en-US"/>
                      </w:rPr>
                      <m:t>w</m:t>
                    </m:r>
                  </m:e>
                  <m:sub>
                    <m:r>
                      <w:rPr>
                        <w:rFonts w:ascii="Cambria Math" w:eastAsia="Times New Roman" w:hAnsi="Cambria Math" w:cs="Times New Roman"/>
                        <w:sz w:val="24"/>
                        <w:szCs w:val="24"/>
                        <w:lang w:val="en-US"/>
                      </w:rPr>
                      <m:t>itj</m:t>
                    </m:r>
                  </m:sub>
                </m:sSub>
                <m:r>
                  <w:rPr>
                    <w:rFonts w:ascii="Cambria Math" w:hAnsi="Cambria Math" w:cs="Times New Roman"/>
                    <w:sz w:val="24"/>
                    <w:szCs w:val="24"/>
                    <w:lang w:val="en-US" w:eastAsia="ko-KR"/>
                  </w:rPr>
                  <m:t>)=</m:t>
                </m:r>
                <m:sSub>
                  <m:sSubPr>
                    <m:ctrlPr>
                      <w:rPr>
                        <w:rFonts w:ascii="Cambria Math" w:hAnsi="Cambria Math" w:cs="Times New Roman"/>
                        <w:i/>
                        <w:sz w:val="24"/>
                        <w:szCs w:val="24"/>
                        <w:lang w:val="en-US" w:eastAsia="ko-KR"/>
                      </w:rPr>
                    </m:ctrlPr>
                  </m:sSubPr>
                  <m:e>
                    <m:r>
                      <w:rPr>
                        <w:rFonts w:ascii="Cambria Math" w:hAnsi="Cambria Math" w:cs="Times New Roman"/>
                        <w:sz w:val="24"/>
                        <w:szCs w:val="24"/>
                        <w:lang w:val="en-US" w:eastAsia="ko-KR"/>
                      </w:rPr>
                      <m:t>Q</m:t>
                    </m:r>
                  </m:e>
                  <m:sub>
                    <m:r>
                      <w:rPr>
                        <w:rFonts w:ascii="Cambria Math" w:hAnsi="Cambria Math" w:cs="Times New Roman"/>
                        <w:sz w:val="24"/>
                        <w:szCs w:val="24"/>
                        <w:lang w:val="en-US" w:eastAsia="ko-KR"/>
                      </w:rPr>
                      <m:t>itj</m:t>
                    </m:r>
                  </m:sub>
                </m:sSub>
                <m:r>
                  <w:rPr>
                    <w:rFonts w:ascii="Cambria Math" w:hAnsi="Cambria Math" w:cs="Times New Roman"/>
                    <w:sz w:val="24"/>
                    <w:szCs w:val="24"/>
                    <w:lang w:val="en-US" w:eastAsia="ko-KR"/>
                  </w:rPr>
                  <m:t>(∙)=</m:t>
                </m:r>
                <m:f>
                  <m:fPr>
                    <m:ctrlPr>
                      <w:rPr>
                        <w:rFonts w:ascii="Cambria Math" w:hAnsi="Cambria Math" w:cs="Times New Roman"/>
                        <w:i/>
                        <w:sz w:val="24"/>
                        <w:szCs w:val="24"/>
                        <w:lang w:val="en-US" w:eastAsia="ko-KR"/>
                      </w:rPr>
                    </m:ctrlPr>
                  </m:fPr>
                  <m:num>
                    <m:func>
                      <m:funcPr>
                        <m:ctrlPr>
                          <w:rPr>
                            <w:rFonts w:ascii="Cambria Math" w:hAnsi="Cambria Math" w:cs="Times New Roman"/>
                            <w:i/>
                            <w:sz w:val="24"/>
                            <w:szCs w:val="24"/>
                            <w:lang w:val="en-US" w:eastAsia="ko-KR"/>
                          </w:rPr>
                        </m:ctrlPr>
                      </m:funcPr>
                      <m:fName>
                        <m:r>
                          <m:rPr>
                            <m:sty m:val="p"/>
                          </m:rPr>
                          <w:rPr>
                            <w:rFonts w:ascii="Cambria Math" w:hAnsi="Cambria Math" w:cs="Times New Roman"/>
                            <w:sz w:val="24"/>
                            <w:szCs w:val="24"/>
                            <w:lang w:val="en-US" w:eastAsia="ko-KR"/>
                          </w:rPr>
                          <m:t>exp</m:t>
                        </m:r>
                      </m:fName>
                      <m:e>
                        <m:r>
                          <w:rPr>
                            <w:rFonts w:ascii="Cambria Math" w:hAnsi="Cambria Math" w:cs="Times New Roman"/>
                            <w:sz w:val="24"/>
                            <w:szCs w:val="24"/>
                            <w:lang w:val="en-US" w:eastAsia="ko-KR"/>
                          </w:rPr>
                          <m:t>(</m:t>
                        </m:r>
                      </m:e>
                    </m:func>
                    <m:d>
                      <m:dPr>
                        <m:ctrlPr>
                          <w:rPr>
                            <w:rFonts w:ascii="Cambria Math" w:eastAsia="Times New Roman" w:hAnsi="Cambria Math" w:cs="Times New Roman"/>
                            <w:b/>
                            <w:i/>
                            <w:sz w:val="24"/>
                            <w:szCs w:val="24"/>
                            <w:lang w:val="en-US"/>
                          </w:rPr>
                        </m:ctrlPr>
                      </m:dPr>
                      <m:e>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β'</m:t>
                            </m:r>
                          </m:e>
                          <m:sub>
                            <m:r>
                              <m:rPr>
                                <m:sty m:val="bi"/>
                              </m:rPr>
                              <w:rPr>
                                <w:rFonts w:ascii="Cambria Math" w:eastAsia="Times New Roman" w:hAnsi="Cambria Math" w:cs="Times New Roman"/>
                                <w:sz w:val="24"/>
                                <w:szCs w:val="24"/>
                                <w:lang w:val="en-US"/>
                              </w:rPr>
                              <m:t>j</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σ</m:t>
                            </m:r>
                          </m:e>
                          <m:sub>
                            <m:r>
                              <m:rPr>
                                <m:sty m:val="bi"/>
                              </m:rPr>
                              <w:rPr>
                                <w:rFonts w:ascii="Cambria Math" w:eastAsia="Times New Roman" w:hAnsi="Cambria Math" w:cs="Times New Roman"/>
                                <w:sz w:val="24"/>
                                <w:szCs w:val="24"/>
                                <w:lang w:val="en-US"/>
                              </w:rPr>
                              <m:t>ij</m:t>
                            </m:r>
                          </m:sub>
                        </m:sSub>
                      </m:e>
                    </m:d>
                    <m:sSub>
                      <m:sSubPr>
                        <m:ctrlPr>
                          <w:rPr>
                            <w:rFonts w:ascii="Cambria Math" w:eastAsia="Times New Roman" w:hAnsi="Cambria Math" w:cs="Times New Roman"/>
                            <w:sz w:val="24"/>
                            <w:szCs w:val="24"/>
                            <w:lang w:val="en-US"/>
                          </w:rPr>
                        </m:ctrlPr>
                      </m:sSubPr>
                      <m:e>
                        <m:r>
                          <w:rPr>
                            <w:rFonts w:ascii="Cambria Math" w:eastAsia="Times New Roman" w:hAnsi="Cambria Math" w:cs="Times New Roman"/>
                            <w:sz w:val="24"/>
                            <w:szCs w:val="24"/>
                            <w:lang w:val="en-US"/>
                          </w:rPr>
                          <m:t>w</m:t>
                        </m:r>
                      </m:e>
                      <m:sub>
                        <m:r>
                          <w:rPr>
                            <w:rFonts w:ascii="Cambria Math" w:eastAsia="Times New Roman" w:hAnsi="Cambria Math" w:cs="Times New Roman"/>
                            <w:sz w:val="24"/>
                            <w:szCs w:val="24"/>
                            <w:lang w:val="en-US"/>
                          </w:rPr>
                          <m:t>itj</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itj</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ξ</m:t>
                        </m:r>
                      </m:e>
                      <m:sub>
                        <m:r>
                          <w:rPr>
                            <w:rFonts w:ascii="Cambria Math" w:eastAsia="Times New Roman" w:hAnsi="Cambria Math" w:cs="Times New Roman"/>
                            <w:sz w:val="24"/>
                            <w:szCs w:val="24"/>
                            <w:lang w:val="en-US"/>
                          </w:rPr>
                          <m:t>itj</m:t>
                        </m:r>
                      </m:sub>
                    </m:sSub>
                    <m:r>
                      <w:rPr>
                        <w:rFonts w:ascii="Cambria Math" w:hAnsi="Cambria Math" w:cs="Times New Roman"/>
                        <w:sz w:val="24"/>
                        <w:szCs w:val="24"/>
                        <w:lang w:val="en-US" w:eastAsia="ko-KR"/>
                      </w:rPr>
                      <m:t>)</m:t>
                    </m:r>
                  </m:num>
                  <m:den>
                    <m:nary>
                      <m:naryPr>
                        <m:chr m:val="∑"/>
                        <m:limLoc m:val="subSup"/>
                        <m:ctrlPr>
                          <w:rPr>
                            <w:rFonts w:ascii="Cambria Math" w:hAnsi="Cambria Math" w:cs="Times New Roman"/>
                            <w:i/>
                            <w:sz w:val="24"/>
                            <w:szCs w:val="24"/>
                            <w:lang w:val="en-US" w:eastAsia="ko-KR"/>
                          </w:rPr>
                        </m:ctrlPr>
                      </m:naryPr>
                      <m:sub>
                        <m:r>
                          <w:rPr>
                            <w:rFonts w:ascii="Cambria Math" w:hAnsi="Cambria Math" w:cs="Times New Roman"/>
                            <w:sz w:val="24"/>
                            <w:szCs w:val="24"/>
                            <w:lang w:val="en-US" w:eastAsia="ko-KR"/>
                          </w:rPr>
                          <m:t>j=1</m:t>
                        </m:r>
                      </m:sub>
                      <m:sup>
                        <m:r>
                          <w:rPr>
                            <w:rFonts w:ascii="Cambria Math" w:hAnsi="Cambria Math" w:cs="Times New Roman"/>
                            <w:sz w:val="24"/>
                            <w:szCs w:val="24"/>
                            <w:lang w:val="en-US" w:eastAsia="ko-KR"/>
                          </w:rPr>
                          <m:t>J</m:t>
                        </m:r>
                      </m:sup>
                      <m:e>
                        <m:func>
                          <m:funcPr>
                            <m:ctrlPr>
                              <w:rPr>
                                <w:rFonts w:ascii="Cambria Math" w:hAnsi="Cambria Math" w:cs="Times New Roman"/>
                                <w:i/>
                                <w:sz w:val="24"/>
                                <w:szCs w:val="24"/>
                                <w:lang w:val="en-US" w:eastAsia="ko-KR"/>
                              </w:rPr>
                            </m:ctrlPr>
                          </m:funcPr>
                          <m:fName>
                            <m:r>
                              <m:rPr>
                                <m:sty m:val="p"/>
                              </m:rPr>
                              <w:rPr>
                                <w:rFonts w:ascii="Cambria Math" w:hAnsi="Cambria Math" w:cs="Times New Roman"/>
                                <w:sz w:val="24"/>
                                <w:szCs w:val="24"/>
                                <w:lang w:val="en-US" w:eastAsia="ko-KR"/>
                              </w:rPr>
                              <m:t>exp</m:t>
                            </m:r>
                          </m:fName>
                          <m:e>
                            <m:r>
                              <w:rPr>
                                <w:rFonts w:ascii="Cambria Math" w:hAnsi="Cambria Math" w:cs="Times New Roman"/>
                                <w:sz w:val="24"/>
                                <w:szCs w:val="24"/>
                                <w:lang w:val="en-US" w:eastAsia="ko-KR"/>
                              </w:rPr>
                              <m:t>(</m:t>
                            </m:r>
                          </m:e>
                        </m:func>
                        <m:d>
                          <m:dPr>
                            <m:ctrlPr>
                              <w:rPr>
                                <w:rFonts w:ascii="Cambria Math" w:eastAsia="Times New Roman" w:hAnsi="Cambria Math" w:cs="Times New Roman"/>
                                <w:b/>
                                <w:i/>
                                <w:sz w:val="24"/>
                                <w:szCs w:val="24"/>
                                <w:lang w:val="en-US"/>
                              </w:rPr>
                            </m:ctrlPr>
                          </m:dPr>
                          <m:e>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β'</m:t>
                                </m:r>
                              </m:e>
                              <m:sub>
                                <m:r>
                                  <m:rPr>
                                    <m:sty m:val="bi"/>
                                  </m:rPr>
                                  <w:rPr>
                                    <w:rFonts w:ascii="Cambria Math" w:eastAsia="Times New Roman" w:hAnsi="Cambria Math" w:cs="Times New Roman"/>
                                    <w:sz w:val="24"/>
                                    <w:szCs w:val="24"/>
                                    <w:lang w:val="en-US"/>
                                  </w:rPr>
                                  <m:t>j</m:t>
                                </m:r>
                              </m:sub>
                            </m:sSub>
                            <m:r>
                              <m:rPr>
                                <m:sty m:val="bi"/>
                              </m:rPr>
                              <w:rPr>
                                <w:rFonts w:ascii="Cambria Math" w:eastAsia="Times New Roman" w:hAnsi="Cambria Math" w:cs="Times New Roman"/>
                                <w:sz w:val="24"/>
                                <w:szCs w:val="24"/>
                                <w:lang w:val="en-US"/>
                              </w:rPr>
                              <m:t>+</m:t>
                            </m:r>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σ</m:t>
                                </m:r>
                              </m:e>
                              <m:sub>
                                <m:r>
                                  <m:rPr>
                                    <m:sty m:val="bi"/>
                                  </m:rPr>
                                  <w:rPr>
                                    <w:rFonts w:ascii="Cambria Math" w:eastAsia="Times New Roman" w:hAnsi="Cambria Math" w:cs="Times New Roman"/>
                                    <w:sz w:val="24"/>
                                    <w:szCs w:val="24"/>
                                    <w:lang w:val="en-US"/>
                                  </w:rPr>
                                  <m:t>ij</m:t>
                                </m:r>
                              </m:sub>
                            </m:sSub>
                          </m:e>
                        </m:d>
                        <m:sSub>
                          <m:sSubPr>
                            <m:ctrlPr>
                              <w:rPr>
                                <w:rFonts w:ascii="Cambria Math" w:eastAsia="Times New Roman" w:hAnsi="Cambria Math" w:cs="Times New Roman"/>
                                <w:sz w:val="24"/>
                                <w:szCs w:val="24"/>
                                <w:lang w:val="en-US"/>
                              </w:rPr>
                            </m:ctrlPr>
                          </m:sSubPr>
                          <m:e>
                            <m:r>
                              <w:rPr>
                                <w:rFonts w:ascii="Cambria Math" w:eastAsia="Times New Roman" w:hAnsi="Cambria Math" w:cs="Times New Roman"/>
                                <w:sz w:val="24"/>
                                <w:szCs w:val="24"/>
                                <w:lang w:val="en-US"/>
                              </w:rPr>
                              <m:t>w</m:t>
                            </m:r>
                          </m:e>
                          <m:sub>
                            <m:r>
                              <w:rPr>
                                <w:rFonts w:ascii="Cambria Math" w:eastAsia="Times New Roman" w:hAnsi="Cambria Math" w:cs="Times New Roman"/>
                                <w:sz w:val="24"/>
                                <w:szCs w:val="24"/>
                                <w:lang w:val="en-US"/>
                              </w:rPr>
                              <m:t>ij</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itj</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ξ</m:t>
                            </m:r>
                          </m:e>
                          <m:sub>
                            <m:r>
                              <w:rPr>
                                <w:rFonts w:ascii="Cambria Math" w:eastAsia="Times New Roman" w:hAnsi="Cambria Math" w:cs="Times New Roman"/>
                                <w:sz w:val="24"/>
                                <w:szCs w:val="24"/>
                                <w:lang w:val="en-US"/>
                              </w:rPr>
                              <m:t>itj</m:t>
                            </m:r>
                          </m:sub>
                        </m:sSub>
                        <m:r>
                          <w:rPr>
                            <w:rFonts w:ascii="Cambria Math" w:hAnsi="Cambria Math" w:cs="Times New Roman"/>
                            <w:sz w:val="24"/>
                            <w:szCs w:val="24"/>
                            <w:lang w:val="en-US" w:eastAsia="ko-KR"/>
                          </w:rPr>
                          <m:t>)</m:t>
                        </m:r>
                      </m:e>
                    </m:nary>
                  </m:den>
                </m:f>
                <m:r>
                  <w:rPr>
                    <w:rFonts w:ascii="Cambria Math" w:hAnsi="Cambria Math" w:cs="Times New Roman"/>
                    <w:sz w:val="24"/>
                    <w:szCs w:val="24"/>
                    <w:lang w:val="en-US" w:eastAsia="ko-KR"/>
                  </w:rPr>
                  <m:t>, j=1,2,3,….,</m:t>
                </m:r>
              </m:oMath>
            </m:oMathPara>
          </w:p>
        </w:tc>
        <w:tc>
          <w:tcPr>
            <w:tcW w:w="651" w:type="pct"/>
            <w:vAlign w:val="center"/>
          </w:tcPr>
          <w:p w14:paraId="1B47E52D" w14:textId="77777777" w:rsidR="001E4EA5" w:rsidRPr="00B241DA" w:rsidRDefault="001E4EA5" w:rsidP="004E2702">
            <w:pPr>
              <w:spacing w:before="360" w:after="360"/>
              <w:ind w:left="850"/>
              <w:contextualSpacing/>
              <w:jc w:val="right"/>
              <w:rPr>
                <w:rFonts w:ascii="Times New Roman" w:eastAsia="Calibri" w:hAnsi="Times New Roman" w:cs="Times New Roman"/>
                <w:sz w:val="24"/>
                <w:szCs w:val="24"/>
                <w:lang w:val="en-US"/>
              </w:rPr>
            </w:pPr>
            <w:r w:rsidRPr="00B241DA">
              <w:rPr>
                <w:rFonts w:ascii="Times New Roman" w:eastAsia="Calibri" w:hAnsi="Times New Roman" w:cs="Times New Roman"/>
                <w:sz w:val="24"/>
                <w:szCs w:val="24"/>
                <w:lang w:val="en-US"/>
              </w:rPr>
              <w:t>(5)</w:t>
            </w:r>
          </w:p>
          <w:p w14:paraId="302FBB7A" w14:textId="77777777" w:rsidR="001E4EA5" w:rsidRPr="00B241DA" w:rsidRDefault="001E4EA5" w:rsidP="004E2702">
            <w:pPr>
              <w:spacing w:before="360" w:after="360"/>
              <w:ind w:left="850"/>
              <w:contextualSpacing/>
              <w:jc w:val="right"/>
              <w:rPr>
                <w:rFonts w:ascii="Times New Roman" w:eastAsia="Calibri" w:hAnsi="Times New Roman" w:cs="Times New Roman"/>
                <w:sz w:val="24"/>
                <w:szCs w:val="24"/>
                <w:lang w:val="en-US"/>
              </w:rPr>
            </w:pPr>
          </w:p>
        </w:tc>
      </w:tr>
    </w:tbl>
    <w:p w14:paraId="295C4192" w14:textId="01124F37" w:rsidR="001E4EA5" w:rsidRPr="00B241DA" w:rsidRDefault="001E4EA5" w:rsidP="001E4EA5">
      <w:pPr>
        <w:rPr>
          <w:rFonts w:eastAsiaTheme="minorEastAsia" w:cs="Times New Roman"/>
          <w:szCs w:val="24"/>
        </w:rPr>
      </w:pPr>
      <w:r w:rsidRPr="00B241DA">
        <w:rPr>
          <w:rFonts w:eastAsiaTheme="minorEastAsia" w:cs="Times New Roman"/>
          <w:szCs w:val="24"/>
        </w:rPr>
        <w:t xml:space="preserve">where, </w:t>
      </w:r>
      <m:oMath>
        <m:sSub>
          <m:sSubPr>
            <m:ctrlPr>
              <w:rPr>
                <w:rFonts w:ascii="Cambria Math" w:eastAsia="Times New Roman" w:hAnsi="Cambria Math" w:cs="Times New Roman"/>
                <w:i/>
                <w:szCs w:val="24"/>
              </w:rPr>
            </m:ctrlPr>
          </m:sSubPr>
          <m:e>
            <m:r>
              <m:rPr>
                <m:sty m:val="bi"/>
              </m:rPr>
              <w:rPr>
                <w:rFonts w:ascii="Cambria Math" w:eastAsia="Times New Roman" w:hAnsi="Cambria Math" w:cs="Times New Roman"/>
                <w:szCs w:val="24"/>
              </w:rPr>
              <m:t>w</m:t>
            </m:r>
          </m:e>
          <m:sub>
            <m:r>
              <w:rPr>
                <w:rFonts w:ascii="Cambria Math" w:eastAsia="Times New Roman" w:hAnsi="Cambria Math" w:cs="Times New Roman"/>
                <w:szCs w:val="24"/>
              </w:rPr>
              <m:t>itj</m:t>
            </m:r>
          </m:sub>
        </m:sSub>
      </m:oMath>
      <w:r w:rsidRPr="00B241DA">
        <w:rPr>
          <w:rFonts w:eastAsiaTheme="minorEastAsia" w:cs="Times New Roman"/>
          <w:szCs w:val="24"/>
        </w:rPr>
        <w:t xml:space="preserve"> is a vector of attributes, </w:t>
      </w:r>
      <m:oMath>
        <m:sSub>
          <m:sSubPr>
            <m:ctrlPr>
              <w:rPr>
                <w:rFonts w:ascii="Cambria Math" w:eastAsia="Times New Roman" w:hAnsi="Cambria Math" w:cs="Times New Roman"/>
                <w:b/>
                <w:i/>
                <w:szCs w:val="24"/>
              </w:rPr>
            </m:ctrlPr>
          </m:sSubPr>
          <m:e>
            <m:r>
              <m:rPr>
                <m:sty m:val="bi"/>
              </m:rPr>
              <w:rPr>
                <w:rFonts w:ascii="Cambria Math" w:eastAsia="Times New Roman" w:hAnsi="Cambria Math" w:cs="Times New Roman"/>
                <w:szCs w:val="24"/>
              </w:rPr>
              <m:t>β'</m:t>
            </m:r>
          </m:e>
          <m:sub>
            <m:r>
              <w:rPr>
                <w:rFonts w:ascii="Cambria Math" w:eastAsia="Times New Roman" w:hAnsi="Cambria Math" w:cs="Times New Roman"/>
                <w:szCs w:val="24"/>
              </w:rPr>
              <m:t>j</m:t>
            </m:r>
          </m:sub>
        </m:sSub>
      </m:oMath>
      <w:r w:rsidRPr="00B241DA">
        <w:rPr>
          <w:rFonts w:eastAsiaTheme="minorEastAsia" w:cs="Times New Roman"/>
          <w:b/>
          <w:szCs w:val="24"/>
        </w:rPr>
        <w:t xml:space="preserve"> </w:t>
      </w:r>
      <w:r w:rsidRPr="00B241DA">
        <w:rPr>
          <w:rFonts w:eastAsiaTheme="minorEastAsia" w:cs="Times New Roman"/>
          <w:szCs w:val="24"/>
        </w:rPr>
        <w:t xml:space="preserve">is the corresponding vector of coefficients to be estimated for </w:t>
      </w:r>
      <w:proofErr w:type="spellStart"/>
      <w:r w:rsidR="0095029D">
        <w:rPr>
          <w:rFonts w:eastAsiaTheme="minorEastAsia" w:cs="Times New Roman"/>
          <w:szCs w:val="24"/>
        </w:rPr>
        <w:t>ridehailing</w:t>
      </w:r>
      <w:proofErr w:type="spellEnd"/>
      <w:r w:rsidRPr="00B241DA">
        <w:rPr>
          <w:rFonts w:eastAsiaTheme="minorEastAsia" w:cs="Times New Roman"/>
          <w:szCs w:val="24"/>
        </w:rPr>
        <w:t xml:space="preserve"> type </w:t>
      </w:r>
      <m:oMath>
        <m:r>
          <w:rPr>
            <w:rFonts w:ascii="Cambria Math" w:eastAsia="Times New Roman" w:hAnsi="Cambria Math" w:cs="Times New Roman"/>
            <w:szCs w:val="24"/>
          </w:rPr>
          <m:t>j</m:t>
        </m:r>
      </m:oMath>
      <w:r w:rsidRPr="00B241DA">
        <w:rPr>
          <w:rFonts w:eastAsiaTheme="minorEastAsia" w:cs="Times New Roman"/>
          <w:szCs w:val="24"/>
        </w:rPr>
        <w:t xml:space="preserve">. </w:t>
      </w:r>
      <m:oMath>
        <m:sSub>
          <m:sSubPr>
            <m:ctrlPr>
              <w:rPr>
                <w:rFonts w:ascii="Cambria Math" w:eastAsia="Times New Roman" w:hAnsi="Cambria Math" w:cs="Times New Roman"/>
                <w:b/>
                <w:i/>
                <w:szCs w:val="24"/>
              </w:rPr>
            </m:ctrlPr>
          </m:sSubPr>
          <m:e>
            <m:r>
              <m:rPr>
                <m:sty m:val="bi"/>
              </m:rPr>
              <w:rPr>
                <w:rFonts w:ascii="Cambria Math" w:eastAsia="Times New Roman" w:hAnsi="Cambria Math" w:cs="Times New Roman"/>
                <w:szCs w:val="24"/>
              </w:rPr>
              <m:t>σ</m:t>
            </m:r>
          </m:e>
          <m:sub>
            <m:r>
              <w:rPr>
                <w:rFonts w:ascii="Cambria Math" w:eastAsia="Times New Roman" w:hAnsi="Cambria Math" w:cs="Times New Roman"/>
                <w:szCs w:val="24"/>
              </w:rPr>
              <m:t>ij</m:t>
            </m:r>
          </m:sub>
        </m:sSub>
      </m:oMath>
      <w:r w:rsidRPr="00B241DA">
        <w:rPr>
          <w:rFonts w:cs="Times New Roman"/>
          <w:szCs w:val="24"/>
        </w:rPr>
        <w:t xml:space="preserve"> </w:t>
      </w:r>
      <w:r w:rsidRPr="00B241DA">
        <w:rPr>
          <w:rFonts w:eastAsia="Times New Roman" w:cs="Times New Roman"/>
          <w:szCs w:val="24"/>
        </w:rPr>
        <w:t xml:space="preserve">is a vector of unobserved factors assumed to be a realization from standard normal distribution: </w:t>
      </w:r>
      <m:oMath>
        <m:r>
          <m:rPr>
            <m:sty m:val="bi"/>
          </m:rPr>
          <w:rPr>
            <w:rFonts w:ascii="Cambria Math" w:eastAsia="Times New Roman" w:hAnsi="Cambria Math" w:cs="Times New Roman"/>
            <w:szCs w:val="24"/>
          </w:rPr>
          <m:t>σ</m:t>
        </m:r>
        <m:r>
          <w:rPr>
            <w:rFonts w:ascii="Cambria Math" w:eastAsia="Times New Roman" w:hAnsi="Cambria Math" w:cs="Times New Roman"/>
            <w:szCs w:val="24"/>
          </w:rPr>
          <m:t xml:space="preserve">~N(0, </m:t>
        </m:r>
        <m:sSup>
          <m:sSupPr>
            <m:ctrlPr>
              <w:rPr>
                <w:rFonts w:ascii="Cambria Math" w:eastAsia="Times New Roman" w:hAnsi="Cambria Math" w:cs="Times New Roman"/>
                <w:i/>
                <w:szCs w:val="24"/>
              </w:rPr>
            </m:ctrlPr>
          </m:sSupPr>
          <m:e>
            <m:sSub>
              <m:sSubPr>
                <m:ctrlPr>
                  <w:rPr>
                    <w:rFonts w:ascii="Cambria Math" w:eastAsia="Times New Roman" w:hAnsi="Cambria Math" w:cs="Times New Roman"/>
                    <w:b/>
                    <w:i/>
                    <w:szCs w:val="24"/>
                  </w:rPr>
                </m:ctrlPr>
              </m:sSubPr>
              <m:e>
                <m:r>
                  <m:rPr>
                    <m:sty m:val="bi"/>
                  </m:rPr>
                  <w:rPr>
                    <w:rFonts w:ascii="Cambria Math" w:eastAsia="Times New Roman" w:hAnsi="Cambria Math" w:cs="Times New Roman"/>
                    <w:szCs w:val="24"/>
                  </w:rPr>
                  <m:t>ν</m:t>
                </m:r>
              </m:e>
              <m:sub>
                <m:r>
                  <w:rPr>
                    <w:rFonts w:ascii="Cambria Math" w:eastAsia="Times New Roman" w:hAnsi="Cambria Math" w:cs="Times New Roman"/>
                    <w:szCs w:val="24"/>
                  </w:rPr>
                  <m:t>j</m:t>
                </m:r>
              </m:sub>
            </m:sSub>
          </m:e>
          <m:sup>
            <m:r>
              <w:rPr>
                <w:rFonts w:ascii="Cambria Math" w:eastAsia="Times New Roman" w:hAnsi="Cambria Math" w:cs="Times New Roman"/>
                <w:szCs w:val="24"/>
              </w:rPr>
              <m:t>2</m:t>
            </m:r>
          </m:sup>
        </m:sSup>
        <m:r>
          <w:rPr>
            <w:rFonts w:ascii="Cambria Math" w:eastAsia="Times New Roman" w:hAnsi="Cambria Math" w:cs="Times New Roman"/>
            <w:szCs w:val="24"/>
          </w:rPr>
          <m:t>)</m:t>
        </m:r>
      </m:oMath>
      <w:r w:rsidRPr="00B241DA">
        <w:rPr>
          <w:rFonts w:eastAsia="Times New Roman" w:cs="Times New Roman"/>
          <w:szCs w:val="24"/>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ξ</m:t>
            </m:r>
          </m:e>
          <m:sub>
            <m:r>
              <w:rPr>
                <w:rFonts w:ascii="Cambria Math" w:eastAsia="Times New Roman" w:hAnsi="Cambria Math" w:cs="Times New Roman"/>
                <w:szCs w:val="24"/>
              </w:rPr>
              <m:t>itj</m:t>
            </m:r>
          </m:sub>
        </m:sSub>
      </m:oMath>
      <w:r w:rsidRPr="00B241DA">
        <w:rPr>
          <w:rFonts w:eastAsia="Times New Roman" w:cs="Times New Roman"/>
          <w:szCs w:val="24"/>
        </w:rPr>
        <w:t xml:space="preserve"> </w:t>
      </w:r>
      <w:r w:rsidRPr="00B241DA">
        <w:rPr>
          <w:rFonts w:cs="Times New Roman"/>
          <w:szCs w:val="24"/>
        </w:rPr>
        <w:t xml:space="preserve">is the random component assumed to follow a Gumbel type 1 </w:t>
      </w:r>
      <w:proofErr w:type="gramStart"/>
      <w:r w:rsidRPr="00B241DA">
        <w:rPr>
          <w:rFonts w:cs="Times New Roman"/>
          <w:szCs w:val="24"/>
        </w:rPr>
        <w:t>distribution.</w:t>
      </w:r>
      <w:proofErr w:type="gramEnd"/>
      <w:r w:rsidRPr="00B241DA">
        <w:rPr>
          <w:rFonts w:eastAsia="Times New Roman" w:cs="Times New Roman"/>
          <w:szCs w:val="24"/>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δ</m:t>
            </m:r>
          </m:e>
          <m:sub>
            <m:r>
              <w:rPr>
                <w:rFonts w:ascii="Cambria Math" w:eastAsia="Times New Roman" w:hAnsi="Cambria Math" w:cs="Times New Roman"/>
                <w:szCs w:val="24"/>
              </w:rPr>
              <m:t>itj</m:t>
            </m:r>
          </m:sub>
        </m:sSub>
      </m:oMath>
      <w:r w:rsidRPr="00B241DA">
        <w:rPr>
          <w:rFonts w:eastAsia="Times New Roman" w:cs="Times New Roman"/>
          <w:szCs w:val="24"/>
        </w:rPr>
        <w:t xml:space="preserve"> term generates the correlation between equations for total number of trips and trip proportions by </w:t>
      </w:r>
      <w:proofErr w:type="spellStart"/>
      <w:r w:rsidR="0095029D">
        <w:rPr>
          <w:rFonts w:eastAsia="Times New Roman" w:cs="Times New Roman"/>
          <w:szCs w:val="24"/>
        </w:rPr>
        <w:t>ridehailing</w:t>
      </w:r>
      <w:proofErr w:type="spellEnd"/>
      <w:r w:rsidRPr="00B241DA">
        <w:rPr>
          <w:rFonts w:eastAsia="Times New Roman" w:cs="Times New Roman"/>
          <w:szCs w:val="24"/>
        </w:rPr>
        <w:t xml:space="preserve"> types. The </w:t>
      </w:r>
      <m:oMath>
        <m:r>
          <w:rPr>
            <w:rFonts w:ascii="Cambria Math" w:eastAsia="Times New Roman" w:hAnsi="Cambria Math" w:cs="Times New Roman"/>
            <w:szCs w:val="24"/>
          </w:rPr>
          <m:t>±</m:t>
        </m:r>
      </m:oMath>
      <w:r w:rsidRPr="00B241DA">
        <w:rPr>
          <w:rFonts w:eastAsia="Times New Roman" w:cs="Times New Roman"/>
          <w:szCs w:val="24"/>
        </w:rPr>
        <w:t xml:space="preserve"> sign in front of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δ</m:t>
            </m:r>
          </m:e>
          <m:sub>
            <m:r>
              <w:rPr>
                <w:rFonts w:ascii="Cambria Math" w:eastAsia="Times New Roman" w:hAnsi="Cambria Math" w:cs="Times New Roman"/>
                <w:szCs w:val="24"/>
              </w:rPr>
              <m:t>itj</m:t>
            </m:r>
          </m:sub>
        </m:sSub>
      </m:oMath>
      <w:r w:rsidRPr="00B241DA">
        <w:rPr>
          <w:rFonts w:eastAsia="Times New Roman" w:cs="Times New Roman"/>
          <w:szCs w:val="24"/>
        </w:rPr>
        <w:t xml:space="preserve"> in equation (5) indicates that the correlation in unobserved zonal factors between total trips and trip proportions by </w:t>
      </w:r>
      <w:proofErr w:type="spellStart"/>
      <w:r w:rsidR="0095029D">
        <w:rPr>
          <w:rFonts w:eastAsia="Times New Roman" w:cs="Times New Roman"/>
          <w:szCs w:val="24"/>
        </w:rPr>
        <w:t>ridehailing</w:t>
      </w:r>
      <w:proofErr w:type="spellEnd"/>
      <w:r w:rsidRPr="00B241DA">
        <w:rPr>
          <w:rFonts w:eastAsia="Times New Roman" w:cs="Times New Roman"/>
          <w:szCs w:val="24"/>
        </w:rPr>
        <w:t xml:space="preserve"> type may be positive or negative. A positive sign implies that taxi zones with higher number of trips are intrinsically more likely to incur higher proportions for the corresponding </w:t>
      </w:r>
      <w:proofErr w:type="spellStart"/>
      <w:r w:rsidR="0095029D">
        <w:rPr>
          <w:rFonts w:eastAsia="Times New Roman" w:cs="Times New Roman"/>
          <w:szCs w:val="24"/>
        </w:rPr>
        <w:t>ridehailing</w:t>
      </w:r>
      <w:proofErr w:type="spellEnd"/>
      <w:r w:rsidRPr="00B241DA">
        <w:rPr>
          <w:rFonts w:eastAsia="Times New Roman" w:cs="Times New Roman"/>
          <w:szCs w:val="24"/>
        </w:rPr>
        <w:t xml:space="preserve"> types. On the other hand, negative sign implies that taxi zones with higher number of </w:t>
      </w:r>
      <w:r w:rsidRPr="00B241DA">
        <w:rPr>
          <w:rFonts w:eastAsia="Times New Roman" w:cs="Times New Roman"/>
          <w:szCs w:val="24"/>
        </w:rPr>
        <w:lastRenderedPageBreak/>
        <w:t xml:space="preserve">trips intrinsically incur lower proportions for different </w:t>
      </w:r>
      <w:proofErr w:type="spellStart"/>
      <w:r w:rsidR="0095029D">
        <w:rPr>
          <w:rFonts w:eastAsia="Times New Roman" w:cs="Times New Roman"/>
          <w:szCs w:val="24"/>
        </w:rPr>
        <w:t>ridehailing</w:t>
      </w:r>
      <w:proofErr w:type="spellEnd"/>
      <w:r w:rsidRPr="00B241DA">
        <w:rPr>
          <w:rFonts w:eastAsia="Times New Roman" w:cs="Times New Roman"/>
          <w:szCs w:val="24"/>
        </w:rPr>
        <w:t xml:space="preserve"> types. To determine the appropriate sign, we empirically test the models with both </w:t>
      </w:r>
      <m:oMath>
        <m:r>
          <w:rPr>
            <w:rFonts w:ascii="Cambria Math" w:eastAsia="Times New Roman" w:hAnsi="Cambria Math" w:cs="Times New Roman"/>
            <w:szCs w:val="24"/>
          </w:rPr>
          <m:t>'</m:t>
        </m:r>
        <m:r>
          <m:rPr>
            <m:sty m:val="p"/>
          </m:rPr>
          <w:rPr>
            <w:rFonts w:ascii="Cambria Math" w:eastAsia="Times New Roman" w:hAnsi="Cambria Math" w:cs="Times New Roman"/>
            <w:szCs w:val="24"/>
          </w:rPr>
          <m:t>+'</m:t>
        </m:r>
      </m:oMath>
      <w:r w:rsidRPr="00B241DA">
        <w:rPr>
          <w:rFonts w:eastAsia="Times New Roman" w:cs="Times New Roman"/>
          <w:szCs w:val="24"/>
        </w:rPr>
        <w:t xml:space="preserve"> and </w:t>
      </w:r>
      <m:oMath>
        <m:r>
          <w:rPr>
            <w:rFonts w:ascii="Cambria Math" w:eastAsia="Times New Roman" w:hAnsi="Cambria Math" w:cs="Times New Roman"/>
            <w:szCs w:val="24"/>
          </w:rPr>
          <m:t>'</m:t>
        </m:r>
        <m:r>
          <m:rPr>
            <m:sty m:val="p"/>
          </m:rPr>
          <w:rPr>
            <w:rFonts w:ascii="Cambria Math" w:eastAsia="Times New Roman" w:hAnsi="Cambria Math" w:cs="Times New Roman"/>
            <w:szCs w:val="24"/>
          </w:rPr>
          <m:t>-'</m:t>
        </m:r>
      </m:oMath>
      <w:r w:rsidRPr="00B241DA">
        <w:rPr>
          <w:rFonts w:eastAsia="Times New Roman" w:cs="Times New Roman"/>
          <w:szCs w:val="24"/>
        </w:rPr>
        <w:t xml:space="preserve"> signs independently. The model structure that offers the superior data fit is considered as the final model.</w:t>
      </w:r>
    </w:p>
    <w:p w14:paraId="534C546E" w14:textId="545DB01B" w:rsidR="001E4EA5" w:rsidRPr="00B241DA" w:rsidRDefault="001E4EA5" w:rsidP="001E4EA5">
      <w:pPr>
        <w:ind w:firstLine="720"/>
        <w:rPr>
          <w:rFonts w:eastAsia="Times New Roman" w:cs="Times New Roman"/>
          <w:szCs w:val="24"/>
        </w:rPr>
      </w:pPr>
      <w:r w:rsidRPr="00B241DA">
        <w:rPr>
          <w:rFonts w:eastAsia="Times New Roman" w:cs="Times New Roman"/>
          <w:szCs w:val="24"/>
        </w:rPr>
        <w:t xml:space="preserve">It is important to note here that the unobserved heterogeneity between total number of trips and trip proportions by </w:t>
      </w:r>
      <w:proofErr w:type="spellStart"/>
      <w:r w:rsidR="0095029D">
        <w:rPr>
          <w:rFonts w:eastAsia="Times New Roman" w:cs="Times New Roman"/>
          <w:szCs w:val="24"/>
        </w:rPr>
        <w:t>ridehailing</w:t>
      </w:r>
      <w:proofErr w:type="spellEnd"/>
      <w:r w:rsidRPr="00B241DA">
        <w:rPr>
          <w:rFonts w:eastAsia="Times New Roman" w:cs="Times New Roman"/>
          <w:szCs w:val="24"/>
        </w:rPr>
        <w:t xml:space="preserve"> types can vary across taxi zones. </w:t>
      </w:r>
      <w:bookmarkStart w:id="11" w:name="_Hlk55321942"/>
      <w:r w:rsidRPr="00B241DA">
        <w:rPr>
          <w:rFonts w:eastAsia="Times New Roman" w:cs="Times New Roman"/>
          <w:szCs w:val="24"/>
        </w:rPr>
        <w:t xml:space="preserve">Therefore, in the current study, the correlation parameter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δ</m:t>
            </m:r>
          </m:e>
          <m:sub>
            <m:r>
              <w:rPr>
                <w:rFonts w:ascii="Cambria Math" w:eastAsia="Times New Roman" w:hAnsi="Cambria Math" w:cs="Times New Roman"/>
                <w:szCs w:val="24"/>
              </w:rPr>
              <m:t>itj</m:t>
            </m:r>
          </m:sub>
        </m:sSub>
      </m:oMath>
      <w:r w:rsidRPr="00B241DA">
        <w:rPr>
          <w:rFonts w:eastAsia="Times New Roman" w:cs="Times New Roman"/>
          <w:szCs w:val="24"/>
        </w:rPr>
        <w:t>is parameterized as a function of observed attributes as follows</w:t>
      </w:r>
      <w:r w:rsidR="001748C8">
        <w:rPr>
          <w:rFonts w:eastAsia="Times New Roman" w:cs="Times New Roman"/>
          <w:szCs w:val="24"/>
        </w:rPr>
        <w:t xml:space="preserve"> (see </w:t>
      </w:r>
      <w:r w:rsidR="001748C8">
        <w:rPr>
          <w:rFonts w:eastAsiaTheme="minorEastAsia" w:cs="Times New Roman"/>
          <w:szCs w:val="24"/>
        </w:rPr>
        <w:t xml:space="preserve">Rahman et al. </w:t>
      </w:r>
      <w:r w:rsidR="00BA33CE" w:rsidRPr="00235CCF">
        <w:rPr>
          <w:rFonts w:eastAsiaTheme="minorEastAsia" w:cs="Times New Roman"/>
          <w:i/>
          <w:iCs/>
          <w:szCs w:val="24"/>
        </w:rPr>
        <w:t>(5</w:t>
      </w:r>
      <w:r w:rsidR="00727F1D">
        <w:rPr>
          <w:rFonts w:eastAsiaTheme="minorEastAsia" w:cs="Times New Roman"/>
          <w:i/>
          <w:iCs/>
          <w:szCs w:val="24"/>
        </w:rPr>
        <w:t>1</w:t>
      </w:r>
      <w:r w:rsidR="00BA33CE" w:rsidRPr="00235CCF">
        <w:rPr>
          <w:rFonts w:eastAsiaTheme="minorEastAsia" w:cs="Times New Roman"/>
          <w:i/>
          <w:iCs/>
          <w:szCs w:val="24"/>
        </w:rPr>
        <w:t>)</w:t>
      </w:r>
      <w:r w:rsidR="001748C8">
        <w:rPr>
          <w:rFonts w:eastAsiaTheme="minorEastAsia" w:cs="Times New Roman"/>
          <w:szCs w:val="24"/>
        </w:rPr>
        <w:t xml:space="preserve">; Tirtha et al. </w:t>
      </w:r>
      <w:r w:rsidR="00BA33CE" w:rsidRPr="00492C90">
        <w:rPr>
          <w:rFonts w:eastAsiaTheme="minorEastAsia" w:cs="Times New Roman"/>
          <w:i/>
          <w:iCs/>
          <w:szCs w:val="24"/>
        </w:rPr>
        <w:t>(</w:t>
      </w:r>
      <w:r w:rsidR="00BA33CE">
        <w:rPr>
          <w:rFonts w:eastAsiaTheme="minorEastAsia" w:cs="Times New Roman"/>
          <w:i/>
          <w:iCs/>
          <w:szCs w:val="24"/>
        </w:rPr>
        <w:t>5</w:t>
      </w:r>
      <w:r w:rsidR="00727F1D">
        <w:rPr>
          <w:rFonts w:eastAsiaTheme="minorEastAsia" w:cs="Times New Roman"/>
          <w:i/>
          <w:iCs/>
          <w:szCs w:val="24"/>
        </w:rPr>
        <w:t>2</w:t>
      </w:r>
      <w:r w:rsidR="00BA33CE" w:rsidRPr="00492C90">
        <w:rPr>
          <w:rFonts w:eastAsiaTheme="minorEastAsia" w:cs="Times New Roman"/>
          <w:i/>
          <w:iCs/>
          <w:szCs w:val="24"/>
        </w:rPr>
        <w:t>)</w:t>
      </w:r>
      <w:r w:rsidR="001748C8">
        <w:rPr>
          <w:rFonts w:eastAsiaTheme="minorEastAsia" w:cs="Times New Roman"/>
          <w:szCs w:val="24"/>
        </w:rPr>
        <w:t xml:space="preserve"> and Faghih-Imani and Eluru </w:t>
      </w:r>
      <w:r w:rsidR="00BA33CE">
        <w:rPr>
          <w:rFonts w:eastAsiaTheme="minorEastAsia" w:cs="Times New Roman"/>
          <w:i/>
          <w:iCs/>
          <w:szCs w:val="24"/>
        </w:rPr>
        <w:t>(5</w:t>
      </w:r>
      <w:r w:rsidR="00727F1D">
        <w:rPr>
          <w:rFonts w:eastAsiaTheme="minorEastAsia" w:cs="Times New Roman"/>
          <w:i/>
          <w:iCs/>
          <w:szCs w:val="24"/>
        </w:rPr>
        <w:t>3</w:t>
      </w:r>
      <w:r w:rsidR="00BA33CE">
        <w:rPr>
          <w:rFonts w:eastAsiaTheme="minorEastAsia" w:cs="Times New Roman"/>
          <w:i/>
          <w:iCs/>
          <w:szCs w:val="24"/>
        </w:rPr>
        <w:t>)</w:t>
      </w:r>
      <w:r w:rsidR="001748C8">
        <w:rPr>
          <w:rFonts w:eastAsiaTheme="minorEastAsia" w:cs="Times New Roman"/>
          <w:szCs w:val="24"/>
        </w:rPr>
        <w:t xml:space="preserve"> for similar specification)</w:t>
      </w:r>
      <w:r w:rsidRPr="00B241DA">
        <w:rPr>
          <w:rFonts w:eastAsia="Times New Roman" w:cs="Times New Roman"/>
          <w:szCs w:val="24"/>
        </w:rPr>
        <w:t>:</w:t>
      </w:r>
      <w:bookmarkEnd w:id="11"/>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E4EA5" w:rsidRPr="00B241DA" w14:paraId="2CBCE16B" w14:textId="77777777" w:rsidTr="004E2702">
        <w:tc>
          <w:tcPr>
            <w:tcW w:w="4349" w:type="pct"/>
            <w:vAlign w:val="center"/>
          </w:tcPr>
          <w:bookmarkStart w:id="12" w:name="_Hlk55321034"/>
          <w:bookmarkStart w:id="13" w:name="_Hlk55321959"/>
          <w:p w14:paraId="324FEA5C" w14:textId="77777777" w:rsidR="001E4EA5" w:rsidRPr="00B241DA" w:rsidRDefault="00D80FBB" w:rsidP="004E2702">
            <w:pPr>
              <w:spacing w:before="360" w:after="360"/>
              <w:rPr>
                <w:rFonts w:ascii="Times New Roman" w:eastAsia="Calibri" w:hAnsi="Times New Roman" w:cs="Times New Roman"/>
                <w:sz w:val="24"/>
                <w:szCs w:val="24"/>
                <w:lang w:val="en-US"/>
              </w:rPr>
            </w:pPr>
            <m:oMathPara>
              <m:oMathParaPr>
                <m:jc m:val="left"/>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itj</m:t>
                    </m:r>
                  </m:sub>
                </m:sSub>
                <w:bookmarkEnd w:id="12"/>
                <m:r>
                  <w:rPr>
                    <w:rFonts w:ascii="Cambria Math" w:eastAsia="Times New Roman" w:hAnsi="Cambria Math" w:cs="Times New Roman"/>
                    <w:sz w:val="24"/>
                    <w:szCs w:val="24"/>
                    <w:lang w:val="en-US"/>
                  </w:rPr>
                  <m:t>=</m:t>
                </m:r>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π</m:t>
                    </m:r>
                  </m:e>
                  <m:sub>
                    <m:r>
                      <m:rPr>
                        <m:sty m:val="bi"/>
                      </m:rPr>
                      <w:rPr>
                        <w:rFonts w:ascii="Cambria Math" w:eastAsia="Times New Roman" w:hAnsi="Cambria Math" w:cs="Times New Roman"/>
                        <w:sz w:val="24"/>
                        <w:szCs w:val="24"/>
                        <w:lang w:val="en-US"/>
                      </w:rPr>
                      <m:t>j</m:t>
                    </m:r>
                  </m:sub>
                </m:sSub>
                <m:sSub>
                  <m:sSubPr>
                    <m:ctrlPr>
                      <w:rPr>
                        <w:rFonts w:ascii="Cambria Math" w:eastAsia="Times New Roman" w:hAnsi="Cambria Math" w:cs="Times New Roman"/>
                        <w:i/>
                        <w:sz w:val="24"/>
                        <w:szCs w:val="24"/>
                        <w:lang w:val="en-US"/>
                      </w:rPr>
                    </m:ctrlPr>
                  </m:sSubPr>
                  <m:e>
                    <m:r>
                      <m:rPr>
                        <m:sty m:val="bi"/>
                      </m:rPr>
                      <w:rPr>
                        <w:rFonts w:ascii="Cambria Math" w:eastAsia="Times New Roman" w:hAnsi="Cambria Math" w:cs="Times New Roman"/>
                        <w:sz w:val="24"/>
                        <w:szCs w:val="24"/>
                        <w:lang w:val="en-US"/>
                      </w:rPr>
                      <m:t>τ</m:t>
                    </m:r>
                  </m:e>
                  <m:sub>
                    <m:r>
                      <w:rPr>
                        <w:rFonts w:ascii="Cambria Math" w:eastAsia="Times New Roman" w:hAnsi="Cambria Math" w:cs="Times New Roman"/>
                        <w:sz w:val="24"/>
                        <w:szCs w:val="24"/>
                        <w:lang w:val="en-US"/>
                      </w:rPr>
                      <m:t>itj</m:t>
                    </m:r>
                  </m:sub>
                </m:sSub>
              </m:oMath>
            </m:oMathPara>
          </w:p>
        </w:tc>
        <w:tc>
          <w:tcPr>
            <w:tcW w:w="651" w:type="pct"/>
            <w:vAlign w:val="center"/>
          </w:tcPr>
          <w:p w14:paraId="3EDEA290" w14:textId="77777777" w:rsidR="001E4EA5" w:rsidRPr="00B241DA" w:rsidRDefault="001E4EA5" w:rsidP="004E2702">
            <w:pPr>
              <w:spacing w:before="360" w:after="360"/>
              <w:ind w:left="850"/>
              <w:contextualSpacing/>
              <w:jc w:val="right"/>
              <w:rPr>
                <w:rFonts w:ascii="Times New Roman" w:eastAsia="Calibri" w:hAnsi="Times New Roman" w:cs="Times New Roman"/>
                <w:sz w:val="24"/>
                <w:szCs w:val="24"/>
                <w:lang w:val="en-US"/>
              </w:rPr>
            </w:pPr>
            <w:r w:rsidRPr="00B241DA">
              <w:rPr>
                <w:rFonts w:ascii="Times New Roman" w:eastAsia="Calibri" w:hAnsi="Times New Roman" w:cs="Times New Roman"/>
                <w:sz w:val="24"/>
                <w:szCs w:val="24"/>
                <w:lang w:val="en-US"/>
              </w:rPr>
              <w:t>(6)</w:t>
            </w:r>
          </w:p>
          <w:p w14:paraId="7E0F51AA" w14:textId="77777777" w:rsidR="001E4EA5" w:rsidRPr="00B241DA" w:rsidRDefault="001E4EA5" w:rsidP="004E2702">
            <w:pPr>
              <w:spacing w:before="360" w:after="360"/>
              <w:ind w:left="850"/>
              <w:contextualSpacing/>
              <w:jc w:val="right"/>
              <w:rPr>
                <w:rFonts w:ascii="Times New Roman" w:eastAsia="Calibri" w:hAnsi="Times New Roman" w:cs="Times New Roman"/>
                <w:sz w:val="24"/>
                <w:szCs w:val="24"/>
                <w:lang w:val="en-US"/>
              </w:rPr>
            </w:pPr>
          </w:p>
        </w:tc>
      </w:tr>
    </w:tbl>
    <w:bookmarkEnd w:id="13"/>
    <w:p w14:paraId="652086AF" w14:textId="77777777" w:rsidR="001E4EA5" w:rsidRPr="00B241DA" w:rsidRDefault="001E4EA5" w:rsidP="001E4EA5">
      <w:pPr>
        <w:rPr>
          <w:rFonts w:eastAsia="Times New Roman" w:cs="Times New Roman"/>
          <w:szCs w:val="24"/>
        </w:rPr>
      </w:pPr>
      <w:r w:rsidRPr="00B241DA">
        <w:rPr>
          <w:rFonts w:eastAsia="Times New Roman" w:cs="Times New Roman"/>
          <w:szCs w:val="24"/>
        </w:rPr>
        <w:t xml:space="preserve">where, </w:t>
      </w:r>
      <m:oMath>
        <m:sSub>
          <m:sSubPr>
            <m:ctrlPr>
              <w:rPr>
                <w:rFonts w:ascii="Cambria Math" w:eastAsia="Times New Roman" w:hAnsi="Cambria Math" w:cs="Times New Roman"/>
                <w:i/>
                <w:szCs w:val="24"/>
              </w:rPr>
            </m:ctrlPr>
          </m:sSubPr>
          <m:e>
            <m:r>
              <m:rPr>
                <m:sty m:val="bi"/>
              </m:rPr>
              <w:rPr>
                <w:rFonts w:ascii="Cambria Math" w:eastAsia="Times New Roman" w:hAnsi="Cambria Math" w:cs="Times New Roman"/>
                <w:szCs w:val="24"/>
              </w:rPr>
              <m:t>τ</m:t>
            </m:r>
          </m:e>
          <m:sub>
            <m:r>
              <w:rPr>
                <w:rFonts w:ascii="Cambria Math" w:eastAsia="Times New Roman" w:hAnsi="Cambria Math" w:cs="Times New Roman"/>
                <w:szCs w:val="24"/>
              </w:rPr>
              <m:t>itj</m:t>
            </m:r>
          </m:sub>
        </m:sSub>
      </m:oMath>
      <w:r w:rsidRPr="00B241DA">
        <w:rPr>
          <w:rFonts w:eastAsia="Times New Roman" w:cs="Times New Roman"/>
          <w:szCs w:val="24"/>
        </w:rPr>
        <w:t xml:space="preserve"> is a vector of exogenous variables, </w:t>
      </w:r>
      <m:oMath>
        <m:sSub>
          <m:sSubPr>
            <m:ctrlPr>
              <w:rPr>
                <w:rFonts w:ascii="Cambria Math" w:eastAsia="Times New Roman" w:hAnsi="Cambria Math" w:cs="Times New Roman"/>
                <w:b/>
                <w:i/>
                <w:szCs w:val="24"/>
              </w:rPr>
            </m:ctrlPr>
          </m:sSubPr>
          <m:e>
            <m:r>
              <m:rPr>
                <m:sty m:val="bi"/>
              </m:rPr>
              <w:rPr>
                <w:rFonts w:ascii="Cambria Math" w:eastAsia="Times New Roman" w:hAnsi="Cambria Math" w:cs="Times New Roman"/>
                <w:szCs w:val="24"/>
              </w:rPr>
              <m:t>π</m:t>
            </m:r>
          </m:e>
          <m:sub>
            <m:r>
              <m:rPr>
                <m:sty m:val="bi"/>
              </m:rPr>
              <w:rPr>
                <w:rFonts w:ascii="Cambria Math" w:eastAsia="Times New Roman" w:hAnsi="Cambria Math" w:cs="Times New Roman"/>
                <w:szCs w:val="24"/>
              </w:rPr>
              <m:t>j</m:t>
            </m:r>
          </m:sub>
        </m:sSub>
      </m:oMath>
      <w:r w:rsidRPr="00B241DA">
        <w:rPr>
          <w:rFonts w:eastAsia="Times New Roman" w:cs="Times New Roman"/>
          <w:szCs w:val="24"/>
        </w:rPr>
        <w:t xml:space="preserve"> is a vector of unknown parameters to be estimated (including a constant).</w:t>
      </w:r>
    </w:p>
    <w:p w14:paraId="2BDBC5FC" w14:textId="007DBCF1" w:rsidR="001E4EA5" w:rsidRPr="00B241DA" w:rsidRDefault="001E4EA5" w:rsidP="001E4EA5">
      <w:pPr>
        <w:ind w:firstLine="720"/>
        <w:rPr>
          <w:rFonts w:eastAsiaTheme="minorEastAsia" w:cs="Times New Roman"/>
          <w:szCs w:val="24"/>
        </w:rPr>
      </w:pPr>
      <w:r w:rsidRPr="00B241DA">
        <w:rPr>
          <w:rFonts w:cs="Times New Roman"/>
          <w:szCs w:val="24"/>
        </w:rPr>
        <w:t xml:space="preserve">In </w:t>
      </w:r>
      <w:r w:rsidRPr="00B241DA">
        <w:rPr>
          <w:rFonts w:eastAsia="Times New Roman" w:cs="Times New Roman"/>
          <w:szCs w:val="24"/>
        </w:rPr>
        <w:t>examining</w:t>
      </w:r>
      <w:r w:rsidRPr="00B241DA">
        <w:rPr>
          <w:rFonts w:cs="Times New Roman"/>
          <w:szCs w:val="24"/>
        </w:rPr>
        <w:t xml:space="preserve"> the model structure of total trip count and proportion of trips by </w:t>
      </w:r>
      <w:proofErr w:type="spellStart"/>
      <w:r w:rsidR="0095029D">
        <w:rPr>
          <w:rFonts w:cs="Times New Roman"/>
          <w:szCs w:val="24"/>
        </w:rPr>
        <w:t>ridehailing</w:t>
      </w:r>
      <w:proofErr w:type="spellEnd"/>
      <w:r w:rsidRPr="00B241DA">
        <w:rPr>
          <w:rFonts w:cs="Times New Roman"/>
          <w:szCs w:val="24"/>
        </w:rPr>
        <w:t xml:space="preserve"> types, it is necessary to specify the structure for the unobserved vectors </w:t>
      </w:r>
      <m:oMath>
        <m:r>
          <m:rPr>
            <m:sty m:val="bi"/>
          </m:rPr>
          <w:rPr>
            <w:rFonts w:ascii="Cambria Math" w:eastAsia="Times New Roman" w:hAnsi="Cambria Math" w:cs="Times New Roman"/>
            <w:szCs w:val="24"/>
          </w:rPr>
          <m:t xml:space="preserve">ς, σ </m:t>
        </m:r>
        <m:r>
          <m:rPr>
            <m:sty m:val="p"/>
          </m:rPr>
          <w:rPr>
            <w:rFonts w:ascii="Cambria Math" w:eastAsia="Times New Roman" w:hAnsi="Cambria Math" w:cs="Times New Roman"/>
            <w:szCs w:val="24"/>
          </w:rPr>
          <m:t>and</m:t>
        </m:r>
        <m:r>
          <m:rPr>
            <m:sty m:val="bi"/>
          </m:rPr>
          <w:rPr>
            <w:rFonts w:ascii="Cambria Math" w:eastAsia="Times New Roman" w:hAnsi="Cambria Math" w:cs="Times New Roman"/>
            <w:szCs w:val="24"/>
          </w:rPr>
          <m:t xml:space="preserve"> π</m:t>
        </m:r>
      </m:oMath>
      <w:r w:rsidRPr="00B241DA">
        <w:rPr>
          <w:rFonts w:eastAsiaTheme="minorEastAsia" w:cs="Times New Roman"/>
          <w:szCs w:val="24"/>
        </w:rPr>
        <w:t xml:space="preserve"> represented by </w:t>
      </w:r>
      <m:oMath>
        <m:r>
          <m:rPr>
            <m:sty m:val="p"/>
          </m:rPr>
          <w:rPr>
            <w:rFonts w:ascii="Cambria Math" w:eastAsiaTheme="minorEastAsia" w:hAnsi="Cambria Math" w:cs="Times New Roman"/>
            <w:szCs w:val="24"/>
          </w:rPr>
          <m:t>Ω</m:t>
        </m:r>
      </m:oMath>
      <w:r w:rsidRPr="00B241DA">
        <w:rPr>
          <w:rFonts w:eastAsiaTheme="minorEastAsia" w:cs="Times New Roman"/>
          <w:szCs w:val="24"/>
        </w:rPr>
        <w:t>. In this paper, it is assumed that these elements are drawn from independent realization from normal population:</w:t>
      </w:r>
      <m:oMath>
        <m:r>
          <m:rPr>
            <m:sty m:val="p"/>
          </m:rPr>
          <w:rPr>
            <w:rFonts w:ascii="Cambria Math" w:eastAsiaTheme="minorEastAsia" w:hAnsi="Cambria Math" w:cs="Times New Roman"/>
            <w:szCs w:val="24"/>
          </w:rPr>
          <m:t>Ω</m:t>
        </m:r>
        <m:r>
          <w:rPr>
            <w:rFonts w:ascii="Cambria Math" w:eastAsia="Times New Roman" w:hAnsi="Cambria Math" w:cs="Times New Roman"/>
            <w:szCs w:val="24"/>
          </w:rPr>
          <m:t>~N(0, (</m:t>
        </m:r>
        <m:sSup>
          <m:sSupPr>
            <m:ctrlPr>
              <w:rPr>
                <w:rFonts w:ascii="Cambria Math" w:eastAsiaTheme="minorEastAsia" w:hAnsi="Cambria Math" w:cs="Times New Roman"/>
                <w:b/>
                <w:i/>
                <w:szCs w:val="24"/>
              </w:rPr>
            </m:ctrlPr>
          </m:sSupPr>
          <m:e>
            <m:r>
              <m:rPr>
                <m:sty m:val="bi"/>
              </m:rPr>
              <w:rPr>
                <w:rFonts w:ascii="Cambria Math" w:eastAsia="Times New Roman" w:hAnsi="Cambria Math" w:cs="Times New Roman"/>
                <w:szCs w:val="24"/>
              </w:rPr>
              <m:t>ς</m:t>
            </m:r>
          </m:e>
          <m:sup>
            <m:r>
              <m:rPr>
                <m:sty m:val="bi"/>
              </m:rPr>
              <w:rPr>
                <w:rFonts w:ascii="Cambria Math" w:eastAsiaTheme="minorEastAsia" w:hAnsi="Cambria Math" w:cs="Times New Roman"/>
                <w:szCs w:val="24"/>
              </w:rPr>
              <m:t>2</m:t>
            </m:r>
          </m:sup>
        </m:sSup>
        <m:r>
          <m:rPr>
            <m:sty m:val="p"/>
          </m:rPr>
          <w:rPr>
            <w:rFonts w:ascii="Cambria Math" w:eastAsiaTheme="minorEastAsia" w:hAnsi="Cambria Math" w:cs="Times New Roman"/>
            <w:szCs w:val="24"/>
          </w:rPr>
          <m:t xml:space="preserve">, </m:t>
        </m:r>
        <m:sSup>
          <m:sSupPr>
            <m:ctrlPr>
              <w:rPr>
                <w:rFonts w:ascii="Cambria Math" w:eastAsia="Times New Roman" w:hAnsi="Cambria Math" w:cs="Times New Roman"/>
                <w:i/>
                <w:szCs w:val="24"/>
              </w:rPr>
            </m:ctrlPr>
          </m:sSupPr>
          <m:e>
            <m:sSub>
              <m:sSubPr>
                <m:ctrlPr>
                  <w:rPr>
                    <w:rFonts w:ascii="Cambria Math" w:eastAsia="Times New Roman" w:hAnsi="Cambria Math" w:cs="Times New Roman"/>
                    <w:b/>
                    <w:i/>
                    <w:szCs w:val="24"/>
                  </w:rPr>
                </m:ctrlPr>
              </m:sSubPr>
              <m:e>
                <m:r>
                  <m:rPr>
                    <m:sty m:val="bi"/>
                  </m:rPr>
                  <w:rPr>
                    <w:rFonts w:ascii="Cambria Math" w:eastAsia="Times New Roman" w:hAnsi="Cambria Math" w:cs="Times New Roman"/>
                    <w:szCs w:val="24"/>
                  </w:rPr>
                  <m:t>ν</m:t>
                </m:r>
              </m:e>
              <m:sub>
                <m:r>
                  <w:rPr>
                    <w:rFonts w:ascii="Cambria Math" w:eastAsia="Times New Roman" w:hAnsi="Cambria Math" w:cs="Times New Roman"/>
                    <w:szCs w:val="24"/>
                  </w:rPr>
                  <m:t>j</m:t>
                </m:r>
              </m:sub>
            </m:sSub>
          </m:e>
          <m:sup>
            <m:r>
              <w:rPr>
                <w:rFonts w:ascii="Cambria Math" w:eastAsia="Times New Roman" w:hAnsi="Cambria Math" w:cs="Times New Roman"/>
                <w:szCs w:val="24"/>
              </w:rPr>
              <m:t>2</m:t>
            </m:r>
          </m:sup>
        </m:sSup>
        <m:r>
          <m:rPr>
            <m:sty m:val="p"/>
          </m:rPr>
          <w:rPr>
            <w:rFonts w:ascii="Cambria Math" w:eastAsiaTheme="minorEastAsia" w:hAnsi="Cambria Math" w:cs="Times New Roman"/>
            <w:szCs w:val="24"/>
          </w:rPr>
          <m:t xml:space="preserve">, </m:t>
        </m:r>
        <m:sSubSup>
          <m:sSubSupPr>
            <m:ctrlPr>
              <w:rPr>
                <w:rFonts w:ascii="Cambria Math" w:eastAsiaTheme="minorEastAsia" w:hAnsi="Cambria Math" w:cs="Times New Roman"/>
                <w:i/>
                <w:szCs w:val="24"/>
              </w:rPr>
            </m:ctrlPr>
          </m:sSubSupPr>
          <m:e>
            <m:r>
              <m:rPr>
                <m:sty m:val="bi"/>
              </m:rPr>
              <w:rPr>
                <w:rFonts w:ascii="Cambria Math" w:eastAsia="Times New Roman" w:hAnsi="Cambria Math" w:cs="Times New Roman"/>
                <w:szCs w:val="24"/>
              </w:rPr>
              <m:t>ℶ</m:t>
            </m:r>
          </m:e>
          <m:sub>
            <m:r>
              <w:rPr>
                <w:rFonts w:ascii="Cambria Math" w:eastAsiaTheme="minorEastAsia" w:hAnsi="Cambria Math" w:cs="Times New Roman"/>
                <w:szCs w:val="24"/>
              </w:rPr>
              <m:t>j</m:t>
            </m:r>
          </m:sub>
          <m:sup>
            <m:r>
              <w:rPr>
                <w:rFonts w:ascii="Cambria Math" w:eastAsiaTheme="minorEastAsia" w:hAnsi="Cambria Math" w:cs="Times New Roman"/>
                <w:szCs w:val="24"/>
              </w:rPr>
              <m:t>2</m:t>
            </m:r>
          </m:sup>
        </m:sSubSup>
        <m:r>
          <w:rPr>
            <w:rFonts w:ascii="Cambria Math" w:eastAsiaTheme="minorEastAsia" w:hAnsi="Cambria Math" w:cs="Times New Roman"/>
            <w:szCs w:val="24"/>
          </w:rPr>
          <m:t>))</m:t>
        </m:r>
      </m:oMath>
      <w:r w:rsidRPr="00B241DA">
        <w:rPr>
          <w:rFonts w:eastAsiaTheme="minorEastAsia" w:cs="Times New Roman"/>
          <w:szCs w:val="24"/>
        </w:rPr>
        <w:t xml:space="preserve">. Thus, conditional on </w:t>
      </w:r>
      <m:oMath>
        <m:r>
          <m:rPr>
            <m:sty m:val="p"/>
          </m:rPr>
          <w:rPr>
            <w:rFonts w:ascii="Cambria Math" w:eastAsiaTheme="minorEastAsia" w:hAnsi="Cambria Math" w:cs="Times New Roman"/>
            <w:szCs w:val="24"/>
          </w:rPr>
          <m:t>Ω</m:t>
        </m:r>
      </m:oMath>
      <w:r w:rsidRPr="00B241DA">
        <w:rPr>
          <w:rFonts w:eastAsiaTheme="minorEastAsia" w:cs="Times New Roman"/>
          <w:szCs w:val="24"/>
        </w:rPr>
        <w:t>, the likelihood function for the joint probability can be expressed 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E4EA5" w:rsidRPr="00B241DA" w14:paraId="40222DBF" w14:textId="77777777" w:rsidTr="004E2702">
        <w:tc>
          <w:tcPr>
            <w:tcW w:w="4349" w:type="pct"/>
            <w:vAlign w:val="center"/>
          </w:tcPr>
          <w:p w14:paraId="2947294B" w14:textId="77777777" w:rsidR="001E4EA5" w:rsidRPr="00B241DA" w:rsidRDefault="00D80FBB" w:rsidP="004E2702">
            <w:pPr>
              <w:spacing w:before="360" w:after="360"/>
              <w:rPr>
                <w:rFonts w:ascii="Times New Roman" w:eastAsia="Calibri" w:hAnsi="Times New Roman" w:cs="Times New Roman"/>
                <w:sz w:val="24"/>
                <w:szCs w:val="24"/>
                <w:lang w:val="en-US"/>
              </w:rPr>
            </w:pPr>
            <m:oMathPara>
              <m:oMathParaPr>
                <m:jc m:val="left"/>
              </m:oMathParaPr>
              <m:oMath>
                <m:sSub>
                  <m:sSubPr>
                    <m:ctrlPr>
                      <w:rPr>
                        <w:rFonts w:ascii="Cambria Math" w:eastAsia="Times New Roman" w:hAnsi="Cambria Math" w:cs="Times New Roman"/>
                        <w:i/>
                        <w:sz w:val="24"/>
                        <w:szCs w:val="24"/>
                        <w:lang w:val="en-US"/>
                      </w:rPr>
                    </m:ctrlPr>
                  </m:sSubPr>
                  <m:e>
                    <m:r>
                      <m:rPr>
                        <m:scr m:val="script"/>
                      </m:rP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i</m:t>
                    </m:r>
                  </m:sub>
                </m:sSub>
                <m:r>
                  <w:rPr>
                    <w:rFonts w:ascii="Cambria Math" w:eastAsia="Times New Roman" w:hAnsi="Cambria Math" w:cs="Times New Roman"/>
                    <w:sz w:val="24"/>
                    <w:szCs w:val="24"/>
                    <w:lang w:val="en-US"/>
                  </w:rPr>
                  <m:t>=</m:t>
                </m:r>
                <m:nary>
                  <m:naryPr>
                    <m:limLoc m:val="subSup"/>
                    <m:ctrlPr>
                      <w:rPr>
                        <w:rFonts w:ascii="Cambria Math" w:eastAsia="Times New Roman" w:hAnsi="Cambria Math" w:cs="Times New Roman"/>
                        <w:i/>
                        <w:sz w:val="24"/>
                        <w:szCs w:val="24"/>
                        <w:lang w:val="en-US"/>
                      </w:rPr>
                    </m:ctrlPr>
                  </m:naryPr>
                  <m:sub>
                    <m:r>
                      <m:rPr>
                        <m:sty m:val="p"/>
                      </m:rPr>
                      <w:rPr>
                        <w:rFonts w:ascii="Cambria Math" w:eastAsiaTheme="minorEastAsia" w:hAnsi="Cambria Math" w:cs="Times New Roman"/>
                        <w:sz w:val="24"/>
                        <w:szCs w:val="24"/>
                        <w:lang w:val="en-US"/>
                      </w:rPr>
                      <m:t xml:space="preserve"> Ω</m:t>
                    </m:r>
                  </m:sub>
                  <m:sup/>
                  <m:e>
                    <m:r>
                      <w:rPr>
                        <w:rFonts w:ascii="Cambria Math" w:eastAsia="Calibri" w:hAnsi="Cambria Math" w:cs="Times New Roman"/>
                        <w:sz w:val="24"/>
                        <w:szCs w:val="24"/>
                        <w:lang w:val="en-US"/>
                      </w:rPr>
                      <m:t>P</m:t>
                    </m:r>
                    <m:d>
                      <m:dPr>
                        <m:ctrlPr>
                          <w:rPr>
                            <w:rFonts w:ascii="Cambria Math" w:eastAsia="Calibri"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y</m:t>
                            </m:r>
                          </m:e>
                          <m:sub>
                            <m:r>
                              <w:rPr>
                                <w:rFonts w:ascii="Cambria Math" w:eastAsia="Times New Roman" w:hAnsi="Cambria Math" w:cs="Times New Roman"/>
                                <w:sz w:val="24"/>
                                <w:szCs w:val="24"/>
                                <w:lang w:val="en-US"/>
                              </w:rPr>
                              <m:t>it</m:t>
                            </m:r>
                          </m:sub>
                        </m:sSub>
                      </m:e>
                    </m:d>
                    <m: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t=1</m:t>
                        </m:r>
                      </m:sub>
                      <m:sup>
                        <m:r>
                          <w:rPr>
                            <w:rFonts w:ascii="Cambria Math" w:eastAsia="Calibri" w:hAnsi="Cambria Math" w:cs="Times New Roman"/>
                            <w:sz w:val="24"/>
                            <w:szCs w:val="24"/>
                            <w:lang w:val="en-US"/>
                          </w:rPr>
                          <m:t>T</m:t>
                        </m:r>
                      </m:sup>
                      <m:e>
                        <m:nary>
                          <m:naryPr>
                            <m:chr m:val="∏"/>
                            <m:limLoc m:val="undOvr"/>
                            <m:ctrlPr>
                              <w:rPr>
                                <w:rFonts w:ascii="Cambria Math" w:eastAsia="Times New Roman" w:hAnsi="Cambria Math" w:cs="Times New Roman"/>
                                <w:i/>
                                <w:sz w:val="24"/>
                                <w:szCs w:val="24"/>
                                <w:lang w:val="en-US"/>
                              </w:rPr>
                            </m:ctrlPr>
                          </m:naryPr>
                          <m:sub>
                            <m:r>
                              <w:rPr>
                                <w:rFonts w:ascii="Cambria Math" w:eastAsia="Times New Roman" w:hAnsi="Cambria Math" w:cs="Times New Roman"/>
                                <w:sz w:val="24"/>
                                <w:szCs w:val="24"/>
                                <w:lang w:val="en-US"/>
                              </w:rPr>
                              <m:t>j=1</m:t>
                            </m:r>
                          </m:sub>
                          <m:sup>
                            <m:r>
                              <w:rPr>
                                <w:rFonts w:ascii="Cambria Math" w:eastAsia="Times New Roman" w:hAnsi="Cambria Math" w:cs="Times New Roman"/>
                                <w:sz w:val="24"/>
                                <w:szCs w:val="24"/>
                                <w:lang w:val="en-US"/>
                              </w:rPr>
                              <m:t>J</m:t>
                            </m:r>
                          </m:sup>
                          <m:e>
                            <m:sSup>
                              <m:sSupPr>
                                <m:ctrlPr>
                                  <w:rPr>
                                    <w:rFonts w:ascii="Cambria Math" w:eastAsia="Calibri" w:hAnsi="Cambria Math" w:cs="Times New Roman"/>
                                    <w:i/>
                                    <w:sz w:val="24"/>
                                    <w:szCs w:val="24"/>
                                    <w:lang w:val="en-US"/>
                                  </w:rPr>
                                </m:ctrlPr>
                              </m:sSupPr>
                              <m:e>
                                <m:d>
                                  <m:dPr>
                                    <m:ctrlPr>
                                      <w:rPr>
                                        <w:rFonts w:ascii="Cambria Math" w:eastAsia="Calibri" w:hAnsi="Cambria Math" w:cs="Times New Roman"/>
                                        <w:i/>
                                        <w:sz w:val="24"/>
                                        <w:szCs w:val="24"/>
                                        <w:lang w:val="en-US"/>
                                      </w:rPr>
                                    </m:ctrlPr>
                                  </m:dPr>
                                  <m:e>
                                    <m:r>
                                      <w:rPr>
                                        <w:rFonts w:ascii="Cambria Math" w:hAnsi="Cambria Math" w:cs="Times New Roman"/>
                                        <w:sz w:val="24"/>
                                        <w:szCs w:val="24"/>
                                        <w:lang w:val="en-US" w:eastAsia="ko-KR"/>
                                      </w:rPr>
                                      <m:t>E</m:t>
                                    </m:r>
                                    <m:d>
                                      <m:dPr>
                                        <m:ctrlPr>
                                          <w:rPr>
                                            <w:rFonts w:ascii="Cambria Math" w:hAnsi="Cambria Math" w:cs="Times New Roman"/>
                                            <w:i/>
                                            <w:sz w:val="24"/>
                                            <w:szCs w:val="24"/>
                                            <w:lang w:val="en-US" w:eastAsia="ko-KR"/>
                                          </w:rPr>
                                        </m:ctrlPr>
                                      </m:dPr>
                                      <m:e>
                                        <m:sSub>
                                          <m:sSubPr>
                                            <m:ctrlPr>
                                              <w:rPr>
                                                <w:rFonts w:ascii="Cambria Math" w:hAnsi="Cambria Math" w:cs="Times New Roman"/>
                                                <w:i/>
                                                <w:sz w:val="24"/>
                                                <w:szCs w:val="24"/>
                                                <w:lang w:val="en-US" w:eastAsia="ko-KR"/>
                                              </w:rPr>
                                            </m:ctrlPr>
                                          </m:sSubPr>
                                          <m:e>
                                            <m:r>
                                              <w:rPr>
                                                <w:rFonts w:ascii="Cambria Math" w:hAnsi="Cambria Math" w:cs="Times New Roman"/>
                                                <w:sz w:val="24"/>
                                                <w:szCs w:val="24"/>
                                                <w:lang w:val="en-US" w:eastAsia="ko-KR"/>
                                              </w:rPr>
                                              <m:t>z</m:t>
                                            </m:r>
                                          </m:e>
                                          <m:sub>
                                            <m:r>
                                              <w:rPr>
                                                <w:rFonts w:ascii="Cambria Math" w:hAnsi="Cambria Math" w:cs="Times New Roman"/>
                                                <w:sz w:val="24"/>
                                                <w:szCs w:val="24"/>
                                                <w:lang w:val="en-US" w:eastAsia="ko-KR"/>
                                              </w:rPr>
                                              <m:t>itj</m:t>
                                            </m:r>
                                          </m:sub>
                                        </m:sSub>
                                      </m:e>
                                      <m:e>
                                        <m:sSub>
                                          <m:sSubPr>
                                            <m:ctrlPr>
                                              <w:rPr>
                                                <w:rFonts w:ascii="Cambria Math" w:eastAsia="Times New Roman" w:hAnsi="Cambria Math" w:cs="Times New Roman"/>
                                                <w:sz w:val="24"/>
                                                <w:szCs w:val="24"/>
                                                <w:lang w:val="en-US"/>
                                              </w:rPr>
                                            </m:ctrlPr>
                                          </m:sSubPr>
                                          <m:e>
                                            <m:r>
                                              <w:rPr>
                                                <w:rFonts w:ascii="Cambria Math" w:eastAsia="Times New Roman" w:hAnsi="Cambria Math" w:cs="Times New Roman"/>
                                                <w:sz w:val="24"/>
                                                <w:szCs w:val="24"/>
                                                <w:lang w:val="en-US"/>
                                              </w:rPr>
                                              <m:t>w</m:t>
                                            </m:r>
                                          </m:e>
                                          <m:sub>
                                            <m:r>
                                              <w:rPr>
                                                <w:rFonts w:ascii="Cambria Math" w:eastAsia="Times New Roman" w:hAnsi="Cambria Math" w:cs="Times New Roman"/>
                                                <w:sz w:val="24"/>
                                                <w:szCs w:val="24"/>
                                                <w:lang w:val="en-US"/>
                                              </w:rPr>
                                              <m:t>itj</m:t>
                                            </m:r>
                                          </m:sub>
                                        </m:sSub>
                                      </m:e>
                                    </m:d>
                                  </m:e>
                                </m:d>
                              </m:e>
                              <m:sup>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z</m:t>
                                    </m:r>
                                  </m:e>
                                  <m:sub>
                                    <m:r>
                                      <w:rPr>
                                        <w:rFonts w:ascii="Cambria Math" w:eastAsia="Calibri" w:hAnsi="Cambria Math" w:cs="Times New Roman"/>
                                        <w:sz w:val="24"/>
                                        <w:szCs w:val="24"/>
                                        <w:lang w:val="en-US"/>
                                      </w:rPr>
                                      <m:t>itj</m:t>
                                    </m:r>
                                  </m:sub>
                                </m:sSub>
                              </m:sup>
                            </m:sSup>
                          </m:e>
                        </m:nary>
                      </m:e>
                    </m:nary>
                  </m:e>
                </m:nary>
                <m:r>
                  <w:rPr>
                    <w:rFonts w:ascii="Cambria Math" w:eastAsia="Times New Roman" w:hAnsi="Cambria Math" w:cs="Times New Roman"/>
                    <w:sz w:val="24"/>
                    <w:szCs w:val="24"/>
                    <w:lang w:val="en-US"/>
                  </w:rPr>
                  <m:t>f(</m:t>
                </m:r>
                <m:r>
                  <m:rPr>
                    <m:sty m:val="p"/>
                  </m:rPr>
                  <w:rPr>
                    <w:rFonts w:ascii="Cambria Math" w:eastAsiaTheme="minorEastAsia" w:hAnsi="Cambria Math" w:cs="Times New Roman"/>
                    <w:sz w:val="24"/>
                    <w:szCs w:val="24"/>
                    <w:lang w:val="en-US"/>
                  </w:rPr>
                  <m:t>Ω</m:t>
                </m:r>
                <m:r>
                  <w:rPr>
                    <w:rFonts w:ascii="Cambria Math" w:eastAsia="Times New Roman" w:hAnsi="Cambria Math" w:cs="Times New Roman"/>
                    <w:sz w:val="24"/>
                    <w:szCs w:val="24"/>
                    <w:lang w:val="en-US"/>
                  </w:rPr>
                  <m:t>)d</m:t>
                </m:r>
                <m:r>
                  <m:rPr>
                    <m:sty m:val="p"/>
                  </m:rPr>
                  <w:rPr>
                    <w:rFonts w:ascii="Cambria Math" w:eastAsiaTheme="minorEastAsia" w:hAnsi="Cambria Math" w:cs="Times New Roman"/>
                    <w:sz w:val="24"/>
                    <w:szCs w:val="24"/>
                    <w:lang w:val="en-US"/>
                  </w:rPr>
                  <m:t>Ω</m:t>
                </m:r>
              </m:oMath>
            </m:oMathPara>
          </w:p>
        </w:tc>
        <w:tc>
          <w:tcPr>
            <w:tcW w:w="651" w:type="pct"/>
            <w:vAlign w:val="center"/>
          </w:tcPr>
          <w:p w14:paraId="2A07E66F" w14:textId="77777777" w:rsidR="001E4EA5" w:rsidRPr="00B241DA" w:rsidRDefault="001E4EA5" w:rsidP="004E2702">
            <w:pPr>
              <w:spacing w:before="360" w:after="360"/>
              <w:ind w:left="850"/>
              <w:contextualSpacing/>
              <w:jc w:val="right"/>
              <w:rPr>
                <w:rFonts w:ascii="Times New Roman" w:eastAsia="Calibri" w:hAnsi="Times New Roman" w:cs="Times New Roman"/>
                <w:sz w:val="24"/>
                <w:szCs w:val="24"/>
                <w:lang w:val="en-US"/>
              </w:rPr>
            </w:pPr>
            <w:r w:rsidRPr="00B241DA">
              <w:rPr>
                <w:rFonts w:ascii="Times New Roman" w:eastAsia="Calibri" w:hAnsi="Times New Roman" w:cs="Times New Roman"/>
                <w:sz w:val="24"/>
                <w:szCs w:val="24"/>
                <w:lang w:val="en-US"/>
              </w:rPr>
              <w:t>(7)</w:t>
            </w:r>
          </w:p>
          <w:p w14:paraId="0C1FEF0B" w14:textId="77777777" w:rsidR="001E4EA5" w:rsidRPr="00B241DA" w:rsidRDefault="001E4EA5" w:rsidP="004E2702">
            <w:pPr>
              <w:spacing w:before="360" w:after="360"/>
              <w:ind w:left="850"/>
              <w:contextualSpacing/>
              <w:jc w:val="right"/>
              <w:rPr>
                <w:rFonts w:ascii="Times New Roman" w:eastAsia="Calibri" w:hAnsi="Times New Roman" w:cs="Times New Roman"/>
                <w:sz w:val="24"/>
                <w:szCs w:val="24"/>
                <w:lang w:val="en-US"/>
              </w:rPr>
            </w:pPr>
          </w:p>
        </w:tc>
      </w:tr>
    </w:tbl>
    <w:p w14:paraId="7A41CD6D" w14:textId="122C5FC4" w:rsidR="001E4EA5" w:rsidRPr="00B241DA" w:rsidRDefault="001E4EA5" w:rsidP="001E4EA5">
      <w:pPr>
        <w:rPr>
          <w:rFonts w:eastAsiaTheme="minorEastAsia" w:cs="Times New Roman"/>
          <w:szCs w:val="24"/>
        </w:rPr>
      </w:pPr>
      <w:r w:rsidRPr="00B241DA">
        <w:rPr>
          <w:rFonts w:eastAsiaTheme="minorEastAsia" w:cs="Times New Roman"/>
          <w:szCs w:val="24"/>
        </w:rPr>
        <w:t xml:space="preserve"> Finally, the log-likelihood function is: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1E4EA5" w:rsidRPr="00B241DA" w14:paraId="743D4236" w14:textId="77777777" w:rsidTr="004E2702">
        <w:tc>
          <w:tcPr>
            <w:tcW w:w="4349" w:type="pct"/>
            <w:vAlign w:val="center"/>
          </w:tcPr>
          <w:p w14:paraId="4972D505" w14:textId="77777777" w:rsidR="001E4EA5" w:rsidRPr="00B241DA" w:rsidRDefault="001E4EA5" w:rsidP="004E2702">
            <w:pPr>
              <w:spacing w:before="360" w:after="360"/>
              <w:rPr>
                <w:rFonts w:ascii="Times New Roman" w:eastAsia="Calibri" w:hAnsi="Times New Roman" w:cs="Times New Roman"/>
                <w:sz w:val="24"/>
                <w:szCs w:val="24"/>
                <w:lang w:val="en-US"/>
              </w:rPr>
            </w:pPr>
            <m:oMathPara>
              <m:oMathParaPr>
                <m:jc m:val="left"/>
              </m:oMathParaPr>
              <m:oMath>
                <m:r>
                  <m:rPr>
                    <m:scr m:val="script"/>
                  </m:rPr>
                  <w:rPr>
                    <w:rFonts w:ascii="Cambria Math" w:eastAsia="Times New Roman" w:hAnsi="Cambria Math" w:cs="Times New Roman"/>
                    <w:sz w:val="24"/>
                    <w:szCs w:val="24"/>
                    <w:lang w:val="en-US"/>
                  </w:rPr>
                  <m:t>LL=</m:t>
                </m:r>
                <m:nary>
                  <m:naryPr>
                    <m:chr m:val="∑"/>
                    <m:limLoc m:val="undOvr"/>
                    <m:supHide m:val="1"/>
                    <m:ctrlPr>
                      <w:rPr>
                        <w:rFonts w:ascii="Cambria Math" w:eastAsia="Times New Roman" w:hAnsi="Cambria Math" w:cs="Times New Roman"/>
                        <w:i/>
                        <w:sz w:val="24"/>
                        <w:szCs w:val="24"/>
                        <w:lang w:val="en-US"/>
                      </w:rPr>
                    </m:ctrlPr>
                  </m:naryPr>
                  <m:sub>
                    <m:r>
                      <w:rPr>
                        <w:rFonts w:ascii="Cambria Math" w:eastAsia="Times New Roman" w:hAnsi="Cambria Math" w:cs="Times New Roman"/>
                        <w:sz w:val="24"/>
                        <w:szCs w:val="24"/>
                        <w:lang w:val="en-US"/>
                      </w:rPr>
                      <m:t>i</m:t>
                    </m:r>
                  </m:sub>
                  <m:sup/>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Ln(L</m:t>
                        </m:r>
                      </m:e>
                      <m:sub>
                        <m:r>
                          <w:rPr>
                            <w:rFonts w:ascii="Cambria Math" w:eastAsia="Times New Roman" w:hAnsi="Cambria Math" w:cs="Times New Roman"/>
                            <w:sz w:val="24"/>
                            <w:szCs w:val="24"/>
                            <w:lang w:val="en-US"/>
                          </w:rPr>
                          <m:t>i</m:t>
                        </m:r>
                      </m:sub>
                    </m:sSub>
                    <m:r>
                      <w:rPr>
                        <w:rFonts w:ascii="Cambria Math" w:eastAsia="Times New Roman" w:hAnsi="Cambria Math" w:cs="Times New Roman"/>
                        <w:sz w:val="24"/>
                        <w:szCs w:val="24"/>
                        <w:lang w:val="en-US"/>
                      </w:rPr>
                      <m:t>)</m:t>
                    </m:r>
                  </m:e>
                </m:nary>
              </m:oMath>
            </m:oMathPara>
          </w:p>
        </w:tc>
        <w:tc>
          <w:tcPr>
            <w:tcW w:w="651" w:type="pct"/>
            <w:vAlign w:val="center"/>
          </w:tcPr>
          <w:p w14:paraId="5562F58F" w14:textId="77777777" w:rsidR="001E4EA5" w:rsidRPr="00B241DA" w:rsidRDefault="001E4EA5" w:rsidP="004E2702">
            <w:pPr>
              <w:spacing w:before="360" w:after="360"/>
              <w:ind w:left="850"/>
              <w:contextualSpacing/>
              <w:jc w:val="right"/>
              <w:rPr>
                <w:rFonts w:ascii="Times New Roman" w:eastAsia="Calibri" w:hAnsi="Times New Roman" w:cs="Times New Roman"/>
                <w:sz w:val="24"/>
                <w:szCs w:val="24"/>
                <w:lang w:val="en-US"/>
              </w:rPr>
            </w:pPr>
            <w:r w:rsidRPr="00B241DA">
              <w:rPr>
                <w:rFonts w:ascii="Times New Roman" w:eastAsia="Calibri" w:hAnsi="Times New Roman" w:cs="Times New Roman"/>
                <w:sz w:val="24"/>
                <w:szCs w:val="24"/>
                <w:lang w:val="en-US"/>
              </w:rPr>
              <w:t>(8)</w:t>
            </w:r>
          </w:p>
          <w:p w14:paraId="5073597F" w14:textId="77777777" w:rsidR="001E4EA5" w:rsidRPr="00B241DA" w:rsidRDefault="001E4EA5" w:rsidP="004E2702">
            <w:pPr>
              <w:spacing w:before="360" w:after="360"/>
              <w:ind w:left="850"/>
              <w:contextualSpacing/>
              <w:jc w:val="right"/>
              <w:rPr>
                <w:rFonts w:ascii="Times New Roman" w:eastAsia="Calibri" w:hAnsi="Times New Roman" w:cs="Times New Roman"/>
                <w:sz w:val="24"/>
                <w:szCs w:val="24"/>
                <w:lang w:val="en-US"/>
              </w:rPr>
            </w:pPr>
          </w:p>
        </w:tc>
      </w:tr>
    </w:tbl>
    <w:p w14:paraId="6D221317" w14:textId="5C7E81FF" w:rsidR="001E4EA5" w:rsidRPr="00B241DA" w:rsidRDefault="001E4EA5" w:rsidP="001E4EA5">
      <w:pPr>
        <w:ind w:firstLine="720"/>
        <w:rPr>
          <w:rFonts w:eastAsiaTheme="minorEastAsia" w:cs="Times New Roman"/>
          <w:szCs w:val="24"/>
        </w:rPr>
      </w:pPr>
      <w:r w:rsidRPr="00B241DA">
        <w:rPr>
          <w:rFonts w:eastAsiaTheme="minorEastAsia" w:cs="Times New Roman"/>
          <w:szCs w:val="24"/>
        </w:rPr>
        <w:t xml:space="preserve">All the </w:t>
      </w:r>
      <w:r w:rsidRPr="00B241DA">
        <w:rPr>
          <w:rFonts w:eastAsia="Times New Roman" w:cs="Times New Roman"/>
          <w:szCs w:val="24"/>
        </w:rPr>
        <w:t>parameters</w:t>
      </w:r>
      <w:r w:rsidRPr="00B241DA">
        <w:rPr>
          <w:rFonts w:eastAsiaTheme="minorEastAsia" w:cs="Times New Roman"/>
          <w:szCs w:val="24"/>
        </w:rPr>
        <w:t xml:space="preserve"> in the model are estimated by maximizing the logarithmic function </w:t>
      </w:r>
      <m:oMath>
        <m:r>
          <m:rPr>
            <m:scr m:val="script"/>
          </m:rPr>
          <w:rPr>
            <w:rFonts w:ascii="Cambria Math" w:eastAsia="Times New Roman" w:hAnsi="Cambria Math" w:cs="Times New Roman"/>
            <w:szCs w:val="24"/>
          </w:rPr>
          <m:t>LL</m:t>
        </m:r>
      </m:oMath>
      <w:r w:rsidRPr="00B241DA">
        <w:rPr>
          <w:rFonts w:eastAsiaTheme="minorEastAsia" w:cs="Times New Roman"/>
          <w:szCs w:val="24"/>
        </w:rPr>
        <w:t xml:space="preserve"> presented in equation (8). The parameters to be estimated in the joint model are: </w:t>
      </w:r>
      <m:oMath>
        <m:r>
          <m:rPr>
            <m:sty m:val="bi"/>
          </m:rPr>
          <w:rPr>
            <w:rFonts w:ascii="Cambria Math" w:eastAsia="Times New Roman" w:hAnsi="Cambria Math" w:cs="Times New Roman"/>
            <w:szCs w:val="24"/>
          </w:rPr>
          <m:t>∂,</m:t>
        </m:r>
        <m:r>
          <w:rPr>
            <w:rFonts w:ascii="Cambria Math" w:eastAsia="Times New Roman" w:hAnsi="Cambria Math" w:cs="Times New Roman"/>
            <w:szCs w:val="24"/>
          </w:rPr>
          <m:t xml:space="preserve"> </m:t>
        </m:r>
        <m:r>
          <m:rPr>
            <m:sty m:val="bi"/>
          </m:rPr>
          <w:rPr>
            <w:rFonts w:ascii="Cambria Math" w:eastAsia="Calibri" w:hAnsi="Cambria Math" w:cs="Times New Roman"/>
            <w:szCs w:val="24"/>
          </w:rPr>
          <m:t>α</m:t>
        </m:r>
        <m:r>
          <w:rPr>
            <w:rFonts w:ascii="Cambria Math" w:eastAsia="Calibri" w:hAnsi="Cambria Math" w:cs="Times New Roman"/>
            <w:szCs w:val="24"/>
          </w:rPr>
          <m:t>,</m:t>
        </m:r>
      </m:oMath>
      <w:r w:rsidRPr="00B241DA">
        <w:rPr>
          <w:rFonts w:eastAsiaTheme="minorEastAsia" w:cs="Times New Roman"/>
          <w:szCs w:val="24"/>
        </w:rPr>
        <w:t xml:space="preserve"> </w:t>
      </w:r>
      <m:oMath>
        <m:sSub>
          <m:sSubPr>
            <m:ctrlPr>
              <w:rPr>
                <w:rFonts w:ascii="Cambria Math" w:eastAsia="Times New Roman" w:hAnsi="Cambria Math" w:cs="Times New Roman"/>
                <w:b/>
                <w:i/>
                <w:szCs w:val="24"/>
              </w:rPr>
            </m:ctrlPr>
          </m:sSubPr>
          <m:e>
            <m:r>
              <m:rPr>
                <m:sty m:val="bi"/>
              </m:rPr>
              <w:rPr>
                <w:rFonts w:ascii="Cambria Math" w:eastAsia="Times New Roman" w:hAnsi="Cambria Math" w:cs="Times New Roman"/>
                <w:szCs w:val="24"/>
              </w:rPr>
              <m:t>β'</m:t>
            </m:r>
          </m:e>
          <m:sub>
            <m:r>
              <m:rPr>
                <m:sty m:val="bi"/>
              </m:rPr>
              <w:rPr>
                <w:rFonts w:ascii="Cambria Math" w:eastAsia="Times New Roman" w:hAnsi="Cambria Math" w:cs="Times New Roman"/>
                <w:szCs w:val="24"/>
              </w:rPr>
              <m:t>j</m:t>
            </m:r>
          </m:sub>
        </m:sSub>
        <m:r>
          <m:rPr>
            <m:sty m:val="bi"/>
          </m:rPr>
          <w:rPr>
            <w:rFonts w:ascii="Cambria Math" w:eastAsia="Times New Roman" w:hAnsi="Cambria Math" w:cs="Times New Roman"/>
            <w:szCs w:val="24"/>
          </w:rPr>
          <m:t xml:space="preserve">, </m:t>
        </m:r>
        <m:sSub>
          <m:sSubPr>
            <m:ctrlPr>
              <w:rPr>
                <w:rFonts w:ascii="Cambria Math" w:eastAsia="Times New Roman" w:hAnsi="Cambria Math" w:cs="Times New Roman"/>
                <w:b/>
                <w:i/>
                <w:szCs w:val="24"/>
              </w:rPr>
            </m:ctrlPr>
          </m:sSubPr>
          <m:e>
            <m:r>
              <m:rPr>
                <m:sty m:val="bi"/>
              </m:rPr>
              <w:rPr>
                <w:rFonts w:ascii="Cambria Math" w:eastAsia="Times New Roman" w:hAnsi="Cambria Math" w:cs="Times New Roman"/>
                <w:szCs w:val="24"/>
              </w:rPr>
              <m:t>ν</m:t>
            </m:r>
          </m:e>
          <m:sub>
            <m:r>
              <w:rPr>
                <w:rFonts w:ascii="Cambria Math" w:eastAsia="Times New Roman" w:hAnsi="Cambria Math" w:cs="Times New Roman"/>
                <w:szCs w:val="24"/>
              </w:rPr>
              <m:t>j</m:t>
            </m:r>
          </m:sub>
        </m:sSub>
      </m:oMath>
      <w:r w:rsidRPr="00B241DA">
        <w:rPr>
          <w:rFonts w:eastAsiaTheme="minorEastAsia" w:cs="Times New Roman"/>
          <w:b/>
          <w:szCs w:val="24"/>
        </w:rPr>
        <w:t xml:space="preserve"> </w:t>
      </w:r>
      <w:r w:rsidRPr="00B241DA">
        <w:rPr>
          <w:rFonts w:eastAsiaTheme="minorEastAsia" w:cs="Times New Roman"/>
          <w:szCs w:val="24"/>
        </w:rPr>
        <w:t>and</w:t>
      </w:r>
      <w:r w:rsidRPr="00B241DA">
        <w:rPr>
          <w:rFonts w:eastAsiaTheme="minorEastAsia" w:cs="Times New Roman"/>
          <w:b/>
          <w:szCs w:val="24"/>
        </w:rPr>
        <w:t xml:space="preserve"> </w:t>
      </w:r>
      <m:oMath>
        <m:sSub>
          <m:sSubPr>
            <m:ctrlPr>
              <w:rPr>
                <w:rFonts w:ascii="Cambria Math" w:eastAsia="Times New Roman" w:hAnsi="Cambria Math" w:cs="Times New Roman"/>
                <w:b/>
                <w:i/>
                <w:szCs w:val="24"/>
              </w:rPr>
            </m:ctrlPr>
          </m:sSubPr>
          <m:e>
            <m:r>
              <m:rPr>
                <m:sty m:val="bi"/>
              </m:rPr>
              <w:rPr>
                <w:rFonts w:ascii="Cambria Math" w:eastAsia="Times New Roman" w:hAnsi="Cambria Math" w:cs="Times New Roman"/>
                <w:szCs w:val="24"/>
              </w:rPr>
              <m:t>ℶ</m:t>
            </m:r>
          </m:e>
          <m:sub>
            <m:r>
              <m:rPr>
                <m:sty m:val="bi"/>
              </m:rPr>
              <w:rPr>
                <w:rFonts w:ascii="Cambria Math" w:eastAsia="Times New Roman" w:hAnsi="Cambria Math" w:cs="Times New Roman"/>
                <w:szCs w:val="24"/>
              </w:rPr>
              <m:t>j</m:t>
            </m:r>
          </m:sub>
        </m:sSub>
      </m:oMath>
      <w:r w:rsidRPr="00B241DA">
        <w:rPr>
          <w:rFonts w:eastAsiaTheme="minorEastAsia" w:cs="Times New Roman"/>
          <w:b/>
          <w:szCs w:val="24"/>
        </w:rPr>
        <w:t xml:space="preserve">. </w:t>
      </w:r>
      <w:r w:rsidRPr="00B241DA">
        <w:rPr>
          <w:rFonts w:eastAsiaTheme="minorEastAsia" w:cs="Times New Roman"/>
          <w:szCs w:val="24"/>
        </w:rPr>
        <w:t xml:space="preserve">To estimate the proposed joint model, we apply Quasi-Monte Carlo simulation techniques based on the scrambled Halton sequence to approximate this integral in the likelihood function and maximize the logarithm of the resulting simulated likelihood function across individuals (see </w:t>
      </w:r>
      <w:r w:rsidR="005058A8" w:rsidRPr="00492C90">
        <w:rPr>
          <w:rFonts w:eastAsiaTheme="minorEastAsia" w:cs="Times New Roman"/>
          <w:i/>
          <w:iCs/>
          <w:szCs w:val="24"/>
        </w:rPr>
        <w:t>5</w:t>
      </w:r>
      <w:r w:rsidR="00727F1D">
        <w:rPr>
          <w:rFonts w:eastAsiaTheme="minorEastAsia" w:cs="Times New Roman"/>
          <w:i/>
          <w:iCs/>
          <w:szCs w:val="24"/>
        </w:rPr>
        <w:t>4</w:t>
      </w:r>
      <w:r w:rsidR="005058A8" w:rsidRPr="00492C90">
        <w:rPr>
          <w:rFonts w:eastAsiaTheme="minorEastAsia" w:cs="Times New Roman"/>
          <w:i/>
          <w:iCs/>
          <w:szCs w:val="24"/>
        </w:rPr>
        <w:t>-5</w:t>
      </w:r>
      <w:r w:rsidR="00727F1D">
        <w:rPr>
          <w:rFonts w:eastAsiaTheme="minorEastAsia" w:cs="Times New Roman"/>
          <w:i/>
          <w:iCs/>
          <w:szCs w:val="24"/>
        </w:rPr>
        <w:t>6</w:t>
      </w:r>
      <w:r w:rsidRPr="00B241DA">
        <w:rPr>
          <w:rFonts w:eastAsiaTheme="minorEastAsia" w:cs="Times New Roman"/>
          <w:szCs w:val="24"/>
        </w:rPr>
        <w:t xml:space="preserve"> for examples of Quasi-Monte Carlo approaches in literature). </w:t>
      </w:r>
    </w:p>
    <w:p w14:paraId="53C0968E" w14:textId="45C978CC" w:rsidR="00275DA5" w:rsidRPr="00B241DA" w:rsidRDefault="00275DA5" w:rsidP="00650883">
      <w:pPr>
        <w:rPr>
          <w:rFonts w:cs="Times New Roman"/>
        </w:rPr>
      </w:pPr>
    </w:p>
    <w:p w14:paraId="5D2BF2CA" w14:textId="4F12DD0D" w:rsidR="00275DA5" w:rsidRPr="00B241DA" w:rsidRDefault="00D64A66" w:rsidP="00ED3B6E">
      <w:pPr>
        <w:pStyle w:val="TRBHead1"/>
      </w:pPr>
      <w:r w:rsidRPr="00B241DA">
        <w:t>Estimation Results</w:t>
      </w:r>
    </w:p>
    <w:p w14:paraId="150EB49B" w14:textId="0940917A" w:rsidR="00275DA5" w:rsidRPr="00B241DA" w:rsidRDefault="00275DA5" w:rsidP="00FE3A9F">
      <w:pPr>
        <w:rPr>
          <w:rFonts w:cs="Times New Roman"/>
        </w:rPr>
      </w:pPr>
    </w:p>
    <w:p w14:paraId="3EDADDC1" w14:textId="77777777" w:rsidR="00E93007" w:rsidRPr="00B241DA" w:rsidRDefault="00E93007" w:rsidP="00842E37">
      <w:pPr>
        <w:pStyle w:val="Heading2"/>
      </w:pPr>
      <w:r w:rsidRPr="00B241DA">
        <w:t>NB-MNL Fractional Split Joint Model</w:t>
      </w:r>
    </w:p>
    <w:p w14:paraId="6F287944" w14:textId="3E76BAE4" w:rsidR="005C36C2" w:rsidRDefault="005C36C2" w:rsidP="005C36C2">
      <w:pPr>
        <w:rPr>
          <w:rFonts w:cs="Times New Roman"/>
          <w:szCs w:val="24"/>
        </w:rPr>
      </w:pPr>
      <w:r>
        <w:rPr>
          <w:rFonts w:cs="Times New Roman"/>
        </w:rPr>
        <w:t xml:space="preserve">The reader would note that </w:t>
      </w:r>
      <w:r>
        <w:rPr>
          <w:rFonts w:cs="Times New Roman"/>
          <w:szCs w:val="24"/>
        </w:rPr>
        <w:t xml:space="preserve">the proposed methodology is flexible to allow for unobserved heterogeneity. The unobserved parameters tested in our analysis include: </w:t>
      </w:r>
      <w:r w:rsidRPr="0003603C">
        <w:rPr>
          <w:rFonts w:cs="Times New Roman"/>
          <w:szCs w:val="24"/>
        </w:rPr>
        <w:t xml:space="preserve">(1) correlation between demand component and </w:t>
      </w:r>
      <w:proofErr w:type="spellStart"/>
      <w:r w:rsidR="0095029D">
        <w:rPr>
          <w:rFonts w:cs="Times New Roman"/>
          <w:szCs w:val="24"/>
        </w:rPr>
        <w:t>ridehailing</w:t>
      </w:r>
      <w:proofErr w:type="spellEnd"/>
      <w:r w:rsidRPr="0003603C">
        <w:rPr>
          <w:rFonts w:cs="Times New Roman"/>
          <w:szCs w:val="24"/>
        </w:rPr>
        <w:t xml:space="preserve"> proportion components, (2) correlation across </w:t>
      </w:r>
      <w:proofErr w:type="spellStart"/>
      <w:r w:rsidR="0095029D">
        <w:rPr>
          <w:rFonts w:cs="Times New Roman"/>
          <w:szCs w:val="24"/>
        </w:rPr>
        <w:t>ridehailing</w:t>
      </w:r>
      <w:proofErr w:type="spellEnd"/>
      <w:r w:rsidRPr="0003603C">
        <w:rPr>
          <w:rFonts w:cs="Times New Roman"/>
          <w:szCs w:val="24"/>
        </w:rPr>
        <w:t xml:space="preserve"> proportion components and (3) random parameters in demand and proportion components.</w:t>
      </w:r>
      <w:r>
        <w:rPr>
          <w:rFonts w:cs="Times New Roman"/>
          <w:szCs w:val="24"/>
        </w:rPr>
        <w:t xml:space="preserve"> However, running the joint model with a large number of unobserved parameters is computationally burdensome. Hence, we adopt a sequential approach testing for sets of </w:t>
      </w:r>
      <w:r>
        <w:rPr>
          <w:rFonts w:cs="Times New Roman"/>
          <w:szCs w:val="24"/>
        </w:rPr>
        <w:lastRenderedPageBreak/>
        <w:t xml:space="preserve">unobserved parameters in the initial estimations and then re-estimating the models with variables that offer significant parameters in the initial estimations. </w:t>
      </w:r>
      <w:r w:rsidR="00E93007" w:rsidRPr="00B241DA">
        <w:rPr>
          <w:rFonts w:cs="Times New Roman"/>
        </w:rPr>
        <w:t xml:space="preserve">Table </w:t>
      </w:r>
      <w:r w:rsidR="00DF0FCD" w:rsidRPr="00B241DA">
        <w:rPr>
          <w:rFonts w:cs="Times New Roman"/>
        </w:rPr>
        <w:t>1</w:t>
      </w:r>
      <w:r w:rsidR="00E93007" w:rsidRPr="00B241DA">
        <w:rPr>
          <w:rFonts w:cs="Times New Roman"/>
        </w:rPr>
        <w:t xml:space="preserve"> presents the model estimation results of the joint NB-MNL fractional split model. The second column provides the results of the NB component while columns 3 through </w:t>
      </w:r>
      <w:r w:rsidR="009F12C1" w:rsidRPr="00B241DA">
        <w:rPr>
          <w:rFonts w:cs="Times New Roman"/>
        </w:rPr>
        <w:t>5</w:t>
      </w:r>
      <w:r w:rsidR="00E93007" w:rsidRPr="00B241DA">
        <w:rPr>
          <w:rFonts w:cs="Times New Roman"/>
        </w:rPr>
        <w:t xml:space="preserve"> present the results of the MNL fractional split model. </w:t>
      </w:r>
    </w:p>
    <w:p w14:paraId="47612700" w14:textId="77777777" w:rsidR="005C36C2" w:rsidRDefault="005C36C2" w:rsidP="00FE3A9F">
      <w:pPr>
        <w:rPr>
          <w:rFonts w:cs="Times New Roman"/>
        </w:rPr>
      </w:pPr>
    </w:p>
    <w:p w14:paraId="0D19AAD3" w14:textId="6E9C2CF2" w:rsidR="00275DA5" w:rsidRPr="00B241DA" w:rsidRDefault="00E93007" w:rsidP="00FE3A9F">
      <w:pPr>
        <w:rPr>
          <w:rFonts w:cs="Times New Roman"/>
        </w:rPr>
      </w:pPr>
      <w:r w:rsidRPr="00B241DA">
        <w:rPr>
          <w:rFonts w:cs="Times New Roman"/>
        </w:rPr>
        <w:t xml:space="preserve">The model results are discussed separately for total </w:t>
      </w:r>
      <w:r w:rsidR="003B6512" w:rsidRPr="00B241DA">
        <w:rPr>
          <w:rFonts w:cs="Times New Roman"/>
        </w:rPr>
        <w:t>ridership demand</w:t>
      </w:r>
      <w:r w:rsidRPr="00B241DA">
        <w:rPr>
          <w:rFonts w:cs="Times New Roman"/>
        </w:rPr>
        <w:t xml:space="preserve"> and proportion by </w:t>
      </w:r>
      <w:proofErr w:type="spellStart"/>
      <w:r w:rsidR="0095029D">
        <w:rPr>
          <w:rFonts w:cs="Times New Roman"/>
        </w:rPr>
        <w:t>ridehailing</w:t>
      </w:r>
      <w:proofErr w:type="spellEnd"/>
      <w:r w:rsidR="009872DA" w:rsidRPr="00B241DA">
        <w:rPr>
          <w:rFonts w:cs="Times New Roman"/>
        </w:rPr>
        <w:t xml:space="preserve"> </w:t>
      </w:r>
      <w:r w:rsidR="003B6512" w:rsidRPr="00B241DA">
        <w:rPr>
          <w:rFonts w:cs="Times New Roman"/>
        </w:rPr>
        <w:t>alternatives</w:t>
      </w:r>
      <w:r w:rsidRPr="00B241DA">
        <w:rPr>
          <w:rFonts w:cs="Times New Roman"/>
        </w:rPr>
        <w:t>.</w:t>
      </w:r>
    </w:p>
    <w:p w14:paraId="3A692F99" w14:textId="77777777" w:rsidR="006D35A3" w:rsidRDefault="006D35A3" w:rsidP="00E030C3"/>
    <w:p w14:paraId="7ADCFB97" w14:textId="0FD00554" w:rsidR="009B1096" w:rsidRPr="00842E37" w:rsidRDefault="009B1096" w:rsidP="00E558CE">
      <w:pPr>
        <w:pStyle w:val="Heading3"/>
      </w:pPr>
      <w:r w:rsidRPr="00842E37">
        <w:t>Total Ridership Demand (NB Component)</w:t>
      </w:r>
    </w:p>
    <w:p w14:paraId="0B27D2E9" w14:textId="4301A97A" w:rsidR="00A81ED5" w:rsidRPr="00B241DA" w:rsidRDefault="00677868" w:rsidP="009B1096">
      <w:pPr>
        <w:rPr>
          <w:rFonts w:cs="Times New Roman"/>
        </w:rPr>
      </w:pPr>
      <w:r w:rsidRPr="00B241DA">
        <w:rPr>
          <w:rFonts w:cs="Times New Roman"/>
        </w:rPr>
        <w:t xml:space="preserve">A positive (negative) sign for a variable in the </w:t>
      </w:r>
      <w:proofErr w:type="spellStart"/>
      <w:r w:rsidR="0095029D">
        <w:rPr>
          <w:rFonts w:cs="Times New Roman"/>
        </w:rPr>
        <w:t>ridehailing</w:t>
      </w:r>
      <w:proofErr w:type="spellEnd"/>
      <w:r w:rsidRPr="00B241DA">
        <w:rPr>
          <w:rFonts w:cs="Times New Roman"/>
        </w:rPr>
        <w:t xml:space="preserve"> </w:t>
      </w:r>
      <w:r w:rsidR="003B6512" w:rsidRPr="00B241DA">
        <w:rPr>
          <w:rFonts w:cs="Times New Roman"/>
        </w:rPr>
        <w:t>demand</w:t>
      </w:r>
      <w:r w:rsidRPr="00B241DA">
        <w:rPr>
          <w:rFonts w:cs="Times New Roman"/>
        </w:rPr>
        <w:t xml:space="preserve"> component of Table 1 indicates that an increase in the variable is likely to result in more (less) </w:t>
      </w:r>
      <w:proofErr w:type="spellStart"/>
      <w:r w:rsidR="0095029D">
        <w:rPr>
          <w:rFonts w:cs="Times New Roman"/>
        </w:rPr>
        <w:t>ridehailing</w:t>
      </w:r>
      <w:proofErr w:type="spellEnd"/>
      <w:r w:rsidRPr="00B241DA">
        <w:rPr>
          <w:rFonts w:cs="Times New Roman"/>
        </w:rPr>
        <w:t xml:space="preserve"> trips.</w:t>
      </w:r>
    </w:p>
    <w:p w14:paraId="79428301" w14:textId="77777777" w:rsidR="00642C06" w:rsidRPr="00B241DA" w:rsidRDefault="00642C06" w:rsidP="009B1096">
      <w:pPr>
        <w:rPr>
          <w:rFonts w:cs="Times New Roman"/>
        </w:rPr>
      </w:pPr>
    </w:p>
    <w:p w14:paraId="1481C882" w14:textId="77777777" w:rsidR="00064FC9" w:rsidRPr="00B241DA" w:rsidRDefault="00064FC9" w:rsidP="00842E37">
      <w:pPr>
        <w:pStyle w:val="Heading4"/>
      </w:pPr>
      <w:r w:rsidRPr="00B241DA">
        <w:t xml:space="preserve">Land Use and Built Environment Attributes </w:t>
      </w:r>
    </w:p>
    <w:p w14:paraId="074A6863" w14:textId="13E51423" w:rsidR="001F3F39" w:rsidRPr="00B241DA" w:rsidRDefault="00064FC9" w:rsidP="001B79CF">
      <w:pPr>
        <w:rPr>
          <w:rFonts w:cs="Times New Roman"/>
        </w:rPr>
      </w:pPr>
      <w:r w:rsidRPr="00B241DA">
        <w:rPr>
          <w:rFonts w:cs="Times New Roman"/>
        </w:rPr>
        <w:t>As expected, zones located in census tracts with higher population density are more likely</w:t>
      </w:r>
      <w:r w:rsidR="00D36CB0" w:rsidRPr="00B241DA">
        <w:rPr>
          <w:rFonts w:cs="Times New Roman"/>
        </w:rPr>
        <w:t xml:space="preserve"> to be associated with higher number of trips. </w:t>
      </w:r>
      <w:r w:rsidR="00601B61" w:rsidRPr="00B241DA">
        <w:rPr>
          <w:rFonts w:cs="Times New Roman"/>
        </w:rPr>
        <w:t xml:space="preserve">Similarly, increased job density and median income of </w:t>
      </w:r>
      <w:r w:rsidR="000A5C98" w:rsidRPr="00B241DA">
        <w:rPr>
          <w:rFonts w:cs="Times New Roman"/>
        </w:rPr>
        <w:t>in</w:t>
      </w:r>
      <w:r w:rsidR="00601B61" w:rsidRPr="00B241DA">
        <w:rPr>
          <w:rFonts w:cs="Times New Roman"/>
        </w:rPr>
        <w:t xml:space="preserve"> taxi zones is found to increase demand for </w:t>
      </w:r>
      <w:proofErr w:type="spellStart"/>
      <w:r w:rsidR="0095029D">
        <w:rPr>
          <w:rFonts w:cs="Times New Roman"/>
        </w:rPr>
        <w:t>ridehailing</w:t>
      </w:r>
      <w:proofErr w:type="spellEnd"/>
      <w:r w:rsidR="00601B61" w:rsidRPr="00B241DA">
        <w:rPr>
          <w:rFonts w:cs="Times New Roman"/>
        </w:rPr>
        <w:t xml:space="preserve"> trips (see Correa et al.</w:t>
      </w:r>
      <w:r w:rsidR="00934094">
        <w:rPr>
          <w:rFonts w:cs="Times New Roman"/>
        </w:rPr>
        <w:t xml:space="preserve"> </w:t>
      </w:r>
      <w:r w:rsidR="00934094" w:rsidRPr="00934094">
        <w:rPr>
          <w:rFonts w:cs="Times New Roman"/>
          <w:i/>
          <w:iCs/>
        </w:rPr>
        <w:t>(34)</w:t>
      </w:r>
      <w:r w:rsidR="00601B61" w:rsidRPr="00B241DA">
        <w:rPr>
          <w:rFonts w:cs="Times New Roman"/>
        </w:rPr>
        <w:t xml:space="preserve">, Smart et al. </w:t>
      </w:r>
      <w:r w:rsidR="00934094" w:rsidRPr="00934094">
        <w:rPr>
          <w:rFonts w:cs="Times New Roman"/>
          <w:i/>
          <w:iCs/>
        </w:rPr>
        <w:t>(32)</w:t>
      </w:r>
      <w:r w:rsidR="00934094">
        <w:rPr>
          <w:rFonts w:cs="Times New Roman"/>
        </w:rPr>
        <w:t xml:space="preserve"> </w:t>
      </w:r>
      <w:r w:rsidR="00601B61" w:rsidRPr="00B241DA">
        <w:rPr>
          <w:rFonts w:cs="Times New Roman"/>
        </w:rPr>
        <w:t>for similar results).</w:t>
      </w:r>
      <w:r w:rsidR="002A2CFD" w:rsidRPr="00B241DA">
        <w:rPr>
          <w:rFonts w:cs="Times New Roman"/>
        </w:rPr>
        <w:t xml:space="preserve"> The </w:t>
      </w:r>
      <w:r w:rsidR="00ED25A8" w:rsidRPr="00B241DA">
        <w:rPr>
          <w:rFonts w:cs="Times New Roman"/>
        </w:rPr>
        <w:t xml:space="preserve">increased </w:t>
      </w:r>
      <w:r w:rsidR="002A2CFD" w:rsidRPr="00B241DA">
        <w:rPr>
          <w:rFonts w:cs="Times New Roman"/>
        </w:rPr>
        <w:t>proportion of zero car household</w:t>
      </w:r>
      <w:r w:rsidR="00AD68E3" w:rsidRPr="00B241DA">
        <w:rPr>
          <w:rFonts w:cs="Times New Roman"/>
        </w:rPr>
        <w:t>s</w:t>
      </w:r>
      <w:r w:rsidR="002A2CFD" w:rsidRPr="00B241DA">
        <w:rPr>
          <w:rFonts w:cs="Times New Roman"/>
        </w:rPr>
        <w:t xml:space="preserve"> in urban areas </w:t>
      </w:r>
      <w:r w:rsidR="00AD68E3" w:rsidRPr="00B241DA">
        <w:rPr>
          <w:rFonts w:cs="Times New Roman"/>
        </w:rPr>
        <w:t xml:space="preserve">increases demand for </w:t>
      </w:r>
      <w:proofErr w:type="spellStart"/>
      <w:r w:rsidR="0095029D">
        <w:rPr>
          <w:rFonts w:cs="Times New Roman"/>
        </w:rPr>
        <w:t>ridehailing</w:t>
      </w:r>
      <w:proofErr w:type="spellEnd"/>
      <w:r w:rsidR="002A2CFD" w:rsidRPr="00B241DA">
        <w:rPr>
          <w:rFonts w:cs="Times New Roman"/>
        </w:rPr>
        <w:t xml:space="preserve"> </w:t>
      </w:r>
      <w:r w:rsidR="00502406" w:rsidRPr="00B241DA">
        <w:rPr>
          <w:rFonts w:cs="Times New Roman"/>
        </w:rPr>
        <w:t xml:space="preserve">(Correa et al. </w:t>
      </w:r>
      <w:r w:rsidR="00934094" w:rsidRPr="00934094">
        <w:rPr>
          <w:rFonts w:cs="Times New Roman"/>
          <w:i/>
          <w:iCs/>
        </w:rPr>
        <w:t>(34)</w:t>
      </w:r>
      <w:r w:rsidR="00934094">
        <w:rPr>
          <w:rFonts w:cs="Times New Roman"/>
        </w:rPr>
        <w:t xml:space="preserve"> </w:t>
      </w:r>
      <w:r w:rsidR="00502406" w:rsidRPr="00B241DA">
        <w:rPr>
          <w:rFonts w:cs="Times New Roman"/>
        </w:rPr>
        <w:t>found similar association with lower vehicle ownership households)</w:t>
      </w:r>
      <w:r w:rsidR="002A2CFD" w:rsidRPr="00B241DA">
        <w:rPr>
          <w:rFonts w:cs="Times New Roman"/>
        </w:rPr>
        <w:t>.</w:t>
      </w:r>
      <w:r w:rsidR="000F2DD3" w:rsidRPr="00B241DA">
        <w:rPr>
          <w:rFonts w:cs="Times New Roman"/>
        </w:rPr>
        <w:t xml:space="preserve"> </w:t>
      </w:r>
      <w:r w:rsidR="00634E76" w:rsidRPr="00B241DA">
        <w:rPr>
          <w:rFonts w:cs="Times New Roman"/>
        </w:rPr>
        <w:t xml:space="preserve">As expected, increased transit accessibility within a taxi zone increases the </w:t>
      </w:r>
      <w:r w:rsidR="00AD68E3" w:rsidRPr="00B241DA">
        <w:rPr>
          <w:rFonts w:cs="Times New Roman"/>
        </w:rPr>
        <w:t>propensity for higher</w:t>
      </w:r>
      <w:r w:rsidR="00634E76" w:rsidRPr="00B241DA">
        <w:rPr>
          <w:rFonts w:cs="Times New Roman"/>
        </w:rPr>
        <w:t xml:space="preserve"> </w:t>
      </w:r>
      <w:proofErr w:type="spellStart"/>
      <w:r w:rsidR="0095029D">
        <w:rPr>
          <w:rFonts w:cs="Times New Roman"/>
        </w:rPr>
        <w:t>ridehailing</w:t>
      </w:r>
      <w:proofErr w:type="spellEnd"/>
      <w:r w:rsidR="000F2DD3" w:rsidRPr="00B241DA">
        <w:rPr>
          <w:rFonts w:cs="Times New Roman"/>
        </w:rPr>
        <w:t xml:space="preserve"> demand while taxi zones with higher non-motorized score reduce the appeal towards use </w:t>
      </w:r>
      <w:proofErr w:type="spellStart"/>
      <w:r w:rsidR="0095029D">
        <w:rPr>
          <w:rFonts w:cs="Times New Roman"/>
        </w:rPr>
        <w:t>ridehailing</w:t>
      </w:r>
      <w:proofErr w:type="spellEnd"/>
      <w:r w:rsidR="00AD68E3" w:rsidRPr="00B241DA">
        <w:rPr>
          <w:rFonts w:cs="Times New Roman"/>
        </w:rPr>
        <w:t xml:space="preserve">. It is possible that the presence of bicycle sharing serves as a competitive alternative </w:t>
      </w:r>
      <w:r w:rsidR="000F2DD3" w:rsidRPr="00B241DA">
        <w:rPr>
          <w:rFonts w:cs="Times New Roman"/>
        </w:rPr>
        <w:t>for shorter trips</w:t>
      </w:r>
      <w:r w:rsidR="003B3020">
        <w:rPr>
          <w:rFonts w:cs="Times New Roman"/>
        </w:rPr>
        <w:t xml:space="preserve"> (see Faghih-Imani et al.</w:t>
      </w:r>
      <w:r w:rsidR="00643415">
        <w:rPr>
          <w:rFonts w:cs="Times New Roman"/>
        </w:rPr>
        <w:t xml:space="preserve"> </w:t>
      </w:r>
      <w:r w:rsidR="00643415" w:rsidRPr="00643415">
        <w:rPr>
          <w:rFonts w:cs="Times New Roman"/>
          <w:i/>
          <w:iCs/>
        </w:rPr>
        <w:t>(57)</w:t>
      </w:r>
      <w:r w:rsidR="00643415">
        <w:rPr>
          <w:rFonts w:cs="Times New Roman"/>
        </w:rPr>
        <w:t xml:space="preserve"> </w:t>
      </w:r>
      <w:r w:rsidR="003B3020">
        <w:rPr>
          <w:rFonts w:cs="Times New Roman"/>
        </w:rPr>
        <w:t>for analysis in the context of short trips)</w:t>
      </w:r>
      <w:r w:rsidR="000F2DD3" w:rsidRPr="00B241DA">
        <w:rPr>
          <w:rFonts w:cs="Times New Roman"/>
        </w:rPr>
        <w:t>.</w:t>
      </w:r>
      <w:r w:rsidR="00740DCD" w:rsidRPr="00B241DA">
        <w:rPr>
          <w:rFonts w:cs="Times New Roman"/>
        </w:rPr>
        <w:t xml:space="preserve"> </w:t>
      </w:r>
    </w:p>
    <w:p w14:paraId="0FCEEE91" w14:textId="6162A97C" w:rsidR="003E5B62" w:rsidRPr="006D35A3" w:rsidRDefault="001F3F39" w:rsidP="00C33667">
      <w:pPr>
        <w:rPr>
          <w:rFonts w:cs="Times New Roman"/>
        </w:rPr>
      </w:pPr>
      <w:r w:rsidRPr="00B241DA">
        <w:rPr>
          <w:rFonts w:cs="Times New Roman"/>
        </w:rPr>
        <w:tab/>
      </w:r>
      <w:r w:rsidR="00F860E7">
        <w:rPr>
          <w:rFonts w:cs="Times New Roman"/>
        </w:rPr>
        <w:t xml:space="preserve">Several variables associated with travel generation are found to affect </w:t>
      </w:r>
      <w:proofErr w:type="spellStart"/>
      <w:r w:rsidR="00F860E7">
        <w:rPr>
          <w:rFonts w:cs="Times New Roman"/>
        </w:rPr>
        <w:t>ridehailing</w:t>
      </w:r>
      <w:proofErr w:type="spellEnd"/>
      <w:r w:rsidR="00F860E7">
        <w:rPr>
          <w:rFonts w:cs="Times New Roman"/>
        </w:rPr>
        <w:t xml:space="preserve"> demand. </w:t>
      </w:r>
      <w:r w:rsidR="000D7763" w:rsidRPr="00B241DA">
        <w:rPr>
          <w:rFonts w:cs="Times New Roman"/>
        </w:rPr>
        <w:t xml:space="preserve">The presence of activity opportunities in the form of restaurants and cafes, recreational centers and point of interests (POI) </w:t>
      </w:r>
      <w:r w:rsidR="008846B7" w:rsidRPr="00B241DA">
        <w:rPr>
          <w:rFonts w:cs="Times New Roman"/>
        </w:rPr>
        <w:t xml:space="preserve">is </w:t>
      </w:r>
      <w:r w:rsidR="000D7763" w:rsidRPr="00B241DA">
        <w:rPr>
          <w:rFonts w:cs="Times New Roman"/>
        </w:rPr>
        <w:t xml:space="preserve">positively associated with </w:t>
      </w:r>
      <w:r w:rsidR="00D8634A" w:rsidRPr="00B241DA">
        <w:rPr>
          <w:rFonts w:cs="Times New Roman"/>
        </w:rPr>
        <w:t>demand</w:t>
      </w:r>
      <w:r w:rsidR="00FD6904">
        <w:rPr>
          <w:rFonts w:cs="Times New Roman"/>
        </w:rPr>
        <w:t xml:space="preserve"> (see </w:t>
      </w:r>
      <w:r w:rsidR="00B363DF" w:rsidRPr="00984F1A">
        <w:rPr>
          <w:rFonts w:cs="Times New Roman"/>
          <w:szCs w:val="24"/>
        </w:rPr>
        <w:t>Li</w:t>
      </w:r>
      <w:r w:rsidR="00B363DF">
        <w:rPr>
          <w:rFonts w:cs="Times New Roman"/>
          <w:szCs w:val="24"/>
        </w:rPr>
        <w:t xml:space="preserve"> et al. </w:t>
      </w:r>
      <w:r w:rsidR="00E030C3" w:rsidRPr="000E4B81">
        <w:rPr>
          <w:rFonts w:cs="Times New Roman"/>
          <w:i/>
          <w:iCs/>
          <w:szCs w:val="24"/>
        </w:rPr>
        <w:t>(58)</w:t>
      </w:r>
      <w:r w:rsidR="00B363DF">
        <w:rPr>
          <w:rFonts w:cs="Times New Roman"/>
          <w:szCs w:val="24"/>
        </w:rPr>
        <w:t xml:space="preserve"> and </w:t>
      </w:r>
      <w:r w:rsidR="009228C0">
        <w:rPr>
          <w:rFonts w:cs="Times New Roman"/>
          <w:szCs w:val="24"/>
        </w:rPr>
        <w:t xml:space="preserve">Wenzel et al. </w:t>
      </w:r>
      <w:r w:rsidR="00E030C3" w:rsidRPr="000E4B81">
        <w:rPr>
          <w:rFonts w:cs="Times New Roman"/>
          <w:i/>
          <w:iCs/>
          <w:szCs w:val="24"/>
        </w:rPr>
        <w:t>(59)</w:t>
      </w:r>
      <w:r w:rsidR="009228C0">
        <w:rPr>
          <w:rFonts w:cs="Times New Roman"/>
          <w:szCs w:val="24"/>
        </w:rPr>
        <w:t xml:space="preserve"> for similar results</w:t>
      </w:r>
      <w:r w:rsidR="00FD6904">
        <w:rPr>
          <w:rFonts w:cs="Times New Roman"/>
        </w:rPr>
        <w:t>)</w:t>
      </w:r>
      <w:r w:rsidR="00D8634A" w:rsidRPr="00B241DA">
        <w:rPr>
          <w:rFonts w:cs="Times New Roman"/>
        </w:rPr>
        <w:t xml:space="preserve">. </w:t>
      </w:r>
      <w:r w:rsidR="00451495" w:rsidRPr="00B241DA">
        <w:rPr>
          <w:rFonts w:cs="Times New Roman"/>
        </w:rPr>
        <w:t xml:space="preserve">Taxi zones with higher residential area </w:t>
      </w:r>
      <w:r w:rsidR="00AD68E3" w:rsidRPr="00B241DA">
        <w:rPr>
          <w:rFonts w:cs="Times New Roman"/>
        </w:rPr>
        <w:t xml:space="preserve">are </w:t>
      </w:r>
      <w:r w:rsidR="00451495" w:rsidRPr="00B241DA">
        <w:rPr>
          <w:rFonts w:cs="Times New Roman"/>
        </w:rPr>
        <w:t xml:space="preserve">positively associated with </w:t>
      </w:r>
      <w:proofErr w:type="spellStart"/>
      <w:r w:rsidR="0095029D">
        <w:rPr>
          <w:rFonts w:cs="Times New Roman"/>
        </w:rPr>
        <w:t>ridehailing</w:t>
      </w:r>
      <w:proofErr w:type="spellEnd"/>
      <w:r w:rsidR="00AD68E3" w:rsidRPr="00B241DA">
        <w:rPr>
          <w:rFonts w:cs="Times New Roman"/>
        </w:rPr>
        <w:t xml:space="preserve"> demand</w:t>
      </w:r>
      <w:r w:rsidR="00451495" w:rsidRPr="00B241DA">
        <w:rPr>
          <w:rFonts w:cs="Times New Roman"/>
        </w:rPr>
        <w:t xml:space="preserve">. The result </w:t>
      </w:r>
      <w:r w:rsidR="008846B7" w:rsidRPr="00B241DA">
        <w:rPr>
          <w:rFonts w:cs="Times New Roman"/>
        </w:rPr>
        <w:t xml:space="preserve">potentially alludes to </w:t>
      </w:r>
      <w:r w:rsidR="00451495" w:rsidRPr="00B241DA">
        <w:rPr>
          <w:rFonts w:cs="Times New Roman"/>
        </w:rPr>
        <w:t xml:space="preserve">the adoption of </w:t>
      </w:r>
      <w:proofErr w:type="spellStart"/>
      <w:r w:rsidR="00D8634A" w:rsidRPr="00B241DA">
        <w:rPr>
          <w:rFonts w:cs="Times New Roman"/>
        </w:rPr>
        <w:t>ride</w:t>
      </w:r>
      <w:r w:rsidR="00AD68E3" w:rsidRPr="00B241DA">
        <w:rPr>
          <w:rFonts w:cs="Times New Roman"/>
        </w:rPr>
        <w:t>hail</w:t>
      </w:r>
      <w:r w:rsidR="00235CCF">
        <w:rPr>
          <w:rFonts w:cs="Times New Roman"/>
        </w:rPr>
        <w:t>ing</w:t>
      </w:r>
      <w:proofErr w:type="spellEnd"/>
      <w:r w:rsidR="00451495" w:rsidRPr="00B241DA">
        <w:rPr>
          <w:rFonts w:cs="Times New Roman"/>
        </w:rPr>
        <w:t xml:space="preserve"> service for commute activities from </w:t>
      </w:r>
      <w:r w:rsidR="00D8634A" w:rsidRPr="00B241DA">
        <w:rPr>
          <w:rFonts w:cs="Times New Roman"/>
        </w:rPr>
        <w:t>residential</w:t>
      </w:r>
      <w:r w:rsidR="00451495" w:rsidRPr="00B241DA">
        <w:rPr>
          <w:rFonts w:cs="Times New Roman"/>
        </w:rPr>
        <w:t xml:space="preserve"> zones.</w:t>
      </w:r>
      <w:r w:rsidR="00CC2692" w:rsidRPr="00B241DA">
        <w:rPr>
          <w:rFonts w:cs="Times New Roman"/>
        </w:rPr>
        <w:t xml:space="preserve"> As expected, </w:t>
      </w:r>
      <w:r w:rsidR="00C7072E" w:rsidRPr="00B241DA">
        <w:rPr>
          <w:rFonts w:cs="Times New Roman"/>
        </w:rPr>
        <w:t xml:space="preserve">availability of airport in taxi zones increases demand for </w:t>
      </w:r>
      <w:proofErr w:type="spellStart"/>
      <w:r w:rsidR="0095029D">
        <w:rPr>
          <w:rFonts w:cs="Times New Roman"/>
        </w:rPr>
        <w:t>ridehailing</w:t>
      </w:r>
      <w:proofErr w:type="spellEnd"/>
      <w:r w:rsidR="00C7072E" w:rsidRPr="00B241DA">
        <w:rPr>
          <w:rFonts w:cs="Times New Roman"/>
        </w:rPr>
        <w:t xml:space="preserve">. </w:t>
      </w:r>
      <w:bookmarkStart w:id="14" w:name="_Hlk56303804"/>
      <w:r w:rsidR="00C7072E" w:rsidRPr="00B241DA">
        <w:rPr>
          <w:rFonts w:cs="Times New Roman"/>
        </w:rPr>
        <w:t xml:space="preserve">The </w:t>
      </w:r>
      <w:r w:rsidR="00311D62">
        <w:rPr>
          <w:rFonts w:cs="Times New Roman"/>
        </w:rPr>
        <w:t>total area</w:t>
      </w:r>
      <w:r w:rsidR="00311D62" w:rsidRPr="00B241DA">
        <w:rPr>
          <w:rFonts w:cs="Times New Roman"/>
        </w:rPr>
        <w:t xml:space="preserve"> </w:t>
      </w:r>
      <w:r w:rsidR="00C7072E" w:rsidRPr="00B241DA">
        <w:rPr>
          <w:rFonts w:cs="Times New Roman"/>
        </w:rPr>
        <w:t xml:space="preserve">of </w:t>
      </w:r>
      <w:r w:rsidR="00311D62">
        <w:rPr>
          <w:rFonts w:cs="Times New Roman"/>
        </w:rPr>
        <w:t xml:space="preserve">recreational </w:t>
      </w:r>
      <w:r w:rsidR="00C7072E" w:rsidRPr="00B241DA">
        <w:rPr>
          <w:rFonts w:cs="Times New Roman"/>
        </w:rPr>
        <w:t>park</w:t>
      </w:r>
      <w:r w:rsidR="00311D62">
        <w:rPr>
          <w:rFonts w:cs="Times New Roman"/>
        </w:rPr>
        <w:t>s</w:t>
      </w:r>
      <w:r w:rsidR="00C7072E" w:rsidRPr="00B241DA">
        <w:rPr>
          <w:rFonts w:cs="Times New Roman"/>
        </w:rPr>
        <w:t xml:space="preserve"> in the taxi zone has a positive influence on </w:t>
      </w:r>
      <w:proofErr w:type="spellStart"/>
      <w:r w:rsidR="0095029D">
        <w:rPr>
          <w:rFonts w:cs="Times New Roman"/>
        </w:rPr>
        <w:t>ridehailing</w:t>
      </w:r>
      <w:proofErr w:type="spellEnd"/>
      <w:r w:rsidR="00C7072E" w:rsidRPr="00B241DA">
        <w:rPr>
          <w:rFonts w:cs="Times New Roman"/>
        </w:rPr>
        <w:t xml:space="preserve"> demand. </w:t>
      </w:r>
      <w:r w:rsidR="00DA7CEE">
        <w:rPr>
          <w:rFonts w:cs="Times New Roman"/>
        </w:rPr>
        <w:t xml:space="preserve">The result highlights the role of recreational parks serving as generators of </w:t>
      </w:r>
      <w:proofErr w:type="spellStart"/>
      <w:r w:rsidR="00311D62" w:rsidRPr="00311D62">
        <w:rPr>
          <w:rFonts w:cs="Times New Roman"/>
        </w:rPr>
        <w:t>ridehailing</w:t>
      </w:r>
      <w:proofErr w:type="spellEnd"/>
      <w:r w:rsidR="00311D62" w:rsidRPr="00311D62">
        <w:rPr>
          <w:rFonts w:cs="Times New Roman"/>
        </w:rPr>
        <w:t xml:space="preserve"> demand</w:t>
      </w:r>
      <w:r w:rsidR="00311D62">
        <w:rPr>
          <w:rFonts w:cs="Times New Roman"/>
        </w:rPr>
        <w:t>.</w:t>
      </w:r>
    </w:p>
    <w:bookmarkEnd w:id="14"/>
    <w:p w14:paraId="6222C89C" w14:textId="77777777" w:rsidR="006D35A3" w:rsidRDefault="006D35A3" w:rsidP="006D35A3">
      <w:pPr>
        <w:ind w:firstLine="720"/>
      </w:pPr>
      <w:r w:rsidRPr="00FF2046">
        <w:t>The study also considered the impact of landmarks such as Airports and Times Square</w:t>
      </w:r>
      <w:r>
        <w:rPr>
          <w:rStyle w:val="FootnoteReference"/>
        </w:rPr>
        <w:footnoteReference w:id="3"/>
      </w:r>
      <w:r w:rsidRPr="00FF2046">
        <w:t xml:space="preserve"> on </w:t>
      </w:r>
      <w:proofErr w:type="spellStart"/>
      <w:r>
        <w:t>ridehailing</w:t>
      </w:r>
      <w:proofErr w:type="spellEnd"/>
      <w:r w:rsidRPr="00FF2046">
        <w:t xml:space="preserve"> demand. The presence of an airport in the taxi zone, as expected, contributes to higher </w:t>
      </w:r>
      <w:proofErr w:type="spellStart"/>
      <w:r>
        <w:t>ridehailing</w:t>
      </w:r>
      <w:proofErr w:type="spellEnd"/>
      <w:r w:rsidRPr="00FF2046">
        <w:t xml:space="preserve"> demand. Interestingly, as the distance of taxi zone from airports increases, the model indicates an increase in </w:t>
      </w:r>
      <w:proofErr w:type="spellStart"/>
      <w:r>
        <w:t>ridehailing</w:t>
      </w:r>
      <w:proofErr w:type="spellEnd"/>
      <w:r w:rsidRPr="00FF2046">
        <w:t xml:space="preserve"> demand. On the other hand, as the distance from Times Square increases, </w:t>
      </w:r>
      <w:proofErr w:type="spellStart"/>
      <w:r>
        <w:t>ridehailing</w:t>
      </w:r>
      <w:proofErr w:type="spellEnd"/>
      <w:r w:rsidRPr="00FF2046">
        <w:t xml:space="preserve"> demand is expected to reduce. The result is intuitive as Times Square and the proximal zones serve as attraction centers for regular and tourist travel. </w:t>
      </w:r>
    </w:p>
    <w:p w14:paraId="2DADD2A0" w14:textId="43A8030F" w:rsidR="00EE2056" w:rsidRPr="00FF2046" w:rsidRDefault="00EE2056" w:rsidP="00FE3A9F">
      <w:pPr>
        <w:rPr>
          <w:szCs w:val="24"/>
        </w:rPr>
        <w:sectPr w:rsidR="00EE2056" w:rsidRPr="00FF2046" w:rsidSect="00D80FBB">
          <w:headerReference w:type="default" r:id="rId22"/>
          <w:type w:val="continuous"/>
          <w:pgSz w:w="12240" w:h="15840" w:code="1"/>
          <w:pgMar w:top="1440" w:right="1440" w:bottom="1440" w:left="1440" w:header="720" w:footer="720" w:gutter="0"/>
          <w:cols w:space="720"/>
          <w:docGrid w:linePitch="360"/>
        </w:sectPr>
      </w:pPr>
    </w:p>
    <w:p w14:paraId="357BB057" w14:textId="4540F587" w:rsidR="006A7D84" w:rsidRPr="00FF2046" w:rsidRDefault="006A7D84" w:rsidP="00FE3A9F">
      <w:pPr>
        <w:rPr>
          <w:b/>
          <w:bCs/>
          <w:szCs w:val="24"/>
        </w:rPr>
      </w:pPr>
      <w:bookmarkStart w:id="15" w:name="_Hlk56287214"/>
      <w:r w:rsidRPr="00FF2046">
        <w:rPr>
          <w:b/>
          <w:bCs/>
          <w:szCs w:val="24"/>
        </w:rPr>
        <w:lastRenderedPageBreak/>
        <w:t xml:space="preserve">Table 1 </w:t>
      </w:r>
      <w:r w:rsidRPr="00FF2046">
        <w:rPr>
          <w:b/>
          <w:bCs/>
        </w:rPr>
        <w:t>Joint NB-MNLFS Model Estimation Results</w:t>
      </w:r>
    </w:p>
    <w:tbl>
      <w:tblPr>
        <w:tblW w:w="4988" w:type="pct"/>
        <w:tblLook w:val="04A0" w:firstRow="1" w:lastRow="0" w:firstColumn="1" w:lastColumn="0" w:noHBand="0" w:noVBand="1"/>
      </w:tblPr>
      <w:tblGrid>
        <w:gridCol w:w="6129"/>
        <w:gridCol w:w="972"/>
        <w:gridCol w:w="733"/>
        <w:gridCol w:w="972"/>
        <w:gridCol w:w="733"/>
        <w:gridCol w:w="972"/>
        <w:gridCol w:w="734"/>
        <w:gridCol w:w="972"/>
        <w:gridCol w:w="666"/>
      </w:tblGrid>
      <w:tr w:rsidR="009C4A43" w:rsidRPr="00FF2046" w14:paraId="3D4E800C" w14:textId="77777777" w:rsidTr="00B73498">
        <w:trPr>
          <w:trHeight w:val="245"/>
        </w:trPr>
        <w:tc>
          <w:tcPr>
            <w:tcW w:w="2379" w:type="pct"/>
            <w:tcBorders>
              <w:top w:val="double" w:sz="6" w:space="0" w:color="auto"/>
              <w:left w:val="double" w:sz="6" w:space="0" w:color="auto"/>
              <w:bottom w:val="single" w:sz="4" w:space="0" w:color="auto"/>
              <w:right w:val="nil"/>
            </w:tcBorders>
            <w:shd w:val="clear" w:color="auto" w:fill="auto"/>
            <w:vAlign w:val="center"/>
            <w:hideMark/>
          </w:tcPr>
          <w:p w14:paraId="0EBE57C3" w14:textId="77777777" w:rsidR="006A7D84" w:rsidRPr="00FF2046" w:rsidRDefault="006A7D84" w:rsidP="006A7D84">
            <w:pPr>
              <w:jc w:val="left"/>
              <w:rPr>
                <w:rFonts w:eastAsia="Times New Roman" w:cs="Times New Roman"/>
                <w:b/>
                <w:bCs/>
                <w:sz w:val="20"/>
                <w:szCs w:val="20"/>
              </w:rPr>
            </w:pPr>
            <w:r w:rsidRPr="00FF2046">
              <w:rPr>
                <w:rFonts w:eastAsia="Times New Roman" w:cs="Times New Roman"/>
                <w:b/>
                <w:bCs/>
                <w:sz w:val="20"/>
                <w:szCs w:val="20"/>
              </w:rPr>
              <w:t>Joint Component</w:t>
            </w:r>
          </w:p>
        </w:tc>
        <w:tc>
          <w:tcPr>
            <w:tcW w:w="662" w:type="pct"/>
            <w:gridSpan w:val="2"/>
            <w:tcBorders>
              <w:top w:val="double" w:sz="6" w:space="0" w:color="auto"/>
              <w:left w:val="double" w:sz="6" w:space="0" w:color="auto"/>
              <w:bottom w:val="single" w:sz="4" w:space="0" w:color="auto"/>
              <w:right w:val="double" w:sz="6" w:space="0" w:color="000000"/>
            </w:tcBorders>
            <w:shd w:val="clear" w:color="auto" w:fill="auto"/>
            <w:vAlign w:val="center"/>
            <w:hideMark/>
          </w:tcPr>
          <w:p w14:paraId="3739837F"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NB Model (Counts)</w:t>
            </w:r>
          </w:p>
        </w:tc>
        <w:tc>
          <w:tcPr>
            <w:tcW w:w="1960" w:type="pct"/>
            <w:gridSpan w:val="6"/>
            <w:tcBorders>
              <w:top w:val="double" w:sz="6" w:space="0" w:color="auto"/>
              <w:left w:val="nil"/>
              <w:bottom w:val="single" w:sz="4" w:space="0" w:color="auto"/>
              <w:right w:val="double" w:sz="6" w:space="0" w:color="000000"/>
            </w:tcBorders>
            <w:shd w:val="clear" w:color="auto" w:fill="auto"/>
            <w:vAlign w:val="center"/>
            <w:hideMark/>
          </w:tcPr>
          <w:p w14:paraId="347666B2"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MNLFS Model (Proportions)</w:t>
            </w:r>
          </w:p>
        </w:tc>
      </w:tr>
      <w:tr w:rsidR="009C4A43" w:rsidRPr="00FF2046" w14:paraId="330C6EAD" w14:textId="77777777" w:rsidTr="00B73498">
        <w:trPr>
          <w:trHeight w:val="245"/>
        </w:trPr>
        <w:tc>
          <w:tcPr>
            <w:tcW w:w="2379" w:type="pct"/>
            <w:tcBorders>
              <w:top w:val="nil"/>
              <w:left w:val="double" w:sz="6" w:space="0" w:color="auto"/>
              <w:bottom w:val="single" w:sz="4" w:space="0" w:color="auto"/>
              <w:right w:val="nil"/>
            </w:tcBorders>
            <w:shd w:val="clear" w:color="auto" w:fill="auto"/>
            <w:vAlign w:val="center"/>
            <w:hideMark/>
          </w:tcPr>
          <w:p w14:paraId="07932DD8" w14:textId="61564128" w:rsidR="006A7D84" w:rsidRPr="00FF2046" w:rsidRDefault="0095029D" w:rsidP="006A7D84">
            <w:pPr>
              <w:jc w:val="left"/>
              <w:rPr>
                <w:rFonts w:eastAsia="Times New Roman" w:cs="Times New Roman"/>
                <w:b/>
                <w:bCs/>
                <w:sz w:val="20"/>
                <w:szCs w:val="20"/>
              </w:rPr>
            </w:pPr>
            <w:proofErr w:type="spellStart"/>
            <w:r>
              <w:rPr>
                <w:rFonts w:eastAsia="Times New Roman" w:cs="Times New Roman"/>
                <w:b/>
                <w:bCs/>
                <w:sz w:val="20"/>
                <w:szCs w:val="20"/>
              </w:rPr>
              <w:t>Ridehailing</w:t>
            </w:r>
            <w:proofErr w:type="spellEnd"/>
            <w:r w:rsidR="006A7D84" w:rsidRPr="00FF2046">
              <w:rPr>
                <w:rFonts w:eastAsia="Times New Roman" w:cs="Times New Roman"/>
                <w:b/>
                <w:bCs/>
                <w:sz w:val="20"/>
                <w:szCs w:val="20"/>
              </w:rPr>
              <w:t xml:space="preserve"> Type</w:t>
            </w:r>
          </w:p>
        </w:tc>
        <w:tc>
          <w:tcPr>
            <w:tcW w:w="662" w:type="pct"/>
            <w:gridSpan w:val="2"/>
            <w:tcBorders>
              <w:top w:val="single" w:sz="4" w:space="0" w:color="auto"/>
              <w:left w:val="double" w:sz="6" w:space="0" w:color="auto"/>
              <w:bottom w:val="single" w:sz="4" w:space="0" w:color="auto"/>
              <w:right w:val="double" w:sz="6" w:space="0" w:color="000000"/>
            </w:tcBorders>
            <w:shd w:val="clear" w:color="auto" w:fill="auto"/>
            <w:vAlign w:val="center"/>
            <w:hideMark/>
          </w:tcPr>
          <w:p w14:paraId="34527702"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Total Trips</w:t>
            </w:r>
          </w:p>
        </w:tc>
        <w:tc>
          <w:tcPr>
            <w:tcW w:w="662" w:type="pct"/>
            <w:gridSpan w:val="2"/>
            <w:tcBorders>
              <w:top w:val="single" w:sz="4" w:space="0" w:color="auto"/>
              <w:left w:val="nil"/>
              <w:bottom w:val="single" w:sz="4" w:space="0" w:color="auto"/>
              <w:right w:val="single" w:sz="4" w:space="0" w:color="auto"/>
            </w:tcBorders>
            <w:shd w:val="clear" w:color="auto" w:fill="auto"/>
            <w:vAlign w:val="center"/>
            <w:hideMark/>
          </w:tcPr>
          <w:p w14:paraId="5AAC62C3"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Yellow Taxi</w:t>
            </w:r>
          </w:p>
        </w:tc>
        <w:tc>
          <w:tcPr>
            <w:tcW w:w="662" w:type="pct"/>
            <w:gridSpan w:val="2"/>
            <w:tcBorders>
              <w:top w:val="single" w:sz="4" w:space="0" w:color="auto"/>
              <w:left w:val="nil"/>
              <w:bottom w:val="single" w:sz="4" w:space="0" w:color="auto"/>
              <w:right w:val="single" w:sz="4" w:space="0" w:color="auto"/>
            </w:tcBorders>
            <w:shd w:val="clear" w:color="auto" w:fill="auto"/>
            <w:vAlign w:val="center"/>
            <w:hideMark/>
          </w:tcPr>
          <w:p w14:paraId="2255C748"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Green Taxi</w:t>
            </w:r>
          </w:p>
        </w:tc>
        <w:tc>
          <w:tcPr>
            <w:tcW w:w="636" w:type="pct"/>
            <w:gridSpan w:val="2"/>
            <w:tcBorders>
              <w:top w:val="single" w:sz="4" w:space="0" w:color="auto"/>
              <w:left w:val="nil"/>
              <w:bottom w:val="single" w:sz="4" w:space="0" w:color="auto"/>
              <w:right w:val="double" w:sz="6" w:space="0" w:color="000000"/>
            </w:tcBorders>
            <w:shd w:val="clear" w:color="auto" w:fill="auto"/>
            <w:vAlign w:val="center"/>
            <w:hideMark/>
          </w:tcPr>
          <w:p w14:paraId="4FCAD2F9"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TNC</w:t>
            </w:r>
          </w:p>
        </w:tc>
      </w:tr>
      <w:tr w:rsidR="009C4A43" w:rsidRPr="00FF2046" w14:paraId="1A576866" w14:textId="77777777" w:rsidTr="00B73498">
        <w:trPr>
          <w:trHeight w:val="245"/>
        </w:trPr>
        <w:tc>
          <w:tcPr>
            <w:tcW w:w="2379" w:type="pct"/>
            <w:tcBorders>
              <w:top w:val="nil"/>
              <w:left w:val="double" w:sz="6" w:space="0" w:color="auto"/>
              <w:bottom w:val="single" w:sz="4" w:space="0" w:color="auto"/>
              <w:right w:val="nil"/>
            </w:tcBorders>
            <w:shd w:val="clear" w:color="auto" w:fill="auto"/>
            <w:vAlign w:val="center"/>
            <w:hideMark/>
          </w:tcPr>
          <w:p w14:paraId="7EFEC2FA" w14:textId="77777777" w:rsidR="006A7D84" w:rsidRPr="00FF2046" w:rsidRDefault="006A7D84" w:rsidP="006A7D84">
            <w:pPr>
              <w:jc w:val="left"/>
              <w:rPr>
                <w:rFonts w:eastAsia="Times New Roman" w:cs="Times New Roman"/>
                <w:b/>
                <w:bCs/>
                <w:sz w:val="20"/>
                <w:szCs w:val="20"/>
              </w:rPr>
            </w:pPr>
            <w:r w:rsidRPr="00FF2046">
              <w:rPr>
                <w:rFonts w:eastAsia="Times New Roman" w:cs="Times New Roman"/>
                <w:b/>
                <w:bCs/>
                <w:sz w:val="20"/>
                <w:szCs w:val="20"/>
              </w:rPr>
              <w:t>Variable Name</w:t>
            </w:r>
          </w:p>
        </w:tc>
        <w:tc>
          <w:tcPr>
            <w:tcW w:w="377" w:type="pct"/>
            <w:tcBorders>
              <w:top w:val="nil"/>
              <w:left w:val="double" w:sz="6" w:space="0" w:color="auto"/>
              <w:bottom w:val="single" w:sz="4" w:space="0" w:color="auto"/>
              <w:right w:val="single" w:sz="4" w:space="0" w:color="auto"/>
            </w:tcBorders>
            <w:shd w:val="clear" w:color="auto" w:fill="auto"/>
            <w:vAlign w:val="center"/>
            <w:hideMark/>
          </w:tcPr>
          <w:p w14:paraId="0E8AF2C0"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 xml:space="preserve">Estimate </w:t>
            </w:r>
          </w:p>
        </w:tc>
        <w:tc>
          <w:tcPr>
            <w:tcW w:w="284" w:type="pct"/>
            <w:tcBorders>
              <w:top w:val="nil"/>
              <w:left w:val="nil"/>
              <w:bottom w:val="single" w:sz="4" w:space="0" w:color="auto"/>
              <w:right w:val="double" w:sz="6" w:space="0" w:color="auto"/>
            </w:tcBorders>
            <w:shd w:val="clear" w:color="auto" w:fill="auto"/>
            <w:vAlign w:val="center"/>
            <w:hideMark/>
          </w:tcPr>
          <w:p w14:paraId="038F6208"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t-stat</w:t>
            </w:r>
          </w:p>
        </w:tc>
        <w:tc>
          <w:tcPr>
            <w:tcW w:w="377" w:type="pct"/>
            <w:tcBorders>
              <w:top w:val="nil"/>
              <w:left w:val="nil"/>
              <w:bottom w:val="single" w:sz="4" w:space="0" w:color="auto"/>
              <w:right w:val="single" w:sz="4" w:space="0" w:color="auto"/>
            </w:tcBorders>
            <w:shd w:val="clear" w:color="auto" w:fill="auto"/>
            <w:vAlign w:val="center"/>
            <w:hideMark/>
          </w:tcPr>
          <w:p w14:paraId="2EB07BD0"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 xml:space="preserve">Estimate </w:t>
            </w:r>
          </w:p>
        </w:tc>
        <w:tc>
          <w:tcPr>
            <w:tcW w:w="284" w:type="pct"/>
            <w:tcBorders>
              <w:top w:val="nil"/>
              <w:left w:val="nil"/>
              <w:bottom w:val="single" w:sz="4" w:space="0" w:color="auto"/>
              <w:right w:val="single" w:sz="4" w:space="0" w:color="auto"/>
            </w:tcBorders>
            <w:shd w:val="clear" w:color="auto" w:fill="auto"/>
            <w:vAlign w:val="center"/>
            <w:hideMark/>
          </w:tcPr>
          <w:p w14:paraId="438AA92A"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t-stat</w:t>
            </w:r>
          </w:p>
        </w:tc>
        <w:tc>
          <w:tcPr>
            <w:tcW w:w="377" w:type="pct"/>
            <w:tcBorders>
              <w:top w:val="nil"/>
              <w:left w:val="nil"/>
              <w:bottom w:val="single" w:sz="4" w:space="0" w:color="auto"/>
              <w:right w:val="single" w:sz="4" w:space="0" w:color="auto"/>
            </w:tcBorders>
            <w:shd w:val="clear" w:color="auto" w:fill="auto"/>
            <w:vAlign w:val="center"/>
            <w:hideMark/>
          </w:tcPr>
          <w:p w14:paraId="3988787D"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 xml:space="preserve">Estimate </w:t>
            </w:r>
          </w:p>
        </w:tc>
        <w:tc>
          <w:tcPr>
            <w:tcW w:w="285" w:type="pct"/>
            <w:tcBorders>
              <w:top w:val="nil"/>
              <w:left w:val="nil"/>
              <w:bottom w:val="single" w:sz="4" w:space="0" w:color="auto"/>
              <w:right w:val="single" w:sz="4" w:space="0" w:color="auto"/>
            </w:tcBorders>
            <w:shd w:val="clear" w:color="auto" w:fill="auto"/>
            <w:vAlign w:val="center"/>
            <w:hideMark/>
          </w:tcPr>
          <w:p w14:paraId="43833125"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t-stat</w:t>
            </w:r>
          </w:p>
        </w:tc>
        <w:tc>
          <w:tcPr>
            <w:tcW w:w="377" w:type="pct"/>
            <w:tcBorders>
              <w:top w:val="nil"/>
              <w:left w:val="nil"/>
              <w:bottom w:val="single" w:sz="4" w:space="0" w:color="auto"/>
              <w:right w:val="single" w:sz="4" w:space="0" w:color="auto"/>
            </w:tcBorders>
            <w:shd w:val="clear" w:color="auto" w:fill="auto"/>
            <w:vAlign w:val="center"/>
            <w:hideMark/>
          </w:tcPr>
          <w:p w14:paraId="1B013B33"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 xml:space="preserve">Estimate </w:t>
            </w:r>
          </w:p>
        </w:tc>
        <w:tc>
          <w:tcPr>
            <w:tcW w:w="258" w:type="pct"/>
            <w:tcBorders>
              <w:top w:val="nil"/>
              <w:left w:val="nil"/>
              <w:bottom w:val="single" w:sz="4" w:space="0" w:color="auto"/>
              <w:right w:val="double" w:sz="6" w:space="0" w:color="auto"/>
            </w:tcBorders>
            <w:shd w:val="clear" w:color="auto" w:fill="auto"/>
            <w:vAlign w:val="center"/>
            <w:hideMark/>
          </w:tcPr>
          <w:p w14:paraId="1948D671" w14:textId="77777777" w:rsidR="006A7D84" w:rsidRPr="00FF2046" w:rsidRDefault="006A7D84" w:rsidP="006A7D84">
            <w:pPr>
              <w:jc w:val="center"/>
              <w:rPr>
                <w:rFonts w:eastAsia="Times New Roman" w:cs="Times New Roman"/>
                <w:b/>
                <w:bCs/>
                <w:sz w:val="20"/>
                <w:szCs w:val="20"/>
              </w:rPr>
            </w:pPr>
            <w:r w:rsidRPr="00FF2046">
              <w:rPr>
                <w:rFonts w:eastAsia="Times New Roman" w:cs="Times New Roman"/>
                <w:b/>
                <w:bCs/>
                <w:sz w:val="20"/>
                <w:szCs w:val="20"/>
              </w:rPr>
              <w:t>t-stat</w:t>
            </w:r>
          </w:p>
        </w:tc>
      </w:tr>
      <w:tr w:rsidR="009C4A43" w:rsidRPr="00FF2046" w14:paraId="78851A50" w14:textId="77777777" w:rsidTr="00B73498">
        <w:trPr>
          <w:trHeight w:val="245"/>
        </w:trPr>
        <w:tc>
          <w:tcPr>
            <w:tcW w:w="2379" w:type="pct"/>
            <w:tcBorders>
              <w:top w:val="nil"/>
              <w:left w:val="double" w:sz="6" w:space="0" w:color="auto"/>
              <w:bottom w:val="double" w:sz="6" w:space="0" w:color="auto"/>
              <w:right w:val="nil"/>
            </w:tcBorders>
            <w:shd w:val="clear" w:color="auto" w:fill="auto"/>
            <w:vAlign w:val="center"/>
            <w:hideMark/>
          </w:tcPr>
          <w:p w14:paraId="264CBF23" w14:textId="77777777" w:rsidR="006A7D84" w:rsidRPr="00FF2046" w:rsidRDefault="006A7D84" w:rsidP="006A7D84">
            <w:pPr>
              <w:jc w:val="left"/>
              <w:rPr>
                <w:rFonts w:eastAsia="Times New Roman" w:cs="Times New Roman"/>
                <w:sz w:val="20"/>
                <w:szCs w:val="20"/>
              </w:rPr>
            </w:pPr>
            <w:r w:rsidRPr="00FF2046">
              <w:rPr>
                <w:rFonts w:eastAsia="Times New Roman" w:cs="Times New Roman"/>
                <w:sz w:val="20"/>
                <w:szCs w:val="20"/>
              </w:rPr>
              <w:t>Constant</w:t>
            </w:r>
          </w:p>
        </w:tc>
        <w:tc>
          <w:tcPr>
            <w:tcW w:w="377" w:type="pct"/>
            <w:tcBorders>
              <w:top w:val="nil"/>
              <w:left w:val="double" w:sz="6" w:space="0" w:color="auto"/>
              <w:bottom w:val="double" w:sz="6" w:space="0" w:color="auto"/>
              <w:right w:val="single" w:sz="4" w:space="0" w:color="auto"/>
            </w:tcBorders>
            <w:shd w:val="clear" w:color="auto" w:fill="auto"/>
            <w:noWrap/>
            <w:vAlign w:val="center"/>
            <w:hideMark/>
          </w:tcPr>
          <w:p w14:paraId="694D7063" w14:textId="01C8333C" w:rsidR="006A7D84" w:rsidRPr="00FF2046" w:rsidRDefault="006A7D84" w:rsidP="006A7D84">
            <w:pPr>
              <w:jc w:val="center"/>
              <w:rPr>
                <w:rFonts w:eastAsia="Times New Roman" w:cs="Times New Roman"/>
                <w:sz w:val="20"/>
                <w:szCs w:val="20"/>
              </w:rPr>
            </w:pPr>
            <w:r w:rsidRPr="00FF2046">
              <w:rPr>
                <w:rFonts w:eastAsia="Times New Roman" w:cs="Times New Roman"/>
                <w:sz w:val="20"/>
                <w:szCs w:val="20"/>
              </w:rPr>
              <w:t>-1.42</w:t>
            </w:r>
            <w:r w:rsidR="007E6DBA" w:rsidRPr="00FF2046">
              <w:rPr>
                <w:rFonts w:eastAsia="Times New Roman" w:cs="Times New Roman"/>
                <w:sz w:val="20"/>
                <w:szCs w:val="20"/>
              </w:rPr>
              <w:t>6</w:t>
            </w:r>
          </w:p>
        </w:tc>
        <w:tc>
          <w:tcPr>
            <w:tcW w:w="284" w:type="pct"/>
            <w:tcBorders>
              <w:top w:val="nil"/>
              <w:left w:val="nil"/>
              <w:bottom w:val="double" w:sz="6" w:space="0" w:color="auto"/>
              <w:right w:val="double" w:sz="6" w:space="0" w:color="auto"/>
            </w:tcBorders>
            <w:shd w:val="clear" w:color="auto" w:fill="auto"/>
            <w:noWrap/>
            <w:vAlign w:val="center"/>
            <w:hideMark/>
          </w:tcPr>
          <w:p w14:paraId="5ADD7B87" w14:textId="583B24BD" w:rsidR="006A7D84" w:rsidRPr="00FF2046" w:rsidRDefault="006A7D84" w:rsidP="006A7D84">
            <w:pPr>
              <w:jc w:val="center"/>
              <w:rPr>
                <w:rFonts w:eastAsia="Times New Roman" w:cs="Times New Roman"/>
                <w:sz w:val="20"/>
                <w:szCs w:val="20"/>
              </w:rPr>
            </w:pPr>
            <w:r w:rsidRPr="00FF2046">
              <w:rPr>
                <w:rFonts w:eastAsia="Times New Roman" w:cs="Times New Roman"/>
                <w:sz w:val="20"/>
                <w:szCs w:val="20"/>
              </w:rPr>
              <w:t>-10.4</w:t>
            </w:r>
            <w:r w:rsidR="007E6DBA" w:rsidRPr="00FF2046">
              <w:rPr>
                <w:rFonts w:eastAsia="Times New Roman" w:cs="Times New Roman"/>
                <w:sz w:val="20"/>
                <w:szCs w:val="20"/>
              </w:rPr>
              <w:t>0</w:t>
            </w:r>
          </w:p>
        </w:tc>
        <w:tc>
          <w:tcPr>
            <w:tcW w:w="377" w:type="pct"/>
            <w:tcBorders>
              <w:top w:val="nil"/>
              <w:left w:val="nil"/>
              <w:bottom w:val="double" w:sz="6" w:space="0" w:color="auto"/>
              <w:right w:val="single" w:sz="4" w:space="0" w:color="auto"/>
            </w:tcBorders>
            <w:shd w:val="clear" w:color="auto" w:fill="auto"/>
            <w:noWrap/>
            <w:vAlign w:val="center"/>
            <w:hideMark/>
          </w:tcPr>
          <w:p w14:paraId="7DD8C3A7" w14:textId="58ABC18F" w:rsidR="006A7D84" w:rsidRPr="00FF2046" w:rsidRDefault="006A7D84" w:rsidP="006A7D84">
            <w:pPr>
              <w:jc w:val="center"/>
              <w:rPr>
                <w:rFonts w:eastAsia="Times New Roman" w:cs="Times New Roman"/>
                <w:sz w:val="20"/>
                <w:szCs w:val="20"/>
              </w:rPr>
            </w:pPr>
            <w:r w:rsidRPr="00FF2046">
              <w:rPr>
                <w:rFonts w:eastAsia="Times New Roman" w:cs="Times New Roman"/>
                <w:sz w:val="20"/>
                <w:szCs w:val="20"/>
              </w:rPr>
              <w:t>2.688</w:t>
            </w:r>
          </w:p>
        </w:tc>
        <w:tc>
          <w:tcPr>
            <w:tcW w:w="284" w:type="pct"/>
            <w:tcBorders>
              <w:top w:val="nil"/>
              <w:left w:val="nil"/>
              <w:bottom w:val="double" w:sz="6" w:space="0" w:color="auto"/>
              <w:right w:val="single" w:sz="4" w:space="0" w:color="auto"/>
            </w:tcBorders>
            <w:shd w:val="clear" w:color="auto" w:fill="auto"/>
            <w:noWrap/>
            <w:vAlign w:val="center"/>
            <w:hideMark/>
          </w:tcPr>
          <w:p w14:paraId="7FD6E728" w14:textId="51F6F9EB" w:rsidR="006A7D84" w:rsidRPr="00FF2046" w:rsidRDefault="006A7D84" w:rsidP="006A7D84">
            <w:pPr>
              <w:jc w:val="center"/>
              <w:rPr>
                <w:rFonts w:eastAsia="Times New Roman" w:cs="Times New Roman"/>
                <w:sz w:val="20"/>
                <w:szCs w:val="20"/>
              </w:rPr>
            </w:pPr>
            <w:r w:rsidRPr="00FF2046">
              <w:rPr>
                <w:rFonts w:eastAsia="Times New Roman" w:cs="Times New Roman"/>
                <w:sz w:val="20"/>
                <w:szCs w:val="20"/>
              </w:rPr>
              <w:t>9.44</w:t>
            </w:r>
          </w:p>
        </w:tc>
        <w:tc>
          <w:tcPr>
            <w:tcW w:w="377" w:type="pct"/>
            <w:tcBorders>
              <w:top w:val="nil"/>
              <w:left w:val="nil"/>
              <w:bottom w:val="double" w:sz="6" w:space="0" w:color="auto"/>
              <w:right w:val="single" w:sz="4" w:space="0" w:color="auto"/>
            </w:tcBorders>
            <w:shd w:val="clear" w:color="auto" w:fill="auto"/>
            <w:noWrap/>
            <w:vAlign w:val="center"/>
            <w:hideMark/>
          </w:tcPr>
          <w:p w14:paraId="726EF5B8" w14:textId="502D65FD" w:rsidR="006A7D84" w:rsidRPr="00FF2046" w:rsidRDefault="006A7D84" w:rsidP="006A7D84">
            <w:pPr>
              <w:jc w:val="center"/>
              <w:rPr>
                <w:rFonts w:eastAsia="Times New Roman" w:cs="Times New Roman"/>
                <w:sz w:val="20"/>
                <w:szCs w:val="20"/>
              </w:rPr>
            </w:pPr>
            <w:r w:rsidRPr="00FF2046">
              <w:rPr>
                <w:rFonts w:eastAsia="Times New Roman" w:cs="Times New Roman"/>
                <w:sz w:val="20"/>
                <w:szCs w:val="20"/>
              </w:rPr>
              <w:t>0.639</w:t>
            </w:r>
          </w:p>
        </w:tc>
        <w:tc>
          <w:tcPr>
            <w:tcW w:w="285" w:type="pct"/>
            <w:tcBorders>
              <w:top w:val="nil"/>
              <w:left w:val="nil"/>
              <w:bottom w:val="double" w:sz="6" w:space="0" w:color="auto"/>
              <w:right w:val="single" w:sz="4" w:space="0" w:color="auto"/>
            </w:tcBorders>
            <w:shd w:val="clear" w:color="auto" w:fill="auto"/>
            <w:noWrap/>
            <w:vAlign w:val="center"/>
            <w:hideMark/>
          </w:tcPr>
          <w:p w14:paraId="25D58E5A" w14:textId="0ADE90A1" w:rsidR="006A7D84" w:rsidRPr="00FF2046" w:rsidRDefault="006A7D84" w:rsidP="006A7D84">
            <w:pPr>
              <w:jc w:val="center"/>
              <w:rPr>
                <w:rFonts w:eastAsia="Times New Roman" w:cs="Times New Roman"/>
                <w:sz w:val="20"/>
                <w:szCs w:val="20"/>
              </w:rPr>
            </w:pPr>
            <w:r w:rsidRPr="00FF2046">
              <w:rPr>
                <w:rFonts w:eastAsia="Times New Roman" w:cs="Times New Roman"/>
                <w:sz w:val="20"/>
                <w:szCs w:val="20"/>
              </w:rPr>
              <w:t>1.42</w:t>
            </w:r>
          </w:p>
        </w:tc>
        <w:tc>
          <w:tcPr>
            <w:tcW w:w="377" w:type="pct"/>
            <w:tcBorders>
              <w:top w:val="nil"/>
              <w:left w:val="nil"/>
              <w:bottom w:val="double" w:sz="6" w:space="0" w:color="auto"/>
              <w:right w:val="single" w:sz="4" w:space="0" w:color="auto"/>
            </w:tcBorders>
            <w:shd w:val="clear" w:color="auto" w:fill="auto"/>
            <w:noWrap/>
            <w:vAlign w:val="center"/>
            <w:hideMark/>
          </w:tcPr>
          <w:p w14:paraId="0CC2EBF0" w14:textId="77299199" w:rsidR="006A7D84" w:rsidRPr="00FF2046" w:rsidRDefault="006A7D84" w:rsidP="006A7D84">
            <w:pPr>
              <w:jc w:val="center"/>
              <w:rPr>
                <w:rFonts w:eastAsia="Times New Roman" w:cs="Times New Roman"/>
                <w:sz w:val="20"/>
                <w:szCs w:val="20"/>
              </w:rPr>
            </w:pPr>
            <w:r w:rsidRPr="00FF2046">
              <w:rPr>
                <w:rFonts w:eastAsia="Times New Roman" w:cs="Times New Roman"/>
                <w:sz w:val="20"/>
                <w:szCs w:val="20"/>
              </w:rPr>
              <w:t> </w:t>
            </w:r>
            <w:r w:rsidR="006F2ADC" w:rsidRPr="00FF2046">
              <w:rPr>
                <w:rFonts w:eastAsia="Times New Roman" w:cs="Times New Roman"/>
                <w:sz w:val="20"/>
                <w:szCs w:val="20"/>
              </w:rPr>
              <w:t>---</w:t>
            </w:r>
          </w:p>
        </w:tc>
        <w:tc>
          <w:tcPr>
            <w:tcW w:w="258" w:type="pct"/>
            <w:tcBorders>
              <w:top w:val="nil"/>
              <w:left w:val="nil"/>
              <w:bottom w:val="double" w:sz="6" w:space="0" w:color="auto"/>
              <w:right w:val="double" w:sz="6" w:space="0" w:color="auto"/>
            </w:tcBorders>
            <w:shd w:val="clear" w:color="auto" w:fill="auto"/>
            <w:noWrap/>
            <w:vAlign w:val="center"/>
            <w:hideMark/>
          </w:tcPr>
          <w:p w14:paraId="2CE2167A" w14:textId="4A4C0385" w:rsidR="006A7D84" w:rsidRPr="00FF2046" w:rsidRDefault="006F2ADC" w:rsidP="006A7D84">
            <w:pPr>
              <w:jc w:val="center"/>
              <w:rPr>
                <w:rFonts w:eastAsia="Times New Roman" w:cs="Times New Roman"/>
                <w:sz w:val="20"/>
                <w:szCs w:val="20"/>
              </w:rPr>
            </w:pPr>
            <w:r w:rsidRPr="00FF2046">
              <w:rPr>
                <w:rFonts w:eastAsia="Times New Roman" w:cs="Times New Roman"/>
                <w:sz w:val="20"/>
                <w:szCs w:val="20"/>
              </w:rPr>
              <w:t>---</w:t>
            </w:r>
            <w:r w:rsidR="006A7D84" w:rsidRPr="00FF2046">
              <w:rPr>
                <w:rFonts w:eastAsia="Times New Roman" w:cs="Times New Roman"/>
                <w:sz w:val="20"/>
                <w:szCs w:val="20"/>
              </w:rPr>
              <w:t> </w:t>
            </w:r>
          </w:p>
        </w:tc>
      </w:tr>
      <w:tr w:rsidR="009C4A43" w:rsidRPr="00FF2046" w14:paraId="713BCE97" w14:textId="77777777" w:rsidTr="00B73498">
        <w:trPr>
          <w:trHeight w:val="245"/>
        </w:trPr>
        <w:tc>
          <w:tcPr>
            <w:tcW w:w="5000" w:type="pct"/>
            <w:gridSpan w:val="9"/>
            <w:tcBorders>
              <w:top w:val="nil"/>
              <w:left w:val="double" w:sz="6" w:space="0" w:color="auto"/>
              <w:bottom w:val="nil"/>
              <w:right w:val="double" w:sz="6" w:space="0" w:color="000000"/>
            </w:tcBorders>
            <w:shd w:val="clear" w:color="auto" w:fill="auto"/>
            <w:noWrap/>
            <w:vAlign w:val="center"/>
            <w:hideMark/>
          </w:tcPr>
          <w:p w14:paraId="254F60A8" w14:textId="77777777" w:rsidR="006A7D84" w:rsidRPr="00FF2046" w:rsidRDefault="006A7D84" w:rsidP="006A7D84">
            <w:pPr>
              <w:jc w:val="left"/>
              <w:rPr>
                <w:rFonts w:eastAsia="Times New Roman" w:cs="Times New Roman"/>
                <w:b/>
                <w:bCs/>
                <w:sz w:val="20"/>
                <w:szCs w:val="20"/>
              </w:rPr>
            </w:pPr>
            <w:r w:rsidRPr="00FF2046">
              <w:rPr>
                <w:rFonts w:eastAsia="Times New Roman" w:cs="Times New Roman"/>
                <w:b/>
                <w:bCs/>
                <w:sz w:val="20"/>
                <w:szCs w:val="20"/>
              </w:rPr>
              <w:t>Land Use and Built Environment Attributes</w:t>
            </w:r>
          </w:p>
        </w:tc>
      </w:tr>
      <w:tr w:rsidR="009C4A43" w:rsidRPr="00FF2046" w14:paraId="009DCB99" w14:textId="77777777" w:rsidTr="00B73498">
        <w:trPr>
          <w:trHeight w:val="245"/>
        </w:trPr>
        <w:tc>
          <w:tcPr>
            <w:tcW w:w="2379" w:type="pct"/>
            <w:tcBorders>
              <w:top w:val="double" w:sz="6" w:space="0" w:color="auto"/>
              <w:left w:val="double" w:sz="6" w:space="0" w:color="auto"/>
              <w:bottom w:val="single" w:sz="4" w:space="0" w:color="auto"/>
              <w:right w:val="nil"/>
            </w:tcBorders>
            <w:shd w:val="clear" w:color="auto" w:fill="auto"/>
            <w:noWrap/>
            <w:vAlign w:val="center"/>
            <w:hideMark/>
          </w:tcPr>
          <w:p w14:paraId="1E717496" w14:textId="77777777" w:rsidR="006F2ADC" w:rsidRPr="00FF2046" w:rsidRDefault="006F2ADC" w:rsidP="006F2ADC">
            <w:pPr>
              <w:jc w:val="left"/>
              <w:rPr>
                <w:rFonts w:eastAsia="Times New Roman" w:cs="Times New Roman"/>
                <w:sz w:val="20"/>
                <w:szCs w:val="20"/>
              </w:rPr>
            </w:pPr>
            <w:r w:rsidRPr="00FF2046">
              <w:rPr>
                <w:rFonts w:eastAsia="Times New Roman" w:cs="Times New Roman"/>
                <w:sz w:val="20"/>
                <w:szCs w:val="20"/>
              </w:rPr>
              <w:t xml:space="preserve">Population Density </w:t>
            </w:r>
          </w:p>
        </w:tc>
        <w:tc>
          <w:tcPr>
            <w:tcW w:w="377" w:type="pc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0192708B" w14:textId="552704C9"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0.245</w:t>
            </w:r>
          </w:p>
        </w:tc>
        <w:tc>
          <w:tcPr>
            <w:tcW w:w="284" w:type="pct"/>
            <w:tcBorders>
              <w:top w:val="double" w:sz="6" w:space="0" w:color="auto"/>
              <w:left w:val="nil"/>
              <w:bottom w:val="single" w:sz="4" w:space="0" w:color="auto"/>
              <w:right w:val="double" w:sz="6" w:space="0" w:color="auto"/>
            </w:tcBorders>
            <w:shd w:val="clear" w:color="auto" w:fill="auto"/>
            <w:noWrap/>
            <w:vAlign w:val="center"/>
            <w:hideMark/>
          </w:tcPr>
          <w:p w14:paraId="69F43400" w14:textId="38274A13"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2.12</w:t>
            </w:r>
          </w:p>
        </w:tc>
        <w:tc>
          <w:tcPr>
            <w:tcW w:w="377" w:type="pct"/>
            <w:tcBorders>
              <w:top w:val="double" w:sz="6" w:space="0" w:color="auto"/>
              <w:left w:val="nil"/>
              <w:bottom w:val="single" w:sz="4" w:space="0" w:color="auto"/>
              <w:right w:val="single" w:sz="4" w:space="0" w:color="auto"/>
            </w:tcBorders>
            <w:shd w:val="clear" w:color="auto" w:fill="auto"/>
            <w:noWrap/>
            <w:vAlign w:val="center"/>
            <w:hideMark/>
          </w:tcPr>
          <w:p w14:paraId="587BC3FC" w14:textId="31413363"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2.06</w:t>
            </w:r>
            <w:r w:rsidR="007E6DBA" w:rsidRPr="00FF2046">
              <w:rPr>
                <w:rFonts w:eastAsia="Times New Roman" w:cs="Times New Roman"/>
                <w:sz w:val="20"/>
                <w:szCs w:val="20"/>
              </w:rPr>
              <w:t>9</w:t>
            </w:r>
          </w:p>
        </w:tc>
        <w:tc>
          <w:tcPr>
            <w:tcW w:w="284" w:type="pct"/>
            <w:tcBorders>
              <w:top w:val="double" w:sz="6" w:space="0" w:color="auto"/>
              <w:left w:val="nil"/>
              <w:bottom w:val="single" w:sz="4" w:space="0" w:color="auto"/>
              <w:right w:val="single" w:sz="4" w:space="0" w:color="auto"/>
            </w:tcBorders>
            <w:shd w:val="clear" w:color="auto" w:fill="auto"/>
            <w:noWrap/>
            <w:vAlign w:val="center"/>
            <w:hideMark/>
          </w:tcPr>
          <w:p w14:paraId="1F1A73A4" w14:textId="565196D7"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4.35</w:t>
            </w:r>
          </w:p>
        </w:tc>
        <w:tc>
          <w:tcPr>
            <w:tcW w:w="377" w:type="pct"/>
            <w:tcBorders>
              <w:top w:val="double" w:sz="6" w:space="0" w:color="auto"/>
              <w:left w:val="nil"/>
              <w:bottom w:val="single" w:sz="4" w:space="0" w:color="auto"/>
              <w:right w:val="single" w:sz="4" w:space="0" w:color="auto"/>
            </w:tcBorders>
            <w:shd w:val="clear" w:color="auto" w:fill="auto"/>
            <w:noWrap/>
            <w:vAlign w:val="center"/>
            <w:hideMark/>
          </w:tcPr>
          <w:p w14:paraId="54D30CEE" w14:textId="55FE6FBA"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-3.81</w:t>
            </w:r>
            <w:r w:rsidR="007E6DBA" w:rsidRPr="00FF2046">
              <w:rPr>
                <w:rFonts w:eastAsia="Times New Roman" w:cs="Times New Roman"/>
                <w:sz w:val="20"/>
                <w:szCs w:val="20"/>
              </w:rPr>
              <w:t>3</w:t>
            </w:r>
          </w:p>
        </w:tc>
        <w:tc>
          <w:tcPr>
            <w:tcW w:w="285" w:type="pct"/>
            <w:tcBorders>
              <w:top w:val="double" w:sz="6" w:space="0" w:color="auto"/>
              <w:left w:val="nil"/>
              <w:bottom w:val="single" w:sz="4" w:space="0" w:color="auto"/>
              <w:right w:val="single" w:sz="4" w:space="0" w:color="auto"/>
            </w:tcBorders>
            <w:shd w:val="clear" w:color="auto" w:fill="auto"/>
            <w:noWrap/>
            <w:vAlign w:val="center"/>
            <w:hideMark/>
          </w:tcPr>
          <w:p w14:paraId="3FA3E2B3" w14:textId="175F2551"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-3.55</w:t>
            </w:r>
          </w:p>
        </w:tc>
        <w:tc>
          <w:tcPr>
            <w:tcW w:w="377" w:type="pct"/>
            <w:tcBorders>
              <w:top w:val="double" w:sz="6" w:space="0" w:color="auto"/>
              <w:left w:val="nil"/>
              <w:bottom w:val="single" w:sz="4" w:space="0" w:color="auto"/>
              <w:right w:val="single" w:sz="4" w:space="0" w:color="auto"/>
            </w:tcBorders>
            <w:shd w:val="clear" w:color="auto" w:fill="auto"/>
            <w:noWrap/>
            <w:vAlign w:val="center"/>
            <w:hideMark/>
          </w:tcPr>
          <w:p w14:paraId="0D3CB782" w14:textId="05057DFA"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double" w:sz="6" w:space="0" w:color="auto"/>
              <w:left w:val="nil"/>
              <w:bottom w:val="single" w:sz="4" w:space="0" w:color="auto"/>
              <w:right w:val="double" w:sz="6" w:space="0" w:color="auto"/>
            </w:tcBorders>
            <w:shd w:val="clear" w:color="auto" w:fill="auto"/>
            <w:noWrap/>
            <w:vAlign w:val="center"/>
            <w:hideMark/>
          </w:tcPr>
          <w:p w14:paraId="6D58BED4" w14:textId="2FFA7E39"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r>
      <w:tr w:rsidR="009C4A43" w:rsidRPr="00FF2046" w14:paraId="3A2D3346"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4098545F" w14:textId="77777777" w:rsidR="006F2ADC" w:rsidRPr="00FF2046" w:rsidRDefault="006F2ADC" w:rsidP="006F2ADC">
            <w:pPr>
              <w:jc w:val="left"/>
              <w:rPr>
                <w:rFonts w:eastAsia="Times New Roman" w:cs="Times New Roman"/>
                <w:sz w:val="20"/>
                <w:szCs w:val="20"/>
              </w:rPr>
            </w:pPr>
            <w:r w:rsidRPr="00FF2046">
              <w:rPr>
                <w:rFonts w:eastAsia="Times New Roman" w:cs="Times New Roman"/>
                <w:sz w:val="20"/>
                <w:szCs w:val="20"/>
              </w:rPr>
              <w:t>Job Density</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2EE9854C" w14:textId="6BB052A5"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2.55</w:t>
            </w:r>
            <w:r w:rsidR="007E6DBA" w:rsidRPr="00FF2046">
              <w:rPr>
                <w:rFonts w:eastAsia="Times New Roman" w:cs="Times New Roman"/>
                <w:sz w:val="20"/>
                <w:szCs w:val="20"/>
              </w:rPr>
              <w:t>3</w:t>
            </w:r>
          </w:p>
        </w:tc>
        <w:tc>
          <w:tcPr>
            <w:tcW w:w="284" w:type="pct"/>
            <w:tcBorders>
              <w:top w:val="nil"/>
              <w:left w:val="nil"/>
              <w:bottom w:val="single" w:sz="4" w:space="0" w:color="auto"/>
              <w:right w:val="double" w:sz="6" w:space="0" w:color="auto"/>
            </w:tcBorders>
            <w:shd w:val="clear" w:color="auto" w:fill="auto"/>
            <w:noWrap/>
            <w:vAlign w:val="center"/>
            <w:hideMark/>
          </w:tcPr>
          <w:p w14:paraId="4FAB902C" w14:textId="13148B14"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19.02</w:t>
            </w:r>
          </w:p>
        </w:tc>
        <w:tc>
          <w:tcPr>
            <w:tcW w:w="377" w:type="pct"/>
            <w:tcBorders>
              <w:top w:val="nil"/>
              <w:left w:val="nil"/>
              <w:bottom w:val="single" w:sz="4" w:space="0" w:color="auto"/>
              <w:right w:val="single" w:sz="4" w:space="0" w:color="auto"/>
            </w:tcBorders>
            <w:shd w:val="clear" w:color="auto" w:fill="auto"/>
            <w:noWrap/>
            <w:vAlign w:val="center"/>
            <w:hideMark/>
          </w:tcPr>
          <w:p w14:paraId="03C6C07B" w14:textId="7AB0EEE6" w:rsidR="006F2ADC" w:rsidRPr="00FF2046" w:rsidRDefault="00925F53" w:rsidP="006F2ADC">
            <w:pPr>
              <w:jc w:val="center"/>
              <w:rPr>
                <w:rFonts w:eastAsia="Times New Roman" w:cs="Times New Roman"/>
                <w:sz w:val="20"/>
                <w:szCs w:val="20"/>
              </w:rPr>
            </w:pPr>
            <w:r>
              <w:rPr>
                <w:rFonts w:eastAsia="Times New Roman" w:cs="Times New Roman"/>
                <w:sz w:val="20"/>
                <w:szCs w:val="20"/>
              </w:rPr>
              <w:t>---</w:t>
            </w:r>
            <w:r w:rsidR="006F2ADC" w:rsidRPr="00FF2046">
              <w:rPr>
                <w:rFonts w:eastAsia="Times New Roman" w:cs="Times New Roman"/>
                <w:sz w:val="20"/>
                <w:szCs w:val="20"/>
              </w:rPr>
              <w:t> </w:t>
            </w:r>
          </w:p>
        </w:tc>
        <w:tc>
          <w:tcPr>
            <w:tcW w:w="284" w:type="pct"/>
            <w:tcBorders>
              <w:top w:val="nil"/>
              <w:left w:val="nil"/>
              <w:bottom w:val="single" w:sz="4" w:space="0" w:color="auto"/>
              <w:right w:val="single" w:sz="4" w:space="0" w:color="auto"/>
            </w:tcBorders>
            <w:shd w:val="clear" w:color="auto" w:fill="auto"/>
            <w:noWrap/>
            <w:vAlign w:val="center"/>
            <w:hideMark/>
          </w:tcPr>
          <w:p w14:paraId="7AD2CFA6" w14:textId="2EFF930A" w:rsidR="006F2ADC" w:rsidRPr="00FF2046" w:rsidRDefault="00925F53" w:rsidP="006F2ADC">
            <w:pPr>
              <w:jc w:val="center"/>
              <w:rPr>
                <w:rFonts w:eastAsia="Times New Roman" w:cs="Times New Roman"/>
                <w:sz w:val="20"/>
                <w:szCs w:val="20"/>
              </w:rPr>
            </w:pPr>
            <w:r>
              <w:rPr>
                <w:rFonts w:eastAsia="Times New Roman" w:cs="Times New Roman"/>
                <w:sz w:val="20"/>
                <w:szCs w:val="20"/>
              </w:rPr>
              <w:t>---</w:t>
            </w:r>
            <w:r w:rsidR="006F2ADC"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04751084" w14:textId="180465A8"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1A073926" w14:textId="0E9C7D94"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22282C31" w14:textId="6722E2F0"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1.96</w:t>
            </w:r>
            <w:r w:rsidR="007E6DBA" w:rsidRPr="00FF2046">
              <w:rPr>
                <w:rFonts w:eastAsia="Times New Roman" w:cs="Times New Roman"/>
                <w:sz w:val="20"/>
                <w:szCs w:val="20"/>
              </w:rPr>
              <w:t>8</w:t>
            </w:r>
          </w:p>
        </w:tc>
        <w:tc>
          <w:tcPr>
            <w:tcW w:w="258" w:type="pct"/>
            <w:tcBorders>
              <w:top w:val="nil"/>
              <w:left w:val="nil"/>
              <w:bottom w:val="single" w:sz="4" w:space="0" w:color="auto"/>
              <w:right w:val="double" w:sz="6" w:space="0" w:color="auto"/>
            </w:tcBorders>
            <w:shd w:val="clear" w:color="auto" w:fill="auto"/>
            <w:noWrap/>
            <w:vAlign w:val="center"/>
            <w:hideMark/>
          </w:tcPr>
          <w:p w14:paraId="7A340EEA" w14:textId="162830FF"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4.07</w:t>
            </w:r>
          </w:p>
        </w:tc>
      </w:tr>
      <w:tr w:rsidR="009C4A43" w:rsidRPr="00FF2046" w14:paraId="077D321A"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7314DF77" w14:textId="7DE70A6D" w:rsidR="006F2ADC" w:rsidRPr="00FF2046" w:rsidRDefault="006F2ADC" w:rsidP="006F2ADC">
            <w:pPr>
              <w:jc w:val="left"/>
              <w:rPr>
                <w:rFonts w:eastAsia="Times New Roman" w:cs="Times New Roman"/>
                <w:sz w:val="20"/>
                <w:szCs w:val="20"/>
              </w:rPr>
            </w:pPr>
            <w:r w:rsidRPr="00FF2046">
              <w:rPr>
                <w:rFonts w:eastAsia="Times New Roman" w:cs="Times New Roman"/>
                <w:sz w:val="20"/>
                <w:szCs w:val="20"/>
              </w:rPr>
              <w:t>Median Income (x10</w:t>
            </w:r>
            <w:r w:rsidR="00AE58D7" w:rsidRPr="00FF2046">
              <w:rPr>
                <w:rFonts w:eastAsia="Times New Roman" w:cs="Times New Roman"/>
                <w:sz w:val="20"/>
                <w:szCs w:val="20"/>
                <w:vertAlign w:val="superscript"/>
              </w:rPr>
              <w:t>-</w:t>
            </w:r>
            <w:r w:rsidRPr="00FF2046">
              <w:rPr>
                <w:rFonts w:eastAsia="Times New Roman" w:cs="Times New Roman"/>
                <w:sz w:val="20"/>
                <w:szCs w:val="20"/>
                <w:vertAlign w:val="superscript"/>
              </w:rPr>
              <w:t>3</w:t>
            </w:r>
            <w:r w:rsidRPr="00FF2046">
              <w:rPr>
                <w:rFonts w:eastAsia="Times New Roman" w:cs="Times New Roman"/>
                <w:sz w:val="20"/>
                <w:szCs w:val="20"/>
              </w:rPr>
              <w:t>)</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02CDCCAC" w14:textId="665F6E1D"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0.651</w:t>
            </w:r>
          </w:p>
        </w:tc>
        <w:tc>
          <w:tcPr>
            <w:tcW w:w="284" w:type="pct"/>
            <w:tcBorders>
              <w:top w:val="nil"/>
              <w:left w:val="nil"/>
              <w:bottom w:val="single" w:sz="4" w:space="0" w:color="auto"/>
              <w:right w:val="double" w:sz="6" w:space="0" w:color="auto"/>
            </w:tcBorders>
            <w:shd w:val="clear" w:color="auto" w:fill="auto"/>
            <w:noWrap/>
            <w:vAlign w:val="center"/>
            <w:hideMark/>
          </w:tcPr>
          <w:p w14:paraId="2C31A074" w14:textId="079FF347"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17.08</w:t>
            </w:r>
          </w:p>
        </w:tc>
        <w:tc>
          <w:tcPr>
            <w:tcW w:w="377" w:type="pct"/>
            <w:tcBorders>
              <w:top w:val="nil"/>
              <w:left w:val="nil"/>
              <w:bottom w:val="single" w:sz="4" w:space="0" w:color="auto"/>
              <w:right w:val="single" w:sz="4" w:space="0" w:color="auto"/>
            </w:tcBorders>
            <w:shd w:val="clear" w:color="auto" w:fill="auto"/>
            <w:noWrap/>
            <w:vAlign w:val="center"/>
            <w:hideMark/>
          </w:tcPr>
          <w:p w14:paraId="06E53DF1" w14:textId="11AD5B98" w:rsidR="006F2ADC" w:rsidRPr="00FF2046" w:rsidRDefault="006F2ADC" w:rsidP="00397149">
            <w:pPr>
              <w:jc w:val="center"/>
              <w:rPr>
                <w:rFonts w:eastAsia="Times New Roman" w:cs="Times New Roman"/>
                <w:sz w:val="20"/>
                <w:szCs w:val="20"/>
              </w:rPr>
            </w:pPr>
            <w:r w:rsidRPr="00FF2046">
              <w:rPr>
                <w:rFonts w:eastAsia="Times New Roman" w:cs="Times New Roman"/>
                <w:sz w:val="20"/>
                <w:szCs w:val="20"/>
              </w:rPr>
              <w:t>1.366</w:t>
            </w:r>
          </w:p>
        </w:tc>
        <w:tc>
          <w:tcPr>
            <w:tcW w:w="284" w:type="pct"/>
            <w:tcBorders>
              <w:top w:val="nil"/>
              <w:left w:val="nil"/>
              <w:bottom w:val="single" w:sz="4" w:space="0" w:color="auto"/>
              <w:right w:val="single" w:sz="4" w:space="0" w:color="auto"/>
            </w:tcBorders>
            <w:shd w:val="clear" w:color="auto" w:fill="auto"/>
            <w:noWrap/>
            <w:vAlign w:val="center"/>
            <w:hideMark/>
          </w:tcPr>
          <w:p w14:paraId="2385E8B8" w14:textId="3FC2C8E0"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7.33</w:t>
            </w:r>
          </w:p>
        </w:tc>
        <w:tc>
          <w:tcPr>
            <w:tcW w:w="377" w:type="pct"/>
            <w:tcBorders>
              <w:top w:val="nil"/>
              <w:left w:val="nil"/>
              <w:bottom w:val="single" w:sz="4" w:space="0" w:color="auto"/>
              <w:right w:val="single" w:sz="4" w:space="0" w:color="auto"/>
            </w:tcBorders>
            <w:shd w:val="clear" w:color="auto" w:fill="auto"/>
            <w:noWrap/>
            <w:vAlign w:val="center"/>
            <w:hideMark/>
          </w:tcPr>
          <w:p w14:paraId="633DAE16" w14:textId="6267E16E"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504C7AA0" w14:textId="239C8E75"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210936E6" w14:textId="44883710"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single" w:sz="4" w:space="0" w:color="auto"/>
              <w:right w:val="double" w:sz="6" w:space="0" w:color="auto"/>
            </w:tcBorders>
            <w:shd w:val="clear" w:color="auto" w:fill="auto"/>
            <w:noWrap/>
            <w:vAlign w:val="center"/>
            <w:hideMark/>
          </w:tcPr>
          <w:p w14:paraId="798BE92C" w14:textId="18A9AC19"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r>
      <w:tr w:rsidR="009C4A43" w:rsidRPr="00FF2046" w14:paraId="6EC24B17"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68F7BF53" w14:textId="77777777" w:rsidR="006F2ADC" w:rsidRPr="00FF2046" w:rsidRDefault="006F2ADC" w:rsidP="006F2ADC">
            <w:pPr>
              <w:jc w:val="left"/>
              <w:rPr>
                <w:rFonts w:eastAsia="Times New Roman" w:cs="Times New Roman"/>
                <w:sz w:val="20"/>
                <w:szCs w:val="20"/>
              </w:rPr>
            </w:pPr>
            <w:r w:rsidRPr="00FF2046">
              <w:rPr>
                <w:rFonts w:eastAsia="Times New Roman" w:cs="Times New Roman"/>
                <w:sz w:val="20"/>
                <w:szCs w:val="20"/>
              </w:rPr>
              <w:t xml:space="preserve">Proportion of Zero Car HH </w:t>
            </w:r>
          </w:p>
        </w:tc>
        <w:tc>
          <w:tcPr>
            <w:tcW w:w="3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373AF9E" w14:textId="77777777"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1.003</w:t>
            </w:r>
          </w:p>
        </w:tc>
        <w:tc>
          <w:tcPr>
            <w:tcW w:w="284" w:type="pct"/>
            <w:tcBorders>
              <w:top w:val="single" w:sz="4" w:space="0" w:color="auto"/>
              <w:left w:val="nil"/>
              <w:bottom w:val="single" w:sz="4" w:space="0" w:color="auto"/>
              <w:right w:val="double" w:sz="6" w:space="0" w:color="auto"/>
            </w:tcBorders>
            <w:shd w:val="clear" w:color="auto" w:fill="auto"/>
            <w:noWrap/>
            <w:vAlign w:val="center"/>
            <w:hideMark/>
          </w:tcPr>
          <w:p w14:paraId="0824F96C" w14:textId="72718248"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9.70</w:t>
            </w:r>
          </w:p>
        </w:tc>
        <w:tc>
          <w:tcPr>
            <w:tcW w:w="377" w:type="pct"/>
            <w:tcBorders>
              <w:top w:val="nil"/>
              <w:left w:val="nil"/>
              <w:bottom w:val="single" w:sz="4" w:space="0" w:color="auto"/>
              <w:right w:val="single" w:sz="4" w:space="0" w:color="auto"/>
            </w:tcBorders>
            <w:shd w:val="clear" w:color="auto" w:fill="auto"/>
            <w:noWrap/>
            <w:vAlign w:val="center"/>
            <w:hideMark/>
          </w:tcPr>
          <w:p w14:paraId="0D81607B" w14:textId="1BC4A84A"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84" w:type="pct"/>
            <w:tcBorders>
              <w:top w:val="nil"/>
              <w:left w:val="nil"/>
              <w:bottom w:val="single" w:sz="4" w:space="0" w:color="auto"/>
              <w:right w:val="single" w:sz="4" w:space="0" w:color="auto"/>
            </w:tcBorders>
            <w:shd w:val="clear" w:color="auto" w:fill="auto"/>
            <w:noWrap/>
            <w:vAlign w:val="center"/>
            <w:hideMark/>
          </w:tcPr>
          <w:p w14:paraId="375F03A9" w14:textId="5221EE76"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531C2DFB" w14:textId="182F0DA0"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3.508</w:t>
            </w:r>
          </w:p>
        </w:tc>
        <w:tc>
          <w:tcPr>
            <w:tcW w:w="285" w:type="pct"/>
            <w:tcBorders>
              <w:top w:val="nil"/>
              <w:left w:val="nil"/>
              <w:bottom w:val="single" w:sz="4" w:space="0" w:color="auto"/>
              <w:right w:val="single" w:sz="4" w:space="0" w:color="auto"/>
            </w:tcBorders>
            <w:shd w:val="clear" w:color="auto" w:fill="auto"/>
            <w:noWrap/>
            <w:vAlign w:val="center"/>
            <w:hideMark/>
          </w:tcPr>
          <w:p w14:paraId="7B1CC9E0" w14:textId="6C1EBE25"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5.28</w:t>
            </w:r>
          </w:p>
        </w:tc>
        <w:tc>
          <w:tcPr>
            <w:tcW w:w="377" w:type="pct"/>
            <w:tcBorders>
              <w:top w:val="nil"/>
              <w:left w:val="nil"/>
              <w:bottom w:val="single" w:sz="4" w:space="0" w:color="auto"/>
              <w:right w:val="single" w:sz="4" w:space="0" w:color="auto"/>
            </w:tcBorders>
            <w:shd w:val="clear" w:color="auto" w:fill="auto"/>
            <w:noWrap/>
            <w:vAlign w:val="center"/>
            <w:hideMark/>
          </w:tcPr>
          <w:p w14:paraId="1A799275" w14:textId="4069069A"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0.830</w:t>
            </w:r>
          </w:p>
        </w:tc>
        <w:tc>
          <w:tcPr>
            <w:tcW w:w="258" w:type="pct"/>
            <w:tcBorders>
              <w:top w:val="nil"/>
              <w:left w:val="nil"/>
              <w:bottom w:val="single" w:sz="4" w:space="0" w:color="auto"/>
              <w:right w:val="double" w:sz="6" w:space="0" w:color="auto"/>
            </w:tcBorders>
            <w:shd w:val="clear" w:color="auto" w:fill="auto"/>
            <w:noWrap/>
            <w:vAlign w:val="center"/>
            <w:hideMark/>
          </w:tcPr>
          <w:p w14:paraId="44F4648D" w14:textId="1EEC58FE"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1.85</w:t>
            </w:r>
          </w:p>
        </w:tc>
      </w:tr>
      <w:tr w:rsidR="009C4A43" w:rsidRPr="00FF2046" w14:paraId="3B8275D2"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123AFEB2" w14:textId="29587B96" w:rsidR="006F2ADC" w:rsidRPr="00FF2046" w:rsidRDefault="006F2ADC" w:rsidP="006F2ADC">
            <w:pPr>
              <w:jc w:val="left"/>
              <w:rPr>
                <w:rFonts w:eastAsia="Times New Roman" w:cs="Times New Roman"/>
                <w:sz w:val="20"/>
                <w:szCs w:val="20"/>
              </w:rPr>
            </w:pPr>
            <w:r w:rsidRPr="00FF2046">
              <w:rPr>
                <w:rFonts w:eastAsia="Times New Roman" w:cs="Times New Roman"/>
                <w:sz w:val="20"/>
                <w:szCs w:val="20"/>
              </w:rPr>
              <w:t>Transit Score</w:t>
            </w:r>
            <w:r w:rsidR="00DF4106" w:rsidRPr="00FF2046">
              <w:rPr>
                <w:rFonts w:eastAsia="Times New Roman" w:cs="Times New Roman"/>
                <w:sz w:val="20"/>
                <w:szCs w:val="20"/>
              </w:rPr>
              <w:t xml:space="preserve"> (x10</w:t>
            </w:r>
            <w:r w:rsidR="00520759" w:rsidRPr="00FF2046">
              <w:rPr>
                <w:rFonts w:eastAsia="Times New Roman" w:cs="Times New Roman"/>
                <w:sz w:val="20"/>
                <w:szCs w:val="20"/>
                <w:vertAlign w:val="superscript"/>
              </w:rPr>
              <w:t>-2</w:t>
            </w:r>
            <w:r w:rsidR="00DF4106" w:rsidRPr="00FF2046">
              <w:rPr>
                <w:rFonts w:eastAsia="Times New Roman" w:cs="Times New Roman"/>
                <w:sz w:val="20"/>
                <w:szCs w:val="20"/>
              </w:rPr>
              <w:t>)</w:t>
            </w:r>
          </w:p>
        </w:tc>
        <w:tc>
          <w:tcPr>
            <w:tcW w:w="377"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C49AF81" w14:textId="584F955B"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1.47</w:t>
            </w:r>
            <w:r w:rsidR="007E6DBA" w:rsidRPr="00FF2046">
              <w:rPr>
                <w:rFonts w:eastAsia="Times New Roman" w:cs="Times New Roman"/>
                <w:sz w:val="20"/>
                <w:szCs w:val="20"/>
              </w:rPr>
              <w:t>8</w:t>
            </w:r>
          </w:p>
        </w:tc>
        <w:tc>
          <w:tcPr>
            <w:tcW w:w="284" w:type="pct"/>
            <w:tcBorders>
              <w:top w:val="single" w:sz="4" w:space="0" w:color="auto"/>
              <w:left w:val="nil"/>
              <w:bottom w:val="single" w:sz="4" w:space="0" w:color="auto"/>
              <w:right w:val="double" w:sz="6" w:space="0" w:color="auto"/>
            </w:tcBorders>
            <w:shd w:val="clear" w:color="auto" w:fill="auto"/>
            <w:noWrap/>
            <w:vAlign w:val="center"/>
            <w:hideMark/>
          </w:tcPr>
          <w:p w14:paraId="31DED496" w14:textId="1E44ACA8"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8.51</w:t>
            </w:r>
          </w:p>
        </w:tc>
        <w:tc>
          <w:tcPr>
            <w:tcW w:w="377" w:type="pct"/>
            <w:tcBorders>
              <w:top w:val="nil"/>
              <w:left w:val="nil"/>
              <w:bottom w:val="single" w:sz="4" w:space="0" w:color="auto"/>
              <w:right w:val="single" w:sz="4" w:space="0" w:color="auto"/>
            </w:tcBorders>
            <w:shd w:val="clear" w:color="auto" w:fill="auto"/>
            <w:noWrap/>
            <w:vAlign w:val="center"/>
            <w:hideMark/>
          </w:tcPr>
          <w:p w14:paraId="4C8E478C" w14:textId="06701BC7"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84" w:type="pct"/>
            <w:tcBorders>
              <w:top w:val="nil"/>
              <w:left w:val="nil"/>
              <w:bottom w:val="single" w:sz="4" w:space="0" w:color="auto"/>
              <w:right w:val="single" w:sz="4" w:space="0" w:color="auto"/>
            </w:tcBorders>
            <w:shd w:val="clear" w:color="auto" w:fill="auto"/>
            <w:noWrap/>
            <w:vAlign w:val="center"/>
            <w:hideMark/>
          </w:tcPr>
          <w:p w14:paraId="095BA386" w14:textId="4034FC67"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1B9D011B" w14:textId="27E8FD33"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71402FD7" w14:textId="12A5D020"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46782C70" w14:textId="24FE8CB2"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single" w:sz="4" w:space="0" w:color="auto"/>
              <w:right w:val="double" w:sz="6" w:space="0" w:color="auto"/>
            </w:tcBorders>
            <w:shd w:val="clear" w:color="auto" w:fill="auto"/>
            <w:noWrap/>
            <w:vAlign w:val="center"/>
            <w:hideMark/>
          </w:tcPr>
          <w:p w14:paraId="0B4D9CBB" w14:textId="3E5C3CCD"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r>
      <w:tr w:rsidR="009C4A43" w:rsidRPr="00FF2046" w14:paraId="59A6B23F"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16EEC27F" w14:textId="3434DB62" w:rsidR="006F2ADC" w:rsidRPr="00FF2046" w:rsidRDefault="006F2ADC" w:rsidP="006F2ADC">
            <w:pPr>
              <w:jc w:val="left"/>
              <w:rPr>
                <w:rFonts w:eastAsia="Times New Roman" w:cs="Times New Roman"/>
                <w:sz w:val="20"/>
                <w:szCs w:val="20"/>
              </w:rPr>
            </w:pPr>
            <w:r w:rsidRPr="00FF2046">
              <w:rPr>
                <w:rFonts w:eastAsia="Times New Roman" w:cs="Times New Roman"/>
                <w:sz w:val="20"/>
                <w:szCs w:val="20"/>
              </w:rPr>
              <w:t>Non-motorized vehicle score</w:t>
            </w:r>
            <w:r w:rsidR="00DF4106" w:rsidRPr="00FF2046">
              <w:rPr>
                <w:rFonts w:eastAsia="Times New Roman" w:cs="Times New Roman"/>
                <w:sz w:val="20"/>
                <w:szCs w:val="20"/>
              </w:rPr>
              <w:t xml:space="preserve"> (x10</w:t>
            </w:r>
            <w:r w:rsidR="00520759" w:rsidRPr="00FF2046">
              <w:rPr>
                <w:rFonts w:eastAsia="Times New Roman" w:cs="Times New Roman"/>
                <w:sz w:val="20"/>
                <w:szCs w:val="20"/>
                <w:vertAlign w:val="superscript"/>
              </w:rPr>
              <w:t>-2</w:t>
            </w:r>
            <w:r w:rsidR="00DF4106" w:rsidRPr="00FF2046">
              <w:rPr>
                <w:rFonts w:eastAsia="Times New Roman" w:cs="Times New Roman"/>
                <w:sz w:val="20"/>
                <w:szCs w:val="20"/>
              </w:rPr>
              <w:t>)</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60A8475E" w14:textId="23D8DC0F"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-1.18</w:t>
            </w:r>
            <w:r w:rsidR="007E6DBA" w:rsidRPr="00FF2046">
              <w:rPr>
                <w:rFonts w:eastAsia="Times New Roman" w:cs="Times New Roman"/>
                <w:sz w:val="20"/>
                <w:szCs w:val="20"/>
              </w:rPr>
              <w:t>9</w:t>
            </w:r>
          </w:p>
        </w:tc>
        <w:tc>
          <w:tcPr>
            <w:tcW w:w="284" w:type="pct"/>
            <w:tcBorders>
              <w:top w:val="nil"/>
              <w:left w:val="nil"/>
              <w:bottom w:val="single" w:sz="4" w:space="0" w:color="auto"/>
              <w:right w:val="double" w:sz="6" w:space="0" w:color="auto"/>
            </w:tcBorders>
            <w:shd w:val="clear" w:color="auto" w:fill="auto"/>
            <w:noWrap/>
            <w:vAlign w:val="center"/>
            <w:hideMark/>
          </w:tcPr>
          <w:p w14:paraId="32C6DB0F" w14:textId="4BA075E8"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-6.34</w:t>
            </w:r>
          </w:p>
        </w:tc>
        <w:tc>
          <w:tcPr>
            <w:tcW w:w="377" w:type="pct"/>
            <w:tcBorders>
              <w:top w:val="nil"/>
              <w:left w:val="nil"/>
              <w:bottom w:val="single" w:sz="4" w:space="0" w:color="auto"/>
              <w:right w:val="single" w:sz="4" w:space="0" w:color="auto"/>
            </w:tcBorders>
            <w:shd w:val="clear" w:color="auto" w:fill="auto"/>
            <w:noWrap/>
            <w:vAlign w:val="center"/>
            <w:hideMark/>
          </w:tcPr>
          <w:p w14:paraId="11CE963C" w14:textId="7C73037C"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84" w:type="pct"/>
            <w:tcBorders>
              <w:top w:val="nil"/>
              <w:left w:val="nil"/>
              <w:bottom w:val="single" w:sz="4" w:space="0" w:color="auto"/>
              <w:right w:val="single" w:sz="4" w:space="0" w:color="auto"/>
            </w:tcBorders>
            <w:shd w:val="clear" w:color="auto" w:fill="auto"/>
            <w:noWrap/>
            <w:vAlign w:val="center"/>
            <w:hideMark/>
          </w:tcPr>
          <w:p w14:paraId="3D662FB9" w14:textId="028B0111"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1441A154" w14:textId="622D69D8"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34D6D42E" w14:textId="25ABDE3C"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3096B92F" w14:textId="0613A4F3"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single" w:sz="4" w:space="0" w:color="auto"/>
              <w:right w:val="double" w:sz="6" w:space="0" w:color="auto"/>
            </w:tcBorders>
            <w:shd w:val="clear" w:color="auto" w:fill="auto"/>
            <w:noWrap/>
            <w:vAlign w:val="center"/>
            <w:hideMark/>
          </w:tcPr>
          <w:p w14:paraId="214B1D10" w14:textId="6A500DF1"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r>
      <w:tr w:rsidR="009C4A43" w:rsidRPr="00FF2046" w14:paraId="43D08158"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6B110702" w14:textId="54E31489" w:rsidR="006F2ADC" w:rsidRPr="00FF2046" w:rsidRDefault="006F2ADC" w:rsidP="006F2ADC">
            <w:pPr>
              <w:jc w:val="left"/>
              <w:rPr>
                <w:rFonts w:eastAsia="Times New Roman" w:cs="Times New Roman"/>
                <w:sz w:val="20"/>
                <w:szCs w:val="20"/>
              </w:rPr>
            </w:pPr>
            <w:r w:rsidRPr="00FF2046">
              <w:rPr>
                <w:rFonts w:eastAsia="Times New Roman" w:cs="Times New Roman"/>
                <w:sz w:val="20"/>
                <w:szCs w:val="20"/>
              </w:rPr>
              <w:t>Number of Restaurants and sidewalk café in Taxi Zone</w:t>
            </w:r>
            <w:r w:rsidR="00DF4106" w:rsidRPr="00FF2046">
              <w:rPr>
                <w:rFonts w:eastAsia="Times New Roman" w:cs="Times New Roman"/>
                <w:sz w:val="20"/>
                <w:szCs w:val="20"/>
              </w:rPr>
              <w:t xml:space="preserve"> (x10</w:t>
            </w:r>
            <w:r w:rsidR="00520759" w:rsidRPr="00FF2046">
              <w:rPr>
                <w:rFonts w:eastAsia="Times New Roman" w:cs="Times New Roman"/>
                <w:sz w:val="20"/>
                <w:szCs w:val="20"/>
                <w:vertAlign w:val="superscript"/>
              </w:rPr>
              <w:t>-3</w:t>
            </w:r>
            <w:r w:rsidR="00DF4106" w:rsidRPr="00FF2046">
              <w:rPr>
                <w:rFonts w:eastAsia="Times New Roman" w:cs="Times New Roman"/>
                <w:sz w:val="20"/>
                <w:szCs w:val="20"/>
              </w:rPr>
              <w:t>)</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0746B5B1" w14:textId="0C1B4012"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0.655</w:t>
            </w:r>
          </w:p>
        </w:tc>
        <w:tc>
          <w:tcPr>
            <w:tcW w:w="284" w:type="pct"/>
            <w:tcBorders>
              <w:top w:val="nil"/>
              <w:left w:val="nil"/>
              <w:bottom w:val="single" w:sz="4" w:space="0" w:color="auto"/>
              <w:right w:val="double" w:sz="6" w:space="0" w:color="auto"/>
            </w:tcBorders>
            <w:shd w:val="clear" w:color="auto" w:fill="auto"/>
            <w:noWrap/>
            <w:vAlign w:val="center"/>
            <w:hideMark/>
          </w:tcPr>
          <w:p w14:paraId="3EB4F263" w14:textId="65D82D0E"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10.66</w:t>
            </w:r>
          </w:p>
        </w:tc>
        <w:tc>
          <w:tcPr>
            <w:tcW w:w="377" w:type="pct"/>
            <w:tcBorders>
              <w:top w:val="nil"/>
              <w:left w:val="nil"/>
              <w:bottom w:val="single" w:sz="4" w:space="0" w:color="auto"/>
              <w:right w:val="single" w:sz="4" w:space="0" w:color="auto"/>
            </w:tcBorders>
            <w:shd w:val="clear" w:color="auto" w:fill="auto"/>
            <w:noWrap/>
            <w:vAlign w:val="center"/>
            <w:hideMark/>
          </w:tcPr>
          <w:p w14:paraId="3EC38473" w14:textId="47512007"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84" w:type="pct"/>
            <w:tcBorders>
              <w:top w:val="nil"/>
              <w:left w:val="nil"/>
              <w:bottom w:val="single" w:sz="4" w:space="0" w:color="auto"/>
              <w:right w:val="single" w:sz="4" w:space="0" w:color="auto"/>
            </w:tcBorders>
            <w:shd w:val="clear" w:color="auto" w:fill="auto"/>
            <w:noWrap/>
            <w:vAlign w:val="center"/>
            <w:hideMark/>
          </w:tcPr>
          <w:p w14:paraId="6DBD0A5D" w14:textId="436491D0"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084382C8" w14:textId="5B14CC43"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20FCE2D6" w14:textId="6DC1C421"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2096FDB7" w14:textId="1B37990E"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-2.97</w:t>
            </w:r>
            <w:r w:rsidR="007E6DBA" w:rsidRPr="00FF2046">
              <w:rPr>
                <w:rFonts w:eastAsia="Times New Roman" w:cs="Times New Roman"/>
                <w:sz w:val="20"/>
                <w:szCs w:val="20"/>
              </w:rPr>
              <w:t>5</w:t>
            </w:r>
          </w:p>
        </w:tc>
        <w:tc>
          <w:tcPr>
            <w:tcW w:w="258" w:type="pct"/>
            <w:tcBorders>
              <w:top w:val="nil"/>
              <w:left w:val="nil"/>
              <w:bottom w:val="single" w:sz="4" w:space="0" w:color="auto"/>
              <w:right w:val="double" w:sz="6" w:space="0" w:color="auto"/>
            </w:tcBorders>
            <w:shd w:val="clear" w:color="auto" w:fill="auto"/>
            <w:noWrap/>
            <w:vAlign w:val="center"/>
            <w:hideMark/>
          </w:tcPr>
          <w:p w14:paraId="5B902461" w14:textId="032B7363"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-4.84</w:t>
            </w:r>
          </w:p>
        </w:tc>
      </w:tr>
      <w:tr w:rsidR="009C4A43" w:rsidRPr="00FF2046" w14:paraId="0F1F604A"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30FEDA39" w14:textId="24BBB400" w:rsidR="006F2ADC" w:rsidRPr="00FF2046" w:rsidRDefault="006F2ADC" w:rsidP="006F2ADC">
            <w:pPr>
              <w:jc w:val="left"/>
              <w:rPr>
                <w:rFonts w:eastAsia="Times New Roman" w:cs="Times New Roman"/>
                <w:sz w:val="20"/>
                <w:szCs w:val="20"/>
              </w:rPr>
            </w:pPr>
            <w:r w:rsidRPr="00FF2046">
              <w:rPr>
                <w:rFonts w:eastAsia="Times New Roman" w:cs="Times New Roman"/>
                <w:sz w:val="20"/>
                <w:szCs w:val="20"/>
              </w:rPr>
              <w:t>Number of Point of Interests and Recreational Points in Taxi Zone</w:t>
            </w:r>
            <w:r w:rsidR="00DF4106" w:rsidRPr="00FF2046">
              <w:rPr>
                <w:rFonts w:eastAsia="Times New Roman" w:cs="Times New Roman"/>
                <w:sz w:val="20"/>
                <w:szCs w:val="20"/>
              </w:rPr>
              <w:t xml:space="preserve"> (x10</w:t>
            </w:r>
            <w:r w:rsidR="00520759" w:rsidRPr="00FF2046">
              <w:rPr>
                <w:rFonts w:eastAsia="Times New Roman" w:cs="Times New Roman"/>
                <w:sz w:val="20"/>
                <w:szCs w:val="20"/>
                <w:vertAlign w:val="superscript"/>
              </w:rPr>
              <w:t>-3</w:t>
            </w:r>
            <w:r w:rsidR="00DF4106" w:rsidRPr="00FF2046">
              <w:rPr>
                <w:rFonts w:eastAsia="Times New Roman" w:cs="Times New Roman"/>
                <w:sz w:val="20"/>
                <w:szCs w:val="20"/>
              </w:rPr>
              <w:t>)</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3C067A99" w14:textId="77777777"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0.194</w:t>
            </w:r>
          </w:p>
        </w:tc>
        <w:tc>
          <w:tcPr>
            <w:tcW w:w="284" w:type="pct"/>
            <w:tcBorders>
              <w:top w:val="nil"/>
              <w:left w:val="nil"/>
              <w:bottom w:val="single" w:sz="4" w:space="0" w:color="auto"/>
              <w:right w:val="double" w:sz="6" w:space="0" w:color="auto"/>
            </w:tcBorders>
            <w:shd w:val="clear" w:color="auto" w:fill="auto"/>
            <w:noWrap/>
            <w:vAlign w:val="center"/>
            <w:hideMark/>
          </w:tcPr>
          <w:p w14:paraId="5F9A1AC5" w14:textId="314561E1"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8.52</w:t>
            </w:r>
          </w:p>
        </w:tc>
        <w:tc>
          <w:tcPr>
            <w:tcW w:w="377" w:type="pct"/>
            <w:tcBorders>
              <w:top w:val="nil"/>
              <w:left w:val="nil"/>
              <w:bottom w:val="single" w:sz="4" w:space="0" w:color="auto"/>
              <w:right w:val="single" w:sz="4" w:space="0" w:color="auto"/>
            </w:tcBorders>
            <w:shd w:val="clear" w:color="auto" w:fill="auto"/>
            <w:noWrap/>
            <w:vAlign w:val="center"/>
            <w:hideMark/>
          </w:tcPr>
          <w:p w14:paraId="3601D394" w14:textId="3EF76EE6"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4.459</w:t>
            </w:r>
          </w:p>
        </w:tc>
        <w:tc>
          <w:tcPr>
            <w:tcW w:w="284" w:type="pct"/>
            <w:tcBorders>
              <w:top w:val="nil"/>
              <w:left w:val="nil"/>
              <w:bottom w:val="single" w:sz="4" w:space="0" w:color="auto"/>
              <w:right w:val="single" w:sz="4" w:space="0" w:color="auto"/>
            </w:tcBorders>
            <w:shd w:val="clear" w:color="auto" w:fill="auto"/>
            <w:noWrap/>
            <w:vAlign w:val="center"/>
            <w:hideMark/>
          </w:tcPr>
          <w:p w14:paraId="7F1EB0B3" w14:textId="69DB36A3"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5.04</w:t>
            </w:r>
          </w:p>
        </w:tc>
        <w:tc>
          <w:tcPr>
            <w:tcW w:w="377" w:type="pct"/>
            <w:tcBorders>
              <w:top w:val="nil"/>
              <w:left w:val="nil"/>
              <w:bottom w:val="single" w:sz="4" w:space="0" w:color="auto"/>
              <w:right w:val="single" w:sz="4" w:space="0" w:color="auto"/>
            </w:tcBorders>
            <w:shd w:val="clear" w:color="auto" w:fill="auto"/>
            <w:noWrap/>
            <w:vAlign w:val="center"/>
            <w:hideMark/>
          </w:tcPr>
          <w:p w14:paraId="576DBE5C" w14:textId="5BFC382A"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282CA8AA" w14:textId="7E5EBFB3"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544F420C" w14:textId="14FC77E8"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single" w:sz="4" w:space="0" w:color="auto"/>
              <w:right w:val="double" w:sz="6" w:space="0" w:color="auto"/>
            </w:tcBorders>
            <w:shd w:val="clear" w:color="auto" w:fill="auto"/>
            <w:noWrap/>
            <w:vAlign w:val="center"/>
            <w:hideMark/>
          </w:tcPr>
          <w:p w14:paraId="7FA59A5A" w14:textId="2CD7AD37"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r>
      <w:tr w:rsidR="009C4A43" w:rsidRPr="00FF2046" w14:paraId="53E02458"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41BDB872" w14:textId="4DB8F7DE" w:rsidR="006F2ADC" w:rsidRPr="00FF2046" w:rsidRDefault="006F2ADC" w:rsidP="006F2ADC">
            <w:pPr>
              <w:jc w:val="left"/>
              <w:rPr>
                <w:rFonts w:eastAsia="Times New Roman" w:cs="Times New Roman"/>
                <w:sz w:val="20"/>
                <w:szCs w:val="20"/>
              </w:rPr>
            </w:pPr>
            <w:r w:rsidRPr="00FF2046">
              <w:rPr>
                <w:rFonts w:eastAsia="Times New Roman" w:cs="Times New Roman"/>
                <w:sz w:val="20"/>
                <w:szCs w:val="20"/>
              </w:rPr>
              <w:t>Residential Area</w:t>
            </w:r>
            <w:r w:rsidR="00DF4106" w:rsidRPr="00FF2046">
              <w:rPr>
                <w:rFonts w:eastAsia="Times New Roman" w:cs="Times New Roman"/>
                <w:sz w:val="20"/>
                <w:szCs w:val="20"/>
              </w:rPr>
              <w:t xml:space="preserve"> (</w:t>
            </w:r>
            <w:r w:rsidR="00B16D80" w:rsidRPr="00FF2046">
              <w:rPr>
                <w:rFonts w:eastAsia="Times New Roman" w:cs="Times New Roman"/>
                <w:sz w:val="20"/>
                <w:szCs w:val="20"/>
              </w:rPr>
              <w:t>m</w:t>
            </w:r>
            <w:r w:rsidR="00B16D80" w:rsidRPr="00FF2046">
              <w:rPr>
                <w:rFonts w:eastAsia="Times New Roman" w:cs="Times New Roman"/>
                <w:sz w:val="20"/>
                <w:szCs w:val="20"/>
                <w:vertAlign w:val="superscript"/>
              </w:rPr>
              <w:t>2</w:t>
            </w:r>
            <w:r w:rsidR="006F0AD1" w:rsidRPr="00FF2046">
              <w:rPr>
                <w:rFonts w:eastAsia="Times New Roman" w:cs="Times New Roman"/>
                <w:sz w:val="20"/>
                <w:szCs w:val="20"/>
                <w:vertAlign w:val="superscript"/>
              </w:rPr>
              <w:t xml:space="preserve"> </w:t>
            </w:r>
            <w:r w:rsidR="00DF4106" w:rsidRPr="00FF2046">
              <w:rPr>
                <w:rFonts w:eastAsia="Times New Roman" w:cs="Times New Roman"/>
                <w:sz w:val="20"/>
                <w:szCs w:val="20"/>
              </w:rPr>
              <w:t>x</w:t>
            </w:r>
            <w:r w:rsidR="00B16D80" w:rsidRPr="00FF2046">
              <w:rPr>
                <w:rFonts w:eastAsia="Times New Roman" w:cs="Times New Roman"/>
                <w:sz w:val="20"/>
                <w:szCs w:val="20"/>
              </w:rPr>
              <w:t xml:space="preserve"> </w:t>
            </w:r>
            <w:r w:rsidR="00DF4106" w:rsidRPr="00FF2046">
              <w:rPr>
                <w:rFonts w:eastAsia="Times New Roman" w:cs="Times New Roman"/>
                <w:sz w:val="20"/>
                <w:szCs w:val="20"/>
              </w:rPr>
              <w:t>10</w:t>
            </w:r>
            <w:r w:rsidR="00520759" w:rsidRPr="00FF2046">
              <w:rPr>
                <w:rFonts w:eastAsia="Times New Roman" w:cs="Times New Roman"/>
                <w:sz w:val="20"/>
                <w:szCs w:val="20"/>
                <w:vertAlign w:val="superscript"/>
              </w:rPr>
              <w:t>-6</w:t>
            </w:r>
            <w:r w:rsidR="00DF4106" w:rsidRPr="00FF2046">
              <w:rPr>
                <w:rFonts w:eastAsia="Times New Roman" w:cs="Times New Roman"/>
                <w:sz w:val="20"/>
                <w:szCs w:val="20"/>
              </w:rPr>
              <w:t>)</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2659C4C8" w14:textId="14113592" w:rsidR="006F2ADC" w:rsidRPr="00FF2046" w:rsidRDefault="006F2ADC" w:rsidP="00397149">
            <w:pPr>
              <w:jc w:val="center"/>
              <w:rPr>
                <w:rFonts w:eastAsia="Times New Roman" w:cs="Times New Roman"/>
                <w:sz w:val="20"/>
                <w:szCs w:val="20"/>
              </w:rPr>
            </w:pPr>
            <w:r w:rsidRPr="00FF2046">
              <w:rPr>
                <w:rFonts w:eastAsia="Times New Roman" w:cs="Times New Roman"/>
                <w:sz w:val="20"/>
                <w:szCs w:val="20"/>
              </w:rPr>
              <w:t>1.5</w:t>
            </w:r>
            <w:r w:rsidR="0090015D">
              <w:rPr>
                <w:rFonts w:eastAsia="Times New Roman" w:cs="Times New Roman"/>
                <w:sz w:val="20"/>
                <w:szCs w:val="20"/>
              </w:rPr>
              <w:t>70</w:t>
            </w:r>
          </w:p>
        </w:tc>
        <w:tc>
          <w:tcPr>
            <w:tcW w:w="284" w:type="pct"/>
            <w:tcBorders>
              <w:top w:val="nil"/>
              <w:left w:val="nil"/>
              <w:bottom w:val="single" w:sz="4" w:space="0" w:color="auto"/>
              <w:right w:val="double" w:sz="6" w:space="0" w:color="auto"/>
            </w:tcBorders>
            <w:shd w:val="clear" w:color="auto" w:fill="auto"/>
            <w:noWrap/>
            <w:vAlign w:val="center"/>
            <w:hideMark/>
          </w:tcPr>
          <w:p w14:paraId="5CDEFE8D" w14:textId="4DC8CEE0"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8.94</w:t>
            </w:r>
          </w:p>
        </w:tc>
        <w:tc>
          <w:tcPr>
            <w:tcW w:w="377" w:type="pct"/>
            <w:tcBorders>
              <w:top w:val="nil"/>
              <w:left w:val="nil"/>
              <w:bottom w:val="single" w:sz="4" w:space="0" w:color="auto"/>
              <w:right w:val="single" w:sz="4" w:space="0" w:color="auto"/>
            </w:tcBorders>
            <w:shd w:val="clear" w:color="auto" w:fill="auto"/>
            <w:noWrap/>
            <w:vAlign w:val="center"/>
            <w:hideMark/>
          </w:tcPr>
          <w:p w14:paraId="71D85584" w14:textId="59BD5A5E"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84" w:type="pct"/>
            <w:tcBorders>
              <w:top w:val="nil"/>
              <w:left w:val="nil"/>
              <w:bottom w:val="single" w:sz="4" w:space="0" w:color="auto"/>
              <w:right w:val="single" w:sz="4" w:space="0" w:color="auto"/>
            </w:tcBorders>
            <w:shd w:val="clear" w:color="auto" w:fill="auto"/>
            <w:noWrap/>
            <w:vAlign w:val="center"/>
            <w:hideMark/>
          </w:tcPr>
          <w:p w14:paraId="1355912E" w14:textId="5AC13683"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54AF5EA9" w14:textId="3B579150"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66CF6823" w14:textId="0EAA7365"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3DDAF263" w14:textId="07BA2DF9"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single" w:sz="4" w:space="0" w:color="auto"/>
              <w:right w:val="double" w:sz="6" w:space="0" w:color="auto"/>
            </w:tcBorders>
            <w:shd w:val="clear" w:color="auto" w:fill="auto"/>
            <w:noWrap/>
            <w:vAlign w:val="center"/>
            <w:hideMark/>
          </w:tcPr>
          <w:p w14:paraId="13919A7B" w14:textId="03280C7D"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r>
      <w:tr w:rsidR="009C4A43" w:rsidRPr="00FF2046" w14:paraId="12423A27"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58DF1EA1" w14:textId="4C09DD4F" w:rsidR="006F2ADC" w:rsidRPr="00FF2046" w:rsidRDefault="006F2ADC" w:rsidP="006F2ADC">
            <w:pPr>
              <w:jc w:val="left"/>
              <w:rPr>
                <w:rFonts w:eastAsia="Times New Roman" w:cs="Times New Roman"/>
                <w:sz w:val="20"/>
                <w:szCs w:val="20"/>
              </w:rPr>
            </w:pPr>
            <w:r w:rsidRPr="00FF2046">
              <w:rPr>
                <w:rFonts w:eastAsia="Times New Roman" w:cs="Times New Roman"/>
                <w:sz w:val="20"/>
                <w:szCs w:val="20"/>
              </w:rPr>
              <w:t>Park Area</w:t>
            </w:r>
            <w:r w:rsidR="00DF4106" w:rsidRPr="00FF2046">
              <w:rPr>
                <w:rFonts w:eastAsia="Times New Roman" w:cs="Times New Roman"/>
                <w:sz w:val="20"/>
                <w:szCs w:val="20"/>
              </w:rPr>
              <w:t xml:space="preserve"> (</w:t>
            </w:r>
            <w:r w:rsidR="00091D86" w:rsidRPr="00FF2046">
              <w:rPr>
                <w:rFonts w:eastAsia="Times New Roman" w:cs="Times New Roman"/>
                <w:sz w:val="20"/>
                <w:szCs w:val="20"/>
              </w:rPr>
              <w:t>m</w:t>
            </w:r>
            <w:r w:rsidR="00091D86" w:rsidRPr="00FF2046">
              <w:rPr>
                <w:rFonts w:eastAsia="Times New Roman" w:cs="Times New Roman"/>
                <w:sz w:val="20"/>
                <w:szCs w:val="20"/>
                <w:vertAlign w:val="superscript"/>
              </w:rPr>
              <w:t xml:space="preserve">2 </w:t>
            </w:r>
            <w:r w:rsidR="00DF4106" w:rsidRPr="00FF2046">
              <w:rPr>
                <w:rFonts w:eastAsia="Times New Roman" w:cs="Times New Roman"/>
                <w:sz w:val="20"/>
                <w:szCs w:val="20"/>
              </w:rPr>
              <w:t>x</w:t>
            </w:r>
            <w:r w:rsidR="006F0AD1" w:rsidRPr="00FF2046">
              <w:rPr>
                <w:rFonts w:eastAsia="Times New Roman" w:cs="Times New Roman"/>
                <w:sz w:val="20"/>
                <w:szCs w:val="20"/>
              </w:rPr>
              <w:t xml:space="preserve"> </w:t>
            </w:r>
            <w:r w:rsidR="00DF4106" w:rsidRPr="00FF2046">
              <w:rPr>
                <w:rFonts w:eastAsia="Times New Roman" w:cs="Times New Roman"/>
                <w:sz w:val="20"/>
                <w:szCs w:val="20"/>
              </w:rPr>
              <w:t>10</w:t>
            </w:r>
            <w:r w:rsidR="00520759" w:rsidRPr="00FF2046">
              <w:rPr>
                <w:rFonts w:eastAsia="Times New Roman" w:cs="Times New Roman"/>
                <w:sz w:val="20"/>
                <w:szCs w:val="20"/>
                <w:vertAlign w:val="superscript"/>
              </w:rPr>
              <w:t>-6</w:t>
            </w:r>
            <w:r w:rsidR="00DF4106" w:rsidRPr="00FF2046">
              <w:rPr>
                <w:rFonts w:eastAsia="Times New Roman" w:cs="Times New Roman"/>
                <w:sz w:val="20"/>
                <w:szCs w:val="20"/>
              </w:rPr>
              <w:t>)</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02A6FE74" w14:textId="2661A4F2"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1.48</w:t>
            </w:r>
            <w:r w:rsidR="007E6DBA" w:rsidRPr="00FF2046">
              <w:rPr>
                <w:rFonts w:eastAsia="Times New Roman" w:cs="Times New Roman"/>
                <w:sz w:val="20"/>
                <w:szCs w:val="20"/>
              </w:rPr>
              <w:t>4</w:t>
            </w:r>
          </w:p>
        </w:tc>
        <w:tc>
          <w:tcPr>
            <w:tcW w:w="284" w:type="pct"/>
            <w:tcBorders>
              <w:top w:val="nil"/>
              <w:left w:val="nil"/>
              <w:bottom w:val="single" w:sz="4" w:space="0" w:color="auto"/>
              <w:right w:val="double" w:sz="6" w:space="0" w:color="auto"/>
            </w:tcBorders>
            <w:shd w:val="clear" w:color="auto" w:fill="auto"/>
            <w:noWrap/>
            <w:vAlign w:val="center"/>
            <w:hideMark/>
          </w:tcPr>
          <w:p w14:paraId="5B7C5432" w14:textId="2BB554EC"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10.22</w:t>
            </w:r>
          </w:p>
        </w:tc>
        <w:tc>
          <w:tcPr>
            <w:tcW w:w="377" w:type="pct"/>
            <w:tcBorders>
              <w:top w:val="nil"/>
              <w:left w:val="nil"/>
              <w:bottom w:val="single" w:sz="4" w:space="0" w:color="auto"/>
              <w:right w:val="single" w:sz="4" w:space="0" w:color="auto"/>
            </w:tcBorders>
            <w:shd w:val="clear" w:color="auto" w:fill="auto"/>
            <w:noWrap/>
            <w:vAlign w:val="center"/>
            <w:hideMark/>
          </w:tcPr>
          <w:p w14:paraId="4BB6FAE0" w14:textId="307D177A"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16.665</w:t>
            </w:r>
          </w:p>
        </w:tc>
        <w:tc>
          <w:tcPr>
            <w:tcW w:w="284" w:type="pct"/>
            <w:tcBorders>
              <w:top w:val="nil"/>
              <w:left w:val="nil"/>
              <w:bottom w:val="single" w:sz="4" w:space="0" w:color="auto"/>
              <w:right w:val="single" w:sz="4" w:space="0" w:color="auto"/>
            </w:tcBorders>
            <w:shd w:val="clear" w:color="auto" w:fill="auto"/>
            <w:noWrap/>
            <w:vAlign w:val="center"/>
            <w:hideMark/>
          </w:tcPr>
          <w:p w14:paraId="45C345C1" w14:textId="4BADE947"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4.89</w:t>
            </w:r>
          </w:p>
        </w:tc>
        <w:tc>
          <w:tcPr>
            <w:tcW w:w="377" w:type="pct"/>
            <w:tcBorders>
              <w:top w:val="nil"/>
              <w:left w:val="nil"/>
              <w:bottom w:val="nil"/>
              <w:right w:val="single" w:sz="4" w:space="0" w:color="auto"/>
            </w:tcBorders>
            <w:shd w:val="clear" w:color="auto" w:fill="auto"/>
            <w:noWrap/>
            <w:vAlign w:val="center"/>
            <w:hideMark/>
          </w:tcPr>
          <w:p w14:paraId="6F57E9E8" w14:textId="35664BF7"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-5.302</w:t>
            </w:r>
          </w:p>
        </w:tc>
        <w:tc>
          <w:tcPr>
            <w:tcW w:w="285" w:type="pct"/>
            <w:tcBorders>
              <w:top w:val="nil"/>
              <w:left w:val="nil"/>
              <w:bottom w:val="single" w:sz="4" w:space="0" w:color="auto"/>
              <w:right w:val="single" w:sz="4" w:space="0" w:color="auto"/>
            </w:tcBorders>
            <w:shd w:val="clear" w:color="auto" w:fill="auto"/>
            <w:noWrap/>
            <w:vAlign w:val="center"/>
            <w:hideMark/>
          </w:tcPr>
          <w:p w14:paraId="1AB55F98" w14:textId="2EA11EE7"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-2.43</w:t>
            </w:r>
          </w:p>
        </w:tc>
        <w:tc>
          <w:tcPr>
            <w:tcW w:w="377" w:type="pct"/>
            <w:tcBorders>
              <w:top w:val="nil"/>
              <w:left w:val="nil"/>
              <w:bottom w:val="single" w:sz="4" w:space="0" w:color="auto"/>
              <w:right w:val="single" w:sz="4" w:space="0" w:color="auto"/>
            </w:tcBorders>
            <w:shd w:val="clear" w:color="auto" w:fill="auto"/>
            <w:noWrap/>
            <w:vAlign w:val="center"/>
            <w:hideMark/>
          </w:tcPr>
          <w:p w14:paraId="3B211CDE" w14:textId="18D40077"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single" w:sz="4" w:space="0" w:color="auto"/>
              <w:right w:val="double" w:sz="6" w:space="0" w:color="auto"/>
            </w:tcBorders>
            <w:shd w:val="clear" w:color="auto" w:fill="auto"/>
            <w:noWrap/>
            <w:vAlign w:val="center"/>
            <w:hideMark/>
          </w:tcPr>
          <w:p w14:paraId="005D318A" w14:textId="018426AD" w:rsidR="006F2ADC" w:rsidRPr="00FF2046" w:rsidRDefault="006F2ADC" w:rsidP="006F2ADC">
            <w:pPr>
              <w:jc w:val="center"/>
              <w:rPr>
                <w:rFonts w:eastAsia="Times New Roman" w:cs="Times New Roman"/>
                <w:sz w:val="20"/>
                <w:szCs w:val="20"/>
              </w:rPr>
            </w:pPr>
            <w:r w:rsidRPr="00FF2046">
              <w:rPr>
                <w:rFonts w:eastAsia="Times New Roman" w:cs="Times New Roman"/>
                <w:sz w:val="20"/>
                <w:szCs w:val="20"/>
              </w:rPr>
              <w:t>--- </w:t>
            </w:r>
          </w:p>
        </w:tc>
      </w:tr>
      <w:tr w:rsidR="000B2199" w:rsidRPr="00FF2046" w14:paraId="4A27DE99"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11BD946F" w14:textId="77777777" w:rsidR="000B2199" w:rsidRPr="00FF2046" w:rsidRDefault="000B2199" w:rsidP="000B2199">
            <w:pPr>
              <w:jc w:val="left"/>
              <w:rPr>
                <w:rFonts w:eastAsia="Times New Roman" w:cs="Times New Roman"/>
                <w:sz w:val="20"/>
                <w:szCs w:val="20"/>
              </w:rPr>
            </w:pPr>
            <w:r w:rsidRPr="00FF2046">
              <w:rPr>
                <w:rFonts w:eastAsia="Times New Roman" w:cs="Times New Roman"/>
                <w:sz w:val="20"/>
                <w:szCs w:val="20"/>
              </w:rPr>
              <w:t>Airport Indicator</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30F412E4" w14:textId="77777777"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0.723</w:t>
            </w:r>
          </w:p>
        </w:tc>
        <w:tc>
          <w:tcPr>
            <w:tcW w:w="284" w:type="pct"/>
            <w:tcBorders>
              <w:top w:val="nil"/>
              <w:left w:val="nil"/>
              <w:bottom w:val="single" w:sz="4" w:space="0" w:color="auto"/>
              <w:right w:val="double" w:sz="6" w:space="0" w:color="auto"/>
            </w:tcBorders>
            <w:shd w:val="clear" w:color="auto" w:fill="auto"/>
            <w:noWrap/>
            <w:vAlign w:val="center"/>
            <w:hideMark/>
          </w:tcPr>
          <w:p w14:paraId="1E857314" w14:textId="6687AAA3"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35.99</w:t>
            </w:r>
          </w:p>
        </w:tc>
        <w:tc>
          <w:tcPr>
            <w:tcW w:w="377" w:type="pct"/>
            <w:tcBorders>
              <w:top w:val="nil"/>
              <w:left w:val="nil"/>
              <w:bottom w:val="single" w:sz="4" w:space="0" w:color="auto"/>
              <w:right w:val="single" w:sz="4" w:space="0" w:color="auto"/>
            </w:tcBorders>
            <w:shd w:val="clear" w:color="auto" w:fill="auto"/>
            <w:noWrap/>
            <w:vAlign w:val="center"/>
          </w:tcPr>
          <w:p w14:paraId="009C7F71" w14:textId="4E394FCD" w:rsidR="000B2199" w:rsidRPr="00FF2046" w:rsidRDefault="000B2199" w:rsidP="000B2199">
            <w:pPr>
              <w:jc w:val="center"/>
              <w:rPr>
                <w:rFonts w:eastAsia="Times New Roman" w:cs="Times New Roman"/>
                <w:sz w:val="20"/>
                <w:szCs w:val="20"/>
              </w:rPr>
            </w:pPr>
            <w:r w:rsidRPr="00FF2046">
              <w:rPr>
                <w:sz w:val="20"/>
                <w:szCs w:val="20"/>
              </w:rPr>
              <w:t>3.511</w:t>
            </w:r>
          </w:p>
        </w:tc>
        <w:tc>
          <w:tcPr>
            <w:tcW w:w="284" w:type="pct"/>
            <w:tcBorders>
              <w:top w:val="nil"/>
              <w:left w:val="nil"/>
              <w:bottom w:val="single" w:sz="4" w:space="0" w:color="auto"/>
              <w:right w:val="nil"/>
            </w:tcBorders>
            <w:shd w:val="clear" w:color="auto" w:fill="auto"/>
            <w:noWrap/>
            <w:vAlign w:val="center"/>
          </w:tcPr>
          <w:p w14:paraId="0ED1B5DF" w14:textId="5E3234FA" w:rsidR="000B2199" w:rsidRPr="00FF2046" w:rsidRDefault="000B2199" w:rsidP="000B2199">
            <w:pPr>
              <w:jc w:val="center"/>
              <w:rPr>
                <w:rFonts w:eastAsia="Times New Roman" w:cs="Times New Roman"/>
                <w:sz w:val="20"/>
                <w:szCs w:val="20"/>
              </w:rPr>
            </w:pPr>
            <w:r w:rsidRPr="00FF2046">
              <w:rPr>
                <w:sz w:val="20"/>
                <w:szCs w:val="20"/>
              </w:rPr>
              <w:t>9.47</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AD8BF" w14:textId="127F2C9C"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5299E739" w14:textId="12191559"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75485101" w14:textId="21110150"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single" w:sz="4" w:space="0" w:color="auto"/>
              <w:right w:val="double" w:sz="6" w:space="0" w:color="auto"/>
            </w:tcBorders>
            <w:shd w:val="clear" w:color="auto" w:fill="auto"/>
            <w:noWrap/>
            <w:vAlign w:val="center"/>
            <w:hideMark/>
          </w:tcPr>
          <w:p w14:paraId="72588D0B" w14:textId="602DBA5B"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 </w:t>
            </w:r>
          </w:p>
        </w:tc>
      </w:tr>
      <w:tr w:rsidR="000B2199" w:rsidRPr="00FF2046" w14:paraId="1B839E08"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76937A4E" w14:textId="48241203" w:rsidR="000B2199" w:rsidRPr="00FF2046" w:rsidRDefault="000B2199" w:rsidP="000B2199">
            <w:pPr>
              <w:jc w:val="left"/>
              <w:rPr>
                <w:rFonts w:eastAsia="Times New Roman" w:cs="Times New Roman"/>
                <w:sz w:val="20"/>
                <w:szCs w:val="20"/>
              </w:rPr>
            </w:pPr>
            <w:r w:rsidRPr="00FF2046">
              <w:rPr>
                <w:rFonts w:eastAsia="Times New Roman" w:cs="Times New Roman"/>
                <w:sz w:val="20"/>
                <w:szCs w:val="20"/>
              </w:rPr>
              <w:t>Airport Distance (m x 10</w:t>
            </w:r>
            <w:r w:rsidRPr="00FF2046">
              <w:rPr>
                <w:rFonts w:eastAsia="Times New Roman" w:cs="Times New Roman"/>
                <w:sz w:val="20"/>
                <w:szCs w:val="20"/>
                <w:vertAlign w:val="superscript"/>
              </w:rPr>
              <w:t>-3</w:t>
            </w:r>
            <w:r w:rsidRPr="00FF2046">
              <w:rPr>
                <w:rFonts w:eastAsia="Times New Roman" w:cs="Times New Roman"/>
                <w:sz w:val="20"/>
                <w:szCs w:val="20"/>
              </w:rPr>
              <w:t>)</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12C803AA" w14:textId="0B018CAB"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4.089</w:t>
            </w:r>
          </w:p>
        </w:tc>
        <w:tc>
          <w:tcPr>
            <w:tcW w:w="284" w:type="pct"/>
            <w:tcBorders>
              <w:top w:val="nil"/>
              <w:left w:val="nil"/>
              <w:bottom w:val="single" w:sz="4" w:space="0" w:color="auto"/>
              <w:right w:val="double" w:sz="6" w:space="0" w:color="auto"/>
            </w:tcBorders>
            <w:shd w:val="clear" w:color="auto" w:fill="auto"/>
            <w:noWrap/>
            <w:vAlign w:val="center"/>
            <w:hideMark/>
          </w:tcPr>
          <w:p w14:paraId="1E415804" w14:textId="7DAA254C"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60.66</w:t>
            </w:r>
          </w:p>
        </w:tc>
        <w:tc>
          <w:tcPr>
            <w:tcW w:w="377" w:type="pct"/>
            <w:tcBorders>
              <w:top w:val="nil"/>
              <w:left w:val="nil"/>
              <w:bottom w:val="single" w:sz="4" w:space="0" w:color="auto"/>
              <w:right w:val="single" w:sz="4" w:space="0" w:color="auto"/>
            </w:tcBorders>
            <w:shd w:val="clear" w:color="auto" w:fill="auto"/>
            <w:noWrap/>
            <w:vAlign w:val="center"/>
            <w:hideMark/>
          </w:tcPr>
          <w:p w14:paraId="4BDA6154" w14:textId="3A83D2BD"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 ---</w:t>
            </w:r>
          </w:p>
        </w:tc>
        <w:tc>
          <w:tcPr>
            <w:tcW w:w="284" w:type="pct"/>
            <w:tcBorders>
              <w:top w:val="nil"/>
              <w:left w:val="nil"/>
              <w:bottom w:val="single" w:sz="4" w:space="0" w:color="auto"/>
              <w:right w:val="single" w:sz="4" w:space="0" w:color="auto"/>
            </w:tcBorders>
            <w:shd w:val="clear" w:color="auto" w:fill="auto"/>
            <w:noWrap/>
            <w:vAlign w:val="center"/>
            <w:hideMark/>
          </w:tcPr>
          <w:p w14:paraId="13D49F1F" w14:textId="07D0768C"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5EE9264D" w14:textId="26B72338"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316F4119" w14:textId="4DC0FEDA"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14212FDB" w14:textId="77777777"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0.313</w:t>
            </w:r>
          </w:p>
        </w:tc>
        <w:tc>
          <w:tcPr>
            <w:tcW w:w="258" w:type="pct"/>
            <w:tcBorders>
              <w:top w:val="nil"/>
              <w:left w:val="nil"/>
              <w:bottom w:val="single" w:sz="4" w:space="0" w:color="auto"/>
              <w:right w:val="double" w:sz="6" w:space="0" w:color="auto"/>
            </w:tcBorders>
            <w:shd w:val="clear" w:color="auto" w:fill="auto"/>
            <w:noWrap/>
            <w:vAlign w:val="center"/>
            <w:hideMark/>
          </w:tcPr>
          <w:p w14:paraId="58359AE1" w14:textId="796DC4FF" w:rsidR="000B2199" w:rsidRPr="00FF2046" w:rsidRDefault="000B2199" w:rsidP="000B2199">
            <w:pPr>
              <w:jc w:val="center"/>
              <w:rPr>
                <w:rFonts w:eastAsia="Times New Roman" w:cs="Times New Roman"/>
                <w:sz w:val="20"/>
                <w:szCs w:val="20"/>
              </w:rPr>
            </w:pPr>
            <w:r w:rsidRPr="00FF2046">
              <w:rPr>
                <w:rFonts w:eastAsia="Times New Roman" w:cs="Times New Roman"/>
                <w:sz w:val="20"/>
                <w:szCs w:val="20"/>
              </w:rPr>
              <w:t>2.63</w:t>
            </w:r>
          </w:p>
        </w:tc>
      </w:tr>
      <w:tr w:rsidR="007B469F" w:rsidRPr="00FF2046" w14:paraId="09E0C808"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tcPr>
          <w:p w14:paraId="2101FB5A" w14:textId="0BDC9964" w:rsidR="007B469F" w:rsidRPr="00FF2046" w:rsidRDefault="007B469F" w:rsidP="007B469F">
            <w:pPr>
              <w:jc w:val="left"/>
              <w:rPr>
                <w:rFonts w:eastAsia="Times New Roman" w:cs="Times New Roman"/>
                <w:sz w:val="20"/>
                <w:szCs w:val="20"/>
              </w:rPr>
            </w:pPr>
            <w:r w:rsidRPr="00FF2046">
              <w:rPr>
                <w:rFonts w:eastAsia="Times New Roman" w:cs="Times New Roman"/>
                <w:sz w:val="20"/>
                <w:szCs w:val="20"/>
              </w:rPr>
              <w:t>Times Square Distance (m x 10</w:t>
            </w:r>
            <w:r w:rsidRPr="00FF2046">
              <w:rPr>
                <w:rFonts w:eastAsia="Times New Roman" w:cs="Times New Roman"/>
                <w:sz w:val="20"/>
                <w:szCs w:val="20"/>
                <w:vertAlign w:val="superscript"/>
              </w:rPr>
              <w:t>-3</w:t>
            </w:r>
            <w:r w:rsidRPr="00FF2046">
              <w:rPr>
                <w:rFonts w:eastAsia="Times New Roman" w:cs="Times New Roman"/>
                <w:sz w:val="20"/>
                <w:szCs w:val="20"/>
              </w:rPr>
              <w:t>)</w:t>
            </w:r>
          </w:p>
        </w:tc>
        <w:tc>
          <w:tcPr>
            <w:tcW w:w="377" w:type="pct"/>
            <w:tcBorders>
              <w:top w:val="nil"/>
              <w:left w:val="double" w:sz="6" w:space="0" w:color="auto"/>
              <w:bottom w:val="single" w:sz="4" w:space="0" w:color="auto"/>
              <w:right w:val="single" w:sz="4" w:space="0" w:color="auto"/>
            </w:tcBorders>
            <w:shd w:val="clear" w:color="auto" w:fill="auto"/>
            <w:noWrap/>
            <w:vAlign w:val="center"/>
          </w:tcPr>
          <w:p w14:paraId="641475E0" w14:textId="28F553B7"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-1.047</w:t>
            </w:r>
          </w:p>
        </w:tc>
        <w:tc>
          <w:tcPr>
            <w:tcW w:w="284" w:type="pct"/>
            <w:tcBorders>
              <w:top w:val="nil"/>
              <w:left w:val="nil"/>
              <w:bottom w:val="single" w:sz="4" w:space="0" w:color="auto"/>
              <w:right w:val="double" w:sz="6" w:space="0" w:color="auto"/>
            </w:tcBorders>
            <w:shd w:val="clear" w:color="auto" w:fill="auto"/>
            <w:noWrap/>
            <w:vAlign w:val="center"/>
          </w:tcPr>
          <w:p w14:paraId="7FFAFC78" w14:textId="66996AC5"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-35.77</w:t>
            </w:r>
          </w:p>
        </w:tc>
        <w:tc>
          <w:tcPr>
            <w:tcW w:w="377" w:type="pct"/>
            <w:tcBorders>
              <w:top w:val="nil"/>
              <w:left w:val="nil"/>
              <w:bottom w:val="single" w:sz="4" w:space="0" w:color="auto"/>
              <w:right w:val="single" w:sz="4" w:space="0" w:color="auto"/>
            </w:tcBorders>
            <w:shd w:val="clear" w:color="auto" w:fill="auto"/>
            <w:noWrap/>
            <w:vAlign w:val="center"/>
          </w:tcPr>
          <w:p w14:paraId="5AB48F96" w14:textId="26A1F8DC"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-2.384</w:t>
            </w:r>
          </w:p>
        </w:tc>
        <w:tc>
          <w:tcPr>
            <w:tcW w:w="284" w:type="pct"/>
            <w:tcBorders>
              <w:top w:val="nil"/>
              <w:left w:val="nil"/>
              <w:bottom w:val="single" w:sz="4" w:space="0" w:color="auto"/>
              <w:right w:val="single" w:sz="4" w:space="0" w:color="auto"/>
            </w:tcBorders>
            <w:shd w:val="clear" w:color="auto" w:fill="auto"/>
            <w:noWrap/>
            <w:vAlign w:val="center"/>
          </w:tcPr>
          <w:p w14:paraId="5BF56168" w14:textId="2ED4DBFA"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-14.33</w:t>
            </w:r>
          </w:p>
        </w:tc>
        <w:tc>
          <w:tcPr>
            <w:tcW w:w="377" w:type="pct"/>
            <w:tcBorders>
              <w:top w:val="nil"/>
              <w:left w:val="nil"/>
              <w:bottom w:val="single" w:sz="4" w:space="0" w:color="auto"/>
              <w:right w:val="single" w:sz="4" w:space="0" w:color="auto"/>
            </w:tcBorders>
            <w:shd w:val="clear" w:color="auto" w:fill="auto"/>
            <w:noWrap/>
            <w:vAlign w:val="center"/>
          </w:tcPr>
          <w:p w14:paraId="6FA6AC8B" w14:textId="3707C74F"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-0.511</w:t>
            </w:r>
          </w:p>
        </w:tc>
        <w:tc>
          <w:tcPr>
            <w:tcW w:w="285" w:type="pct"/>
            <w:tcBorders>
              <w:top w:val="nil"/>
              <w:left w:val="nil"/>
              <w:bottom w:val="single" w:sz="4" w:space="0" w:color="auto"/>
              <w:right w:val="single" w:sz="4" w:space="0" w:color="auto"/>
            </w:tcBorders>
            <w:shd w:val="clear" w:color="auto" w:fill="auto"/>
            <w:noWrap/>
            <w:vAlign w:val="center"/>
          </w:tcPr>
          <w:p w14:paraId="68364190" w14:textId="4075F219"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-2.65</w:t>
            </w:r>
          </w:p>
        </w:tc>
        <w:tc>
          <w:tcPr>
            <w:tcW w:w="377" w:type="pct"/>
            <w:tcBorders>
              <w:top w:val="nil"/>
              <w:left w:val="nil"/>
              <w:bottom w:val="single" w:sz="4" w:space="0" w:color="auto"/>
              <w:right w:val="single" w:sz="4" w:space="0" w:color="auto"/>
            </w:tcBorders>
            <w:shd w:val="clear" w:color="auto" w:fill="auto"/>
            <w:noWrap/>
            <w:vAlign w:val="center"/>
          </w:tcPr>
          <w:p w14:paraId="047E0EE7" w14:textId="07D57F1A"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single" w:sz="4" w:space="0" w:color="auto"/>
              <w:right w:val="double" w:sz="6" w:space="0" w:color="auto"/>
            </w:tcBorders>
            <w:shd w:val="clear" w:color="auto" w:fill="auto"/>
            <w:noWrap/>
            <w:vAlign w:val="center"/>
          </w:tcPr>
          <w:p w14:paraId="730E625F" w14:textId="2479D001"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r>
      <w:tr w:rsidR="007B469F" w:rsidRPr="00FF2046" w14:paraId="752779C8" w14:textId="77777777" w:rsidTr="00B73498">
        <w:trPr>
          <w:trHeight w:val="245"/>
        </w:trPr>
        <w:tc>
          <w:tcPr>
            <w:tcW w:w="2379" w:type="pct"/>
            <w:tcBorders>
              <w:top w:val="nil"/>
              <w:left w:val="double" w:sz="6" w:space="0" w:color="auto"/>
              <w:bottom w:val="double" w:sz="6" w:space="0" w:color="auto"/>
              <w:right w:val="nil"/>
            </w:tcBorders>
            <w:shd w:val="clear" w:color="auto" w:fill="auto"/>
            <w:noWrap/>
            <w:vAlign w:val="center"/>
          </w:tcPr>
          <w:p w14:paraId="235248CA" w14:textId="72D26C82" w:rsidR="007B469F" w:rsidRPr="00FF2046" w:rsidRDefault="007B469F" w:rsidP="007B469F">
            <w:pPr>
              <w:jc w:val="left"/>
              <w:rPr>
                <w:rFonts w:eastAsia="Times New Roman" w:cs="Times New Roman"/>
                <w:sz w:val="20"/>
                <w:szCs w:val="20"/>
              </w:rPr>
            </w:pPr>
            <w:r w:rsidRPr="00FF2046">
              <w:rPr>
                <w:rFonts w:eastAsia="Times New Roman" w:cs="Times New Roman"/>
                <w:sz w:val="20"/>
                <w:szCs w:val="20"/>
              </w:rPr>
              <w:t>Accident Density (x10</w:t>
            </w:r>
            <w:r w:rsidRPr="00FF2046">
              <w:rPr>
                <w:rFonts w:eastAsia="Times New Roman" w:cs="Times New Roman"/>
                <w:sz w:val="20"/>
                <w:szCs w:val="20"/>
                <w:vertAlign w:val="superscript"/>
              </w:rPr>
              <w:t>-3</w:t>
            </w:r>
            <w:r w:rsidRPr="00FF2046">
              <w:rPr>
                <w:rFonts w:eastAsia="Times New Roman" w:cs="Times New Roman"/>
                <w:sz w:val="20"/>
                <w:szCs w:val="20"/>
              </w:rPr>
              <w:t>)</w:t>
            </w:r>
          </w:p>
        </w:tc>
        <w:tc>
          <w:tcPr>
            <w:tcW w:w="377" w:type="pct"/>
            <w:tcBorders>
              <w:top w:val="nil"/>
              <w:left w:val="double" w:sz="6" w:space="0" w:color="auto"/>
              <w:bottom w:val="double" w:sz="6" w:space="0" w:color="auto"/>
              <w:right w:val="single" w:sz="4" w:space="0" w:color="auto"/>
            </w:tcBorders>
            <w:shd w:val="clear" w:color="auto" w:fill="auto"/>
            <w:noWrap/>
            <w:vAlign w:val="center"/>
          </w:tcPr>
          <w:p w14:paraId="26BF237C" w14:textId="5B7DFB89"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84" w:type="pct"/>
            <w:tcBorders>
              <w:top w:val="nil"/>
              <w:left w:val="nil"/>
              <w:bottom w:val="double" w:sz="6" w:space="0" w:color="auto"/>
              <w:right w:val="double" w:sz="6" w:space="0" w:color="auto"/>
            </w:tcBorders>
            <w:shd w:val="clear" w:color="auto" w:fill="auto"/>
            <w:noWrap/>
            <w:vAlign w:val="center"/>
          </w:tcPr>
          <w:p w14:paraId="0DC10512" w14:textId="0B278DD7"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double" w:sz="6" w:space="0" w:color="auto"/>
              <w:right w:val="single" w:sz="4" w:space="0" w:color="auto"/>
            </w:tcBorders>
            <w:shd w:val="clear" w:color="auto" w:fill="auto"/>
            <w:noWrap/>
            <w:vAlign w:val="center"/>
          </w:tcPr>
          <w:p w14:paraId="40EC3FC8" w14:textId="07792722"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84" w:type="pct"/>
            <w:tcBorders>
              <w:top w:val="nil"/>
              <w:left w:val="nil"/>
              <w:bottom w:val="double" w:sz="6" w:space="0" w:color="auto"/>
              <w:right w:val="single" w:sz="4" w:space="0" w:color="auto"/>
            </w:tcBorders>
            <w:shd w:val="clear" w:color="auto" w:fill="auto"/>
            <w:noWrap/>
            <w:vAlign w:val="center"/>
          </w:tcPr>
          <w:p w14:paraId="4257B6FE" w14:textId="4DDEF567"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double" w:sz="6" w:space="0" w:color="auto"/>
              <w:right w:val="single" w:sz="4" w:space="0" w:color="auto"/>
            </w:tcBorders>
            <w:shd w:val="clear" w:color="auto" w:fill="auto"/>
            <w:noWrap/>
            <w:vAlign w:val="center"/>
          </w:tcPr>
          <w:p w14:paraId="3A141839" w14:textId="7D795724"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-1.684</w:t>
            </w:r>
          </w:p>
        </w:tc>
        <w:tc>
          <w:tcPr>
            <w:tcW w:w="285" w:type="pct"/>
            <w:tcBorders>
              <w:top w:val="nil"/>
              <w:left w:val="nil"/>
              <w:bottom w:val="double" w:sz="6" w:space="0" w:color="auto"/>
              <w:right w:val="single" w:sz="4" w:space="0" w:color="auto"/>
            </w:tcBorders>
            <w:shd w:val="clear" w:color="auto" w:fill="auto"/>
            <w:noWrap/>
            <w:vAlign w:val="center"/>
          </w:tcPr>
          <w:p w14:paraId="2FF21667" w14:textId="33110168"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-2.53</w:t>
            </w:r>
          </w:p>
        </w:tc>
        <w:tc>
          <w:tcPr>
            <w:tcW w:w="377" w:type="pct"/>
            <w:tcBorders>
              <w:top w:val="nil"/>
              <w:left w:val="nil"/>
              <w:bottom w:val="double" w:sz="6" w:space="0" w:color="auto"/>
              <w:right w:val="single" w:sz="4" w:space="0" w:color="auto"/>
            </w:tcBorders>
            <w:shd w:val="clear" w:color="auto" w:fill="auto"/>
            <w:noWrap/>
            <w:vAlign w:val="center"/>
          </w:tcPr>
          <w:p w14:paraId="75524322" w14:textId="2E6FBA0A"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double" w:sz="6" w:space="0" w:color="auto"/>
              <w:right w:val="double" w:sz="6" w:space="0" w:color="auto"/>
            </w:tcBorders>
            <w:shd w:val="clear" w:color="auto" w:fill="auto"/>
            <w:noWrap/>
            <w:vAlign w:val="center"/>
          </w:tcPr>
          <w:p w14:paraId="6FE667C2" w14:textId="0F40E182"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r>
      <w:tr w:rsidR="007B469F" w:rsidRPr="00FF2046" w14:paraId="7374DCB7" w14:textId="77777777" w:rsidTr="00B73498">
        <w:trPr>
          <w:trHeight w:val="245"/>
        </w:trPr>
        <w:tc>
          <w:tcPr>
            <w:tcW w:w="5000" w:type="pct"/>
            <w:gridSpan w:val="9"/>
            <w:tcBorders>
              <w:top w:val="nil"/>
              <w:left w:val="double" w:sz="6" w:space="0" w:color="auto"/>
              <w:bottom w:val="nil"/>
              <w:right w:val="double" w:sz="6" w:space="0" w:color="000000"/>
            </w:tcBorders>
            <w:shd w:val="clear" w:color="auto" w:fill="auto"/>
            <w:noWrap/>
            <w:vAlign w:val="center"/>
            <w:hideMark/>
          </w:tcPr>
          <w:p w14:paraId="598C3908" w14:textId="77777777" w:rsidR="007B469F" w:rsidRPr="00FF2046" w:rsidRDefault="007B469F" w:rsidP="007B469F">
            <w:pPr>
              <w:jc w:val="left"/>
              <w:rPr>
                <w:rFonts w:eastAsia="Times New Roman" w:cs="Times New Roman"/>
                <w:b/>
                <w:bCs/>
                <w:sz w:val="20"/>
                <w:szCs w:val="20"/>
              </w:rPr>
            </w:pPr>
            <w:r w:rsidRPr="00FF2046">
              <w:rPr>
                <w:rFonts w:eastAsia="Times New Roman" w:cs="Times New Roman"/>
                <w:b/>
                <w:bCs/>
                <w:sz w:val="20"/>
                <w:szCs w:val="20"/>
              </w:rPr>
              <w:t>Transportation Infrastructure and Attributes</w:t>
            </w:r>
          </w:p>
        </w:tc>
      </w:tr>
      <w:tr w:rsidR="007B469F" w:rsidRPr="00FF2046" w14:paraId="6EC8E4DA" w14:textId="77777777" w:rsidTr="00B73498">
        <w:trPr>
          <w:trHeight w:val="245"/>
        </w:trPr>
        <w:tc>
          <w:tcPr>
            <w:tcW w:w="2379" w:type="pct"/>
            <w:tcBorders>
              <w:top w:val="double" w:sz="6" w:space="0" w:color="auto"/>
              <w:left w:val="double" w:sz="6" w:space="0" w:color="auto"/>
              <w:bottom w:val="single" w:sz="4" w:space="0" w:color="auto"/>
              <w:right w:val="nil"/>
            </w:tcBorders>
            <w:shd w:val="clear" w:color="auto" w:fill="auto"/>
            <w:noWrap/>
            <w:vAlign w:val="center"/>
            <w:hideMark/>
          </w:tcPr>
          <w:p w14:paraId="65445F80" w14:textId="77777777" w:rsidR="007B469F" w:rsidRPr="00FF2046" w:rsidRDefault="007B469F" w:rsidP="007B469F">
            <w:pPr>
              <w:jc w:val="left"/>
              <w:rPr>
                <w:rFonts w:eastAsia="Times New Roman" w:cs="Times New Roman"/>
                <w:sz w:val="20"/>
                <w:szCs w:val="20"/>
              </w:rPr>
            </w:pPr>
            <w:r w:rsidRPr="00FF2046">
              <w:rPr>
                <w:rFonts w:eastAsia="Times New Roman" w:cs="Times New Roman"/>
                <w:sz w:val="20"/>
                <w:szCs w:val="20"/>
              </w:rPr>
              <w:t>Bike Lane Density in Taxi Zone</w:t>
            </w:r>
          </w:p>
        </w:tc>
        <w:tc>
          <w:tcPr>
            <w:tcW w:w="377" w:type="pc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0B1097A1" w14:textId="315E4BF5"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-1.522</w:t>
            </w:r>
          </w:p>
        </w:tc>
        <w:tc>
          <w:tcPr>
            <w:tcW w:w="284" w:type="pct"/>
            <w:tcBorders>
              <w:top w:val="double" w:sz="6" w:space="0" w:color="auto"/>
              <w:left w:val="nil"/>
              <w:bottom w:val="single" w:sz="4" w:space="0" w:color="auto"/>
              <w:right w:val="double" w:sz="6" w:space="0" w:color="auto"/>
            </w:tcBorders>
            <w:shd w:val="clear" w:color="auto" w:fill="auto"/>
            <w:noWrap/>
            <w:vAlign w:val="center"/>
            <w:hideMark/>
          </w:tcPr>
          <w:p w14:paraId="1695C512" w14:textId="66C1612F"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-8.97</w:t>
            </w:r>
          </w:p>
        </w:tc>
        <w:tc>
          <w:tcPr>
            <w:tcW w:w="377" w:type="pct"/>
            <w:tcBorders>
              <w:top w:val="double" w:sz="6" w:space="0" w:color="auto"/>
              <w:left w:val="nil"/>
              <w:bottom w:val="single" w:sz="4" w:space="0" w:color="auto"/>
              <w:right w:val="single" w:sz="4" w:space="0" w:color="auto"/>
            </w:tcBorders>
            <w:shd w:val="clear" w:color="auto" w:fill="auto"/>
            <w:noWrap/>
            <w:vAlign w:val="center"/>
            <w:hideMark/>
          </w:tcPr>
          <w:p w14:paraId="0AB60541" w14:textId="18CECBDA"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-2.111</w:t>
            </w:r>
          </w:p>
        </w:tc>
        <w:tc>
          <w:tcPr>
            <w:tcW w:w="284" w:type="pct"/>
            <w:tcBorders>
              <w:top w:val="double" w:sz="6" w:space="0" w:color="auto"/>
              <w:left w:val="nil"/>
              <w:bottom w:val="single" w:sz="4" w:space="0" w:color="auto"/>
              <w:right w:val="single" w:sz="4" w:space="0" w:color="auto"/>
            </w:tcBorders>
            <w:shd w:val="clear" w:color="auto" w:fill="auto"/>
            <w:noWrap/>
            <w:vAlign w:val="center"/>
            <w:hideMark/>
          </w:tcPr>
          <w:p w14:paraId="03F44D8F" w14:textId="23C56C89"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-2.22</w:t>
            </w:r>
          </w:p>
        </w:tc>
        <w:tc>
          <w:tcPr>
            <w:tcW w:w="377" w:type="pct"/>
            <w:tcBorders>
              <w:top w:val="double" w:sz="6" w:space="0" w:color="auto"/>
              <w:left w:val="nil"/>
              <w:bottom w:val="single" w:sz="4" w:space="0" w:color="auto"/>
              <w:right w:val="single" w:sz="4" w:space="0" w:color="auto"/>
            </w:tcBorders>
            <w:shd w:val="clear" w:color="auto" w:fill="auto"/>
            <w:noWrap/>
            <w:vAlign w:val="center"/>
            <w:hideMark/>
          </w:tcPr>
          <w:p w14:paraId="4E500A3D" w14:textId="439CA1D1"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double" w:sz="6" w:space="0" w:color="auto"/>
              <w:left w:val="nil"/>
              <w:bottom w:val="single" w:sz="4" w:space="0" w:color="auto"/>
              <w:right w:val="single" w:sz="4" w:space="0" w:color="auto"/>
            </w:tcBorders>
            <w:shd w:val="clear" w:color="auto" w:fill="auto"/>
            <w:noWrap/>
            <w:vAlign w:val="center"/>
            <w:hideMark/>
          </w:tcPr>
          <w:p w14:paraId="6FA5B534" w14:textId="6263625F"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double" w:sz="6" w:space="0" w:color="auto"/>
              <w:left w:val="nil"/>
              <w:bottom w:val="single" w:sz="4" w:space="0" w:color="auto"/>
              <w:right w:val="single" w:sz="4" w:space="0" w:color="auto"/>
            </w:tcBorders>
            <w:shd w:val="clear" w:color="auto" w:fill="auto"/>
            <w:noWrap/>
            <w:vAlign w:val="center"/>
            <w:hideMark/>
          </w:tcPr>
          <w:p w14:paraId="43256D13" w14:textId="1BACA6A9"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double" w:sz="6" w:space="0" w:color="auto"/>
              <w:left w:val="nil"/>
              <w:bottom w:val="single" w:sz="4" w:space="0" w:color="auto"/>
              <w:right w:val="double" w:sz="6" w:space="0" w:color="auto"/>
            </w:tcBorders>
            <w:shd w:val="clear" w:color="auto" w:fill="auto"/>
            <w:noWrap/>
            <w:vAlign w:val="center"/>
            <w:hideMark/>
          </w:tcPr>
          <w:p w14:paraId="0DD63C03" w14:textId="2AE17F73"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r>
      <w:tr w:rsidR="007B469F" w:rsidRPr="00FF2046" w14:paraId="4E5B012F"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2C006E04" w14:textId="7C3BB71B" w:rsidR="007B469F" w:rsidRPr="00FF2046" w:rsidRDefault="007B469F" w:rsidP="007B469F">
            <w:pPr>
              <w:jc w:val="left"/>
              <w:rPr>
                <w:rFonts w:eastAsia="Times New Roman" w:cs="Times New Roman"/>
                <w:sz w:val="20"/>
                <w:szCs w:val="20"/>
              </w:rPr>
            </w:pPr>
            <w:r w:rsidRPr="00FF2046">
              <w:rPr>
                <w:rFonts w:eastAsia="Times New Roman" w:cs="Times New Roman"/>
                <w:sz w:val="20"/>
                <w:szCs w:val="20"/>
              </w:rPr>
              <w:t>Number of Bikeshare Stations in Taxi Zone (x10</w:t>
            </w:r>
            <w:r w:rsidRPr="00FF2046">
              <w:rPr>
                <w:rFonts w:eastAsia="Times New Roman" w:cs="Times New Roman"/>
                <w:sz w:val="20"/>
                <w:szCs w:val="20"/>
                <w:vertAlign w:val="superscript"/>
              </w:rPr>
              <w:t>-2</w:t>
            </w:r>
            <w:r w:rsidRPr="00FF2046">
              <w:rPr>
                <w:rFonts w:eastAsia="Times New Roman" w:cs="Times New Roman"/>
                <w:sz w:val="20"/>
                <w:szCs w:val="20"/>
              </w:rPr>
              <w:t>)</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27895BCF" w14:textId="0994CB33"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-0.059</w:t>
            </w:r>
          </w:p>
        </w:tc>
        <w:tc>
          <w:tcPr>
            <w:tcW w:w="284" w:type="pct"/>
            <w:tcBorders>
              <w:top w:val="nil"/>
              <w:left w:val="nil"/>
              <w:bottom w:val="single" w:sz="4" w:space="0" w:color="auto"/>
              <w:right w:val="double" w:sz="6" w:space="0" w:color="auto"/>
            </w:tcBorders>
            <w:shd w:val="clear" w:color="auto" w:fill="auto"/>
            <w:noWrap/>
            <w:vAlign w:val="center"/>
            <w:hideMark/>
          </w:tcPr>
          <w:p w14:paraId="5B93CB32" w14:textId="23BA2A02"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-2.65</w:t>
            </w:r>
          </w:p>
        </w:tc>
        <w:tc>
          <w:tcPr>
            <w:tcW w:w="377" w:type="pct"/>
            <w:tcBorders>
              <w:top w:val="nil"/>
              <w:left w:val="nil"/>
              <w:bottom w:val="single" w:sz="4" w:space="0" w:color="auto"/>
              <w:right w:val="single" w:sz="4" w:space="0" w:color="auto"/>
            </w:tcBorders>
            <w:shd w:val="clear" w:color="auto" w:fill="auto"/>
            <w:noWrap/>
            <w:vAlign w:val="center"/>
            <w:hideMark/>
          </w:tcPr>
          <w:p w14:paraId="4FE72371" w14:textId="5016BACE"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84" w:type="pct"/>
            <w:tcBorders>
              <w:top w:val="nil"/>
              <w:left w:val="nil"/>
              <w:bottom w:val="single" w:sz="4" w:space="0" w:color="auto"/>
              <w:right w:val="single" w:sz="4" w:space="0" w:color="auto"/>
            </w:tcBorders>
            <w:shd w:val="clear" w:color="auto" w:fill="auto"/>
            <w:noWrap/>
            <w:vAlign w:val="center"/>
            <w:hideMark/>
          </w:tcPr>
          <w:p w14:paraId="71477D90" w14:textId="69BE7B45"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5EA90382" w14:textId="53C36AC8"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-0.322</w:t>
            </w:r>
          </w:p>
        </w:tc>
        <w:tc>
          <w:tcPr>
            <w:tcW w:w="285" w:type="pct"/>
            <w:tcBorders>
              <w:top w:val="nil"/>
              <w:left w:val="nil"/>
              <w:bottom w:val="single" w:sz="4" w:space="0" w:color="auto"/>
              <w:right w:val="single" w:sz="4" w:space="0" w:color="auto"/>
            </w:tcBorders>
            <w:shd w:val="clear" w:color="auto" w:fill="auto"/>
            <w:noWrap/>
            <w:vAlign w:val="center"/>
            <w:hideMark/>
          </w:tcPr>
          <w:p w14:paraId="14F8785B" w14:textId="67E188C7"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-1.97</w:t>
            </w:r>
          </w:p>
        </w:tc>
        <w:tc>
          <w:tcPr>
            <w:tcW w:w="377" w:type="pct"/>
            <w:tcBorders>
              <w:top w:val="nil"/>
              <w:left w:val="nil"/>
              <w:bottom w:val="single" w:sz="4" w:space="0" w:color="auto"/>
              <w:right w:val="single" w:sz="4" w:space="0" w:color="auto"/>
            </w:tcBorders>
            <w:shd w:val="clear" w:color="auto" w:fill="auto"/>
            <w:noWrap/>
            <w:vAlign w:val="center"/>
            <w:hideMark/>
          </w:tcPr>
          <w:p w14:paraId="1B2E04A4" w14:textId="407AEA9D"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single" w:sz="4" w:space="0" w:color="auto"/>
              <w:right w:val="double" w:sz="6" w:space="0" w:color="auto"/>
            </w:tcBorders>
            <w:shd w:val="clear" w:color="auto" w:fill="auto"/>
            <w:noWrap/>
            <w:vAlign w:val="center"/>
            <w:hideMark/>
          </w:tcPr>
          <w:p w14:paraId="4F74C94A" w14:textId="51D50976"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r>
      <w:tr w:rsidR="007B469F" w:rsidRPr="00FF2046" w14:paraId="7051810F"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14495818" w14:textId="2F9EBDB1" w:rsidR="007B469F" w:rsidRPr="00FF2046" w:rsidRDefault="007B469F" w:rsidP="007B469F">
            <w:pPr>
              <w:jc w:val="left"/>
              <w:rPr>
                <w:rFonts w:eastAsia="Times New Roman" w:cs="Times New Roman"/>
                <w:sz w:val="20"/>
                <w:szCs w:val="20"/>
              </w:rPr>
            </w:pPr>
            <w:r w:rsidRPr="00FF2046">
              <w:rPr>
                <w:rFonts w:eastAsia="Times New Roman" w:cs="Times New Roman"/>
                <w:sz w:val="20"/>
                <w:szCs w:val="20"/>
              </w:rPr>
              <w:t>Street Length in Taxi Zone (m x 10</w:t>
            </w:r>
            <w:r w:rsidRPr="00FF2046">
              <w:rPr>
                <w:rFonts w:eastAsia="Times New Roman" w:cs="Times New Roman"/>
                <w:sz w:val="20"/>
                <w:szCs w:val="20"/>
                <w:vertAlign w:val="superscript"/>
              </w:rPr>
              <w:t>-3</w:t>
            </w:r>
            <w:r w:rsidRPr="00FF2046">
              <w:rPr>
                <w:rFonts w:eastAsia="Times New Roman" w:cs="Times New Roman"/>
                <w:sz w:val="20"/>
                <w:szCs w:val="20"/>
              </w:rPr>
              <w:t>)</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5CC55966" w14:textId="77777777"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0.401</w:t>
            </w:r>
          </w:p>
        </w:tc>
        <w:tc>
          <w:tcPr>
            <w:tcW w:w="284" w:type="pct"/>
            <w:tcBorders>
              <w:top w:val="nil"/>
              <w:left w:val="nil"/>
              <w:bottom w:val="single" w:sz="4" w:space="0" w:color="auto"/>
              <w:right w:val="double" w:sz="6" w:space="0" w:color="auto"/>
            </w:tcBorders>
            <w:shd w:val="clear" w:color="auto" w:fill="auto"/>
            <w:noWrap/>
            <w:vAlign w:val="center"/>
            <w:hideMark/>
          </w:tcPr>
          <w:p w14:paraId="1A037F3D" w14:textId="37EA51B7"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2.30</w:t>
            </w:r>
          </w:p>
        </w:tc>
        <w:tc>
          <w:tcPr>
            <w:tcW w:w="377" w:type="pct"/>
            <w:tcBorders>
              <w:top w:val="nil"/>
              <w:left w:val="nil"/>
              <w:bottom w:val="single" w:sz="4" w:space="0" w:color="auto"/>
              <w:right w:val="single" w:sz="4" w:space="0" w:color="auto"/>
            </w:tcBorders>
            <w:shd w:val="clear" w:color="auto" w:fill="auto"/>
            <w:noWrap/>
            <w:vAlign w:val="center"/>
            <w:hideMark/>
          </w:tcPr>
          <w:p w14:paraId="13351131" w14:textId="6B029E3F"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-10.183</w:t>
            </w:r>
          </w:p>
        </w:tc>
        <w:tc>
          <w:tcPr>
            <w:tcW w:w="284" w:type="pct"/>
            <w:tcBorders>
              <w:top w:val="nil"/>
              <w:left w:val="nil"/>
              <w:bottom w:val="single" w:sz="4" w:space="0" w:color="auto"/>
              <w:right w:val="single" w:sz="4" w:space="0" w:color="auto"/>
            </w:tcBorders>
            <w:shd w:val="clear" w:color="auto" w:fill="auto"/>
            <w:noWrap/>
            <w:vAlign w:val="center"/>
            <w:hideMark/>
          </w:tcPr>
          <w:p w14:paraId="75E149F5" w14:textId="1D0A0097"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-4.15</w:t>
            </w:r>
          </w:p>
        </w:tc>
        <w:tc>
          <w:tcPr>
            <w:tcW w:w="377" w:type="pct"/>
            <w:tcBorders>
              <w:top w:val="nil"/>
              <w:left w:val="nil"/>
              <w:bottom w:val="single" w:sz="4" w:space="0" w:color="auto"/>
              <w:right w:val="single" w:sz="4" w:space="0" w:color="auto"/>
            </w:tcBorders>
            <w:shd w:val="clear" w:color="auto" w:fill="auto"/>
            <w:noWrap/>
            <w:vAlign w:val="center"/>
            <w:hideMark/>
          </w:tcPr>
          <w:p w14:paraId="5EDF2EF1" w14:textId="60B3D622"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3318C5F8" w14:textId="79EF145A"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586F7C94" w14:textId="591EAE7E"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single" w:sz="4" w:space="0" w:color="auto"/>
              <w:right w:val="double" w:sz="6" w:space="0" w:color="auto"/>
            </w:tcBorders>
            <w:shd w:val="clear" w:color="auto" w:fill="auto"/>
            <w:noWrap/>
            <w:vAlign w:val="center"/>
            <w:hideMark/>
          </w:tcPr>
          <w:p w14:paraId="480B3087" w14:textId="1F2A6C7E"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r>
      <w:tr w:rsidR="007B469F" w:rsidRPr="00FF2046" w14:paraId="2D0AC2CE" w14:textId="77777777" w:rsidTr="00B73498">
        <w:trPr>
          <w:trHeight w:val="245"/>
        </w:trPr>
        <w:tc>
          <w:tcPr>
            <w:tcW w:w="2379" w:type="pct"/>
            <w:tcBorders>
              <w:top w:val="nil"/>
              <w:left w:val="double" w:sz="6" w:space="0" w:color="auto"/>
              <w:bottom w:val="double" w:sz="6" w:space="0" w:color="auto"/>
              <w:right w:val="nil"/>
            </w:tcBorders>
            <w:shd w:val="clear" w:color="auto" w:fill="auto"/>
            <w:noWrap/>
            <w:vAlign w:val="center"/>
            <w:hideMark/>
          </w:tcPr>
          <w:p w14:paraId="01D10A60" w14:textId="054D9E30" w:rsidR="007B469F" w:rsidRPr="00FF2046" w:rsidRDefault="007B469F" w:rsidP="007B469F">
            <w:pPr>
              <w:jc w:val="left"/>
              <w:rPr>
                <w:rFonts w:eastAsia="Times New Roman" w:cs="Times New Roman"/>
                <w:sz w:val="20"/>
                <w:szCs w:val="20"/>
              </w:rPr>
            </w:pPr>
            <w:r w:rsidRPr="00FF2046">
              <w:rPr>
                <w:rFonts w:eastAsia="Times New Roman" w:cs="Times New Roman"/>
                <w:sz w:val="20"/>
                <w:szCs w:val="20"/>
              </w:rPr>
              <w:t>Number of Bus Stops and Subway Stations in Taxi Zone (x10</w:t>
            </w:r>
            <w:r w:rsidRPr="00FF2046">
              <w:rPr>
                <w:rFonts w:eastAsia="Times New Roman" w:cs="Times New Roman"/>
                <w:sz w:val="20"/>
                <w:szCs w:val="20"/>
                <w:vertAlign w:val="superscript"/>
              </w:rPr>
              <w:t>-3</w:t>
            </w:r>
            <w:r w:rsidRPr="00FF2046">
              <w:rPr>
                <w:rFonts w:eastAsia="Times New Roman" w:cs="Times New Roman"/>
                <w:sz w:val="20"/>
                <w:szCs w:val="20"/>
              </w:rPr>
              <w:t>)</w:t>
            </w:r>
          </w:p>
        </w:tc>
        <w:tc>
          <w:tcPr>
            <w:tcW w:w="377" w:type="pct"/>
            <w:tcBorders>
              <w:top w:val="nil"/>
              <w:left w:val="double" w:sz="6" w:space="0" w:color="auto"/>
              <w:bottom w:val="double" w:sz="6" w:space="0" w:color="auto"/>
              <w:right w:val="single" w:sz="4" w:space="0" w:color="auto"/>
            </w:tcBorders>
            <w:shd w:val="clear" w:color="auto" w:fill="auto"/>
            <w:noWrap/>
            <w:vAlign w:val="center"/>
            <w:hideMark/>
          </w:tcPr>
          <w:p w14:paraId="4B87A3F8" w14:textId="77777777"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1.174</w:t>
            </w:r>
          </w:p>
        </w:tc>
        <w:tc>
          <w:tcPr>
            <w:tcW w:w="284" w:type="pct"/>
            <w:tcBorders>
              <w:top w:val="nil"/>
              <w:left w:val="nil"/>
              <w:bottom w:val="double" w:sz="6" w:space="0" w:color="auto"/>
              <w:right w:val="double" w:sz="6" w:space="0" w:color="auto"/>
            </w:tcBorders>
            <w:shd w:val="clear" w:color="auto" w:fill="auto"/>
            <w:noWrap/>
            <w:vAlign w:val="center"/>
            <w:hideMark/>
          </w:tcPr>
          <w:p w14:paraId="2DAA498C" w14:textId="334D9BCB"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62.35</w:t>
            </w:r>
          </w:p>
        </w:tc>
        <w:tc>
          <w:tcPr>
            <w:tcW w:w="377" w:type="pct"/>
            <w:tcBorders>
              <w:top w:val="nil"/>
              <w:left w:val="nil"/>
              <w:bottom w:val="double" w:sz="6" w:space="0" w:color="auto"/>
              <w:right w:val="single" w:sz="4" w:space="0" w:color="auto"/>
            </w:tcBorders>
            <w:shd w:val="clear" w:color="auto" w:fill="auto"/>
            <w:noWrap/>
            <w:vAlign w:val="center"/>
            <w:hideMark/>
          </w:tcPr>
          <w:p w14:paraId="78D45247" w14:textId="762A88C3"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-3.815</w:t>
            </w:r>
          </w:p>
        </w:tc>
        <w:tc>
          <w:tcPr>
            <w:tcW w:w="284" w:type="pct"/>
            <w:tcBorders>
              <w:top w:val="nil"/>
              <w:left w:val="nil"/>
              <w:bottom w:val="double" w:sz="6" w:space="0" w:color="auto"/>
              <w:right w:val="single" w:sz="4" w:space="0" w:color="auto"/>
            </w:tcBorders>
            <w:shd w:val="clear" w:color="auto" w:fill="auto"/>
            <w:noWrap/>
            <w:vAlign w:val="center"/>
            <w:hideMark/>
          </w:tcPr>
          <w:p w14:paraId="04656682" w14:textId="435E8B12"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-4.84</w:t>
            </w:r>
          </w:p>
        </w:tc>
        <w:tc>
          <w:tcPr>
            <w:tcW w:w="377" w:type="pct"/>
            <w:tcBorders>
              <w:top w:val="nil"/>
              <w:left w:val="nil"/>
              <w:bottom w:val="double" w:sz="6" w:space="0" w:color="auto"/>
              <w:right w:val="single" w:sz="4" w:space="0" w:color="auto"/>
            </w:tcBorders>
            <w:shd w:val="clear" w:color="auto" w:fill="auto"/>
            <w:noWrap/>
            <w:vAlign w:val="center"/>
            <w:hideMark/>
          </w:tcPr>
          <w:p w14:paraId="411A2E51" w14:textId="70F26DB6"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double" w:sz="6" w:space="0" w:color="auto"/>
              <w:right w:val="single" w:sz="4" w:space="0" w:color="auto"/>
            </w:tcBorders>
            <w:shd w:val="clear" w:color="auto" w:fill="auto"/>
            <w:noWrap/>
            <w:vAlign w:val="center"/>
            <w:hideMark/>
          </w:tcPr>
          <w:p w14:paraId="246FAFE5" w14:textId="6A577381"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double" w:sz="6" w:space="0" w:color="auto"/>
              <w:right w:val="single" w:sz="4" w:space="0" w:color="auto"/>
            </w:tcBorders>
            <w:shd w:val="clear" w:color="auto" w:fill="auto"/>
            <w:noWrap/>
            <w:vAlign w:val="center"/>
            <w:hideMark/>
          </w:tcPr>
          <w:p w14:paraId="6BBBAF31" w14:textId="2DCB6C01"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double" w:sz="6" w:space="0" w:color="auto"/>
              <w:right w:val="double" w:sz="6" w:space="0" w:color="auto"/>
            </w:tcBorders>
            <w:shd w:val="clear" w:color="auto" w:fill="auto"/>
            <w:noWrap/>
            <w:vAlign w:val="center"/>
            <w:hideMark/>
          </w:tcPr>
          <w:p w14:paraId="1A3CE430" w14:textId="106D34AA"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r>
      <w:tr w:rsidR="007B469F" w:rsidRPr="00FF2046" w14:paraId="02A9182C" w14:textId="77777777" w:rsidTr="00B73498">
        <w:trPr>
          <w:trHeight w:val="245"/>
        </w:trPr>
        <w:tc>
          <w:tcPr>
            <w:tcW w:w="5000" w:type="pct"/>
            <w:gridSpan w:val="9"/>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10E0299D" w14:textId="77777777" w:rsidR="007B469F" w:rsidRPr="00FF2046" w:rsidRDefault="007B469F" w:rsidP="007B469F">
            <w:pPr>
              <w:jc w:val="left"/>
              <w:rPr>
                <w:rFonts w:eastAsia="Times New Roman" w:cs="Times New Roman"/>
                <w:b/>
                <w:bCs/>
                <w:sz w:val="20"/>
                <w:szCs w:val="20"/>
              </w:rPr>
            </w:pPr>
            <w:r w:rsidRPr="00FF2046">
              <w:rPr>
                <w:rFonts w:eastAsia="Times New Roman" w:cs="Times New Roman"/>
                <w:b/>
                <w:bCs/>
                <w:sz w:val="20"/>
                <w:szCs w:val="20"/>
              </w:rPr>
              <w:t>Temporal and Weather Attributes</w:t>
            </w:r>
          </w:p>
        </w:tc>
      </w:tr>
      <w:tr w:rsidR="007B469F" w:rsidRPr="00FF2046" w14:paraId="481D4740"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2C1102F0" w14:textId="63E47909" w:rsidR="007B469F" w:rsidRPr="00FF2046" w:rsidRDefault="007B469F" w:rsidP="007B469F">
            <w:pPr>
              <w:jc w:val="left"/>
              <w:rPr>
                <w:rFonts w:eastAsia="Times New Roman" w:cs="Times New Roman"/>
                <w:sz w:val="20"/>
                <w:szCs w:val="20"/>
              </w:rPr>
            </w:pPr>
            <w:r w:rsidRPr="00FF2046">
              <w:rPr>
                <w:rFonts w:eastAsia="Times New Roman" w:cs="Times New Roman"/>
                <w:sz w:val="20"/>
                <w:szCs w:val="20"/>
              </w:rPr>
              <w:t>Times Square Distance (m x 10</w:t>
            </w:r>
            <w:r w:rsidRPr="00FF2046">
              <w:rPr>
                <w:rFonts w:eastAsia="Times New Roman" w:cs="Times New Roman"/>
                <w:sz w:val="20"/>
                <w:szCs w:val="20"/>
                <w:vertAlign w:val="superscript"/>
              </w:rPr>
              <w:t>-3</w:t>
            </w:r>
            <w:r w:rsidRPr="00FF2046">
              <w:rPr>
                <w:rFonts w:eastAsia="Times New Roman" w:cs="Times New Roman"/>
                <w:sz w:val="20"/>
                <w:szCs w:val="20"/>
              </w:rPr>
              <w:t>) x Summer (Season)</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23AA7873" w14:textId="77777777"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-0.577</w:t>
            </w:r>
          </w:p>
        </w:tc>
        <w:tc>
          <w:tcPr>
            <w:tcW w:w="284" w:type="pct"/>
            <w:tcBorders>
              <w:top w:val="nil"/>
              <w:left w:val="nil"/>
              <w:bottom w:val="single" w:sz="4" w:space="0" w:color="auto"/>
              <w:right w:val="double" w:sz="6" w:space="0" w:color="auto"/>
            </w:tcBorders>
            <w:shd w:val="clear" w:color="auto" w:fill="auto"/>
            <w:noWrap/>
            <w:vAlign w:val="center"/>
            <w:hideMark/>
          </w:tcPr>
          <w:p w14:paraId="5DDB944A" w14:textId="5A427AC1"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-5.65</w:t>
            </w:r>
          </w:p>
        </w:tc>
        <w:tc>
          <w:tcPr>
            <w:tcW w:w="377" w:type="pct"/>
            <w:tcBorders>
              <w:top w:val="nil"/>
              <w:left w:val="nil"/>
              <w:bottom w:val="single" w:sz="4" w:space="0" w:color="auto"/>
              <w:right w:val="single" w:sz="4" w:space="0" w:color="auto"/>
            </w:tcBorders>
            <w:shd w:val="clear" w:color="auto" w:fill="auto"/>
            <w:noWrap/>
            <w:vAlign w:val="center"/>
            <w:hideMark/>
          </w:tcPr>
          <w:p w14:paraId="4BD4C3C8" w14:textId="62C7C885"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84" w:type="pct"/>
            <w:tcBorders>
              <w:top w:val="nil"/>
              <w:left w:val="nil"/>
              <w:bottom w:val="single" w:sz="4" w:space="0" w:color="auto"/>
              <w:right w:val="single" w:sz="4" w:space="0" w:color="auto"/>
            </w:tcBorders>
            <w:shd w:val="clear" w:color="auto" w:fill="auto"/>
            <w:noWrap/>
            <w:vAlign w:val="center"/>
            <w:hideMark/>
          </w:tcPr>
          <w:p w14:paraId="3C67B4E3" w14:textId="1A68D21C"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71932B26" w14:textId="6652A55C"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35EB43F8" w14:textId="5EC73335"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14:paraId="1D9B61FA" w14:textId="0C5CD271"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single" w:sz="4" w:space="0" w:color="auto"/>
              <w:right w:val="double" w:sz="6" w:space="0" w:color="auto"/>
            </w:tcBorders>
            <w:shd w:val="clear" w:color="auto" w:fill="auto"/>
            <w:noWrap/>
            <w:vAlign w:val="center"/>
            <w:hideMark/>
          </w:tcPr>
          <w:p w14:paraId="6D0A8856" w14:textId="43ADF64B"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r>
      <w:tr w:rsidR="007B469F" w:rsidRPr="00FF2046" w14:paraId="14A986E2" w14:textId="77777777" w:rsidTr="00B73498">
        <w:trPr>
          <w:trHeight w:val="245"/>
        </w:trPr>
        <w:tc>
          <w:tcPr>
            <w:tcW w:w="2379" w:type="pct"/>
            <w:tcBorders>
              <w:top w:val="nil"/>
              <w:left w:val="double" w:sz="6" w:space="0" w:color="auto"/>
              <w:bottom w:val="single" w:sz="4" w:space="0" w:color="auto"/>
              <w:right w:val="nil"/>
            </w:tcBorders>
            <w:shd w:val="clear" w:color="auto" w:fill="auto"/>
            <w:noWrap/>
            <w:vAlign w:val="center"/>
            <w:hideMark/>
          </w:tcPr>
          <w:p w14:paraId="26432D68" w14:textId="086ECD5F" w:rsidR="007B469F" w:rsidRPr="00FF2046" w:rsidRDefault="007B469F" w:rsidP="007B469F">
            <w:pPr>
              <w:jc w:val="left"/>
              <w:rPr>
                <w:rFonts w:eastAsia="Times New Roman" w:cs="Times New Roman"/>
                <w:sz w:val="20"/>
                <w:szCs w:val="20"/>
              </w:rPr>
            </w:pPr>
            <w:r w:rsidRPr="00FF2046">
              <w:rPr>
                <w:rFonts w:eastAsia="Times New Roman" w:cs="Times New Roman"/>
                <w:sz w:val="20"/>
                <w:szCs w:val="20"/>
              </w:rPr>
              <w:t>Time Elapsed as Month Sequel</w:t>
            </w:r>
          </w:p>
        </w:tc>
        <w:tc>
          <w:tcPr>
            <w:tcW w:w="377" w:type="pct"/>
            <w:tcBorders>
              <w:top w:val="nil"/>
              <w:left w:val="double" w:sz="6" w:space="0" w:color="auto"/>
              <w:bottom w:val="single" w:sz="4" w:space="0" w:color="auto"/>
              <w:right w:val="single" w:sz="4" w:space="0" w:color="auto"/>
            </w:tcBorders>
            <w:shd w:val="clear" w:color="auto" w:fill="auto"/>
            <w:noWrap/>
            <w:vAlign w:val="center"/>
            <w:hideMark/>
          </w:tcPr>
          <w:p w14:paraId="7A31A95F" w14:textId="37A5BB3E"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2.194</w:t>
            </w:r>
          </w:p>
        </w:tc>
        <w:tc>
          <w:tcPr>
            <w:tcW w:w="284" w:type="pct"/>
            <w:tcBorders>
              <w:top w:val="nil"/>
              <w:left w:val="nil"/>
              <w:bottom w:val="single" w:sz="4" w:space="0" w:color="auto"/>
              <w:right w:val="double" w:sz="6" w:space="0" w:color="auto"/>
            </w:tcBorders>
            <w:shd w:val="clear" w:color="auto" w:fill="auto"/>
            <w:noWrap/>
            <w:vAlign w:val="center"/>
            <w:hideMark/>
          </w:tcPr>
          <w:p w14:paraId="5E3BA35C" w14:textId="436C1747"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33.96</w:t>
            </w:r>
          </w:p>
        </w:tc>
        <w:tc>
          <w:tcPr>
            <w:tcW w:w="377" w:type="pct"/>
            <w:tcBorders>
              <w:top w:val="nil"/>
              <w:left w:val="nil"/>
              <w:bottom w:val="single" w:sz="4" w:space="0" w:color="auto"/>
              <w:right w:val="single" w:sz="4" w:space="0" w:color="auto"/>
            </w:tcBorders>
            <w:shd w:val="clear" w:color="auto" w:fill="auto"/>
            <w:noWrap/>
            <w:vAlign w:val="center"/>
            <w:hideMark/>
          </w:tcPr>
          <w:p w14:paraId="30F6F862" w14:textId="4CE06621"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-0.054</w:t>
            </w:r>
          </w:p>
        </w:tc>
        <w:tc>
          <w:tcPr>
            <w:tcW w:w="284" w:type="pct"/>
            <w:tcBorders>
              <w:top w:val="nil"/>
              <w:left w:val="nil"/>
              <w:bottom w:val="single" w:sz="4" w:space="0" w:color="auto"/>
              <w:right w:val="single" w:sz="4" w:space="0" w:color="auto"/>
            </w:tcBorders>
            <w:shd w:val="clear" w:color="auto" w:fill="auto"/>
            <w:noWrap/>
            <w:vAlign w:val="center"/>
            <w:hideMark/>
          </w:tcPr>
          <w:p w14:paraId="0DA39A07" w14:textId="2A6D818B"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-14.35</w:t>
            </w:r>
          </w:p>
        </w:tc>
        <w:tc>
          <w:tcPr>
            <w:tcW w:w="377" w:type="pct"/>
            <w:tcBorders>
              <w:top w:val="nil"/>
              <w:left w:val="nil"/>
              <w:bottom w:val="single" w:sz="4" w:space="0" w:color="auto"/>
              <w:right w:val="single" w:sz="4" w:space="0" w:color="auto"/>
            </w:tcBorders>
            <w:shd w:val="clear" w:color="auto" w:fill="auto"/>
            <w:noWrap/>
            <w:vAlign w:val="center"/>
            <w:hideMark/>
          </w:tcPr>
          <w:p w14:paraId="5858AA86" w14:textId="77777777"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-0.083</w:t>
            </w:r>
          </w:p>
        </w:tc>
        <w:tc>
          <w:tcPr>
            <w:tcW w:w="285" w:type="pct"/>
            <w:tcBorders>
              <w:top w:val="nil"/>
              <w:left w:val="nil"/>
              <w:bottom w:val="single" w:sz="4" w:space="0" w:color="auto"/>
              <w:right w:val="single" w:sz="4" w:space="0" w:color="auto"/>
            </w:tcBorders>
            <w:shd w:val="clear" w:color="auto" w:fill="auto"/>
            <w:noWrap/>
            <w:vAlign w:val="center"/>
            <w:hideMark/>
          </w:tcPr>
          <w:p w14:paraId="5C92C86B" w14:textId="62C798DC"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-18.84</w:t>
            </w:r>
          </w:p>
        </w:tc>
        <w:tc>
          <w:tcPr>
            <w:tcW w:w="377" w:type="pct"/>
            <w:tcBorders>
              <w:top w:val="nil"/>
              <w:left w:val="nil"/>
              <w:bottom w:val="single" w:sz="4" w:space="0" w:color="auto"/>
              <w:right w:val="single" w:sz="4" w:space="0" w:color="auto"/>
            </w:tcBorders>
            <w:shd w:val="clear" w:color="auto" w:fill="auto"/>
            <w:noWrap/>
            <w:vAlign w:val="center"/>
            <w:hideMark/>
          </w:tcPr>
          <w:p w14:paraId="061FA6BD" w14:textId="42696B0D"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single" w:sz="4" w:space="0" w:color="auto"/>
              <w:right w:val="double" w:sz="6" w:space="0" w:color="auto"/>
            </w:tcBorders>
            <w:shd w:val="clear" w:color="auto" w:fill="auto"/>
            <w:noWrap/>
            <w:vAlign w:val="center"/>
            <w:hideMark/>
          </w:tcPr>
          <w:p w14:paraId="074C496D" w14:textId="6CC5A50E"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r>
      <w:tr w:rsidR="007B469F" w:rsidRPr="00FF2046" w14:paraId="4D777BF2" w14:textId="77777777" w:rsidTr="00B73498">
        <w:trPr>
          <w:trHeight w:val="245"/>
        </w:trPr>
        <w:tc>
          <w:tcPr>
            <w:tcW w:w="2379" w:type="pct"/>
            <w:tcBorders>
              <w:top w:val="nil"/>
              <w:left w:val="double" w:sz="6" w:space="0" w:color="auto"/>
              <w:bottom w:val="double" w:sz="6" w:space="0" w:color="auto"/>
              <w:right w:val="nil"/>
            </w:tcBorders>
            <w:shd w:val="clear" w:color="auto" w:fill="auto"/>
            <w:noWrap/>
            <w:vAlign w:val="center"/>
            <w:hideMark/>
          </w:tcPr>
          <w:p w14:paraId="46A84CFD" w14:textId="048C6D88" w:rsidR="007B469F" w:rsidRPr="00FF2046" w:rsidRDefault="007B469F" w:rsidP="007B469F">
            <w:pPr>
              <w:jc w:val="left"/>
              <w:rPr>
                <w:rFonts w:eastAsia="Times New Roman" w:cs="Times New Roman"/>
                <w:sz w:val="20"/>
                <w:szCs w:val="20"/>
              </w:rPr>
            </w:pPr>
            <w:r w:rsidRPr="00FF2046">
              <w:rPr>
                <w:rFonts w:eastAsia="Times New Roman" w:cs="Times New Roman"/>
                <w:sz w:val="20"/>
                <w:szCs w:val="20"/>
              </w:rPr>
              <w:t>Snow Depth (cm)</w:t>
            </w:r>
          </w:p>
        </w:tc>
        <w:tc>
          <w:tcPr>
            <w:tcW w:w="377" w:type="pct"/>
            <w:tcBorders>
              <w:top w:val="nil"/>
              <w:left w:val="double" w:sz="6" w:space="0" w:color="auto"/>
              <w:bottom w:val="nil"/>
              <w:right w:val="single" w:sz="4" w:space="0" w:color="auto"/>
            </w:tcBorders>
            <w:shd w:val="clear" w:color="auto" w:fill="auto"/>
            <w:noWrap/>
            <w:vAlign w:val="center"/>
            <w:hideMark/>
          </w:tcPr>
          <w:p w14:paraId="419E6B4A" w14:textId="77777777"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-0.031</w:t>
            </w:r>
          </w:p>
        </w:tc>
        <w:tc>
          <w:tcPr>
            <w:tcW w:w="284" w:type="pct"/>
            <w:tcBorders>
              <w:top w:val="nil"/>
              <w:left w:val="nil"/>
              <w:bottom w:val="nil"/>
              <w:right w:val="double" w:sz="6" w:space="0" w:color="auto"/>
            </w:tcBorders>
            <w:shd w:val="clear" w:color="auto" w:fill="auto"/>
            <w:noWrap/>
            <w:vAlign w:val="center"/>
            <w:hideMark/>
          </w:tcPr>
          <w:p w14:paraId="7586C681" w14:textId="24C5DE7A"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-7.26</w:t>
            </w:r>
          </w:p>
        </w:tc>
        <w:tc>
          <w:tcPr>
            <w:tcW w:w="377" w:type="pct"/>
            <w:tcBorders>
              <w:top w:val="nil"/>
              <w:left w:val="nil"/>
              <w:bottom w:val="double" w:sz="6" w:space="0" w:color="auto"/>
              <w:right w:val="single" w:sz="4" w:space="0" w:color="auto"/>
            </w:tcBorders>
            <w:shd w:val="clear" w:color="auto" w:fill="auto"/>
            <w:noWrap/>
            <w:vAlign w:val="center"/>
            <w:hideMark/>
          </w:tcPr>
          <w:p w14:paraId="4E7A2DC9" w14:textId="3693E811"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0.281</w:t>
            </w:r>
          </w:p>
        </w:tc>
        <w:tc>
          <w:tcPr>
            <w:tcW w:w="284" w:type="pct"/>
            <w:tcBorders>
              <w:top w:val="nil"/>
              <w:left w:val="nil"/>
              <w:bottom w:val="double" w:sz="6" w:space="0" w:color="auto"/>
              <w:right w:val="single" w:sz="4" w:space="0" w:color="auto"/>
            </w:tcBorders>
            <w:shd w:val="clear" w:color="auto" w:fill="auto"/>
            <w:noWrap/>
            <w:vAlign w:val="center"/>
            <w:hideMark/>
          </w:tcPr>
          <w:p w14:paraId="403B59A7" w14:textId="22E0DDB0"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2.97</w:t>
            </w:r>
          </w:p>
        </w:tc>
        <w:tc>
          <w:tcPr>
            <w:tcW w:w="377" w:type="pct"/>
            <w:tcBorders>
              <w:top w:val="nil"/>
              <w:left w:val="nil"/>
              <w:bottom w:val="double" w:sz="6" w:space="0" w:color="auto"/>
              <w:right w:val="single" w:sz="4" w:space="0" w:color="auto"/>
            </w:tcBorders>
            <w:shd w:val="clear" w:color="auto" w:fill="auto"/>
            <w:noWrap/>
            <w:vAlign w:val="center"/>
            <w:hideMark/>
          </w:tcPr>
          <w:p w14:paraId="3FEB2925" w14:textId="379952DC"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double" w:sz="6" w:space="0" w:color="auto"/>
              <w:right w:val="single" w:sz="4" w:space="0" w:color="auto"/>
            </w:tcBorders>
            <w:shd w:val="clear" w:color="auto" w:fill="auto"/>
            <w:noWrap/>
            <w:vAlign w:val="center"/>
            <w:hideMark/>
          </w:tcPr>
          <w:p w14:paraId="3B96433D" w14:textId="50588726"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double" w:sz="6" w:space="0" w:color="auto"/>
              <w:right w:val="single" w:sz="4" w:space="0" w:color="auto"/>
            </w:tcBorders>
            <w:shd w:val="clear" w:color="auto" w:fill="auto"/>
            <w:noWrap/>
            <w:vAlign w:val="center"/>
            <w:hideMark/>
          </w:tcPr>
          <w:p w14:paraId="0E9E49FD" w14:textId="54D4ACE3"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58" w:type="pct"/>
            <w:tcBorders>
              <w:top w:val="nil"/>
              <w:left w:val="nil"/>
              <w:bottom w:val="double" w:sz="6" w:space="0" w:color="auto"/>
              <w:right w:val="double" w:sz="6" w:space="0" w:color="auto"/>
            </w:tcBorders>
            <w:shd w:val="clear" w:color="auto" w:fill="auto"/>
            <w:noWrap/>
            <w:vAlign w:val="center"/>
            <w:hideMark/>
          </w:tcPr>
          <w:p w14:paraId="698925AE" w14:textId="641B1C36"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r>
      <w:tr w:rsidR="007B469F" w:rsidRPr="00FF2046" w14:paraId="2C9EEE9F" w14:textId="77777777" w:rsidTr="00B73498">
        <w:trPr>
          <w:trHeight w:val="245"/>
        </w:trPr>
        <w:tc>
          <w:tcPr>
            <w:tcW w:w="2379" w:type="pct"/>
            <w:tcBorders>
              <w:top w:val="nil"/>
              <w:left w:val="double" w:sz="6" w:space="0" w:color="auto"/>
              <w:bottom w:val="nil"/>
              <w:right w:val="nil"/>
            </w:tcBorders>
            <w:shd w:val="clear" w:color="auto" w:fill="auto"/>
            <w:noWrap/>
            <w:vAlign w:val="center"/>
            <w:hideMark/>
          </w:tcPr>
          <w:p w14:paraId="7BDAD6CA" w14:textId="77777777" w:rsidR="007B469F" w:rsidRPr="00FF2046" w:rsidRDefault="007B469F" w:rsidP="007B469F">
            <w:pPr>
              <w:jc w:val="left"/>
              <w:rPr>
                <w:rFonts w:eastAsia="Times New Roman" w:cs="Times New Roman"/>
                <w:b/>
                <w:bCs/>
                <w:sz w:val="20"/>
                <w:szCs w:val="20"/>
              </w:rPr>
            </w:pPr>
            <w:r w:rsidRPr="00FF2046">
              <w:rPr>
                <w:rFonts w:eastAsia="Times New Roman" w:cs="Times New Roman"/>
                <w:b/>
                <w:bCs/>
                <w:sz w:val="20"/>
                <w:szCs w:val="20"/>
              </w:rPr>
              <w:t>Dispersion Parameters</w:t>
            </w:r>
          </w:p>
        </w:tc>
        <w:tc>
          <w:tcPr>
            <w:tcW w:w="377" w:type="pct"/>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156F0875" w14:textId="6C0D14B5"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0.160</w:t>
            </w:r>
          </w:p>
        </w:tc>
        <w:tc>
          <w:tcPr>
            <w:tcW w:w="284" w:type="pct"/>
            <w:tcBorders>
              <w:top w:val="double" w:sz="6" w:space="0" w:color="auto"/>
              <w:left w:val="nil"/>
              <w:bottom w:val="double" w:sz="6" w:space="0" w:color="auto"/>
              <w:right w:val="double" w:sz="6" w:space="0" w:color="auto"/>
            </w:tcBorders>
            <w:shd w:val="clear" w:color="auto" w:fill="auto"/>
            <w:noWrap/>
            <w:vAlign w:val="center"/>
            <w:hideMark/>
          </w:tcPr>
          <w:p w14:paraId="5FA43AC2" w14:textId="55F4C66F"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27.45</w:t>
            </w:r>
          </w:p>
        </w:tc>
        <w:tc>
          <w:tcPr>
            <w:tcW w:w="377" w:type="pct"/>
            <w:tcBorders>
              <w:top w:val="nil"/>
              <w:left w:val="nil"/>
              <w:bottom w:val="double" w:sz="6" w:space="0" w:color="auto"/>
              <w:right w:val="single" w:sz="4" w:space="0" w:color="auto"/>
            </w:tcBorders>
            <w:shd w:val="clear" w:color="auto" w:fill="auto"/>
            <w:noWrap/>
            <w:vAlign w:val="center"/>
            <w:hideMark/>
          </w:tcPr>
          <w:p w14:paraId="3A6EFE8B" w14:textId="05B7A215" w:rsidR="007B469F" w:rsidRPr="00FF2046" w:rsidRDefault="007B469F" w:rsidP="007B469F">
            <w:pPr>
              <w:jc w:val="center"/>
              <w:rPr>
                <w:rFonts w:eastAsia="Times New Roman" w:cs="Times New Roman"/>
                <w:b/>
                <w:bCs/>
                <w:sz w:val="20"/>
                <w:szCs w:val="20"/>
              </w:rPr>
            </w:pPr>
            <w:r w:rsidRPr="00FF2046">
              <w:rPr>
                <w:rFonts w:eastAsia="Times New Roman" w:cs="Times New Roman"/>
                <w:sz w:val="20"/>
                <w:szCs w:val="20"/>
              </w:rPr>
              <w:t> ---</w:t>
            </w:r>
          </w:p>
        </w:tc>
        <w:tc>
          <w:tcPr>
            <w:tcW w:w="284" w:type="pct"/>
            <w:tcBorders>
              <w:top w:val="nil"/>
              <w:left w:val="nil"/>
              <w:bottom w:val="double" w:sz="6" w:space="0" w:color="auto"/>
              <w:right w:val="single" w:sz="4" w:space="0" w:color="auto"/>
            </w:tcBorders>
            <w:shd w:val="clear" w:color="auto" w:fill="auto"/>
            <w:noWrap/>
            <w:vAlign w:val="center"/>
            <w:hideMark/>
          </w:tcPr>
          <w:p w14:paraId="4F27DAB6" w14:textId="35ABDD2F" w:rsidR="007B469F" w:rsidRPr="00FF2046" w:rsidRDefault="007B469F" w:rsidP="007B469F">
            <w:pPr>
              <w:jc w:val="center"/>
              <w:rPr>
                <w:rFonts w:eastAsia="Times New Roman" w:cs="Times New Roman"/>
                <w:b/>
                <w:bCs/>
                <w:sz w:val="20"/>
                <w:szCs w:val="20"/>
              </w:rPr>
            </w:pPr>
            <w:r w:rsidRPr="00FF2046">
              <w:rPr>
                <w:rFonts w:eastAsia="Times New Roman" w:cs="Times New Roman"/>
                <w:sz w:val="20"/>
                <w:szCs w:val="20"/>
              </w:rPr>
              <w:t>--- </w:t>
            </w:r>
          </w:p>
        </w:tc>
        <w:tc>
          <w:tcPr>
            <w:tcW w:w="377" w:type="pct"/>
            <w:tcBorders>
              <w:top w:val="nil"/>
              <w:left w:val="nil"/>
              <w:bottom w:val="double" w:sz="6" w:space="0" w:color="auto"/>
              <w:right w:val="single" w:sz="4" w:space="0" w:color="auto"/>
            </w:tcBorders>
            <w:shd w:val="clear" w:color="auto" w:fill="auto"/>
            <w:noWrap/>
            <w:vAlign w:val="center"/>
            <w:hideMark/>
          </w:tcPr>
          <w:p w14:paraId="46FE4525" w14:textId="1BAF3A25" w:rsidR="007B469F" w:rsidRPr="00FF2046" w:rsidRDefault="007B469F" w:rsidP="007B469F">
            <w:pPr>
              <w:jc w:val="center"/>
              <w:rPr>
                <w:rFonts w:eastAsia="Times New Roman" w:cs="Times New Roman"/>
                <w:b/>
                <w:bCs/>
                <w:sz w:val="20"/>
                <w:szCs w:val="20"/>
              </w:rPr>
            </w:pPr>
            <w:r w:rsidRPr="00FF2046">
              <w:rPr>
                <w:rFonts w:eastAsia="Times New Roman" w:cs="Times New Roman"/>
                <w:sz w:val="20"/>
                <w:szCs w:val="20"/>
              </w:rPr>
              <w:t> ---</w:t>
            </w:r>
          </w:p>
        </w:tc>
        <w:tc>
          <w:tcPr>
            <w:tcW w:w="285" w:type="pct"/>
            <w:tcBorders>
              <w:top w:val="nil"/>
              <w:left w:val="nil"/>
              <w:bottom w:val="double" w:sz="6" w:space="0" w:color="auto"/>
              <w:right w:val="single" w:sz="4" w:space="0" w:color="auto"/>
            </w:tcBorders>
            <w:shd w:val="clear" w:color="auto" w:fill="auto"/>
            <w:noWrap/>
            <w:vAlign w:val="center"/>
            <w:hideMark/>
          </w:tcPr>
          <w:p w14:paraId="23AF6BCB" w14:textId="0B0B63C4" w:rsidR="007B469F" w:rsidRPr="00FF2046" w:rsidRDefault="007B469F" w:rsidP="007B469F">
            <w:pPr>
              <w:jc w:val="center"/>
              <w:rPr>
                <w:rFonts w:eastAsia="Times New Roman" w:cs="Times New Roman"/>
                <w:b/>
                <w:bCs/>
                <w:sz w:val="20"/>
                <w:szCs w:val="20"/>
              </w:rPr>
            </w:pPr>
            <w:r w:rsidRPr="00FF2046">
              <w:rPr>
                <w:rFonts w:eastAsia="Times New Roman" w:cs="Times New Roman"/>
                <w:sz w:val="20"/>
                <w:szCs w:val="20"/>
              </w:rPr>
              <w:t>--- </w:t>
            </w:r>
          </w:p>
        </w:tc>
        <w:tc>
          <w:tcPr>
            <w:tcW w:w="377" w:type="pct"/>
            <w:tcBorders>
              <w:top w:val="nil"/>
              <w:left w:val="nil"/>
              <w:bottom w:val="double" w:sz="6" w:space="0" w:color="auto"/>
              <w:right w:val="single" w:sz="4" w:space="0" w:color="auto"/>
            </w:tcBorders>
            <w:shd w:val="clear" w:color="auto" w:fill="auto"/>
            <w:noWrap/>
            <w:vAlign w:val="center"/>
            <w:hideMark/>
          </w:tcPr>
          <w:p w14:paraId="1BC70BF0" w14:textId="51EC17DF" w:rsidR="007B469F" w:rsidRPr="00FF2046" w:rsidRDefault="007B469F" w:rsidP="007B469F">
            <w:pPr>
              <w:jc w:val="center"/>
              <w:rPr>
                <w:rFonts w:eastAsia="Times New Roman" w:cs="Times New Roman"/>
                <w:b/>
                <w:bCs/>
                <w:sz w:val="20"/>
                <w:szCs w:val="20"/>
              </w:rPr>
            </w:pPr>
            <w:r w:rsidRPr="00FF2046">
              <w:rPr>
                <w:rFonts w:eastAsia="Times New Roman" w:cs="Times New Roman"/>
                <w:sz w:val="20"/>
                <w:szCs w:val="20"/>
              </w:rPr>
              <w:t> ---</w:t>
            </w:r>
          </w:p>
        </w:tc>
        <w:tc>
          <w:tcPr>
            <w:tcW w:w="258" w:type="pct"/>
            <w:tcBorders>
              <w:top w:val="nil"/>
              <w:left w:val="nil"/>
              <w:bottom w:val="double" w:sz="6" w:space="0" w:color="auto"/>
              <w:right w:val="double" w:sz="6" w:space="0" w:color="auto"/>
            </w:tcBorders>
            <w:shd w:val="clear" w:color="auto" w:fill="auto"/>
            <w:noWrap/>
            <w:vAlign w:val="center"/>
            <w:hideMark/>
          </w:tcPr>
          <w:p w14:paraId="3E21AAB6" w14:textId="253E93E6"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r>
      <w:tr w:rsidR="007B469F" w:rsidRPr="00FF2046" w14:paraId="1C8653A9" w14:textId="77777777" w:rsidTr="00B73498">
        <w:trPr>
          <w:trHeight w:val="245"/>
        </w:trPr>
        <w:tc>
          <w:tcPr>
            <w:tcW w:w="2379" w:type="pct"/>
            <w:tcBorders>
              <w:top w:val="double" w:sz="6" w:space="0" w:color="auto"/>
              <w:left w:val="double" w:sz="6" w:space="0" w:color="auto"/>
              <w:bottom w:val="double" w:sz="4" w:space="0" w:color="auto"/>
              <w:right w:val="nil"/>
            </w:tcBorders>
            <w:shd w:val="clear" w:color="auto" w:fill="auto"/>
            <w:vAlign w:val="center"/>
            <w:hideMark/>
          </w:tcPr>
          <w:p w14:paraId="68350FD1" w14:textId="77777777" w:rsidR="007B469F" w:rsidRPr="00FF2046" w:rsidRDefault="007B469F" w:rsidP="007B469F">
            <w:pPr>
              <w:jc w:val="left"/>
              <w:rPr>
                <w:rFonts w:eastAsia="Times New Roman" w:cs="Times New Roman"/>
                <w:i/>
                <w:iCs/>
                <w:sz w:val="20"/>
                <w:szCs w:val="20"/>
              </w:rPr>
            </w:pPr>
            <w:r w:rsidRPr="00FF2046">
              <w:rPr>
                <w:rFonts w:eastAsia="Times New Roman" w:cs="Times New Roman"/>
                <w:i/>
                <w:iCs/>
                <w:sz w:val="20"/>
                <w:szCs w:val="20"/>
              </w:rPr>
              <w:t xml:space="preserve">Correlation </w:t>
            </w:r>
          </w:p>
        </w:tc>
        <w:tc>
          <w:tcPr>
            <w:tcW w:w="377" w:type="pct"/>
            <w:tcBorders>
              <w:top w:val="nil"/>
              <w:left w:val="double" w:sz="6" w:space="0" w:color="auto"/>
              <w:bottom w:val="double" w:sz="4" w:space="0" w:color="auto"/>
              <w:right w:val="single" w:sz="4" w:space="0" w:color="auto"/>
            </w:tcBorders>
            <w:shd w:val="clear" w:color="auto" w:fill="auto"/>
            <w:vAlign w:val="center"/>
            <w:hideMark/>
          </w:tcPr>
          <w:p w14:paraId="56ACBEC2" w14:textId="799D7236" w:rsidR="007B469F" w:rsidRPr="00FF2046" w:rsidRDefault="007B469F" w:rsidP="007B469F">
            <w:pPr>
              <w:jc w:val="center"/>
              <w:rPr>
                <w:rFonts w:eastAsia="Times New Roman" w:cs="Times New Roman"/>
                <w:i/>
                <w:iCs/>
                <w:sz w:val="20"/>
                <w:szCs w:val="20"/>
              </w:rPr>
            </w:pPr>
            <w:r w:rsidRPr="00FF2046">
              <w:rPr>
                <w:rFonts w:eastAsia="Times New Roman" w:cs="Times New Roman"/>
                <w:sz w:val="20"/>
                <w:szCs w:val="20"/>
              </w:rPr>
              <w:t> ---</w:t>
            </w:r>
          </w:p>
        </w:tc>
        <w:tc>
          <w:tcPr>
            <w:tcW w:w="284" w:type="pct"/>
            <w:tcBorders>
              <w:top w:val="nil"/>
              <w:left w:val="nil"/>
              <w:bottom w:val="double" w:sz="4" w:space="0" w:color="auto"/>
              <w:right w:val="double" w:sz="6" w:space="0" w:color="auto"/>
            </w:tcBorders>
            <w:shd w:val="clear" w:color="auto" w:fill="auto"/>
            <w:vAlign w:val="center"/>
            <w:hideMark/>
          </w:tcPr>
          <w:p w14:paraId="3C1EFFA7" w14:textId="5A55EF0E" w:rsidR="007B469F" w:rsidRPr="00FF2046" w:rsidRDefault="007B469F" w:rsidP="007B469F">
            <w:pPr>
              <w:jc w:val="center"/>
              <w:rPr>
                <w:rFonts w:eastAsia="Times New Roman" w:cs="Times New Roman"/>
                <w:i/>
                <w:iCs/>
                <w:sz w:val="20"/>
                <w:szCs w:val="20"/>
              </w:rPr>
            </w:pPr>
            <w:r w:rsidRPr="00FF2046">
              <w:rPr>
                <w:rFonts w:eastAsia="Times New Roman" w:cs="Times New Roman"/>
                <w:sz w:val="20"/>
                <w:szCs w:val="20"/>
              </w:rPr>
              <w:t>--- </w:t>
            </w:r>
          </w:p>
        </w:tc>
        <w:tc>
          <w:tcPr>
            <w:tcW w:w="377" w:type="pct"/>
            <w:tcBorders>
              <w:top w:val="nil"/>
              <w:left w:val="nil"/>
              <w:bottom w:val="double" w:sz="4" w:space="0" w:color="auto"/>
              <w:right w:val="single" w:sz="4" w:space="0" w:color="auto"/>
            </w:tcBorders>
            <w:shd w:val="clear" w:color="auto" w:fill="auto"/>
            <w:noWrap/>
            <w:vAlign w:val="center"/>
            <w:hideMark/>
          </w:tcPr>
          <w:p w14:paraId="0C428815" w14:textId="633AAD44"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0.785</w:t>
            </w:r>
          </w:p>
        </w:tc>
        <w:tc>
          <w:tcPr>
            <w:tcW w:w="284" w:type="pct"/>
            <w:tcBorders>
              <w:top w:val="nil"/>
              <w:left w:val="nil"/>
              <w:bottom w:val="double" w:sz="4" w:space="0" w:color="auto"/>
              <w:right w:val="single" w:sz="4" w:space="0" w:color="auto"/>
            </w:tcBorders>
            <w:shd w:val="clear" w:color="auto" w:fill="auto"/>
            <w:noWrap/>
            <w:vAlign w:val="center"/>
            <w:hideMark/>
          </w:tcPr>
          <w:p w14:paraId="6F6B3C02" w14:textId="27A55C1E"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10.20</w:t>
            </w:r>
          </w:p>
        </w:tc>
        <w:tc>
          <w:tcPr>
            <w:tcW w:w="377" w:type="pct"/>
            <w:tcBorders>
              <w:top w:val="nil"/>
              <w:left w:val="nil"/>
              <w:bottom w:val="double" w:sz="4" w:space="0" w:color="auto"/>
              <w:right w:val="single" w:sz="4" w:space="0" w:color="auto"/>
            </w:tcBorders>
            <w:shd w:val="clear" w:color="auto" w:fill="auto"/>
            <w:noWrap/>
            <w:vAlign w:val="center"/>
            <w:hideMark/>
          </w:tcPr>
          <w:p w14:paraId="7FEA0345" w14:textId="6382808D"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285" w:type="pct"/>
            <w:tcBorders>
              <w:top w:val="nil"/>
              <w:left w:val="nil"/>
              <w:bottom w:val="double" w:sz="4" w:space="0" w:color="auto"/>
              <w:right w:val="single" w:sz="4" w:space="0" w:color="auto"/>
            </w:tcBorders>
            <w:shd w:val="clear" w:color="auto" w:fill="auto"/>
            <w:noWrap/>
            <w:vAlign w:val="center"/>
            <w:hideMark/>
          </w:tcPr>
          <w:p w14:paraId="4F8C79A8" w14:textId="0100C88B"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 </w:t>
            </w:r>
          </w:p>
        </w:tc>
        <w:tc>
          <w:tcPr>
            <w:tcW w:w="377" w:type="pct"/>
            <w:tcBorders>
              <w:top w:val="nil"/>
              <w:left w:val="nil"/>
              <w:bottom w:val="double" w:sz="4" w:space="0" w:color="auto"/>
              <w:right w:val="single" w:sz="4" w:space="0" w:color="auto"/>
            </w:tcBorders>
            <w:shd w:val="clear" w:color="auto" w:fill="auto"/>
            <w:noWrap/>
            <w:vAlign w:val="center"/>
            <w:hideMark/>
          </w:tcPr>
          <w:p w14:paraId="5B240B28" w14:textId="5D15E26B" w:rsidR="007B469F" w:rsidRPr="00FF2046" w:rsidRDefault="007B469F" w:rsidP="007B469F">
            <w:pPr>
              <w:jc w:val="center"/>
              <w:rPr>
                <w:rFonts w:eastAsia="Times New Roman" w:cs="Times New Roman"/>
                <w:sz w:val="20"/>
                <w:szCs w:val="20"/>
              </w:rPr>
            </w:pPr>
            <w:r w:rsidRPr="00FF2046">
              <w:rPr>
                <w:rFonts w:eastAsia="Times New Roman" w:cs="Times New Roman"/>
                <w:sz w:val="20"/>
                <w:szCs w:val="20"/>
              </w:rPr>
              <w:t>0.785</w:t>
            </w:r>
          </w:p>
        </w:tc>
        <w:tc>
          <w:tcPr>
            <w:tcW w:w="258" w:type="pct"/>
            <w:tcBorders>
              <w:top w:val="nil"/>
              <w:left w:val="nil"/>
              <w:bottom w:val="double" w:sz="4" w:space="0" w:color="auto"/>
              <w:right w:val="double" w:sz="6" w:space="0" w:color="auto"/>
            </w:tcBorders>
            <w:shd w:val="clear" w:color="auto" w:fill="auto"/>
            <w:noWrap/>
            <w:vAlign w:val="center"/>
            <w:hideMark/>
          </w:tcPr>
          <w:p w14:paraId="10CCD14E" w14:textId="74CE2DFA" w:rsidR="007B469F" w:rsidRPr="00FF2046" w:rsidRDefault="007B469F" w:rsidP="007B469F">
            <w:pPr>
              <w:jc w:val="center"/>
              <w:rPr>
                <w:rFonts w:eastAsia="Times New Roman" w:cs="Times New Roman"/>
                <w:b/>
                <w:bCs/>
                <w:sz w:val="20"/>
                <w:szCs w:val="20"/>
              </w:rPr>
            </w:pPr>
            <w:r w:rsidRPr="00FF2046">
              <w:rPr>
                <w:rFonts w:eastAsia="Times New Roman" w:cs="Times New Roman"/>
                <w:sz w:val="20"/>
                <w:szCs w:val="20"/>
              </w:rPr>
              <w:t>10.20</w:t>
            </w:r>
          </w:p>
        </w:tc>
      </w:tr>
      <w:tr w:rsidR="00B73498" w:rsidRPr="00FF2046" w14:paraId="70B7B349" w14:textId="77777777" w:rsidTr="00B73498">
        <w:trPr>
          <w:trHeight w:val="245"/>
        </w:trPr>
        <w:tc>
          <w:tcPr>
            <w:tcW w:w="5000" w:type="pct"/>
            <w:gridSpan w:val="9"/>
            <w:tcBorders>
              <w:top w:val="double" w:sz="4" w:space="0" w:color="auto"/>
              <w:left w:val="double" w:sz="6" w:space="0" w:color="auto"/>
              <w:bottom w:val="double" w:sz="6" w:space="0" w:color="auto"/>
              <w:right w:val="double" w:sz="6" w:space="0" w:color="auto"/>
            </w:tcBorders>
            <w:shd w:val="clear" w:color="auto" w:fill="auto"/>
            <w:vAlign w:val="center"/>
          </w:tcPr>
          <w:p w14:paraId="36FF06E1" w14:textId="1D57C157" w:rsidR="00B73498" w:rsidRPr="00B73498" w:rsidRDefault="00B73498" w:rsidP="00B73498">
            <w:pPr>
              <w:jc w:val="left"/>
              <w:rPr>
                <w:rFonts w:eastAsia="Times New Roman" w:cs="Times New Roman"/>
                <w:b/>
                <w:bCs/>
                <w:sz w:val="20"/>
                <w:szCs w:val="20"/>
              </w:rPr>
            </w:pPr>
            <w:r>
              <w:rPr>
                <w:rFonts w:eastAsia="Times New Roman" w:cs="Times New Roman"/>
                <w:b/>
                <w:bCs/>
                <w:sz w:val="20"/>
                <w:szCs w:val="20"/>
              </w:rPr>
              <w:t>Model Fitness</w:t>
            </w:r>
          </w:p>
        </w:tc>
      </w:tr>
      <w:tr w:rsidR="00B73498" w:rsidRPr="00FF2046" w14:paraId="0F89032F" w14:textId="77777777" w:rsidTr="00B73498">
        <w:trPr>
          <w:trHeight w:val="245"/>
        </w:trPr>
        <w:tc>
          <w:tcPr>
            <w:tcW w:w="2379" w:type="pct"/>
            <w:tcBorders>
              <w:top w:val="double" w:sz="6" w:space="0" w:color="auto"/>
              <w:left w:val="double" w:sz="6" w:space="0" w:color="auto"/>
              <w:bottom w:val="single" w:sz="4" w:space="0" w:color="auto"/>
              <w:right w:val="nil"/>
            </w:tcBorders>
            <w:shd w:val="clear" w:color="auto" w:fill="auto"/>
            <w:vAlign w:val="center"/>
          </w:tcPr>
          <w:p w14:paraId="2636C587" w14:textId="48EE7C86" w:rsidR="00B73498" w:rsidRPr="00FF2046" w:rsidRDefault="00B73498" w:rsidP="007B469F">
            <w:pPr>
              <w:jc w:val="left"/>
              <w:rPr>
                <w:rFonts w:eastAsia="Times New Roman" w:cs="Times New Roman"/>
                <w:i/>
                <w:iCs/>
                <w:sz w:val="20"/>
                <w:szCs w:val="20"/>
              </w:rPr>
            </w:pPr>
            <w:r>
              <w:rPr>
                <w:rFonts w:eastAsia="Times New Roman" w:cs="Times New Roman"/>
                <w:i/>
                <w:iCs/>
                <w:sz w:val="20"/>
                <w:szCs w:val="20"/>
              </w:rPr>
              <w:t>No. of observations</w:t>
            </w:r>
          </w:p>
        </w:tc>
        <w:tc>
          <w:tcPr>
            <w:tcW w:w="2621" w:type="pct"/>
            <w:gridSpan w:val="8"/>
            <w:tcBorders>
              <w:top w:val="double" w:sz="4" w:space="0" w:color="auto"/>
              <w:left w:val="double" w:sz="6" w:space="0" w:color="auto"/>
              <w:bottom w:val="single" w:sz="4" w:space="0" w:color="auto"/>
              <w:right w:val="double" w:sz="6" w:space="0" w:color="auto"/>
            </w:tcBorders>
            <w:shd w:val="clear" w:color="auto" w:fill="auto"/>
            <w:vAlign w:val="center"/>
          </w:tcPr>
          <w:p w14:paraId="6342AA38" w14:textId="04FD3B6C" w:rsidR="00B73498" w:rsidRPr="00FF2046" w:rsidRDefault="008F6CA5" w:rsidP="007B469F">
            <w:pPr>
              <w:jc w:val="center"/>
              <w:rPr>
                <w:rFonts w:eastAsia="Times New Roman" w:cs="Times New Roman"/>
                <w:sz w:val="20"/>
                <w:szCs w:val="20"/>
              </w:rPr>
            </w:pPr>
            <w:r>
              <w:rPr>
                <w:rFonts w:eastAsia="Times New Roman" w:cs="Times New Roman"/>
                <w:sz w:val="20"/>
                <w:szCs w:val="20"/>
              </w:rPr>
              <w:t>6216</w:t>
            </w:r>
          </w:p>
        </w:tc>
      </w:tr>
      <w:tr w:rsidR="00DF700E" w:rsidRPr="00FF2046" w14:paraId="2BFDCF1F" w14:textId="77777777" w:rsidTr="00925F53">
        <w:trPr>
          <w:trHeight w:val="245"/>
        </w:trPr>
        <w:tc>
          <w:tcPr>
            <w:tcW w:w="2379" w:type="pct"/>
            <w:tcBorders>
              <w:top w:val="single" w:sz="4" w:space="0" w:color="auto"/>
              <w:left w:val="double" w:sz="6" w:space="0" w:color="auto"/>
              <w:bottom w:val="double" w:sz="4" w:space="0" w:color="auto"/>
              <w:right w:val="nil"/>
            </w:tcBorders>
            <w:shd w:val="clear" w:color="auto" w:fill="auto"/>
            <w:vAlign w:val="center"/>
          </w:tcPr>
          <w:p w14:paraId="037A1B60" w14:textId="35E77E86" w:rsidR="00DF700E" w:rsidRPr="00FF2046" w:rsidRDefault="00F32CD7" w:rsidP="00DF700E">
            <w:pPr>
              <w:jc w:val="left"/>
              <w:rPr>
                <w:rFonts w:eastAsia="Times New Roman" w:cs="Times New Roman"/>
                <w:i/>
                <w:iCs/>
                <w:sz w:val="20"/>
                <w:szCs w:val="20"/>
              </w:rPr>
            </w:pPr>
            <w:r>
              <w:rPr>
                <w:rFonts w:eastAsia="Times New Roman" w:cs="Times New Roman"/>
                <w:i/>
                <w:iCs/>
                <w:sz w:val="20"/>
                <w:szCs w:val="20"/>
              </w:rPr>
              <w:t xml:space="preserve">Quasi </w:t>
            </w:r>
            <w:r w:rsidR="00DF700E">
              <w:rPr>
                <w:rFonts w:eastAsia="Times New Roman" w:cs="Times New Roman"/>
                <w:i/>
                <w:iCs/>
                <w:sz w:val="20"/>
                <w:szCs w:val="20"/>
              </w:rPr>
              <w:t>Log-likelihood</w:t>
            </w:r>
          </w:p>
        </w:tc>
        <w:tc>
          <w:tcPr>
            <w:tcW w:w="2621" w:type="pct"/>
            <w:gridSpan w:val="8"/>
            <w:tcBorders>
              <w:top w:val="single" w:sz="4" w:space="0" w:color="auto"/>
              <w:left w:val="double" w:sz="6" w:space="0" w:color="auto"/>
              <w:bottom w:val="double" w:sz="4" w:space="0" w:color="auto"/>
              <w:right w:val="double" w:sz="6" w:space="0" w:color="auto"/>
            </w:tcBorders>
            <w:shd w:val="clear" w:color="auto" w:fill="auto"/>
            <w:vAlign w:val="center"/>
          </w:tcPr>
          <w:p w14:paraId="2F38AAD1" w14:textId="2C281FB1" w:rsidR="00DF700E" w:rsidRPr="00FF2046" w:rsidRDefault="00DF700E" w:rsidP="00DF700E">
            <w:pPr>
              <w:jc w:val="center"/>
              <w:rPr>
                <w:rFonts w:eastAsia="Times New Roman" w:cs="Times New Roman"/>
                <w:sz w:val="20"/>
                <w:szCs w:val="20"/>
              </w:rPr>
            </w:pPr>
            <w:r w:rsidRPr="0055605F">
              <w:rPr>
                <w:rFonts w:eastAsia="Times New Roman" w:cs="Times New Roman"/>
                <w:sz w:val="20"/>
                <w:szCs w:val="20"/>
              </w:rPr>
              <w:t>-16673.5</w:t>
            </w:r>
            <w:r>
              <w:rPr>
                <w:rFonts w:eastAsia="Times New Roman" w:cs="Times New Roman"/>
                <w:sz w:val="20"/>
                <w:szCs w:val="20"/>
              </w:rPr>
              <w:t>8</w:t>
            </w:r>
          </w:p>
        </w:tc>
      </w:tr>
      <w:bookmarkEnd w:id="15"/>
    </w:tbl>
    <w:p w14:paraId="202F8EA7" w14:textId="3B9A9CBC" w:rsidR="006A7D84" w:rsidRPr="00FF2046" w:rsidRDefault="006A7D84" w:rsidP="00FE3A9F">
      <w:pPr>
        <w:rPr>
          <w:szCs w:val="24"/>
        </w:rPr>
        <w:sectPr w:rsidR="006A7D84" w:rsidRPr="00FF2046" w:rsidSect="00D80FBB">
          <w:headerReference w:type="default" r:id="rId23"/>
          <w:type w:val="continuous"/>
          <w:pgSz w:w="15840" w:h="12240" w:orient="landscape" w:code="1"/>
          <w:pgMar w:top="1440" w:right="1440" w:bottom="1440" w:left="1440" w:header="720" w:footer="720" w:gutter="0"/>
          <w:cols w:space="720"/>
          <w:docGrid w:linePitch="360"/>
        </w:sectPr>
      </w:pPr>
    </w:p>
    <w:p w14:paraId="0A2617C6" w14:textId="77777777" w:rsidR="006D408E" w:rsidRPr="00FF2046" w:rsidRDefault="006D408E" w:rsidP="00842E37">
      <w:pPr>
        <w:pStyle w:val="Heading4"/>
        <w:rPr>
          <w:sz w:val="32"/>
        </w:rPr>
      </w:pPr>
      <w:r w:rsidRPr="00FF2046">
        <w:rPr>
          <w:rFonts w:eastAsia="Times New Roman"/>
        </w:rPr>
        <w:lastRenderedPageBreak/>
        <w:t>Transportation Infrastructure and Attributes</w:t>
      </w:r>
      <w:r w:rsidRPr="00FF2046">
        <w:rPr>
          <w:sz w:val="32"/>
        </w:rPr>
        <w:t xml:space="preserve"> </w:t>
      </w:r>
    </w:p>
    <w:p w14:paraId="726AB037" w14:textId="2B0D312A" w:rsidR="006D408E" w:rsidRPr="00FF2046" w:rsidRDefault="006D408E" w:rsidP="006D408E">
      <w:pPr>
        <w:rPr>
          <w:szCs w:val="24"/>
        </w:rPr>
      </w:pPr>
      <w:r w:rsidRPr="00FF2046">
        <w:rPr>
          <w:rFonts w:cs="Times New Roman"/>
          <w:szCs w:val="24"/>
        </w:rPr>
        <w:t xml:space="preserve">Several transportation infrastructure variables such as bike lane density, bikeshare stations, street length, bus stops and subway stations were considered in the demand model. </w:t>
      </w:r>
      <w:r w:rsidRPr="00FF2046">
        <w:rPr>
          <w:szCs w:val="24"/>
        </w:rPr>
        <w:t xml:space="preserve">The parameter estimates for </w:t>
      </w:r>
      <w:r w:rsidRPr="00FF2046">
        <w:t>bike length</w:t>
      </w:r>
      <w:r w:rsidRPr="00FF2046">
        <w:rPr>
          <w:szCs w:val="24"/>
        </w:rPr>
        <w:t xml:space="preserve"> indicate that </w:t>
      </w:r>
      <w:r w:rsidRPr="00FF2046">
        <w:t>probability of</w:t>
      </w:r>
      <w:r w:rsidRPr="00FF2046">
        <w:rPr>
          <w:szCs w:val="24"/>
        </w:rPr>
        <w:t xml:space="preserve"> </w:t>
      </w:r>
      <w:proofErr w:type="spellStart"/>
      <w:r w:rsidR="0095029D">
        <w:t>ridehailing</w:t>
      </w:r>
      <w:proofErr w:type="spellEnd"/>
      <w:r w:rsidRPr="00FF2046">
        <w:t xml:space="preserve"> trips</w:t>
      </w:r>
      <w:r w:rsidRPr="00FF2046">
        <w:rPr>
          <w:szCs w:val="24"/>
        </w:rPr>
        <w:t xml:space="preserve"> decreases with increasing bike length density in the taxi zone. </w:t>
      </w:r>
      <w:bookmarkStart w:id="16" w:name="_Hlk56304467"/>
      <w:r w:rsidRPr="00FF2046">
        <w:rPr>
          <w:rFonts w:cs="Times New Roman"/>
          <w:szCs w:val="24"/>
        </w:rPr>
        <w:t xml:space="preserve">The negative association with number of bikeshare stations within a taxi zone highlights that </w:t>
      </w:r>
      <w:proofErr w:type="spellStart"/>
      <w:r w:rsidRPr="00FF2046">
        <w:rPr>
          <w:rFonts w:cs="Times New Roman"/>
          <w:szCs w:val="24"/>
        </w:rPr>
        <w:t>ridehail</w:t>
      </w:r>
      <w:r w:rsidR="00235CCF">
        <w:rPr>
          <w:rFonts w:cs="Times New Roman"/>
          <w:szCs w:val="24"/>
        </w:rPr>
        <w:t>ing</w:t>
      </w:r>
      <w:proofErr w:type="spellEnd"/>
      <w:r w:rsidRPr="00FF2046">
        <w:rPr>
          <w:rFonts w:cs="Times New Roman"/>
          <w:szCs w:val="24"/>
        </w:rPr>
        <w:t xml:space="preserve"> trip demand is likely in competition with bikeshare demand (for shorter distance share).</w:t>
      </w:r>
      <w:bookmarkEnd w:id="16"/>
      <w:r w:rsidRPr="00FF2046">
        <w:rPr>
          <w:rFonts w:cs="Times New Roman"/>
          <w:szCs w:val="24"/>
        </w:rPr>
        <w:t xml:space="preserve"> </w:t>
      </w:r>
      <w:r w:rsidR="00265306" w:rsidRPr="00265306">
        <w:rPr>
          <w:rFonts w:cs="Times New Roman"/>
          <w:szCs w:val="24"/>
        </w:rPr>
        <w:t xml:space="preserve">For shorter distance travel, the segment of </w:t>
      </w:r>
      <w:proofErr w:type="spellStart"/>
      <w:r w:rsidR="00265306" w:rsidRPr="00265306">
        <w:rPr>
          <w:rFonts w:cs="Times New Roman"/>
          <w:szCs w:val="24"/>
        </w:rPr>
        <w:t>ridehailing</w:t>
      </w:r>
      <w:proofErr w:type="spellEnd"/>
      <w:r w:rsidR="00265306" w:rsidRPr="00265306">
        <w:rPr>
          <w:rFonts w:cs="Times New Roman"/>
          <w:szCs w:val="24"/>
        </w:rPr>
        <w:t xml:space="preserve"> users may shift to bikeshare services</w:t>
      </w:r>
      <w:r w:rsidR="00DA7CEE">
        <w:rPr>
          <w:rFonts w:cs="Times New Roman"/>
          <w:szCs w:val="24"/>
        </w:rPr>
        <w:t xml:space="preserve"> especially under congested conditions (see Faghih-Imani et al. </w:t>
      </w:r>
      <w:r w:rsidR="002E3F8D" w:rsidRPr="002E3F8D">
        <w:rPr>
          <w:rFonts w:cs="Times New Roman"/>
          <w:i/>
          <w:iCs/>
          <w:szCs w:val="24"/>
        </w:rPr>
        <w:t>(57)</w:t>
      </w:r>
      <w:r w:rsidR="00DA7CEE">
        <w:rPr>
          <w:rFonts w:cs="Times New Roman"/>
          <w:szCs w:val="24"/>
        </w:rPr>
        <w:t xml:space="preserve"> for competition between bikeshare and Taxi)</w:t>
      </w:r>
      <w:r w:rsidR="00265306" w:rsidRPr="00265306">
        <w:rPr>
          <w:rFonts w:cs="Times New Roman"/>
          <w:szCs w:val="24"/>
        </w:rPr>
        <w:t xml:space="preserve">. </w:t>
      </w:r>
      <w:r w:rsidR="007E2DEA">
        <w:rPr>
          <w:rFonts w:cs="Times New Roman"/>
          <w:szCs w:val="24"/>
        </w:rPr>
        <w:t xml:space="preserve">The reader would note that the impact of bikeshare stations on </w:t>
      </w:r>
      <w:proofErr w:type="spellStart"/>
      <w:r w:rsidR="007E2DEA">
        <w:rPr>
          <w:rFonts w:cs="Times New Roman"/>
          <w:szCs w:val="24"/>
        </w:rPr>
        <w:t>ridehailing</w:t>
      </w:r>
      <w:proofErr w:type="spellEnd"/>
      <w:r w:rsidR="007E2DEA">
        <w:rPr>
          <w:rFonts w:cs="Times New Roman"/>
          <w:szCs w:val="24"/>
        </w:rPr>
        <w:t xml:space="preserve"> demand while significant is quite small</w:t>
      </w:r>
      <w:r w:rsidR="00AD0B32">
        <w:rPr>
          <w:rFonts w:cs="Times New Roman"/>
          <w:szCs w:val="24"/>
        </w:rPr>
        <w:t xml:space="preserve"> in magnitude</w:t>
      </w:r>
      <w:r w:rsidR="007E2DEA">
        <w:rPr>
          <w:rFonts w:cs="Times New Roman"/>
          <w:szCs w:val="24"/>
        </w:rPr>
        <w:t xml:space="preserve">. </w:t>
      </w:r>
      <w:r w:rsidRPr="00FF2046">
        <w:rPr>
          <w:rFonts w:cs="Times New Roman"/>
          <w:szCs w:val="24"/>
        </w:rPr>
        <w:t>An increase in the street length within a taxi zone has a positive impact on demand. (similar to findings of Correa et al.</w:t>
      </w:r>
      <w:r w:rsidR="00934094" w:rsidRPr="00934094">
        <w:t xml:space="preserve"> </w:t>
      </w:r>
      <w:r w:rsidR="00934094" w:rsidRPr="00934094">
        <w:rPr>
          <w:rFonts w:cs="Times New Roman"/>
          <w:i/>
          <w:iCs/>
          <w:szCs w:val="24"/>
        </w:rPr>
        <w:t>(34)</w:t>
      </w:r>
      <w:r w:rsidRPr="00FF2046">
        <w:rPr>
          <w:rFonts w:cs="Times New Roman"/>
          <w:szCs w:val="24"/>
        </w:rPr>
        <w:t xml:space="preserve">). </w:t>
      </w:r>
      <w:bookmarkStart w:id="17" w:name="_Hlk58877954"/>
      <w:r w:rsidRPr="00FF2046">
        <w:rPr>
          <w:rFonts w:cs="Times New Roman"/>
          <w:szCs w:val="24"/>
        </w:rPr>
        <w:t xml:space="preserve">The number of bus stops and subway stations in the taxi zone has a positive coefficient indicating an increment in </w:t>
      </w:r>
      <w:proofErr w:type="spellStart"/>
      <w:r w:rsidRPr="00FF2046">
        <w:rPr>
          <w:rFonts w:cs="Times New Roman"/>
          <w:szCs w:val="24"/>
        </w:rPr>
        <w:t>ridehail</w:t>
      </w:r>
      <w:r w:rsidR="00DA7CEE">
        <w:rPr>
          <w:rFonts w:cs="Times New Roman"/>
          <w:szCs w:val="24"/>
        </w:rPr>
        <w:t>ing</w:t>
      </w:r>
      <w:proofErr w:type="spellEnd"/>
      <w:r w:rsidRPr="00FF2046">
        <w:rPr>
          <w:rFonts w:cs="Times New Roman"/>
          <w:szCs w:val="24"/>
        </w:rPr>
        <w:t xml:space="preserve"> demand. </w:t>
      </w:r>
      <w:bookmarkStart w:id="18" w:name="_Hlk56306632"/>
      <w:r w:rsidRPr="00FF2046">
        <w:rPr>
          <w:rFonts w:cs="Times New Roman"/>
          <w:szCs w:val="24"/>
        </w:rPr>
        <w:t xml:space="preserve">This result highlights the </w:t>
      </w:r>
      <w:bookmarkStart w:id="19" w:name="_Hlk56306404"/>
      <w:r w:rsidRPr="00FF2046">
        <w:rPr>
          <w:rFonts w:cs="Times New Roman"/>
          <w:szCs w:val="24"/>
        </w:rPr>
        <w:t xml:space="preserve">complementarity between </w:t>
      </w:r>
      <w:proofErr w:type="spellStart"/>
      <w:r w:rsidRPr="00FF2046">
        <w:rPr>
          <w:rFonts w:cs="Times New Roman"/>
          <w:szCs w:val="24"/>
        </w:rPr>
        <w:t>ridehail</w:t>
      </w:r>
      <w:r w:rsidR="00235CCF">
        <w:rPr>
          <w:rFonts w:cs="Times New Roman"/>
          <w:szCs w:val="24"/>
        </w:rPr>
        <w:t>ing</w:t>
      </w:r>
      <w:proofErr w:type="spellEnd"/>
      <w:r w:rsidRPr="00FF2046">
        <w:rPr>
          <w:rFonts w:cs="Times New Roman"/>
          <w:szCs w:val="24"/>
        </w:rPr>
        <w:t xml:space="preserve"> and public transit alternatives</w:t>
      </w:r>
      <w:bookmarkEnd w:id="18"/>
      <w:r w:rsidR="00820457">
        <w:rPr>
          <w:rFonts w:cs="Times New Roman"/>
          <w:szCs w:val="24"/>
        </w:rPr>
        <w:t xml:space="preserve"> </w:t>
      </w:r>
      <w:r w:rsidR="00820457" w:rsidRPr="00820457">
        <w:rPr>
          <w:rFonts w:cs="Times New Roman"/>
          <w:szCs w:val="24"/>
        </w:rPr>
        <w:t xml:space="preserve">(please see Sadowsky &amp; Nelson </w:t>
      </w:r>
      <w:r w:rsidR="00E44747" w:rsidRPr="00492C90">
        <w:rPr>
          <w:rFonts w:cs="Times New Roman"/>
          <w:i/>
          <w:iCs/>
          <w:szCs w:val="24"/>
        </w:rPr>
        <w:t>(</w:t>
      </w:r>
      <w:r w:rsidR="00E030C3">
        <w:rPr>
          <w:rFonts w:cs="Times New Roman"/>
          <w:i/>
          <w:iCs/>
          <w:szCs w:val="24"/>
        </w:rPr>
        <w:t>63</w:t>
      </w:r>
      <w:r w:rsidR="00E44747" w:rsidRPr="00492C90">
        <w:rPr>
          <w:rFonts w:cs="Times New Roman"/>
          <w:i/>
          <w:iCs/>
          <w:szCs w:val="24"/>
        </w:rPr>
        <w:t>)</w:t>
      </w:r>
      <w:r w:rsidR="00820457" w:rsidRPr="00820457">
        <w:rPr>
          <w:rFonts w:cs="Times New Roman"/>
          <w:szCs w:val="24"/>
        </w:rPr>
        <w:t xml:space="preserve">; </w:t>
      </w:r>
      <w:proofErr w:type="spellStart"/>
      <w:r w:rsidR="00820457" w:rsidRPr="00727F1D">
        <w:rPr>
          <w:rFonts w:cs="Times New Roman"/>
          <w:szCs w:val="24"/>
        </w:rPr>
        <w:t>Tirachini</w:t>
      </w:r>
      <w:proofErr w:type="spellEnd"/>
      <w:r w:rsidR="00820457" w:rsidRPr="00727F1D">
        <w:rPr>
          <w:rFonts w:cs="Times New Roman"/>
          <w:szCs w:val="24"/>
        </w:rPr>
        <w:t xml:space="preserve"> &amp; del Río </w:t>
      </w:r>
      <w:r w:rsidR="00E44747" w:rsidRPr="00727F1D">
        <w:rPr>
          <w:rFonts w:cs="Times New Roman"/>
          <w:i/>
          <w:iCs/>
          <w:szCs w:val="24"/>
        </w:rPr>
        <w:t>(</w:t>
      </w:r>
      <w:r w:rsidR="00E030C3">
        <w:rPr>
          <w:rFonts w:cs="Times New Roman"/>
          <w:i/>
          <w:iCs/>
          <w:szCs w:val="24"/>
        </w:rPr>
        <w:t>64</w:t>
      </w:r>
      <w:r w:rsidR="00E44747" w:rsidRPr="00727F1D">
        <w:rPr>
          <w:rFonts w:cs="Times New Roman"/>
          <w:i/>
          <w:iCs/>
          <w:szCs w:val="24"/>
        </w:rPr>
        <w:t>); Yu &amp; Peng (</w:t>
      </w:r>
      <w:r w:rsidR="00727F1D" w:rsidRPr="00727F1D">
        <w:rPr>
          <w:rFonts w:cs="Times New Roman"/>
          <w:i/>
          <w:iCs/>
          <w:szCs w:val="24"/>
        </w:rPr>
        <w:t>39</w:t>
      </w:r>
      <w:r w:rsidR="00E44747" w:rsidRPr="00727F1D">
        <w:rPr>
          <w:rFonts w:cs="Times New Roman"/>
          <w:i/>
          <w:iCs/>
          <w:szCs w:val="24"/>
        </w:rPr>
        <w:t xml:space="preserve">) </w:t>
      </w:r>
      <w:r w:rsidR="00820457" w:rsidRPr="00727F1D">
        <w:rPr>
          <w:rFonts w:cs="Times New Roman"/>
          <w:szCs w:val="24"/>
        </w:rPr>
        <w:t>for similar result</w:t>
      </w:r>
      <w:r w:rsidR="00DA7CEE" w:rsidRPr="00727F1D">
        <w:rPr>
          <w:rFonts w:cs="Times New Roman"/>
          <w:szCs w:val="24"/>
        </w:rPr>
        <w:t>s</w:t>
      </w:r>
      <w:r w:rsidR="00820457" w:rsidRPr="00727F1D">
        <w:rPr>
          <w:rFonts w:cs="Times New Roman"/>
          <w:szCs w:val="24"/>
        </w:rPr>
        <w:t>)</w:t>
      </w:r>
      <w:r w:rsidRPr="00727F1D">
        <w:rPr>
          <w:rFonts w:cs="Times New Roman"/>
          <w:szCs w:val="24"/>
        </w:rPr>
        <w:t>.</w:t>
      </w:r>
      <w:bookmarkEnd w:id="17"/>
      <w:bookmarkEnd w:id="19"/>
    </w:p>
    <w:p w14:paraId="01F7196C" w14:textId="77777777" w:rsidR="006D408E" w:rsidRPr="00FF2046" w:rsidRDefault="006D408E" w:rsidP="006D408E">
      <w:pPr>
        <w:rPr>
          <w:szCs w:val="24"/>
        </w:rPr>
      </w:pPr>
    </w:p>
    <w:p w14:paraId="7F96FAB4" w14:textId="77777777" w:rsidR="006D408E" w:rsidRPr="00FF2046" w:rsidRDefault="006D408E" w:rsidP="00842E37">
      <w:pPr>
        <w:pStyle w:val="Heading4"/>
        <w:rPr>
          <w:rFonts w:eastAsia="Times New Roman"/>
        </w:rPr>
      </w:pPr>
      <w:r w:rsidRPr="00FF2046">
        <w:rPr>
          <w:rFonts w:eastAsia="Times New Roman"/>
        </w:rPr>
        <w:t>Temporal and Weather Attributes</w:t>
      </w:r>
    </w:p>
    <w:p w14:paraId="5E1CCD9E" w14:textId="5A850947" w:rsidR="006D408E" w:rsidRPr="00FF2046" w:rsidRDefault="006D408E" w:rsidP="006D408E">
      <w:pPr>
        <w:rPr>
          <w:szCs w:val="24"/>
        </w:rPr>
      </w:pPr>
      <w:r w:rsidRPr="00FF2046">
        <w:rPr>
          <w:szCs w:val="24"/>
        </w:rPr>
        <w:t xml:space="preserve">An interaction variable of summer season with Times Square distance from each taxi zone was used and the results highlight an interesting result. The results indicate that the </w:t>
      </w:r>
      <w:proofErr w:type="spellStart"/>
      <w:r w:rsidRPr="00FF2046">
        <w:rPr>
          <w:szCs w:val="24"/>
        </w:rPr>
        <w:t>ridehail</w:t>
      </w:r>
      <w:r w:rsidR="00235CCF">
        <w:rPr>
          <w:szCs w:val="24"/>
        </w:rPr>
        <w:t>ing</w:t>
      </w:r>
      <w:proofErr w:type="spellEnd"/>
      <w:r w:rsidRPr="00FF2046">
        <w:rPr>
          <w:szCs w:val="24"/>
        </w:rPr>
        <w:t xml:space="preserve"> demand in summer reduces faster than rest of the year as we move away from Times Square. The result clearly highlights the attraction of Times Square during summer months for visitors and their plausible adoption of </w:t>
      </w:r>
      <w:proofErr w:type="spellStart"/>
      <w:r w:rsidR="0095029D">
        <w:rPr>
          <w:szCs w:val="24"/>
        </w:rPr>
        <w:t>ridehailing</w:t>
      </w:r>
      <w:proofErr w:type="spellEnd"/>
      <w:r w:rsidRPr="00FF2046">
        <w:rPr>
          <w:szCs w:val="24"/>
        </w:rPr>
        <w:t xml:space="preserve">. Time elapsed variable that counts the month from January 2015 to December 2018 was used to find the impact of temporal trend attribute on </w:t>
      </w:r>
      <w:proofErr w:type="spellStart"/>
      <w:r w:rsidR="0095029D">
        <w:rPr>
          <w:szCs w:val="24"/>
        </w:rPr>
        <w:t>ridehailing</w:t>
      </w:r>
      <w:proofErr w:type="spellEnd"/>
      <w:r w:rsidRPr="00FF2046">
        <w:rPr>
          <w:szCs w:val="24"/>
        </w:rPr>
        <w:t xml:space="preserve"> trip count. The result highlights the positive association with </w:t>
      </w:r>
      <w:proofErr w:type="spellStart"/>
      <w:r w:rsidR="0095029D">
        <w:rPr>
          <w:szCs w:val="24"/>
        </w:rPr>
        <w:t>ridehailing</w:t>
      </w:r>
      <w:proofErr w:type="spellEnd"/>
      <w:r w:rsidRPr="00FF2046">
        <w:rPr>
          <w:szCs w:val="24"/>
        </w:rPr>
        <w:t xml:space="preserve"> representing how with time overall demand has increased. </w:t>
      </w:r>
      <w:bookmarkStart w:id="20" w:name="_Hlk56309330"/>
      <w:r w:rsidRPr="00FF2046">
        <w:rPr>
          <w:szCs w:val="24"/>
        </w:rPr>
        <w:t xml:space="preserve">Finally, </w:t>
      </w:r>
      <w:bookmarkStart w:id="21" w:name="_Hlk58877982"/>
      <w:r w:rsidRPr="00FF2046">
        <w:rPr>
          <w:szCs w:val="24"/>
        </w:rPr>
        <w:t xml:space="preserve">as the depth of snow in the taxi zone increases, </w:t>
      </w:r>
      <w:proofErr w:type="spellStart"/>
      <w:r w:rsidR="0095029D">
        <w:rPr>
          <w:szCs w:val="24"/>
        </w:rPr>
        <w:t>ridehailing</w:t>
      </w:r>
      <w:proofErr w:type="spellEnd"/>
      <w:r w:rsidRPr="00FF2046">
        <w:rPr>
          <w:szCs w:val="24"/>
        </w:rPr>
        <w:t xml:space="preserve"> demand reduces. </w:t>
      </w:r>
      <w:bookmarkEnd w:id="20"/>
      <w:r w:rsidRPr="00FF2046">
        <w:rPr>
          <w:szCs w:val="24"/>
        </w:rPr>
        <w:t>This is expected as trip generation across all modes is likely to reduce under snowy conditions</w:t>
      </w:r>
      <w:r w:rsidR="003F3DC3">
        <w:rPr>
          <w:szCs w:val="24"/>
        </w:rPr>
        <w:t xml:space="preserve"> </w:t>
      </w:r>
      <w:r w:rsidR="003F3DC3" w:rsidRPr="003F3DC3">
        <w:rPr>
          <w:szCs w:val="24"/>
        </w:rPr>
        <w:t xml:space="preserve">(please see Brodeur &amp; Nield </w:t>
      </w:r>
      <w:r w:rsidR="001562ED" w:rsidRPr="00CE7989">
        <w:rPr>
          <w:i/>
          <w:iCs/>
          <w:szCs w:val="24"/>
        </w:rPr>
        <w:t>(</w:t>
      </w:r>
      <w:r w:rsidR="00E030C3" w:rsidRPr="00CE7989">
        <w:rPr>
          <w:i/>
          <w:iCs/>
          <w:szCs w:val="24"/>
        </w:rPr>
        <w:t>6</w:t>
      </w:r>
      <w:r w:rsidR="00E030C3">
        <w:rPr>
          <w:i/>
          <w:iCs/>
          <w:szCs w:val="24"/>
        </w:rPr>
        <w:t>5</w:t>
      </w:r>
      <w:r w:rsidR="001562ED" w:rsidRPr="00CE7989">
        <w:rPr>
          <w:i/>
          <w:iCs/>
          <w:szCs w:val="24"/>
        </w:rPr>
        <w:t>)</w:t>
      </w:r>
      <w:r w:rsidR="003F3DC3" w:rsidRPr="003F3DC3">
        <w:rPr>
          <w:szCs w:val="24"/>
        </w:rPr>
        <w:t xml:space="preserve"> for similar result</w:t>
      </w:r>
      <w:r w:rsidR="00DA7CEE">
        <w:rPr>
          <w:szCs w:val="24"/>
        </w:rPr>
        <w:t>s</w:t>
      </w:r>
      <w:r w:rsidR="003F3DC3" w:rsidRPr="003F3DC3">
        <w:rPr>
          <w:szCs w:val="24"/>
        </w:rPr>
        <w:t>)</w:t>
      </w:r>
      <w:r w:rsidRPr="00FF2046">
        <w:rPr>
          <w:szCs w:val="24"/>
        </w:rPr>
        <w:t xml:space="preserve">. </w:t>
      </w:r>
      <w:bookmarkEnd w:id="21"/>
    </w:p>
    <w:p w14:paraId="12090B7B" w14:textId="77777777" w:rsidR="006D408E" w:rsidRPr="00FF2046" w:rsidRDefault="006D408E" w:rsidP="006D408E">
      <w:pPr>
        <w:rPr>
          <w:szCs w:val="24"/>
        </w:rPr>
      </w:pPr>
    </w:p>
    <w:p w14:paraId="000A2270" w14:textId="7457B62E" w:rsidR="006D408E" w:rsidRPr="002D5A3A" w:rsidRDefault="006D408E" w:rsidP="002D5A3A">
      <w:pPr>
        <w:pStyle w:val="Heading3"/>
      </w:pPr>
      <w:r w:rsidRPr="002D5A3A">
        <w:t>Trip Proportion (MNL Fractional Split Component Model)</w:t>
      </w:r>
    </w:p>
    <w:p w14:paraId="1FD7D15F" w14:textId="77777777" w:rsidR="006D408E" w:rsidRPr="00FF2046" w:rsidRDefault="006D408E" w:rsidP="006D408E">
      <w:pPr>
        <w:rPr>
          <w:szCs w:val="24"/>
        </w:rPr>
      </w:pPr>
      <w:r w:rsidRPr="00FF2046">
        <w:rPr>
          <w:szCs w:val="24"/>
        </w:rPr>
        <w:t>In the MNL fractional split model, a positive (negative) sign for a variable indicates that an increase in the variable is likely to result in higher proportion of trips for the corresponding alternative relative to the base alternative for that variable.</w:t>
      </w:r>
    </w:p>
    <w:p w14:paraId="3587E335" w14:textId="77777777" w:rsidR="006D408E" w:rsidRPr="00FF2046" w:rsidRDefault="006D408E" w:rsidP="006D408E">
      <w:pPr>
        <w:rPr>
          <w:szCs w:val="24"/>
        </w:rPr>
      </w:pPr>
    </w:p>
    <w:p w14:paraId="39244A7C" w14:textId="0DEACFAF" w:rsidR="006D408E" w:rsidRPr="002D5A3A" w:rsidRDefault="006D408E" w:rsidP="002D5A3A">
      <w:pPr>
        <w:pStyle w:val="Heading4"/>
        <w:numPr>
          <w:ilvl w:val="3"/>
          <w:numId w:val="28"/>
        </w:numPr>
      </w:pPr>
      <w:r w:rsidRPr="002D5A3A">
        <w:t xml:space="preserve">Constant parameters </w:t>
      </w:r>
    </w:p>
    <w:p w14:paraId="404A55E8" w14:textId="037D3AC1" w:rsidR="006D408E" w:rsidRDefault="006D408E" w:rsidP="006D408E">
      <w:pPr>
        <w:rPr>
          <w:szCs w:val="24"/>
        </w:rPr>
      </w:pPr>
      <w:r w:rsidRPr="00FF2046">
        <w:rPr>
          <w:szCs w:val="24"/>
        </w:rPr>
        <w:t>The constant parameters have no substantive interpretation after introducing independent variables.</w:t>
      </w:r>
    </w:p>
    <w:p w14:paraId="7643BDCD" w14:textId="77777777" w:rsidR="006D35A3" w:rsidRPr="00FF2046" w:rsidRDefault="006D35A3" w:rsidP="006D408E">
      <w:pPr>
        <w:rPr>
          <w:szCs w:val="24"/>
        </w:rPr>
      </w:pPr>
    </w:p>
    <w:p w14:paraId="52B05CC7" w14:textId="77777777" w:rsidR="006D408E" w:rsidRPr="00FF2046" w:rsidRDefault="006D408E" w:rsidP="00842E37">
      <w:pPr>
        <w:pStyle w:val="Heading4"/>
      </w:pPr>
      <w:r w:rsidRPr="00FF2046">
        <w:t xml:space="preserve">Land Use and Built Environment Attributes </w:t>
      </w:r>
    </w:p>
    <w:p w14:paraId="52E4259E" w14:textId="3B267FA4" w:rsidR="006D408E" w:rsidRPr="00FF2046" w:rsidRDefault="006D408E" w:rsidP="006D408E">
      <w:pPr>
        <w:rPr>
          <w:szCs w:val="24"/>
        </w:rPr>
      </w:pPr>
      <w:r w:rsidRPr="00FF2046">
        <w:rPr>
          <w:szCs w:val="24"/>
        </w:rPr>
        <w:t xml:space="preserve">In the context of land use and built environment attributes, population density in a census tract has significant impact on trip proportions. Increasing population has a positive impact on </w:t>
      </w:r>
      <w:r w:rsidR="00573A35">
        <w:rPr>
          <w:szCs w:val="24"/>
        </w:rPr>
        <w:t>Y</w:t>
      </w:r>
      <w:r w:rsidRPr="00FF2046">
        <w:rPr>
          <w:szCs w:val="24"/>
        </w:rPr>
        <w:t xml:space="preserve">ellow taxi proportion and negative impact on </w:t>
      </w:r>
      <w:r w:rsidR="00573A35">
        <w:rPr>
          <w:szCs w:val="24"/>
        </w:rPr>
        <w:t>G</w:t>
      </w:r>
      <w:r w:rsidRPr="00FF2046">
        <w:rPr>
          <w:szCs w:val="24"/>
        </w:rPr>
        <w:t xml:space="preserve">reen taxi proportion. The result seems reasonable since </w:t>
      </w:r>
      <w:r w:rsidR="00573A35">
        <w:rPr>
          <w:szCs w:val="24"/>
        </w:rPr>
        <w:t>G</w:t>
      </w:r>
      <w:r w:rsidRPr="00FF2046">
        <w:rPr>
          <w:szCs w:val="24"/>
        </w:rPr>
        <w:t xml:space="preserve">reen taxi has regulations restricting on-street pickup. In a similar vein, with higher job density, the proportion of TNC increases. The result potentially indicates preference among employed individuals for TNC. </w:t>
      </w:r>
      <w:r w:rsidRPr="00FF2046">
        <w:rPr>
          <w:rFonts w:cs="Times New Roman"/>
          <w:szCs w:val="24"/>
        </w:rPr>
        <w:t xml:space="preserve">Taxi zones with high median income have positive association with </w:t>
      </w:r>
      <w:r w:rsidR="00573A35">
        <w:rPr>
          <w:rFonts w:cs="Times New Roman"/>
          <w:szCs w:val="24"/>
        </w:rPr>
        <w:t>Y</w:t>
      </w:r>
      <w:r w:rsidRPr="00FF2046">
        <w:rPr>
          <w:rFonts w:cs="Times New Roman"/>
          <w:szCs w:val="24"/>
        </w:rPr>
        <w:t xml:space="preserve">ellow taxi proportion. The result probably reflects the indifference to typically higher fares of </w:t>
      </w:r>
      <w:r w:rsidR="00573A35">
        <w:rPr>
          <w:rFonts w:cs="Times New Roman"/>
          <w:szCs w:val="24"/>
        </w:rPr>
        <w:t>Y</w:t>
      </w:r>
      <w:r w:rsidRPr="00FF2046">
        <w:rPr>
          <w:rFonts w:cs="Times New Roman"/>
          <w:szCs w:val="24"/>
        </w:rPr>
        <w:t xml:space="preserve">ellow taxi relative to TNCs. </w:t>
      </w:r>
      <w:r w:rsidRPr="00FF2046">
        <w:rPr>
          <w:szCs w:val="24"/>
        </w:rPr>
        <w:t xml:space="preserve">With increasing zero car ownership households, the likelihood of </w:t>
      </w:r>
      <w:r w:rsidR="00573A35">
        <w:rPr>
          <w:szCs w:val="24"/>
        </w:rPr>
        <w:t>G</w:t>
      </w:r>
      <w:r w:rsidRPr="00FF2046">
        <w:rPr>
          <w:szCs w:val="24"/>
        </w:rPr>
        <w:t xml:space="preserve">reen taxi </w:t>
      </w:r>
      <w:r w:rsidRPr="00FF2046">
        <w:rPr>
          <w:szCs w:val="24"/>
        </w:rPr>
        <w:lastRenderedPageBreak/>
        <w:t>and TNC services trips proportion increases. Zero car household</w:t>
      </w:r>
      <w:r w:rsidR="008D1B93">
        <w:rPr>
          <w:szCs w:val="24"/>
        </w:rPr>
        <w:t>s</w:t>
      </w:r>
      <w:r w:rsidRPr="00FF2046">
        <w:rPr>
          <w:szCs w:val="24"/>
        </w:rPr>
        <w:t xml:space="preserve"> are inclined to adopting TNC services that are usually less expensive compared to taxis. </w:t>
      </w:r>
    </w:p>
    <w:p w14:paraId="1021BA81" w14:textId="5EF066C8" w:rsidR="004D6059" w:rsidRPr="00FF2046" w:rsidRDefault="00C55B14" w:rsidP="00650883">
      <w:pPr>
        <w:rPr>
          <w:szCs w:val="24"/>
        </w:rPr>
      </w:pPr>
      <w:r w:rsidRPr="00FF2046">
        <w:rPr>
          <w:szCs w:val="24"/>
        </w:rPr>
        <w:tab/>
      </w:r>
      <w:r w:rsidR="00CA50D4" w:rsidRPr="00FF2046">
        <w:rPr>
          <w:szCs w:val="24"/>
        </w:rPr>
        <w:t xml:space="preserve">A </w:t>
      </w:r>
      <w:r w:rsidR="00152B34" w:rsidRPr="00FF2046">
        <w:rPr>
          <w:szCs w:val="24"/>
        </w:rPr>
        <w:t xml:space="preserve">negative </w:t>
      </w:r>
      <w:r w:rsidR="00CA50D4" w:rsidRPr="00FF2046">
        <w:rPr>
          <w:szCs w:val="24"/>
        </w:rPr>
        <w:t xml:space="preserve">association is observed for the </w:t>
      </w:r>
      <w:r w:rsidR="004F5F0A" w:rsidRPr="00FF2046">
        <w:rPr>
          <w:szCs w:val="24"/>
        </w:rPr>
        <w:t xml:space="preserve">presence of restaurants and cafes with TNC trip proportions while </w:t>
      </w:r>
      <w:r w:rsidR="00152B34" w:rsidRPr="00FF2046">
        <w:rPr>
          <w:szCs w:val="24"/>
        </w:rPr>
        <w:t xml:space="preserve">recreational centers and point of interests (POI) </w:t>
      </w:r>
      <w:r w:rsidR="004F5F0A" w:rsidRPr="00FF2046">
        <w:rPr>
          <w:szCs w:val="24"/>
        </w:rPr>
        <w:t>ha</w:t>
      </w:r>
      <w:r w:rsidR="00394859" w:rsidRPr="00FF2046">
        <w:rPr>
          <w:szCs w:val="24"/>
        </w:rPr>
        <w:t>ve an</w:t>
      </w:r>
      <w:r w:rsidR="004F5F0A" w:rsidRPr="00FF2046">
        <w:rPr>
          <w:szCs w:val="24"/>
        </w:rPr>
        <w:t xml:space="preserve"> increased likelihood for the </w:t>
      </w:r>
      <w:r w:rsidR="00573A35">
        <w:rPr>
          <w:szCs w:val="24"/>
        </w:rPr>
        <w:t>Y</w:t>
      </w:r>
      <w:r w:rsidR="00152B34" w:rsidRPr="00FF2046">
        <w:rPr>
          <w:szCs w:val="24"/>
        </w:rPr>
        <w:t>ellow</w:t>
      </w:r>
      <w:r w:rsidR="004F5F0A" w:rsidRPr="00FF2046">
        <w:rPr>
          <w:szCs w:val="24"/>
        </w:rPr>
        <w:t xml:space="preserve"> taxi proportions. </w:t>
      </w:r>
      <w:r w:rsidR="008D1B93">
        <w:rPr>
          <w:szCs w:val="24"/>
        </w:rPr>
        <w:t xml:space="preserve">While this might appear counter-intuitive, the </w:t>
      </w:r>
      <w:r w:rsidR="00751E96">
        <w:rPr>
          <w:szCs w:val="24"/>
        </w:rPr>
        <w:t>finding</w:t>
      </w:r>
      <w:r w:rsidR="008D1B93">
        <w:rPr>
          <w:szCs w:val="24"/>
        </w:rPr>
        <w:t xml:space="preserve"> potentially </w:t>
      </w:r>
      <w:r w:rsidR="00751E96">
        <w:rPr>
          <w:szCs w:val="24"/>
        </w:rPr>
        <w:t>indicates</w:t>
      </w:r>
      <w:r w:rsidR="008D1B93">
        <w:rPr>
          <w:szCs w:val="24"/>
        </w:rPr>
        <w:t xml:space="preserve"> lower wait times for taxi services in these locations. It is also important to recognize that </w:t>
      </w:r>
      <w:r w:rsidR="008D1B93" w:rsidRPr="00FF2046">
        <w:rPr>
          <w:szCs w:val="24"/>
        </w:rPr>
        <w:t xml:space="preserve">recreational centers and </w:t>
      </w:r>
      <w:r w:rsidR="008D1B93">
        <w:rPr>
          <w:szCs w:val="24"/>
        </w:rPr>
        <w:t xml:space="preserve">POIs result in an overall increase in the number of </w:t>
      </w:r>
      <w:proofErr w:type="spellStart"/>
      <w:r w:rsidR="008D1B93">
        <w:rPr>
          <w:szCs w:val="24"/>
        </w:rPr>
        <w:t>ridehailing</w:t>
      </w:r>
      <w:proofErr w:type="spellEnd"/>
      <w:r w:rsidR="008D1B93">
        <w:rPr>
          <w:szCs w:val="24"/>
        </w:rPr>
        <w:t xml:space="preserve"> trips. Thus, the proportion reduction might simply indicate a higher share of taxi trips in these taxi</w:t>
      </w:r>
      <w:r w:rsidR="00573A35">
        <w:rPr>
          <w:szCs w:val="24"/>
        </w:rPr>
        <w:t xml:space="preserve"> </w:t>
      </w:r>
      <w:r w:rsidR="008D1B93">
        <w:rPr>
          <w:szCs w:val="24"/>
        </w:rPr>
        <w:t xml:space="preserve">zones (relative to other taxi zones). </w:t>
      </w:r>
      <w:r w:rsidR="004F45F8">
        <w:rPr>
          <w:szCs w:val="24"/>
        </w:rPr>
        <w:t xml:space="preserve">The exact magnitude of the impact is a complex interaction across the two components and must be carefully evaluated. </w:t>
      </w:r>
      <w:r w:rsidR="0021174C" w:rsidRPr="00FF2046">
        <w:rPr>
          <w:szCs w:val="24"/>
        </w:rPr>
        <w:t xml:space="preserve">In terms of land use type, only proportion of park area variable has significant impact on trip proportions. The likelihood of </w:t>
      </w:r>
      <w:r w:rsidR="00573A35">
        <w:rPr>
          <w:szCs w:val="24"/>
        </w:rPr>
        <w:t>Y</w:t>
      </w:r>
      <w:r w:rsidR="00C128C7" w:rsidRPr="00FF2046">
        <w:rPr>
          <w:szCs w:val="24"/>
        </w:rPr>
        <w:t>ellow</w:t>
      </w:r>
      <w:r w:rsidR="0021174C" w:rsidRPr="00FF2046">
        <w:rPr>
          <w:szCs w:val="24"/>
        </w:rPr>
        <w:t xml:space="preserve"> taxi trips increases for a high percentage of park area in a taxi zone while </w:t>
      </w:r>
      <w:r w:rsidR="00573A35">
        <w:rPr>
          <w:szCs w:val="24"/>
        </w:rPr>
        <w:t>G</w:t>
      </w:r>
      <w:r w:rsidR="0021174C" w:rsidRPr="00FF2046">
        <w:rPr>
          <w:szCs w:val="24"/>
        </w:rPr>
        <w:t>reen taxi trip proportion reduces.</w:t>
      </w:r>
      <w:r w:rsidR="005D2B7E" w:rsidRPr="00FF2046">
        <w:rPr>
          <w:szCs w:val="24"/>
        </w:rPr>
        <w:t xml:space="preserve"> </w:t>
      </w:r>
      <w:r w:rsidR="004F45F8">
        <w:rPr>
          <w:szCs w:val="24"/>
        </w:rPr>
        <w:t xml:space="preserve">The result highlights how </w:t>
      </w:r>
      <w:r w:rsidR="00573A35">
        <w:rPr>
          <w:szCs w:val="24"/>
        </w:rPr>
        <w:t>Y</w:t>
      </w:r>
      <w:r w:rsidR="004F45F8">
        <w:rPr>
          <w:szCs w:val="24"/>
        </w:rPr>
        <w:t xml:space="preserve">ellow taxi is more preferred in these taxi zones relative to the other alternatives. The result is possibly a manifestation of the differences in service regions for </w:t>
      </w:r>
      <w:r w:rsidR="00573A35">
        <w:rPr>
          <w:szCs w:val="24"/>
        </w:rPr>
        <w:t>Y</w:t>
      </w:r>
      <w:r w:rsidR="004F45F8">
        <w:rPr>
          <w:szCs w:val="24"/>
        </w:rPr>
        <w:t xml:space="preserve">ellow and </w:t>
      </w:r>
      <w:r w:rsidR="00573A35">
        <w:rPr>
          <w:szCs w:val="24"/>
        </w:rPr>
        <w:t>G</w:t>
      </w:r>
      <w:r w:rsidR="004F45F8">
        <w:rPr>
          <w:szCs w:val="24"/>
        </w:rPr>
        <w:t xml:space="preserve">reen taxis. The reader would note that an increase in park area is associated with an overall </w:t>
      </w:r>
      <w:proofErr w:type="spellStart"/>
      <w:r w:rsidR="004F45F8">
        <w:rPr>
          <w:szCs w:val="24"/>
        </w:rPr>
        <w:t>ridehailing</w:t>
      </w:r>
      <w:proofErr w:type="spellEnd"/>
      <w:r w:rsidR="004F45F8">
        <w:rPr>
          <w:szCs w:val="24"/>
        </w:rPr>
        <w:t xml:space="preserve"> demand increase. Thus, even with this increase in share for </w:t>
      </w:r>
      <w:r w:rsidR="00573A35">
        <w:rPr>
          <w:szCs w:val="24"/>
        </w:rPr>
        <w:t>Y</w:t>
      </w:r>
      <w:r w:rsidR="004F45F8">
        <w:rPr>
          <w:szCs w:val="24"/>
        </w:rPr>
        <w:t xml:space="preserve">ellow taxi, the overall share of TNC is likely to be higher than other two alternatives. </w:t>
      </w:r>
      <w:r w:rsidR="00B72E34" w:rsidRPr="00FF2046">
        <w:rPr>
          <w:szCs w:val="24"/>
        </w:rPr>
        <w:t xml:space="preserve">As expected, availability of airport in taxi zones increases the inclination of choosing </w:t>
      </w:r>
      <w:r w:rsidR="00573A35">
        <w:rPr>
          <w:szCs w:val="24"/>
        </w:rPr>
        <w:t>Y</w:t>
      </w:r>
      <w:r w:rsidR="005D2B7E" w:rsidRPr="00FF2046">
        <w:rPr>
          <w:szCs w:val="24"/>
        </w:rPr>
        <w:t>ellow taxis</w:t>
      </w:r>
      <w:r w:rsidR="0012678F">
        <w:rPr>
          <w:szCs w:val="24"/>
        </w:rPr>
        <w:t xml:space="preserve"> </w:t>
      </w:r>
      <w:r w:rsidR="00570498" w:rsidRPr="00FF2046">
        <w:rPr>
          <w:szCs w:val="24"/>
        </w:rPr>
        <w:t>(See similar result</w:t>
      </w:r>
      <w:r w:rsidR="007D5B3E" w:rsidRPr="00FF2046">
        <w:rPr>
          <w:szCs w:val="24"/>
        </w:rPr>
        <w:t>s</w:t>
      </w:r>
      <w:r w:rsidR="00570498" w:rsidRPr="00FF2046">
        <w:rPr>
          <w:szCs w:val="24"/>
        </w:rPr>
        <w:t xml:space="preserve"> f</w:t>
      </w:r>
      <w:r w:rsidR="007D5B3E" w:rsidRPr="00FF2046">
        <w:rPr>
          <w:szCs w:val="24"/>
        </w:rPr>
        <w:t>or</w:t>
      </w:r>
      <w:r w:rsidR="00570498" w:rsidRPr="00FF2046">
        <w:rPr>
          <w:szCs w:val="24"/>
        </w:rPr>
        <w:t xml:space="preserve"> </w:t>
      </w:r>
      <w:r w:rsidR="00573A35">
        <w:rPr>
          <w:szCs w:val="24"/>
        </w:rPr>
        <w:t>Y</w:t>
      </w:r>
      <w:r w:rsidR="00570498" w:rsidRPr="00FF2046">
        <w:rPr>
          <w:szCs w:val="24"/>
        </w:rPr>
        <w:t xml:space="preserve">ellow taxi </w:t>
      </w:r>
      <w:r w:rsidR="007D5B3E" w:rsidRPr="00FF2046">
        <w:rPr>
          <w:szCs w:val="24"/>
        </w:rPr>
        <w:t xml:space="preserve">share </w:t>
      </w:r>
      <w:r w:rsidR="007548F8" w:rsidRPr="00FF2046">
        <w:rPr>
          <w:szCs w:val="24"/>
        </w:rPr>
        <w:t xml:space="preserve">for </w:t>
      </w:r>
      <w:r w:rsidR="007D5B3E" w:rsidRPr="00FF2046">
        <w:rPr>
          <w:szCs w:val="24"/>
        </w:rPr>
        <w:t xml:space="preserve">airport </w:t>
      </w:r>
      <w:r w:rsidR="00766679" w:rsidRPr="00FF2046">
        <w:rPr>
          <w:szCs w:val="24"/>
        </w:rPr>
        <w:t xml:space="preserve">originated </w:t>
      </w:r>
      <w:r w:rsidR="007D5B3E" w:rsidRPr="00FF2046">
        <w:rPr>
          <w:szCs w:val="24"/>
        </w:rPr>
        <w:t>trips</w:t>
      </w:r>
      <w:r w:rsidR="001562ED">
        <w:rPr>
          <w:szCs w:val="24"/>
        </w:rPr>
        <w:t xml:space="preserve"> </w:t>
      </w:r>
      <w:r w:rsidR="001562ED" w:rsidRPr="00492C90">
        <w:rPr>
          <w:i/>
          <w:iCs/>
          <w:szCs w:val="24"/>
        </w:rPr>
        <w:t>(</w:t>
      </w:r>
      <w:r w:rsidR="00E030C3">
        <w:rPr>
          <w:i/>
          <w:iCs/>
          <w:szCs w:val="24"/>
        </w:rPr>
        <w:t>66</w:t>
      </w:r>
      <w:r w:rsidR="001562ED" w:rsidRPr="00492C90">
        <w:rPr>
          <w:i/>
          <w:iCs/>
          <w:szCs w:val="24"/>
        </w:rPr>
        <w:t>)</w:t>
      </w:r>
      <w:r w:rsidR="00570498" w:rsidRPr="00FF2046">
        <w:rPr>
          <w:szCs w:val="24"/>
        </w:rPr>
        <w:t>)</w:t>
      </w:r>
      <w:r w:rsidR="005D2B7E" w:rsidRPr="00FF2046">
        <w:rPr>
          <w:szCs w:val="24"/>
        </w:rPr>
        <w:t>.</w:t>
      </w:r>
      <w:r w:rsidR="00293CB8" w:rsidRPr="00FF2046">
        <w:rPr>
          <w:szCs w:val="24"/>
        </w:rPr>
        <w:t xml:space="preserve"> </w:t>
      </w:r>
      <w:r w:rsidR="004F45F8">
        <w:rPr>
          <w:szCs w:val="24"/>
        </w:rPr>
        <w:t xml:space="preserve">At airports, taxi services receive preferential treatment with pickup bays and are hence likely to have a larger share. </w:t>
      </w:r>
      <w:r w:rsidR="00F021B1" w:rsidRPr="00FF2046">
        <w:rPr>
          <w:szCs w:val="24"/>
        </w:rPr>
        <w:t xml:space="preserve">As the distance between taxi zone and </w:t>
      </w:r>
      <w:r w:rsidR="00293CB8" w:rsidRPr="00FF2046">
        <w:rPr>
          <w:szCs w:val="24"/>
        </w:rPr>
        <w:t xml:space="preserve">airport </w:t>
      </w:r>
      <w:r w:rsidR="00F021B1" w:rsidRPr="00FF2046">
        <w:rPr>
          <w:szCs w:val="24"/>
        </w:rPr>
        <w:t xml:space="preserve">increases, the share of TNC alternative increases. It is possible that TNC services are more readily available in these locations. </w:t>
      </w:r>
      <w:r w:rsidR="004F45F8">
        <w:rPr>
          <w:szCs w:val="24"/>
        </w:rPr>
        <w:t xml:space="preserve">Further, the pricing of TNC services is cheaper and are hence preferred away from airport locations. </w:t>
      </w:r>
      <w:r w:rsidR="00394859" w:rsidRPr="00FF2046">
        <w:rPr>
          <w:szCs w:val="24"/>
        </w:rPr>
        <w:t xml:space="preserve">As taxi zones are further from </w:t>
      </w:r>
      <w:r w:rsidR="006978F3" w:rsidRPr="00FF2046">
        <w:rPr>
          <w:szCs w:val="24"/>
        </w:rPr>
        <w:t>Times Square, trip proportions for both taxis reduce</w:t>
      </w:r>
      <w:r w:rsidR="00F021B1" w:rsidRPr="00FF2046">
        <w:rPr>
          <w:szCs w:val="24"/>
        </w:rPr>
        <w:t xml:space="preserve"> reflecting their low </w:t>
      </w:r>
      <w:r w:rsidR="00350E2F">
        <w:rPr>
          <w:szCs w:val="24"/>
        </w:rPr>
        <w:t>availability</w:t>
      </w:r>
      <w:r w:rsidR="00350E2F" w:rsidRPr="00FF2046">
        <w:rPr>
          <w:szCs w:val="24"/>
        </w:rPr>
        <w:t xml:space="preserve"> </w:t>
      </w:r>
      <w:r w:rsidR="00F021B1" w:rsidRPr="00FF2046">
        <w:rPr>
          <w:szCs w:val="24"/>
        </w:rPr>
        <w:t>as we move further away from Times Square</w:t>
      </w:r>
      <w:r w:rsidR="006978F3" w:rsidRPr="00FF2046">
        <w:rPr>
          <w:szCs w:val="24"/>
        </w:rPr>
        <w:t>.</w:t>
      </w:r>
      <w:r w:rsidR="003C319E" w:rsidRPr="00FF2046">
        <w:rPr>
          <w:szCs w:val="24"/>
        </w:rPr>
        <w:t xml:space="preserve"> </w:t>
      </w:r>
      <w:r w:rsidR="004D6059" w:rsidRPr="00FF2046">
        <w:rPr>
          <w:szCs w:val="24"/>
        </w:rPr>
        <w:t xml:space="preserve">The results for </w:t>
      </w:r>
      <w:r w:rsidR="003C319E" w:rsidRPr="00FF2046">
        <w:rPr>
          <w:szCs w:val="24"/>
        </w:rPr>
        <w:t xml:space="preserve">accident density </w:t>
      </w:r>
      <w:r w:rsidR="00F021B1" w:rsidRPr="00FF2046">
        <w:rPr>
          <w:szCs w:val="24"/>
        </w:rPr>
        <w:t xml:space="preserve">from the </w:t>
      </w:r>
      <w:r w:rsidR="003C319E" w:rsidRPr="00FF2046">
        <w:rPr>
          <w:szCs w:val="24"/>
        </w:rPr>
        <w:t>previous year</w:t>
      </w:r>
      <w:r w:rsidR="004D6059" w:rsidRPr="00FF2046">
        <w:rPr>
          <w:szCs w:val="24"/>
        </w:rPr>
        <w:t xml:space="preserve"> reveal that </w:t>
      </w:r>
      <w:r w:rsidR="003C319E" w:rsidRPr="00FF2046">
        <w:rPr>
          <w:szCs w:val="24"/>
        </w:rPr>
        <w:t>taxi zone</w:t>
      </w:r>
      <w:r w:rsidR="004D6059" w:rsidRPr="00FF2046">
        <w:rPr>
          <w:szCs w:val="24"/>
        </w:rPr>
        <w:t xml:space="preserve">s with higher </w:t>
      </w:r>
      <w:r w:rsidR="003C319E" w:rsidRPr="00FF2046">
        <w:rPr>
          <w:szCs w:val="24"/>
        </w:rPr>
        <w:t>accident density</w:t>
      </w:r>
      <w:r w:rsidR="004D6059" w:rsidRPr="00FF2046">
        <w:rPr>
          <w:szCs w:val="24"/>
        </w:rPr>
        <w:t xml:space="preserve"> </w:t>
      </w:r>
      <w:proofErr w:type="gramStart"/>
      <w:r w:rsidR="00394859" w:rsidRPr="00FF2046">
        <w:rPr>
          <w:szCs w:val="24"/>
        </w:rPr>
        <w:t>is</w:t>
      </w:r>
      <w:proofErr w:type="gramEnd"/>
      <w:r w:rsidR="00394859" w:rsidRPr="00FF2046">
        <w:rPr>
          <w:szCs w:val="24"/>
        </w:rPr>
        <w:t xml:space="preserve"> likely to </w:t>
      </w:r>
      <w:r w:rsidR="003C319E" w:rsidRPr="00FF2046">
        <w:rPr>
          <w:szCs w:val="24"/>
        </w:rPr>
        <w:t>reduce</w:t>
      </w:r>
      <w:r w:rsidR="004D6059" w:rsidRPr="00FF2046">
        <w:rPr>
          <w:szCs w:val="24"/>
        </w:rPr>
        <w:t xml:space="preserve"> </w:t>
      </w:r>
      <w:r w:rsidR="00573A35">
        <w:rPr>
          <w:szCs w:val="24"/>
        </w:rPr>
        <w:t>G</w:t>
      </w:r>
      <w:r w:rsidR="00317242" w:rsidRPr="00FF2046">
        <w:rPr>
          <w:szCs w:val="24"/>
        </w:rPr>
        <w:t xml:space="preserve">reen </w:t>
      </w:r>
      <w:r w:rsidR="003C319E" w:rsidRPr="00FF2046">
        <w:rPr>
          <w:szCs w:val="24"/>
        </w:rPr>
        <w:t xml:space="preserve">taxi </w:t>
      </w:r>
      <w:r w:rsidR="00394859" w:rsidRPr="00FF2046">
        <w:rPr>
          <w:szCs w:val="24"/>
        </w:rPr>
        <w:t>proportion</w:t>
      </w:r>
      <w:r w:rsidR="00B16B0D">
        <w:rPr>
          <w:szCs w:val="24"/>
        </w:rPr>
        <w:t xml:space="preserve"> (no impact on total ridership)</w:t>
      </w:r>
      <w:r w:rsidR="004D6059" w:rsidRPr="00FF2046">
        <w:rPr>
          <w:szCs w:val="24"/>
        </w:rPr>
        <w:t>.</w:t>
      </w:r>
      <w:r w:rsidR="00AB2A4E">
        <w:rPr>
          <w:szCs w:val="24"/>
        </w:rPr>
        <w:t xml:space="preserve"> </w:t>
      </w:r>
      <w:r w:rsidR="00ED0927">
        <w:rPr>
          <w:rFonts w:cs="Times New Roman"/>
          <w:szCs w:val="24"/>
        </w:rPr>
        <w:t xml:space="preserve">It is possible that accident density is potentially a surrogate for roadway infrastructure challenges in locations served by Green taxi. </w:t>
      </w:r>
      <w:r w:rsidR="00AB2A4E">
        <w:rPr>
          <w:szCs w:val="24"/>
        </w:rPr>
        <w:t xml:space="preserve">This is an interesting result and warrants </w:t>
      </w:r>
      <w:r w:rsidR="00220E94">
        <w:rPr>
          <w:szCs w:val="24"/>
        </w:rPr>
        <w:t>additional examination</w:t>
      </w:r>
      <w:r w:rsidR="005A3C2D">
        <w:rPr>
          <w:szCs w:val="24"/>
        </w:rPr>
        <w:t xml:space="preserve"> (in the future)</w:t>
      </w:r>
      <w:r w:rsidR="00220E94">
        <w:rPr>
          <w:szCs w:val="24"/>
        </w:rPr>
        <w:t xml:space="preserve">. </w:t>
      </w:r>
    </w:p>
    <w:p w14:paraId="53205133" w14:textId="4061734B" w:rsidR="009F16A7" w:rsidRPr="00FF2046" w:rsidRDefault="009F16A7" w:rsidP="009F16A7"/>
    <w:p w14:paraId="14D99EFB" w14:textId="3F1EC827" w:rsidR="00FA6302" w:rsidRPr="00FF2046" w:rsidRDefault="00FA6302" w:rsidP="00842E37">
      <w:pPr>
        <w:pStyle w:val="Heading4"/>
        <w:rPr>
          <w:sz w:val="32"/>
        </w:rPr>
      </w:pPr>
      <w:r w:rsidRPr="00FF2046">
        <w:rPr>
          <w:rFonts w:eastAsia="Times New Roman"/>
        </w:rPr>
        <w:t>Transportation Infrastructure and Attributes</w:t>
      </w:r>
      <w:r w:rsidRPr="00FF2046">
        <w:rPr>
          <w:sz w:val="32"/>
        </w:rPr>
        <w:t xml:space="preserve"> </w:t>
      </w:r>
    </w:p>
    <w:p w14:paraId="78C4FED2" w14:textId="03A41FEB" w:rsidR="00D81C0E" w:rsidRPr="00FF2046" w:rsidRDefault="00120689" w:rsidP="00E27379">
      <w:pPr>
        <w:rPr>
          <w:rFonts w:cs="Times New Roman"/>
          <w:szCs w:val="24"/>
        </w:rPr>
      </w:pPr>
      <w:r w:rsidRPr="00FF2046">
        <w:rPr>
          <w:szCs w:val="25"/>
        </w:rPr>
        <w:t xml:space="preserve">Several transportation infrastructure characteristics considered are found to be significant determinants of trip proportions by various </w:t>
      </w:r>
      <w:proofErr w:type="spellStart"/>
      <w:r w:rsidR="0095029D">
        <w:rPr>
          <w:szCs w:val="25"/>
        </w:rPr>
        <w:t>ridehailing</w:t>
      </w:r>
      <w:proofErr w:type="spellEnd"/>
      <w:r w:rsidR="00F021B1" w:rsidRPr="00FF2046">
        <w:rPr>
          <w:szCs w:val="25"/>
        </w:rPr>
        <w:t xml:space="preserve"> alternative</w:t>
      </w:r>
      <w:r w:rsidR="00394859" w:rsidRPr="00FF2046">
        <w:rPr>
          <w:szCs w:val="25"/>
        </w:rPr>
        <w:t>s</w:t>
      </w:r>
      <w:r w:rsidRPr="00FF2046">
        <w:rPr>
          <w:szCs w:val="25"/>
        </w:rPr>
        <w:t xml:space="preserve">. Yellow taxi trip proportions are negatively associated with higher bike length density. </w:t>
      </w:r>
      <w:r w:rsidR="004F45F8">
        <w:rPr>
          <w:szCs w:val="25"/>
        </w:rPr>
        <w:t xml:space="preserve">The result might </w:t>
      </w:r>
      <w:proofErr w:type="gramStart"/>
      <w:r w:rsidR="004F45F8">
        <w:rPr>
          <w:szCs w:val="25"/>
        </w:rPr>
        <w:t>be a reflection of</w:t>
      </w:r>
      <w:proofErr w:type="gramEnd"/>
      <w:r w:rsidR="004F45F8">
        <w:rPr>
          <w:szCs w:val="25"/>
        </w:rPr>
        <w:t xml:space="preserve"> the service region differences between </w:t>
      </w:r>
      <w:r w:rsidR="00573A35">
        <w:rPr>
          <w:szCs w:val="25"/>
        </w:rPr>
        <w:t>Y</w:t>
      </w:r>
      <w:r w:rsidR="004F45F8">
        <w:rPr>
          <w:szCs w:val="25"/>
        </w:rPr>
        <w:t xml:space="preserve">ellow and </w:t>
      </w:r>
      <w:r w:rsidR="00573A35">
        <w:rPr>
          <w:szCs w:val="25"/>
        </w:rPr>
        <w:t>G</w:t>
      </w:r>
      <w:r w:rsidR="004F45F8">
        <w:rPr>
          <w:szCs w:val="25"/>
        </w:rPr>
        <w:t xml:space="preserve">reen taxis. The result warrants further attention in future research. </w:t>
      </w:r>
      <w:r w:rsidRPr="00FF2046">
        <w:rPr>
          <w:szCs w:val="25"/>
        </w:rPr>
        <w:t xml:space="preserve">Among transportation attributes, trip proportion of </w:t>
      </w:r>
      <w:r w:rsidR="00573A35">
        <w:rPr>
          <w:szCs w:val="25"/>
        </w:rPr>
        <w:t>G</w:t>
      </w:r>
      <w:r w:rsidRPr="00FF2046">
        <w:rPr>
          <w:szCs w:val="25"/>
        </w:rPr>
        <w:t xml:space="preserve">reen taxi trips is found to be </w:t>
      </w:r>
      <w:r w:rsidR="00F021B1" w:rsidRPr="00FF2046">
        <w:rPr>
          <w:szCs w:val="25"/>
        </w:rPr>
        <w:t xml:space="preserve">lower </w:t>
      </w:r>
      <w:r w:rsidRPr="00FF2046">
        <w:rPr>
          <w:szCs w:val="25"/>
        </w:rPr>
        <w:t xml:space="preserve">for taxi zones with higher bike sharing stations </w:t>
      </w:r>
      <w:r w:rsidR="00317242" w:rsidRPr="00FF2046">
        <w:rPr>
          <w:szCs w:val="25"/>
        </w:rPr>
        <w:t xml:space="preserve">in vicinity </w:t>
      </w:r>
      <w:r w:rsidRPr="00FF2046">
        <w:rPr>
          <w:szCs w:val="25"/>
        </w:rPr>
        <w:t xml:space="preserve">while </w:t>
      </w:r>
      <w:r w:rsidR="00573A35">
        <w:rPr>
          <w:szCs w:val="25"/>
        </w:rPr>
        <w:t>Y</w:t>
      </w:r>
      <w:r w:rsidRPr="00FF2046">
        <w:rPr>
          <w:szCs w:val="25"/>
        </w:rPr>
        <w:t xml:space="preserve">ellow taxi trip proportions are </w:t>
      </w:r>
      <w:r w:rsidR="00E32717" w:rsidRPr="00FF2046">
        <w:rPr>
          <w:szCs w:val="25"/>
        </w:rPr>
        <w:t xml:space="preserve">negatively </w:t>
      </w:r>
      <w:r w:rsidRPr="00FF2046">
        <w:rPr>
          <w:szCs w:val="25"/>
        </w:rPr>
        <w:t>associated</w:t>
      </w:r>
      <w:r w:rsidR="00E32717" w:rsidRPr="00FF2046">
        <w:rPr>
          <w:szCs w:val="25"/>
        </w:rPr>
        <w:t xml:space="preserve"> </w:t>
      </w:r>
      <w:r w:rsidRPr="00FF2046">
        <w:rPr>
          <w:szCs w:val="25"/>
        </w:rPr>
        <w:t>with higher number of bus stops in taxi zones.</w:t>
      </w:r>
      <w:r w:rsidR="00D81C0E" w:rsidRPr="00FF2046">
        <w:rPr>
          <w:szCs w:val="25"/>
        </w:rPr>
        <w:t xml:space="preserve"> </w:t>
      </w:r>
      <w:r w:rsidR="00E27379" w:rsidRPr="00FF2046">
        <w:rPr>
          <w:rFonts w:cs="Times New Roman"/>
          <w:szCs w:val="24"/>
        </w:rPr>
        <w:t xml:space="preserve">An increase in the street length within a taxi zone results in a </w:t>
      </w:r>
      <w:r w:rsidR="007A5B88" w:rsidRPr="00FF2046">
        <w:rPr>
          <w:rFonts w:cs="Times New Roman"/>
          <w:szCs w:val="24"/>
        </w:rPr>
        <w:t>decre</w:t>
      </w:r>
      <w:r w:rsidR="00EB0959" w:rsidRPr="00FF2046">
        <w:rPr>
          <w:rFonts w:cs="Times New Roman"/>
          <w:szCs w:val="24"/>
        </w:rPr>
        <w:t>a</w:t>
      </w:r>
      <w:r w:rsidR="007A5B88" w:rsidRPr="00FF2046">
        <w:rPr>
          <w:rFonts w:cs="Times New Roman"/>
          <w:szCs w:val="24"/>
        </w:rPr>
        <w:t xml:space="preserve">sed </w:t>
      </w:r>
      <w:r w:rsidR="00394859" w:rsidRPr="00FF2046">
        <w:rPr>
          <w:rFonts w:cs="Times New Roman"/>
          <w:szCs w:val="24"/>
        </w:rPr>
        <w:t xml:space="preserve">of </w:t>
      </w:r>
      <w:r w:rsidR="00573A35">
        <w:rPr>
          <w:rFonts w:cs="Times New Roman"/>
          <w:szCs w:val="24"/>
        </w:rPr>
        <w:t>Y</w:t>
      </w:r>
      <w:r w:rsidR="00D81C0E" w:rsidRPr="00FF2046">
        <w:rPr>
          <w:rFonts w:cs="Times New Roman"/>
          <w:szCs w:val="24"/>
        </w:rPr>
        <w:t>ellow taxi proportions.</w:t>
      </w:r>
    </w:p>
    <w:p w14:paraId="3F308933" w14:textId="77777777" w:rsidR="00FA6302" w:rsidRPr="00FF2046" w:rsidRDefault="00FA6302" w:rsidP="009F16A7"/>
    <w:p w14:paraId="288A6EEB" w14:textId="7E184E39" w:rsidR="00875A02" w:rsidRPr="00FF2046" w:rsidRDefault="00875A02" w:rsidP="00842E37">
      <w:pPr>
        <w:pStyle w:val="Heading4"/>
        <w:rPr>
          <w:rFonts w:eastAsia="Times New Roman"/>
        </w:rPr>
      </w:pPr>
      <w:r w:rsidRPr="00FF2046">
        <w:rPr>
          <w:rFonts w:eastAsia="Times New Roman"/>
        </w:rPr>
        <w:t>Temporal and Weather Attributes</w:t>
      </w:r>
    </w:p>
    <w:p w14:paraId="3E972C48" w14:textId="4A760721" w:rsidR="0043710C" w:rsidRPr="00FF2046" w:rsidRDefault="004C58D6" w:rsidP="0043710C">
      <w:r w:rsidRPr="00FF2046">
        <w:t xml:space="preserve">Elapsed time considering month is negatively associated with Yellow and </w:t>
      </w:r>
      <w:r w:rsidR="00573A35">
        <w:t>G</w:t>
      </w:r>
      <w:r w:rsidRPr="00FF2046">
        <w:t xml:space="preserve">reen taxi trips proportions. The result suggests that </w:t>
      </w:r>
      <w:r w:rsidR="00573A35">
        <w:t>Y</w:t>
      </w:r>
      <w:r w:rsidRPr="00FF2046">
        <w:t xml:space="preserve">ellow and </w:t>
      </w:r>
      <w:r w:rsidR="00573A35">
        <w:t>G</w:t>
      </w:r>
      <w:r w:rsidRPr="00FF2046">
        <w:t xml:space="preserve">reen taxi trips </w:t>
      </w:r>
      <w:r w:rsidR="00B117A4" w:rsidRPr="00FF2046">
        <w:t xml:space="preserve">number </w:t>
      </w:r>
      <w:proofErr w:type="gramStart"/>
      <w:r w:rsidR="00F021B1" w:rsidRPr="00FF2046">
        <w:t>reduces</w:t>
      </w:r>
      <w:proofErr w:type="gramEnd"/>
      <w:r w:rsidR="00F021B1" w:rsidRPr="00FF2046">
        <w:t xml:space="preserve"> </w:t>
      </w:r>
      <w:r w:rsidRPr="00FF2046">
        <w:t xml:space="preserve">with the </w:t>
      </w:r>
      <w:r w:rsidR="00B117A4" w:rsidRPr="00FF2046">
        <w:t xml:space="preserve">time elapsed from January 2015 </w:t>
      </w:r>
      <w:r w:rsidR="00F021B1" w:rsidRPr="00FF2046">
        <w:t>(</w:t>
      </w:r>
      <w:r w:rsidR="00B117A4" w:rsidRPr="00FF2046">
        <w:t>as expected</w:t>
      </w:r>
      <w:r w:rsidR="00F021B1" w:rsidRPr="00FF2046">
        <w:t>)</w:t>
      </w:r>
      <w:r w:rsidR="00B117A4" w:rsidRPr="00FF2046">
        <w:t>.</w:t>
      </w:r>
      <w:r w:rsidR="00394859" w:rsidRPr="00FF2046">
        <w:t xml:space="preserve"> The estimated snow depth variable implies a positive effect on </w:t>
      </w:r>
      <w:r w:rsidR="00573A35">
        <w:t>Y</w:t>
      </w:r>
      <w:r w:rsidR="00394859" w:rsidRPr="00FF2046">
        <w:t xml:space="preserve">ellow taxi trip proportions. It is possible that, under snowy conditions, the inventory of </w:t>
      </w:r>
      <w:r w:rsidR="00573A35">
        <w:t>Y</w:t>
      </w:r>
      <w:r w:rsidR="00394859" w:rsidRPr="00FF2046">
        <w:t xml:space="preserve">ellow taxi fleet is unchanged while the number of TNC services reduce. </w:t>
      </w:r>
    </w:p>
    <w:p w14:paraId="44624CEA" w14:textId="750443B9" w:rsidR="00C021AB" w:rsidRPr="00FF2046" w:rsidRDefault="00C021AB" w:rsidP="00842E37">
      <w:pPr>
        <w:pStyle w:val="Heading4"/>
      </w:pPr>
      <w:r w:rsidRPr="00FF2046">
        <w:lastRenderedPageBreak/>
        <w:t>Common Unobserved Parameter</w:t>
      </w:r>
      <w:r w:rsidR="00850E89" w:rsidRPr="00FF2046">
        <w:t>s</w:t>
      </w:r>
    </w:p>
    <w:p w14:paraId="01502B43" w14:textId="674E382D" w:rsidR="00E547B6" w:rsidRDefault="00394859" w:rsidP="00394859">
      <w:r w:rsidRPr="00FF2046">
        <w:t xml:space="preserve">Several unobserved parameters were tested including: </w:t>
      </w:r>
      <w:bookmarkStart w:id="22" w:name="_Hlk56288009"/>
      <w:r w:rsidRPr="00FF2046">
        <w:t xml:space="preserve">(1) correlation between demand component and </w:t>
      </w:r>
      <w:proofErr w:type="spellStart"/>
      <w:r w:rsidR="0095029D">
        <w:t>ridehailing</w:t>
      </w:r>
      <w:proofErr w:type="spellEnd"/>
      <w:r w:rsidRPr="00FF2046">
        <w:t xml:space="preserve"> proportion components, (2) correlation across </w:t>
      </w:r>
      <w:proofErr w:type="spellStart"/>
      <w:r w:rsidR="0095029D">
        <w:t>ridehailing</w:t>
      </w:r>
      <w:proofErr w:type="spellEnd"/>
      <w:r w:rsidRPr="00FF2046">
        <w:t xml:space="preserve"> proportion components and (3) random parameters in demand and proportion components. </w:t>
      </w:r>
      <w:bookmarkEnd w:id="22"/>
      <w:r w:rsidRPr="00FF2046">
        <w:t xml:space="preserve">Of these tested parameters only </w:t>
      </w:r>
      <w:r w:rsidR="00C021AB" w:rsidRPr="00FF2046">
        <w:t xml:space="preserve">common correlation between </w:t>
      </w:r>
      <w:r w:rsidR="009F69B5" w:rsidRPr="00FF2046">
        <w:t>trip</w:t>
      </w:r>
      <w:r w:rsidR="00C021AB" w:rsidRPr="00FF2046">
        <w:t xml:space="preserve"> proportions of </w:t>
      </w:r>
      <w:r w:rsidR="00573A35">
        <w:t>Y</w:t>
      </w:r>
      <w:r w:rsidR="009F69B5" w:rsidRPr="00FF2046">
        <w:t>ellow taxi and TNC services</w:t>
      </w:r>
      <w:r w:rsidRPr="00FF2046">
        <w:t xml:space="preserve"> was significant</w:t>
      </w:r>
      <w:r w:rsidR="00C021AB" w:rsidRPr="00FF2046">
        <w:t xml:space="preserve">. </w:t>
      </w:r>
      <w:r w:rsidR="009F69B5" w:rsidRPr="00FF2046">
        <w:t>T</w:t>
      </w:r>
      <w:r w:rsidR="00C021AB" w:rsidRPr="00FF2046">
        <w:t xml:space="preserve">he correlation between the two components could be either positive or negative. In our analysis, we found the </w:t>
      </w:r>
      <w:r w:rsidR="009F69B5" w:rsidRPr="00FF2046">
        <w:t>positive</w:t>
      </w:r>
      <w:r w:rsidR="00C021AB" w:rsidRPr="00FF2046">
        <w:t xml:space="preserve"> sign to offer better fit</w:t>
      </w:r>
      <w:r w:rsidR="009F69B5" w:rsidRPr="00FF2046">
        <w:t xml:space="preserve">. </w:t>
      </w:r>
      <w:r w:rsidRPr="00FF2046">
        <w:t xml:space="preserve">The results indicate that unobserved factors that increase the proportion of </w:t>
      </w:r>
      <w:r w:rsidR="00573A35">
        <w:t>Y</w:t>
      </w:r>
      <w:r w:rsidRPr="00FF2046">
        <w:t xml:space="preserve">ellow taxi also increase the proportion of TNC services. </w:t>
      </w:r>
    </w:p>
    <w:p w14:paraId="1870335D" w14:textId="77777777" w:rsidR="004F45F8" w:rsidRPr="00FF2046" w:rsidRDefault="004F45F8" w:rsidP="00394859"/>
    <w:p w14:paraId="7D4A701E" w14:textId="1ECF546C" w:rsidR="00B81193" w:rsidRPr="00FF2046" w:rsidRDefault="00B81193" w:rsidP="00ED3B6E">
      <w:pPr>
        <w:pStyle w:val="TRBHead1"/>
      </w:pPr>
      <w:r w:rsidRPr="00FF2046">
        <w:t>Performance Evaluation</w:t>
      </w:r>
    </w:p>
    <w:p w14:paraId="1309EFE3" w14:textId="42FEAEB4" w:rsidR="00565EF4" w:rsidRPr="00B241DA" w:rsidRDefault="00D52B24" w:rsidP="00565EF4">
      <w:pPr>
        <w:rPr>
          <w:rFonts w:eastAsiaTheme="majorEastAsia" w:cs="Times New Roman"/>
        </w:rPr>
      </w:pPr>
      <w:r w:rsidRPr="00B241DA">
        <w:rPr>
          <w:rFonts w:cs="Times New Roman"/>
        </w:rPr>
        <w:t xml:space="preserve">The estimated models were used to predict the expected ridership at the taxi zone level and the proportion </w:t>
      </w:r>
      <w:r w:rsidR="00642C06" w:rsidRPr="00B241DA">
        <w:rPr>
          <w:rFonts w:cs="Times New Roman"/>
        </w:rPr>
        <w:t xml:space="preserve">of </w:t>
      </w:r>
      <w:r w:rsidRPr="00B241DA">
        <w:rPr>
          <w:rFonts w:cs="Times New Roman"/>
        </w:rPr>
        <w:t xml:space="preserve">the three </w:t>
      </w:r>
      <w:proofErr w:type="spellStart"/>
      <w:r w:rsidR="0095029D">
        <w:rPr>
          <w:rFonts w:cs="Times New Roman"/>
        </w:rPr>
        <w:t>ridehailing</w:t>
      </w:r>
      <w:proofErr w:type="spellEnd"/>
      <w:r w:rsidRPr="00B241DA">
        <w:rPr>
          <w:rFonts w:cs="Times New Roman"/>
        </w:rPr>
        <w:t xml:space="preserve"> alternatives. These generated values </w:t>
      </w:r>
      <w:r w:rsidR="00642C06" w:rsidRPr="00B241DA">
        <w:rPr>
          <w:rFonts w:cs="Times New Roman"/>
        </w:rPr>
        <w:t>were</w:t>
      </w:r>
      <w:r w:rsidRPr="00B241DA">
        <w:rPr>
          <w:rFonts w:cs="Times New Roman"/>
        </w:rPr>
        <w:t xml:space="preserve"> used to estimate the predicted number of trips by each </w:t>
      </w:r>
      <w:proofErr w:type="spellStart"/>
      <w:r w:rsidR="0095029D">
        <w:rPr>
          <w:rFonts w:cs="Times New Roman"/>
        </w:rPr>
        <w:t>ridehailing</w:t>
      </w:r>
      <w:proofErr w:type="spellEnd"/>
      <w:r w:rsidRPr="00B241DA">
        <w:rPr>
          <w:rFonts w:cs="Times New Roman"/>
        </w:rPr>
        <w:t xml:space="preserve"> alternative. These estimated values are compared to the observed values to evaluate model performance.  </w:t>
      </w:r>
      <w:r w:rsidR="00565EF4" w:rsidRPr="00B241DA">
        <w:rPr>
          <w:rFonts w:cs="Times New Roman"/>
        </w:rPr>
        <w:t>Three different measures</w:t>
      </w:r>
      <w:r w:rsidR="00B81193" w:rsidRPr="00B241DA">
        <w:rPr>
          <w:rFonts w:cs="Times New Roman"/>
        </w:rPr>
        <w:t>:</w:t>
      </w:r>
      <w:r w:rsidR="00B81193" w:rsidRPr="00B241DA">
        <w:rPr>
          <w:rFonts w:eastAsiaTheme="minorEastAsia" w:cs="Times New Roman"/>
          <w:szCs w:val="24"/>
        </w:rPr>
        <w:t xml:space="preserve"> mean percentage error (MPE)</w:t>
      </w:r>
      <w:r w:rsidR="005705C0" w:rsidRPr="00B241DA">
        <w:rPr>
          <w:rFonts w:eastAsiaTheme="minorEastAsia" w:cs="Times New Roman"/>
          <w:szCs w:val="24"/>
        </w:rPr>
        <w:t>,</w:t>
      </w:r>
      <w:r w:rsidR="00B81193" w:rsidRPr="00B241DA">
        <w:rPr>
          <w:rFonts w:eastAsiaTheme="minorEastAsia" w:cs="Times New Roman"/>
          <w:szCs w:val="24"/>
        </w:rPr>
        <w:t xml:space="preserve"> mean absolute percentage error (MAPE)</w:t>
      </w:r>
      <w:r w:rsidR="005705C0" w:rsidRPr="00B241DA">
        <w:rPr>
          <w:rFonts w:eastAsiaTheme="minorEastAsia" w:cs="Times New Roman"/>
          <w:szCs w:val="24"/>
        </w:rPr>
        <w:t xml:space="preserve"> and root mean square error (RMSE)</w:t>
      </w:r>
      <w:r w:rsidR="00565EF4" w:rsidRPr="00B241DA">
        <w:rPr>
          <w:rFonts w:eastAsiaTheme="minorEastAsia" w:cs="Times New Roman"/>
          <w:szCs w:val="24"/>
        </w:rPr>
        <w:t xml:space="preserve"> were computed based on the estimates </w:t>
      </w:r>
      <w:r w:rsidRPr="00B241DA">
        <w:rPr>
          <w:rFonts w:eastAsiaTheme="minorEastAsia" w:cs="Times New Roman"/>
          <w:szCs w:val="24"/>
        </w:rPr>
        <w:t xml:space="preserve">from </w:t>
      </w:r>
      <w:r w:rsidR="00565EF4" w:rsidRPr="00B241DA">
        <w:rPr>
          <w:rFonts w:eastAsiaTheme="minorEastAsia" w:cs="Times New Roman"/>
          <w:szCs w:val="24"/>
        </w:rPr>
        <w:t>the joint model</w:t>
      </w:r>
      <w:r w:rsidR="00B81193" w:rsidRPr="00B241DA">
        <w:rPr>
          <w:rFonts w:eastAsiaTheme="minorEastAsia" w:cs="Times New Roman"/>
          <w:szCs w:val="24"/>
        </w:rPr>
        <w:t xml:space="preserve">. </w:t>
      </w:r>
      <w:r w:rsidR="00565EF4" w:rsidRPr="00B241DA">
        <w:rPr>
          <w:rFonts w:eastAsiaTheme="minorEastAsia" w:cs="Times New Roman"/>
          <w:szCs w:val="24"/>
        </w:rPr>
        <w:t>A description of the measures follows:</w:t>
      </w:r>
    </w:p>
    <w:p w14:paraId="37CCAAC5" w14:textId="54A70A0E" w:rsidR="00565EF4" w:rsidRPr="00B241DA" w:rsidRDefault="003D1331" w:rsidP="00565EF4">
      <w:pPr>
        <w:rPr>
          <w:rFonts w:eastAsiaTheme="minorEastAsia" w:cs="Times New Roman"/>
          <w:szCs w:val="24"/>
        </w:rPr>
      </w:pPr>
      <w:r w:rsidRPr="00B241DA">
        <w:rPr>
          <w:rFonts w:eastAsiaTheme="minorEastAsia" w:cs="Times New Roman"/>
          <w:szCs w:val="24"/>
        </w:rPr>
        <w:tab/>
      </w:r>
    </w:p>
    <w:p w14:paraId="30677A74" w14:textId="27399D05" w:rsidR="00B81193" w:rsidRPr="00B241DA" w:rsidRDefault="00B81193" w:rsidP="00565EF4">
      <w:pPr>
        <w:rPr>
          <w:rFonts w:eastAsiaTheme="minorEastAsia" w:cs="Times New Roman"/>
          <w:szCs w:val="24"/>
        </w:rPr>
      </w:pPr>
      <w:bookmarkStart w:id="23" w:name="_Hlk55322924"/>
      <w:r w:rsidRPr="00B241DA">
        <w:rPr>
          <w:rFonts w:eastAsiaTheme="minorEastAsia" w:cs="Times New Roman"/>
          <w:szCs w:val="24"/>
        </w:rPr>
        <w:t>MPE measures the prediction accuracy and is defined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1404"/>
      </w:tblGrid>
      <w:tr w:rsidR="00B81193" w:rsidRPr="00B241DA" w14:paraId="11962E78" w14:textId="77777777" w:rsidTr="000C2FC1">
        <w:tc>
          <w:tcPr>
            <w:tcW w:w="4250" w:type="pct"/>
            <w:vAlign w:val="center"/>
            <w:hideMark/>
          </w:tcPr>
          <w:p w14:paraId="0CD174F5" w14:textId="4EEEE453" w:rsidR="00B81193" w:rsidRPr="00B241DA" w:rsidRDefault="00B81193" w:rsidP="000C2FC1">
            <w:pPr>
              <w:spacing w:before="360" w:after="360"/>
              <w:jc w:val="left"/>
              <w:rPr>
                <w:rFonts w:cs="Times New Roman"/>
                <w:i/>
                <w:szCs w:val="20"/>
                <w:lang w:eastAsia="en-CA"/>
              </w:rPr>
            </w:pPr>
            <m:oMathPara>
              <m:oMathParaPr>
                <m:jc m:val="left"/>
              </m:oMathParaPr>
              <m:oMath>
                <m:r>
                  <m:rPr>
                    <m:sty m:val="p"/>
                  </m:rPr>
                  <w:rPr>
                    <w:rFonts w:ascii="Cambria Math" w:eastAsiaTheme="minorEastAsia" w:hAnsi="Cambria Math" w:cs="Times New Roman"/>
                    <w:szCs w:val="24"/>
                    <w:vertAlign w:val="subscript"/>
                  </w:rPr>
                  <m:t>MPE</m:t>
                </m:r>
                <m:r>
                  <w:rPr>
                    <w:rFonts w:ascii="Cambria Math" w:hAnsi="Cambria Math" w:cs="Times New Roman"/>
                    <w:szCs w:val="20"/>
                  </w:rPr>
                  <m:t>=mean</m:t>
                </m:r>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it</m:t>
                        </m:r>
                      </m:sub>
                    </m:sSub>
                  </m:num>
                  <m:den>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it</m:t>
                        </m:r>
                      </m:sub>
                    </m:sSub>
                  </m:den>
                </m:f>
                <m:r>
                  <w:rPr>
                    <w:rFonts w:ascii="Cambria Math" w:hAnsi="Cambria Math" w:cs="Times New Roman"/>
                  </w:rPr>
                  <m:t>)</m:t>
                </m:r>
              </m:oMath>
            </m:oMathPara>
          </w:p>
        </w:tc>
        <w:tc>
          <w:tcPr>
            <w:tcW w:w="750" w:type="pct"/>
            <w:vAlign w:val="center"/>
          </w:tcPr>
          <w:p w14:paraId="5A80930D" w14:textId="545D434E" w:rsidR="00B81193" w:rsidRPr="00B241DA" w:rsidRDefault="002D0467" w:rsidP="002D0467">
            <w:pPr>
              <w:spacing w:before="360" w:after="360"/>
              <w:ind w:left="850"/>
              <w:jc w:val="right"/>
              <w:rPr>
                <w:rFonts w:cs="Times New Roman"/>
                <w:szCs w:val="20"/>
              </w:rPr>
            </w:pPr>
            <w:r w:rsidRPr="00B241DA">
              <w:rPr>
                <w:rFonts w:cs="Times New Roman"/>
                <w:szCs w:val="20"/>
              </w:rPr>
              <w:t>(9)</w:t>
            </w:r>
          </w:p>
        </w:tc>
      </w:tr>
    </w:tbl>
    <w:p w14:paraId="57BBFD12" w14:textId="3F8116CB" w:rsidR="00D52B24" w:rsidRPr="00B241DA" w:rsidRDefault="00DA7CEE" w:rsidP="00B81193">
      <w:pPr>
        <w:rPr>
          <w:rFonts w:eastAsiaTheme="minorEastAsia" w:cs="Times New Roman"/>
          <w:szCs w:val="24"/>
        </w:rPr>
      </w:pPr>
      <w:r>
        <w:rPr>
          <w:rFonts w:eastAsiaTheme="minorEastAsia" w:cs="Times New Roman"/>
          <w:szCs w:val="24"/>
        </w:rPr>
        <w:t>w</w:t>
      </w:r>
      <w:r w:rsidR="0082775C">
        <w:rPr>
          <w:rFonts w:eastAsiaTheme="minorEastAsia" w:cs="Times New Roman"/>
          <w:szCs w:val="24"/>
        </w:rPr>
        <w:t xml:space="preserve">here, </w:t>
      </w:r>
      <w:r w:rsidR="0082775C">
        <w:rPr>
          <w:rFonts w:eastAsiaTheme="minorEastAsia" w:cs="Times New Roman"/>
          <w:i/>
          <w:iCs/>
          <w:szCs w:val="24"/>
        </w:rPr>
        <w:t xml:space="preserve">i </w:t>
      </w:r>
      <w:r w:rsidR="0082775C">
        <w:rPr>
          <w:rFonts w:eastAsiaTheme="minorEastAsia" w:cs="Times New Roman"/>
          <w:szCs w:val="24"/>
        </w:rPr>
        <w:t>represents th</w:t>
      </w:r>
      <w:r w:rsidR="005C2A99">
        <w:rPr>
          <w:rFonts w:eastAsiaTheme="minorEastAsia" w:cs="Times New Roman"/>
          <w:szCs w:val="24"/>
        </w:rPr>
        <w:t xml:space="preserve">e taxi zones and takes the value of </w:t>
      </w:r>
      <w:r w:rsidR="005C2A99">
        <w:rPr>
          <w:rFonts w:eastAsiaTheme="minorEastAsia" w:cs="Times New Roman"/>
          <w:i/>
          <w:iCs/>
          <w:szCs w:val="24"/>
        </w:rPr>
        <w:t xml:space="preserve">i </w:t>
      </w:r>
      <w:r w:rsidR="005C2A99">
        <w:rPr>
          <w:rFonts w:eastAsiaTheme="minorEastAsia" w:cs="Times New Roman"/>
          <w:szCs w:val="24"/>
        </w:rPr>
        <w:t xml:space="preserve">= 1, 2, </w:t>
      </w:r>
      <w:proofErr w:type="gramStart"/>
      <w:r w:rsidR="005C2A99">
        <w:rPr>
          <w:rFonts w:eastAsiaTheme="minorEastAsia" w:cs="Times New Roman"/>
          <w:szCs w:val="24"/>
        </w:rPr>
        <w:t>…..</w:t>
      </w:r>
      <w:proofErr w:type="gramEnd"/>
      <w:r w:rsidR="005C2A99">
        <w:rPr>
          <w:rFonts w:eastAsiaTheme="minorEastAsia" w:cs="Times New Roman"/>
          <w:szCs w:val="24"/>
        </w:rPr>
        <w:t xml:space="preserve">, N (=259), t represents the months and takes the value of </w:t>
      </w:r>
      <w:r w:rsidR="005C2A99">
        <w:rPr>
          <w:rFonts w:eastAsiaTheme="minorEastAsia" w:cs="Times New Roman"/>
          <w:i/>
          <w:iCs/>
          <w:szCs w:val="24"/>
        </w:rPr>
        <w:t xml:space="preserve">t </w:t>
      </w:r>
      <w:r w:rsidR="005C2A99">
        <w:rPr>
          <w:rFonts w:eastAsiaTheme="minorEastAsia" w:cs="Times New Roman"/>
          <w:szCs w:val="24"/>
        </w:rPr>
        <w:t xml:space="preserve">= 1, 2, …., T (=20). </w:t>
      </w:r>
      <w:r w:rsidR="00B81193" w:rsidRPr="00B241DA">
        <w:rPr>
          <w:rFonts w:eastAsiaTheme="minorEastAsia" w:cs="Times New Roman"/>
          <w:szCs w:val="24"/>
        </w:rPr>
        <w:t xml:space="preserve">The smaller the MPE, the better the model predicts observed data. </w:t>
      </w:r>
    </w:p>
    <w:p w14:paraId="30FF14C8" w14:textId="599CD411" w:rsidR="00D52B24" w:rsidRPr="00B241DA" w:rsidRDefault="00D52B24" w:rsidP="00B81193">
      <w:pPr>
        <w:rPr>
          <w:rFonts w:eastAsiaTheme="minorEastAsia" w:cs="Times New Roman"/>
          <w:szCs w:val="24"/>
        </w:rPr>
      </w:pPr>
    </w:p>
    <w:p w14:paraId="498175C7" w14:textId="0AEE3BEE" w:rsidR="00B81193" w:rsidRPr="00B241DA" w:rsidRDefault="00B81193" w:rsidP="00B81193">
      <w:pPr>
        <w:rPr>
          <w:rFonts w:eastAsiaTheme="minorEastAsia" w:cs="Times New Roman"/>
          <w:szCs w:val="24"/>
        </w:rPr>
      </w:pPr>
      <w:r w:rsidRPr="00B241DA">
        <w:rPr>
          <w:rFonts w:eastAsiaTheme="minorEastAsia" w:cs="Times New Roman"/>
          <w:szCs w:val="24"/>
        </w:rPr>
        <w:t>MAPE measure the error in terms of percentage and is defined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4"/>
        <w:gridCol w:w="1466"/>
      </w:tblGrid>
      <w:tr w:rsidR="00B81193" w:rsidRPr="00B241DA" w14:paraId="61FA222B" w14:textId="77777777" w:rsidTr="000C2FC1">
        <w:tc>
          <w:tcPr>
            <w:tcW w:w="4250" w:type="pct"/>
            <w:vAlign w:val="center"/>
            <w:hideMark/>
          </w:tcPr>
          <w:p w14:paraId="06903860" w14:textId="1AD3BFD1" w:rsidR="00B81193" w:rsidRPr="00B241DA" w:rsidRDefault="00B81193" w:rsidP="000C2FC1">
            <w:pPr>
              <w:spacing w:before="360" w:after="360"/>
              <w:jc w:val="left"/>
              <w:rPr>
                <w:rFonts w:cs="Times New Roman"/>
                <w:i/>
                <w:szCs w:val="20"/>
                <w:lang w:eastAsia="en-CA"/>
              </w:rPr>
            </w:pPr>
            <m:oMathPara>
              <m:oMathParaPr>
                <m:jc m:val="left"/>
              </m:oMathParaPr>
              <m:oMath>
                <m:r>
                  <m:rPr>
                    <m:sty m:val="p"/>
                  </m:rPr>
                  <w:rPr>
                    <w:rFonts w:ascii="Cambria Math" w:eastAsiaTheme="minorEastAsia" w:hAnsi="Cambria Math" w:cs="Times New Roman"/>
                    <w:szCs w:val="24"/>
                    <w:vertAlign w:val="subscript"/>
                  </w:rPr>
                  <m:t>MAPE</m:t>
                </m:r>
                <m:r>
                  <w:rPr>
                    <w:rFonts w:ascii="Cambria Math" w:hAnsi="Cambria Math" w:cs="Times New Roman"/>
                    <w:szCs w:val="20"/>
                  </w:rPr>
                  <m:t>=mean</m:t>
                </m:r>
                <m:d>
                  <m:dPr>
                    <m:begChr m:val="|"/>
                    <m:endChr m:val="|"/>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it</m:t>
                            </m:r>
                          </m:sub>
                        </m:sSub>
                      </m:num>
                      <m:den>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it</m:t>
                            </m:r>
                          </m:sub>
                        </m:sSub>
                      </m:den>
                    </m:f>
                  </m:e>
                </m:d>
              </m:oMath>
            </m:oMathPara>
          </w:p>
        </w:tc>
        <w:tc>
          <w:tcPr>
            <w:tcW w:w="750" w:type="pct"/>
            <w:vAlign w:val="center"/>
          </w:tcPr>
          <w:p w14:paraId="65CF6F9F" w14:textId="17B4B3F2" w:rsidR="00B81193" w:rsidRPr="00B241DA" w:rsidRDefault="002D0467" w:rsidP="002D0467">
            <w:pPr>
              <w:spacing w:before="360" w:after="360"/>
              <w:ind w:left="850"/>
              <w:jc w:val="right"/>
              <w:rPr>
                <w:rFonts w:cs="Times New Roman"/>
                <w:szCs w:val="20"/>
              </w:rPr>
            </w:pPr>
            <w:r w:rsidRPr="00B241DA">
              <w:rPr>
                <w:rFonts w:cs="Times New Roman"/>
                <w:szCs w:val="20"/>
              </w:rPr>
              <w:t>(10)</w:t>
            </w:r>
          </w:p>
        </w:tc>
      </w:tr>
    </w:tbl>
    <w:p w14:paraId="53FDABAE" w14:textId="1FD3CD92" w:rsidR="00B81193" w:rsidRPr="00B241DA" w:rsidRDefault="00B81193" w:rsidP="00B81193">
      <w:pPr>
        <w:rPr>
          <w:rFonts w:eastAsiaTheme="minorEastAsia" w:cs="Times New Roman"/>
          <w:szCs w:val="24"/>
        </w:rPr>
      </w:pPr>
      <w:r w:rsidRPr="00B241DA">
        <w:rPr>
          <w:rFonts w:eastAsiaTheme="minorEastAsia" w:cs="Times New Roman"/>
          <w:szCs w:val="24"/>
        </w:rPr>
        <w:t>The smaller the MAPE, the better the model predicts observed data. These measures of fit are generated at disaggregate level: across all crash types and across all observations</w:t>
      </w:r>
      <w:r w:rsidR="00746274" w:rsidRPr="00B241DA">
        <w:rPr>
          <w:rFonts w:eastAsiaTheme="minorEastAsia" w:cs="Times New Roman"/>
          <w:szCs w:val="24"/>
        </w:rPr>
        <w:t>.</w:t>
      </w:r>
    </w:p>
    <w:p w14:paraId="29D593CE" w14:textId="32B5F8ED" w:rsidR="00746274" w:rsidRPr="00B241DA" w:rsidRDefault="005753B2" w:rsidP="00B81193">
      <w:pPr>
        <w:rPr>
          <w:rFonts w:eastAsiaTheme="minorEastAsia" w:cs="Times New Roman"/>
          <w:szCs w:val="24"/>
        </w:rPr>
      </w:pPr>
      <w:r w:rsidRPr="00B241DA">
        <w:rPr>
          <w:rFonts w:eastAsiaTheme="minorEastAsia" w:cs="Times New Roman"/>
          <w:szCs w:val="24"/>
        </w:rPr>
        <w:tab/>
      </w:r>
      <w:r w:rsidR="00746274" w:rsidRPr="00B241DA">
        <w:rPr>
          <w:rFonts w:eastAsiaTheme="minorEastAsia" w:cs="Times New Roman"/>
          <w:szCs w:val="24"/>
        </w:rPr>
        <w:t>Root Mean Square Error (RMSE) is basically the standard deviation of the residuals (prediction errors). It highlights how much data is concentrated around the best fit line.</w:t>
      </w:r>
    </w:p>
    <w:p w14:paraId="0A1B7B2F" w14:textId="77777777" w:rsidR="00A52E8A" w:rsidRPr="00B241DA" w:rsidRDefault="00A52E8A" w:rsidP="00B81193">
      <w:pPr>
        <w:rPr>
          <w:rFonts w:eastAsiaTheme="minorEastAsia" w:cs="Times New Roman"/>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4"/>
        <w:gridCol w:w="1466"/>
      </w:tblGrid>
      <w:tr w:rsidR="00A52E8A" w:rsidRPr="00B241DA" w14:paraId="00AACB58" w14:textId="77777777" w:rsidTr="0031601F">
        <w:tc>
          <w:tcPr>
            <w:tcW w:w="4250" w:type="pct"/>
            <w:vAlign w:val="center"/>
            <w:hideMark/>
          </w:tcPr>
          <w:p w14:paraId="1A6F0A58" w14:textId="77C33968" w:rsidR="00A52E8A" w:rsidRPr="00B241DA" w:rsidRDefault="00A52E8A" w:rsidP="00A52E8A">
            <w:pPr>
              <w:rPr>
                <w:rFonts w:eastAsiaTheme="minorEastAsia" w:cs="Times New Roman"/>
                <w:szCs w:val="20"/>
              </w:rPr>
            </w:pPr>
            <m:oMathPara>
              <m:oMathParaPr>
                <m:jc m:val="left"/>
              </m:oMathParaPr>
              <m:oMath>
                <m:r>
                  <m:rPr>
                    <m:sty m:val="p"/>
                  </m:rPr>
                  <w:rPr>
                    <w:rFonts w:ascii="Cambria Math" w:eastAsiaTheme="minorEastAsia" w:hAnsi="Cambria Math" w:cs="Times New Roman"/>
                    <w:szCs w:val="24"/>
                    <w:vertAlign w:val="subscript"/>
                  </w:rPr>
                  <m:t>RMSE</m:t>
                </m:r>
                <m:r>
                  <w:rPr>
                    <w:rFonts w:ascii="Cambria Math" w:hAnsi="Cambria Math" w:cs="Times New Roman"/>
                    <w:szCs w:val="20"/>
                  </w:rPr>
                  <m:t xml:space="preserve">= </m:t>
                </m:r>
                <m:rad>
                  <m:radPr>
                    <m:degHide m:val="1"/>
                    <m:ctrlPr>
                      <w:rPr>
                        <w:rFonts w:ascii="Cambria Math" w:hAnsi="Cambria Math" w:cs="Times New Roman"/>
                        <w:i/>
                        <w:szCs w:val="20"/>
                      </w:rPr>
                    </m:ctrlPr>
                  </m:radPr>
                  <m:deg/>
                  <m:e>
                    <m:f>
                      <m:fPr>
                        <m:ctrlPr>
                          <w:rPr>
                            <w:rFonts w:ascii="Cambria Math" w:hAnsi="Cambria Math" w:cs="Times New Roman"/>
                            <w:i/>
                            <w:szCs w:val="20"/>
                          </w:rPr>
                        </m:ctrlPr>
                      </m:fPr>
                      <m:num>
                        <m:nary>
                          <m:naryPr>
                            <m:chr m:val="∑"/>
                            <m:limLoc m:val="undOvr"/>
                            <m:ctrlPr>
                              <w:rPr>
                                <w:rFonts w:ascii="Cambria Math" w:hAnsi="Cambria Math" w:cs="Times New Roman"/>
                                <w:i/>
                                <w:szCs w:val="20"/>
                              </w:rPr>
                            </m:ctrlPr>
                          </m:naryPr>
                          <m:sub>
                            <m:r>
                              <w:rPr>
                                <w:rFonts w:ascii="Cambria Math" w:hAnsi="Cambria Math" w:cs="Times New Roman"/>
                                <w:szCs w:val="20"/>
                              </w:rPr>
                              <m:t>i=1</m:t>
                            </m:r>
                          </m:sub>
                          <m:sup>
                            <m:r>
                              <w:rPr>
                                <w:rFonts w:ascii="Cambria Math" w:hAnsi="Cambria Math" w:cs="Times New Roman"/>
                                <w:szCs w:val="20"/>
                              </w:rPr>
                              <m:t>N</m:t>
                            </m:r>
                          </m:sup>
                          <m:e>
                            <m:nary>
                              <m:naryPr>
                                <m:chr m:val="∑"/>
                                <m:limLoc m:val="subSup"/>
                                <m:ctrlPr>
                                  <w:rPr>
                                    <w:rFonts w:ascii="Cambria Math" w:hAnsi="Cambria Math" w:cs="Times New Roman"/>
                                    <w:i/>
                                    <w:szCs w:val="20"/>
                                  </w:rPr>
                                </m:ctrlPr>
                              </m:naryPr>
                              <m:sub>
                                <m:r>
                                  <w:rPr>
                                    <w:rFonts w:ascii="Cambria Math" w:hAnsi="Cambria Math" w:cs="Times New Roman"/>
                                    <w:szCs w:val="20"/>
                                  </w:rPr>
                                  <m:t>t=1</m:t>
                                </m:r>
                              </m:sub>
                              <m:sup>
                                <m:r>
                                  <w:rPr>
                                    <w:rFonts w:ascii="Cambria Math" w:hAnsi="Cambria Math" w:cs="Times New Roman"/>
                                    <w:szCs w:val="20"/>
                                  </w:rPr>
                                  <m:t>T</m:t>
                                </m:r>
                              </m:sup>
                              <m:e>
                                <m:sSup>
                                  <m:sSupPr>
                                    <m:ctrlPr>
                                      <w:rPr>
                                        <w:rFonts w:ascii="Cambria Math" w:hAnsi="Cambria Math" w:cs="Times New Roman"/>
                                        <w:i/>
                                        <w:szCs w:val="20"/>
                                      </w:rPr>
                                    </m:ctrlPr>
                                  </m:sSupPr>
                                  <m:e>
                                    <m:d>
                                      <m:dPr>
                                        <m:ctrlPr>
                                          <w:rPr>
                                            <w:rFonts w:ascii="Cambria Math" w:hAnsi="Cambria Math" w:cs="Times New Roman"/>
                                            <w:i/>
                                            <w:szCs w:val="20"/>
                                          </w:rPr>
                                        </m:ctrlPr>
                                      </m:dPr>
                                      <m:e>
                                        <m:sSub>
                                          <m:sSubPr>
                                            <m:ctrlPr>
                                              <w:rPr>
                                                <w:rFonts w:ascii="Cambria Math" w:hAnsi="Cambria Math" w:cs="Times New Roman"/>
                                                <w:i/>
                                                <w:szCs w:val="20"/>
                                              </w:rPr>
                                            </m:ctrlPr>
                                          </m:sSubPr>
                                          <m:e>
                                            <m:acc>
                                              <m:accPr>
                                                <m:ctrlPr>
                                                  <w:rPr>
                                                    <w:rFonts w:ascii="Cambria Math" w:hAnsi="Cambria Math" w:cs="Times New Roman"/>
                                                    <w:i/>
                                                    <w:szCs w:val="20"/>
                                                  </w:rPr>
                                                </m:ctrlPr>
                                              </m:accPr>
                                              <m:e>
                                                <m:r>
                                                  <w:rPr>
                                                    <w:rFonts w:ascii="Cambria Math" w:hAnsi="Cambria Math" w:cs="Times New Roman"/>
                                                    <w:szCs w:val="20"/>
                                                  </w:rPr>
                                                  <m:t>y</m:t>
                                                </m:r>
                                              </m:e>
                                            </m:acc>
                                          </m:e>
                                          <m:sub>
                                            <m:r>
                                              <w:rPr>
                                                <w:rFonts w:ascii="Cambria Math" w:hAnsi="Cambria Math" w:cs="Times New Roman"/>
                                                <w:szCs w:val="20"/>
                                              </w:rPr>
                                              <m:t>it</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y</m:t>
                                            </m:r>
                                          </m:e>
                                          <m:sub>
                                            <m:r>
                                              <w:rPr>
                                                <w:rFonts w:ascii="Cambria Math" w:hAnsi="Cambria Math" w:cs="Times New Roman"/>
                                                <w:szCs w:val="20"/>
                                              </w:rPr>
                                              <m:t>it</m:t>
                                            </m:r>
                                          </m:sub>
                                        </m:sSub>
                                      </m:e>
                                    </m:d>
                                  </m:e>
                                  <m:sup>
                                    <m:r>
                                      <w:rPr>
                                        <w:rFonts w:ascii="Cambria Math" w:hAnsi="Cambria Math" w:cs="Times New Roman"/>
                                        <w:szCs w:val="20"/>
                                      </w:rPr>
                                      <m:t>2</m:t>
                                    </m:r>
                                  </m:sup>
                                </m:sSup>
                              </m:e>
                            </m:nary>
                          </m:e>
                        </m:nary>
                      </m:num>
                      <m:den>
                        <m:r>
                          <w:rPr>
                            <w:rFonts w:ascii="Cambria Math" w:hAnsi="Cambria Math" w:cs="Times New Roman"/>
                            <w:szCs w:val="20"/>
                          </w:rPr>
                          <m:t>N×T</m:t>
                        </m:r>
                      </m:den>
                    </m:f>
                    <m:r>
                      <w:rPr>
                        <w:rFonts w:ascii="Cambria Math" w:hAnsi="Cambria Math" w:cs="Times New Roman"/>
                        <w:szCs w:val="20"/>
                      </w:rPr>
                      <m:t xml:space="preserve"> </m:t>
                    </m:r>
                  </m:e>
                </m:rad>
              </m:oMath>
            </m:oMathPara>
          </w:p>
        </w:tc>
        <w:tc>
          <w:tcPr>
            <w:tcW w:w="750" w:type="pct"/>
            <w:vAlign w:val="center"/>
          </w:tcPr>
          <w:p w14:paraId="30EC9F5F" w14:textId="28D17909" w:rsidR="00A52E8A" w:rsidRPr="00B241DA" w:rsidRDefault="00A52E8A" w:rsidP="0031601F">
            <w:pPr>
              <w:spacing w:before="360" w:after="360"/>
              <w:ind w:left="850"/>
              <w:jc w:val="right"/>
              <w:rPr>
                <w:rFonts w:cs="Times New Roman"/>
                <w:szCs w:val="20"/>
              </w:rPr>
            </w:pPr>
            <w:r w:rsidRPr="00B241DA">
              <w:rPr>
                <w:rFonts w:cs="Times New Roman"/>
                <w:szCs w:val="20"/>
              </w:rPr>
              <w:t>(11)</w:t>
            </w:r>
          </w:p>
        </w:tc>
      </w:tr>
      <w:bookmarkEnd w:id="23"/>
    </w:tbl>
    <w:p w14:paraId="73384F32" w14:textId="77777777" w:rsidR="002D0467" w:rsidRPr="00B241DA" w:rsidRDefault="002D0467" w:rsidP="00B81193">
      <w:pPr>
        <w:rPr>
          <w:rFonts w:eastAsiaTheme="minorEastAsia" w:cs="Times New Roman"/>
          <w:szCs w:val="24"/>
        </w:rPr>
      </w:pPr>
    </w:p>
    <w:p w14:paraId="4D2E1912" w14:textId="79D30776" w:rsidR="00EE2056" w:rsidRPr="00B241DA" w:rsidRDefault="00565EF4" w:rsidP="00DF0808">
      <w:pPr>
        <w:ind w:firstLine="720"/>
        <w:rPr>
          <w:rFonts w:eastAsiaTheme="minorEastAsia" w:cs="Times New Roman"/>
          <w:szCs w:val="24"/>
        </w:rPr>
      </w:pPr>
      <w:r w:rsidRPr="00B241DA">
        <w:rPr>
          <w:rFonts w:eastAsiaTheme="minorEastAsia" w:cs="Times New Roman"/>
          <w:szCs w:val="24"/>
        </w:rPr>
        <w:t xml:space="preserve">The measures were generated for the estimation sample as well as </w:t>
      </w:r>
      <w:r w:rsidR="00D52B24" w:rsidRPr="00B241DA">
        <w:rPr>
          <w:rFonts w:eastAsiaTheme="minorEastAsia" w:cs="Times New Roman"/>
          <w:szCs w:val="24"/>
        </w:rPr>
        <w:t xml:space="preserve">for </w:t>
      </w:r>
      <w:r w:rsidRPr="00B241DA">
        <w:rPr>
          <w:rFonts w:eastAsiaTheme="minorEastAsia" w:cs="Times New Roman"/>
          <w:szCs w:val="24"/>
        </w:rPr>
        <w:t>the hold out sample. The</w:t>
      </w:r>
      <w:r w:rsidRPr="00B241DA">
        <w:rPr>
          <w:rFonts w:cs="Times New Roman"/>
        </w:rPr>
        <w:t xml:space="preserve"> hold-out sample was prepared following the same procedure used to extract the estimation sample. We used a sample of 20 months per taxi zone for validation. </w:t>
      </w:r>
      <w:r w:rsidR="00EE2056" w:rsidRPr="00B241DA">
        <w:rPr>
          <w:rFonts w:eastAsiaTheme="minorEastAsia" w:cs="Times New Roman"/>
          <w:szCs w:val="24"/>
        </w:rPr>
        <w:t>Figure</w:t>
      </w:r>
      <w:r w:rsidR="00B81193" w:rsidRPr="00B241DA">
        <w:rPr>
          <w:rFonts w:eastAsiaTheme="minorEastAsia" w:cs="Times New Roman"/>
          <w:szCs w:val="24"/>
        </w:rPr>
        <w:t xml:space="preserve"> </w:t>
      </w:r>
      <w:r w:rsidR="006439DC" w:rsidRPr="00B241DA">
        <w:rPr>
          <w:rFonts w:eastAsiaTheme="minorEastAsia" w:cs="Times New Roman"/>
          <w:szCs w:val="24"/>
        </w:rPr>
        <w:t>2</w:t>
      </w:r>
      <w:r w:rsidR="00B81193" w:rsidRPr="00B241DA">
        <w:rPr>
          <w:rFonts w:eastAsiaTheme="minorEastAsia" w:cs="Times New Roman"/>
          <w:szCs w:val="24"/>
        </w:rPr>
        <w:t xml:space="preserve"> presents the values of these measures for joint NB-MNLFS model</w:t>
      </w:r>
      <w:r w:rsidR="00D52B24" w:rsidRPr="00B241DA">
        <w:rPr>
          <w:rFonts w:eastAsiaTheme="minorEastAsia" w:cs="Times New Roman"/>
          <w:szCs w:val="24"/>
        </w:rPr>
        <w:t xml:space="preserve"> for estimation and validation datasets</w:t>
      </w:r>
      <w:r w:rsidR="00B81193" w:rsidRPr="00B241DA">
        <w:rPr>
          <w:rFonts w:eastAsiaTheme="minorEastAsia" w:cs="Times New Roman"/>
          <w:szCs w:val="24"/>
        </w:rPr>
        <w:t xml:space="preserve">. The results </w:t>
      </w:r>
      <w:r w:rsidR="00B81193" w:rsidRPr="00B241DA">
        <w:rPr>
          <w:rFonts w:eastAsiaTheme="minorEastAsia" w:cs="Times New Roman"/>
          <w:szCs w:val="24"/>
        </w:rPr>
        <w:lastRenderedPageBreak/>
        <w:t xml:space="preserve">highlight that the joint NB-MNLFS model </w:t>
      </w:r>
      <w:r w:rsidR="00871A6A" w:rsidRPr="00B241DA">
        <w:rPr>
          <w:rFonts w:eastAsiaTheme="minorEastAsia" w:cs="Times New Roman"/>
          <w:szCs w:val="24"/>
        </w:rPr>
        <w:t>gives quite intuitive result</w:t>
      </w:r>
      <w:r w:rsidR="00B81193" w:rsidRPr="00B241DA">
        <w:rPr>
          <w:rFonts w:eastAsiaTheme="minorEastAsia" w:cs="Times New Roman"/>
          <w:szCs w:val="24"/>
        </w:rPr>
        <w:t xml:space="preserve"> across the various measures computed. </w:t>
      </w:r>
      <w:r w:rsidRPr="00B241DA">
        <w:rPr>
          <w:rFonts w:eastAsiaTheme="minorEastAsia" w:cs="Times New Roman"/>
          <w:szCs w:val="24"/>
        </w:rPr>
        <w:t xml:space="preserve">The results also highlight the </w:t>
      </w:r>
      <w:r w:rsidR="00A84508" w:rsidRPr="00B241DA">
        <w:rPr>
          <w:rFonts w:eastAsiaTheme="minorEastAsia" w:cs="Times New Roman"/>
          <w:szCs w:val="24"/>
        </w:rPr>
        <w:t>relatively</w:t>
      </w:r>
      <w:r w:rsidRPr="00B241DA">
        <w:rPr>
          <w:rFonts w:eastAsiaTheme="minorEastAsia" w:cs="Times New Roman"/>
          <w:szCs w:val="24"/>
        </w:rPr>
        <w:t xml:space="preserve"> small range of errors for estimation and validation datasets.</w:t>
      </w:r>
      <w:r w:rsidR="00D52B24" w:rsidRPr="00B241DA">
        <w:rPr>
          <w:rFonts w:eastAsiaTheme="minorEastAsia" w:cs="Times New Roman"/>
          <w:szCs w:val="24"/>
        </w:rPr>
        <w:t xml:space="preserve"> The model performance does not worsen for validation dataset highlighting the appropriateness of the developed model for analyzing the data. </w:t>
      </w:r>
    </w:p>
    <w:p w14:paraId="3C9EBC40" w14:textId="77777777" w:rsidR="00E7206D" w:rsidRPr="00B241DA" w:rsidRDefault="00E7206D" w:rsidP="00E558CE"/>
    <w:p w14:paraId="5E8607E0" w14:textId="0C5B1C04" w:rsidR="00E7206D" w:rsidRPr="00B241DA" w:rsidRDefault="003C60A0" w:rsidP="00ED3B6E">
      <w:pPr>
        <w:pStyle w:val="TRBHead1"/>
      </w:pPr>
      <w:r>
        <w:t>Prediction</w:t>
      </w:r>
      <w:r w:rsidRPr="00B241DA">
        <w:t xml:space="preserve"> </w:t>
      </w:r>
      <w:r w:rsidR="00E7206D" w:rsidRPr="00B241DA">
        <w:t>Analysis</w:t>
      </w:r>
    </w:p>
    <w:p w14:paraId="5EE38D88" w14:textId="1F45D440" w:rsidR="007B1352" w:rsidRDefault="004A416F" w:rsidP="007B1352">
      <w:pPr>
        <w:rPr>
          <w:szCs w:val="24"/>
        </w:rPr>
      </w:pPr>
      <w:r w:rsidRPr="00B241DA">
        <w:rPr>
          <w:rFonts w:cs="Times New Roman"/>
          <w:szCs w:val="24"/>
        </w:rPr>
        <w:t xml:space="preserve">To illustrate </w:t>
      </w:r>
      <w:bookmarkStart w:id="24" w:name="_Hlk56371866"/>
      <w:r w:rsidRPr="00B241DA">
        <w:rPr>
          <w:rFonts w:cs="Times New Roman"/>
          <w:szCs w:val="24"/>
        </w:rPr>
        <w:t>how the proposed model can be adopted for future demand prediction</w:t>
      </w:r>
      <w:bookmarkEnd w:id="24"/>
      <w:r w:rsidRPr="00B241DA">
        <w:rPr>
          <w:rFonts w:cs="Times New Roman"/>
          <w:szCs w:val="24"/>
        </w:rPr>
        <w:t xml:space="preserve">, we conduct a hypothetical policy analysis. We consider the independent variables from 2018 to remain constant for the first 6 months of 2019 and examine the number of trips by </w:t>
      </w:r>
      <w:proofErr w:type="spellStart"/>
      <w:r w:rsidR="0095029D">
        <w:rPr>
          <w:rFonts w:cs="Times New Roman"/>
          <w:szCs w:val="24"/>
        </w:rPr>
        <w:t>ridehailing</w:t>
      </w:r>
      <w:proofErr w:type="spellEnd"/>
      <w:r w:rsidRPr="00B241DA">
        <w:rPr>
          <w:rFonts w:cs="Times New Roman"/>
          <w:szCs w:val="24"/>
        </w:rPr>
        <w:t xml:space="preserve"> alternative. The model prediction values, thus generated are compared with the observed trips by ride alternative for the corresponding time period. The comparison of the observed and predicted trips</w:t>
      </w:r>
      <w:r w:rsidRPr="00B241DA">
        <w:rPr>
          <w:rFonts w:cs="Times New Roman"/>
          <w:color w:val="000000" w:themeColor="text1"/>
          <w:szCs w:val="24"/>
        </w:rPr>
        <w:t xml:space="preserve"> by ride alternative are presented in Figure 3. The predicted TNC trips increased from 20 million to 25 </w:t>
      </w:r>
      <w:r w:rsidR="00505B01" w:rsidRPr="003E705B">
        <w:rPr>
          <w:color w:val="000000" w:themeColor="text1"/>
          <w:szCs w:val="24"/>
        </w:rPr>
        <w:t xml:space="preserve">million from December 2018 through June 2019 while </w:t>
      </w:r>
      <w:r w:rsidR="00573A35">
        <w:rPr>
          <w:color w:val="000000" w:themeColor="text1"/>
          <w:szCs w:val="24"/>
        </w:rPr>
        <w:t>Y</w:t>
      </w:r>
      <w:r w:rsidR="00505B01" w:rsidRPr="003E705B">
        <w:rPr>
          <w:color w:val="000000" w:themeColor="text1"/>
          <w:szCs w:val="24"/>
        </w:rPr>
        <w:t xml:space="preserve">ellow taxi trip reduced from 7.4 million to 6.4 million. Overall, the results clearly indicate a good match between observed and predicted trips by ride alternative. For Yellow taxi, the results compare favorably with slightly larger error in March 2019. From the figures, the reader would note that trips by </w:t>
      </w:r>
      <w:r w:rsidR="00573A35">
        <w:rPr>
          <w:color w:val="000000" w:themeColor="text1"/>
          <w:szCs w:val="24"/>
        </w:rPr>
        <w:t>G</w:t>
      </w:r>
      <w:r w:rsidR="00505B01" w:rsidRPr="003E705B">
        <w:rPr>
          <w:color w:val="000000" w:themeColor="text1"/>
          <w:szCs w:val="24"/>
        </w:rPr>
        <w:t xml:space="preserve">reen taxi have the largest deviation. However, this is an artifact of the small share of </w:t>
      </w:r>
      <w:r w:rsidR="00573A35">
        <w:rPr>
          <w:color w:val="000000" w:themeColor="text1"/>
          <w:szCs w:val="24"/>
        </w:rPr>
        <w:t>G</w:t>
      </w:r>
      <w:r w:rsidR="00505B01" w:rsidRPr="003E705B">
        <w:rPr>
          <w:color w:val="000000" w:themeColor="text1"/>
          <w:szCs w:val="24"/>
        </w:rPr>
        <w:t xml:space="preserve">reen taxi magnifying any shifts in number of trips. For TNC, the observed and predicted trips follow closely except for March 2019. To evaluate the exact </w:t>
      </w:r>
      <w:proofErr w:type="gramStart"/>
      <w:r w:rsidR="00505B01" w:rsidRPr="003E705B">
        <w:rPr>
          <w:color w:val="000000" w:themeColor="text1"/>
          <w:szCs w:val="24"/>
        </w:rPr>
        <w:t>mis-match</w:t>
      </w:r>
      <w:proofErr w:type="gramEnd"/>
      <w:r w:rsidR="00505B01" w:rsidRPr="003E705B">
        <w:rPr>
          <w:color w:val="000000" w:themeColor="text1"/>
          <w:szCs w:val="24"/>
        </w:rPr>
        <w:t xml:space="preserve"> in trip number by </w:t>
      </w:r>
      <w:proofErr w:type="spellStart"/>
      <w:r w:rsidR="0095029D">
        <w:rPr>
          <w:color w:val="000000" w:themeColor="text1"/>
          <w:szCs w:val="24"/>
        </w:rPr>
        <w:t>ridehailing</w:t>
      </w:r>
      <w:proofErr w:type="spellEnd"/>
      <w:r w:rsidR="00505B01" w:rsidRPr="003E705B">
        <w:rPr>
          <w:color w:val="000000" w:themeColor="text1"/>
          <w:szCs w:val="24"/>
        </w:rPr>
        <w:t xml:space="preserve"> alternative, we computed percentage error in prediction normalized to total number of trips. The estimated average </w:t>
      </w:r>
      <w:r w:rsidR="007B1352" w:rsidRPr="003E705B">
        <w:rPr>
          <w:color w:val="000000" w:themeColor="text1"/>
          <w:szCs w:val="24"/>
        </w:rPr>
        <w:t>percentage error for the three</w:t>
      </w:r>
      <w:r w:rsidR="007B1352">
        <w:rPr>
          <w:color w:val="000000" w:themeColor="text1"/>
          <w:szCs w:val="24"/>
        </w:rPr>
        <w:t xml:space="preserve"> </w:t>
      </w:r>
      <w:proofErr w:type="spellStart"/>
      <w:r w:rsidR="0095029D">
        <w:rPr>
          <w:color w:val="000000" w:themeColor="text1"/>
          <w:szCs w:val="24"/>
        </w:rPr>
        <w:t>ridehailing</w:t>
      </w:r>
      <w:proofErr w:type="spellEnd"/>
      <w:r w:rsidR="007B1352" w:rsidRPr="003E705B">
        <w:rPr>
          <w:color w:val="000000" w:themeColor="text1"/>
          <w:szCs w:val="24"/>
        </w:rPr>
        <w:t xml:space="preserve"> alternatives (</w:t>
      </w:r>
      <w:r w:rsidR="00573A35">
        <w:rPr>
          <w:color w:val="000000" w:themeColor="text1"/>
          <w:szCs w:val="24"/>
        </w:rPr>
        <w:t>Y</w:t>
      </w:r>
      <w:r w:rsidR="007B1352" w:rsidRPr="003E705B">
        <w:rPr>
          <w:color w:val="000000" w:themeColor="text1"/>
          <w:szCs w:val="24"/>
        </w:rPr>
        <w:t xml:space="preserve">ellow taxi, </w:t>
      </w:r>
      <w:r w:rsidR="00573A35">
        <w:rPr>
          <w:color w:val="000000" w:themeColor="text1"/>
          <w:szCs w:val="24"/>
        </w:rPr>
        <w:t>G</w:t>
      </w:r>
      <w:r w:rsidR="007B1352" w:rsidRPr="003E705B">
        <w:rPr>
          <w:color w:val="000000" w:themeColor="text1"/>
          <w:szCs w:val="24"/>
        </w:rPr>
        <w:t xml:space="preserve">reen taxi and TNC) is 1.29, 0.59 and 1.80% respectively with the range of these errors varying from a minimum of 0.53% through a maximum of 2.11% for </w:t>
      </w:r>
      <w:r w:rsidR="00573A35">
        <w:rPr>
          <w:color w:val="000000" w:themeColor="text1"/>
          <w:szCs w:val="24"/>
        </w:rPr>
        <w:t>Y</w:t>
      </w:r>
      <w:r w:rsidR="007B1352" w:rsidRPr="003E705B">
        <w:rPr>
          <w:color w:val="000000" w:themeColor="text1"/>
          <w:szCs w:val="24"/>
        </w:rPr>
        <w:t xml:space="preserve">ellow taxi, 0.42 through 1.13% for </w:t>
      </w:r>
      <w:r w:rsidR="00573A35">
        <w:rPr>
          <w:color w:val="000000" w:themeColor="text1"/>
          <w:szCs w:val="24"/>
        </w:rPr>
        <w:t>G</w:t>
      </w:r>
      <w:r w:rsidR="007B1352" w:rsidRPr="003E705B">
        <w:rPr>
          <w:szCs w:val="24"/>
        </w:rPr>
        <w:t xml:space="preserve">reen taxi and 0.02 through 6.90% for TNC. These results also indicate that the maximum error for </w:t>
      </w:r>
      <w:r w:rsidR="00573A35">
        <w:rPr>
          <w:szCs w:val="24"/>
        </w:rPr>
        <w:t>Y</w:t>
      </w:r>
      <w:r w:rsidR="007B1352" w:rsidRPr="003E705B">
        <w:rPr>
          <w:szCs w:val="24"/>
        </w:rPr>
        <w:t xml:space="preserve">ellow taxi and TNC was for the month of March. We observed an anomaly in the data for the total number of </w:t>
      </w:r>
      <w:proofErr w:type="spellStart"/>
      <w:r w:rsidR="0095029D">
        <w:rPr>
          <w:szCs w:val="24"/>
        </w:rPr>
        <w:t>ridehailing</w:t>
      </w:r>
      <w:proofErr w:type="spellEnd"/>
      <w:r w:rsidR="007B1352" w:rsidRPr="003E705B">
        <w:rPr>
          <w:szCs w:val="24"/>
        </w:rPr>
        <w:t xml:space="preserve"> trips in March and this could be the reason for the slightly larger error. In spite of this discrepancy, the proposed model performs adequately. The comparison presented only documents the overall system level performance. </w:t>
      </w:r>
      <w:bookmarkStart w:id="25" w:name="_Hlk58875615"/>
      <w:r w:rsidR="00235CCF" w:rsidRPr="00235CCF">
        <w:rPr>
          <w:szCs w:val="24"/>
        </w:rPr>
        <w:t xml:space="preserve">Further, we also track the two components of the transformation – new </w:t>
      </w:r>
      <w:proofErr w:type="spellStart"/>
      <w:r w:rsidR="00235CCF" w:rsidRPr="00235CCF">
        <w:rPr>
          <w:szCs w:val="24"/>
        </w:rPr>
        <w:t>ridehailing</w:t>
      </w:r>
      <w:proofErr w:type="spellEnd"/>
      <w:r w:rsidR="00235CCF" w:rsidRPr="00235CCF">
        <w:rPr>
          <w:szCs w:val="24"/>
        </w:rPr>
        <w:t xml:space="preserve"> demand and shift from taxi trips to TNC services. The results presented in Table 2 provide a percentage change measure (relative to the preceding month) for three types of trips: TNC trips, Taxi trips and Total trips. From the results, it is evident that there is an increase in TNC trips while there is a reduction in taxi trips. Further, the TNC trips increase is of a larger magnitude than a simple shift of taxi trips illustrating how TNC trips are contributing to increased </w:t>
      </w:r>
      <w:proofErr w:type="spellStart"/>
      <w:r w:rsidR="00235CCF" w:rsidRPr="00235CCF">
        <w:rPr>
          <w:szCs w:val="24"/>
        </w:rPr>
        <w:t>ridehailing</w:t>
      </w:r>
      <w:proofErr w:type="spellEnd"/>
      <w:r w:rsidR="00235CCF" w:rsidRPr="00235CCF">
        <w:rPr>
          <w:szCs w:val="24"/>
        </w:rPr>
        <w:t xml:space="preserve"> demand (except for February).</w:t>
      </w:r>
      <w:r w:rsidR="00EC13EA">
        <w:rPr>
          <w:szCs w:val="24"/>
        </w:rPr>
        <w:t xml:space="preserve"> </w:t>
      </w:r>
      <w:bookmarkEnd w:id="25"/>
      <w:r w:rsidR="007B1352" w:rsidRPr="003E705B">
        <w:rPr>
          <w:szCs w:val="24"/>
        </w:rPr>
        <w:t xml:space="preserve">The model outputs are provided at a fine spatial resolution that can be employed by city planners and </w:t>
      </w:r>
      <w:proofErr w:type="spellStart"/>
      <w:r w:rsidR="0095029D">
        <w:rPr>
          <w:szCs w:val="24"/>
        </w:rPr>
        <w:t>ridehailing</w:t>
      </w:r>
      <w:proofErr w:type="spellEnd"/>
      <w:r w:rsidR="007B1352" w:rsidRPr="003E705B">
        <w:rPr>
          <w:szCs w:val="24"/>
        </w:rPr>
        <w:t xml:space="preserve"> operators to effectively plan and manage for changing </w:t>
      </w:r>
      <w:proofErr w:type="spellStart"/>
      <w:r w:rsidR="0095029D">
        <w:rPr>
          <w:szCs w:val="24"/>
        </w:rPr>
        <w:t>ridehailing</w:t>
      </w:r>
      <w:proofErr w:type="spellEnd"/>
      <w:r w:rsidR="007B1352" w:rsidRPr="003E705B">
        <w:rPr>
          <w:szCs w:val="24"/>
        </w:rPr>
        <w:t xml:space="preserve"> patterns. </w:t>
      </w:r>
    </w:p>
    <w:p w14:paraId="54EC522C" w14:textId="0919414C" w:rsidR="00643415" w:rsidRDefault="00643415" w:rsidP="007B1352">
      <w:pPr>
        <w:rPr>
          <w:szCs w:val="24"/>
        </w:rPr>
      </w:pPr>
    </w:p>
    <w:p w14:paraId="4F507E8F" w14:textId="77777777" w:rsidR="00643415" w:rsidRDefault="00643415" w:rsidP="00643415">
      <w:pPr>
        <w:ind w:firstLine="720"/>
        <w:rPr>
          <w:rFonts w:eastAsiaTheme="minorEastAsia"/>
          <w:szCs w:val="24"/>
        </w:rPr>
      </w:pPr>
      <w:r w:rsidRPr="00FF2046">
        <w:rPr>
          <w:noProof/>
        </w:rPr>
        <w:lastRenderedPageBreak/>
        <w:drawing>
          <wp:inline distT="0" distB="0" distL="0" distR="0" wp14:anchorId="4F73DDD6" wp14:editId="2B12418C">
            <wp:extent cx="4762500" cy="2374232"/>
            <wp:effectExtent l="0" t="0" r="0" b="7620"/>
            <wp:docPr id="2" name="Chart 2">
              <a:extLst xmlns:a="http://schemas.openxmlformats.org/drawingml/2006/main">
                <a:ext uri="{FF2B5EF4-FFF2-40B4-BE49-F238E27FC236}">
                  <a16:creationId xmlns:a16="http://schemas.microsoft.com/office/drawing/2014/main" id="{BCDBD4A0-4F8C-4B40-BE00-16CC8B0589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141D86" w14:textId="77777777" w:rsidR="00643415" w:rsidRDefault="00643415" w:rsidP="00643415">
      <w:pPr>
        <w:ind w:firstLine="720"/>
        <w:rPr>
          <w:rFonts w:eastAsiaTheme="minorEastAsia"/>
          <w:szCs w:val="24"/>
        </w:rPr>
      </w:pPr>
      <w:r w:rsidRPr="00FF2046">
        <w:rPr>
          <w:noProof/>
        </w:rPr>
        <w:drawing>
          <wp:inline distT="0" distB="0" distL="0" distR="0" wp14:anchorId="76695EE3" wp14:editId="436A3229">
            <wp:extent cx="4762500" cy="2506980"/>
            <wp:effectExtent l="0" t="0" r="0" b="7620"/>
            <wp:docPr id="9" name="Chart 9">
              <a:extLst xmlns:a="http://schemas.openxmlformats.org/drawingml/2006/main">
                <a:ext uri="{FF2B5EF4-FFF2-40B4-BE49-F238E27FC236}">
                  <a16:creationId xmlns:a16="http://schemas.microsoft.com/office/drawing/2014/main" id="{832F1A06-631D-4C82-8466-86965F8DA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BD74E5" w14:textId="77777777" w:rsidR="00643415" w:rsidRDefault="00643415" w:rsidP="00643415">
      <w:pPr>
        <w:ind w:firstLine="720"/>
        <w:rPr>
          <w:rFonts w:eastAsiaTheme="minorEastAsia"/>
          <w:szCs w:val="24"/>
        </w:rPr>
      </w:pPr>
      <w:r w:rsidRPr="00FF2046">
        <w:rPr>
          <w:noProof/>
        </w:rPr>
        <w:drawing>
          <wp:inline distT="0" distB="0" distL="0" distR="0" wp14:anchorId="5C1326EF" wp14:editId="65C98912">
            <wp:extent cx="4762500" cy="2502569"/>
            <wp:effectExtent l="0" t="0" r="0" b="12065"/>
            <wp:docPr id="10" name="Chart 10">
              <a:extLst xmlns:a="http://schemas.openxmlformats.org/drawingml/2006/main">
                <a:ext uri="{FF2B5EF4-FFF2-40B4-BE49-F238E27FC236}">
                  <a16:creationId xmlns:a16="http://schemas.microsoft.com/office/drawing/2014/main" id="{2E6BEB17-F6BF-4090-A8D2-3112A52F9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3A5F84" w14:textId="77777777" w:rsidR="00643415" w:rsidRDefault="00643415" w:rsidP="00643415">
      <w:pPr>
        <w:ind w:firstLine="720"/>
        <w:rPr>
          <w:rFonts w:eastAsiaTheme="minorEastAsia"/>
          <w:szCs w:val="24"/>
        </w:rPr>
      </w:pPr>
    </w:p>
    <w:p w14:paraId="616F1B20" w14:textId="77777777" w:rsidR="00643415" w:rsidRPr="00FF2046" w:rsidRDefault="00643415" w:rsidP="00643415">
      <w:pPr>
        <w:ind w:left="-720" w:firstLine="720"/>
        <w:jc w:val="center"/>
        <w:rPr>
          <w:rFonts w:eastAsiaTheme="minorEastAsia"/>
          <w:szCs w:val="24"/>
        </w:rPr>
      </w:pPr>
      <w:r w:rsidRPr="00FF2046">
        <w:rPr>
          <w:rFonts w:eastAsiaTheme="minorEastAsia"/>
          <w:b/>
          <w:bCs/>
          <w:szCs w:val="24"/>
        </w:rPr>
        <w:t xml:space="preserve">Figure 2 </w:t>
      </w:r>
      <w:r w:rsidRPr="00FF2046">
        <w:rPr>
          <w:b/>
          <w:bCs/>
        </w:rPr>
        <w:t>Sample predictive performance measure.</w:t>
      </w:r>
    </w:p>
    <w:p w14:paraId="7E708219" w14:textId="77777777" w:rsidR="00643415" w:rsidRDefault="00643415" w:rsidP="00643415">
      <w:pPr>
        <w:ind w:firstLine="720"/>
        <w:rPr>
          <w:rFonts w:eastAsiaTheme="minorEastAsia"/>
          <w:szCs w:val="24"/>
        </w:rPr>
      </w:pPr>
    </w:p>
    <w:p w14:paraId="3D3BF35E" w14:textId="77777777" w:rsidR="00643415" w:rsidRDefault="00643415" w:rsidP="00643415">
      <w:pPr>
        <w:ind w:firstLine="720"/>
        <w:rPr>
          <w:rFonts w:eastAsiaTheme="minorEastAsia"/>
          <w:szCs w:val="24"/>
        </w:rPr>
      </w:pPr>
    </w:p>
    <w:p w14:paraId="3FF42169" w14:textId="77777777" w:rsidR="00643415" w:rsidRDefault="00643415" w:rsidP="00643415">
      <w:pPr>
        <w:ind w:firstLine="720"/>
        <w:rPr>
          <w:rFonts w:eastAsiaTheme="minorEastAsia"/>
          <w:szCs w:val="24"/>
        </w:rPr>
      </w:pPr>
    </w:p>
    <w:tbl>
      <w:tblPr>
        <w:tblStyle w:val="TableGrid"/>
        <w:tblW w:w="51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tblGrid>
      <w:tr w:rsidR="00643415" w:rsidRPr="003E705B" w14:paraId="41B86202" w14:textId="77777777" w:rsidTr="00643415">
        <w:trPr>
          <w:trHeight w:val="2478"/>
          <w:jc w:val="center"/>
        </w:trPr>
        <w:tc>
          <w:tcPr>
            <w:tcW w:w="5166" w:type="dxa"/>
          </w:tcPr>
          <w:p w14:paraId="13B27ED5" w14:textId="77777777" w:rsidR="00643415" w:rsidRPr="003E705B" w:rsidRDefault="00643415" w:rsidP="00643415">
            <w:pPr>
              <w:rPr>
                <w:szCs w:val="24"/>
              </w:rPr>
            </w:pPr>
            <w:r w:rsidRPr="003E705B">
              <w:rPr>
                <w:noProof/>
                <w:szCs w:val="24"/>
              </w:rPr>
              <w:drawing>
                <wp:inline distT="0" distB="0" distL="0" distR="0" wp14:anchorId="7F9C671B" wp14:editId="2E2C6268">
                  <wp:extent cx="3128010" cy="1716505"/>
                  <wp:effectExtent l="0" t="0" r="15240" b="17145"/>
                  <wp:docPr id="11" name="Chart 11">
                    <a:extLst xmlns:a="http://schemas.openxmlformats.org/drawingml/2006/main">
                      <a:ext uri="{FF2B5EF4-FFF2-40B4-BE49-F238E27FC236}">
                        <a16:creationId xmlns:a16="http://schemas.microsoft.com/office/drawing/2014/main" id="{867F75CE-1DD8-4E73-BD24-5CAE801D4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643415" w:rsidRPr="003E705B" w14:paraId="3A02B3FB" w14:textId="77777777" w:rsidTr="00643415">
        <w:trPr>
          <w:trHeight w:val="2316"/>
          <w:jc w:val="center"/>
        </w:trPr>
        <w:tc>
          <w:tcPr>
            <w:tcW w:w="5166" w:type="dxa"/>
          </w:tcPr>
          <w:p w14:paraId="5994BC25" w14:textId="77777777" w:rsidR="00643415" w:rsidRPr="003E705B" w:rsidRDefault="00643415" w:rsidP="00643415">
            <w:pPr>
              <w:rPr>
                <w:szCs w:val="24"/>
              </w:rPr>
            </w:pPr>
            <w:r w:rsidRPr="003E705B">
              <w:rPr>
                <w:noProof/>
                <w:szCs w:val="24"/>
              </w:rPr>
              <w:drawing>
                <wp:inline distT="0" distB="0" distL="0" distR="0" wp14:anchorId="77C80353" wp14:editId="4F34754C">
                  <wp:extent cx="3128010" cy="1515979"/>
                  <wp:effectExtent l="0" t="0" r="15240" b="8255"/>
                  <wp:docPr id="12" name="Chart 12">
                    <a:extLst xmlns:a="http://schemas.openxmlformats.org/drawingml/2006/main">
                      <a:ext uri="{FF2B5EF4-FFF2-40B4-BE49-F238E27FC236}">
                        <a16:creationId xmlns:a16="http://schemas.microsoft.com/office/drawing/2014/main" id="{E5851693-4CBF-47C7-BE63-5CFFD1CEE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643415" w:rsidRPr="003E705B" w14:paraId="0D72CA79" w14:textId="77777777" w:rsidTr="00643415">
        <w:trPr>
          <w:trHeight w:val="2338"/>
          <w:jc w:val="center"/>
        </w:trPr>
        <w:tc>
          <w:tcPr>
            <w:tcW w:w="5166" w:type="dxa"/>
          </w:tcPr>
          <w:p w14:paraId="14BF642D" w14:textId="77777777" w:rsidR="00643415" w:rsidRPr="003E705B" w:rsidRDefault="00643415" w:rsidP="00643415">
            <w:pPr>
              <w:rPr>
                <w:szCs w:val="24"/>
              </w:rPr>
            </w:pPr>
            <w:r w:rsidRPr="003E705B">
              <w:rPr>
                <w:noProof/>
                <w:szCs w:val="24"/>
              </w:rPr>
              <w:drawing>
                <wp:inline distT="0" distB="0" distL="0" distR="0" wp14:anchorId="2A84BF0D" wp14:editId="41A2126A">
                  <wp:extent cx="3128010" cy="1532021"/>
                  <wp:effectExtent l="0" t="0" r="15240" b="11430"/>
                  <wp:docPr id="13" name="Chart 13">
                    <a:extLst xmlns:a="http://schemas.openxmlformats.org/drawingml/2006/main">
                      <a:ext uri="{FF2B5EF4-FFF2-40B4-BE49-F238E27FC236}">
                        <a16:creationId xmlns:a16="http://schemas.microsoft.com/office/drawing/2014/main" id="{87A85DF8-0F87-49D3-A4F3-6D627247A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643415" w:rsidRPr="003E705B" w14:paraId="0D794BC4" w14:textId="77777777" w:rsidTr="00643415">
        <w:trPr>
          <w:trHeight w:val="2803"/>
          <w:jc w:val="center"/>
        </w:trPr>
        <w:tc>
          <w:tcPr>
            <w:tcW w:w="5166" w:type="dxa"/>
          </w:tcPr>
          <w:p w14:paraId="07CE394F" w14:textId="77777777" w:rsidR="00643415" w:rsidRPr="003E705B" w:rsidRDefault="00643415" w:rsidP="00643415">
            <w:pPr>
              <w:rPr>
                <w:szCs w:val="24"/>
              </w:rPr>
            </w:pPr>
            <w:r w:rsidRPr="003E705B">
              <w:rPr>
                <w:noProof/>
                <w:szCs w:val="24"/>
              </w:rPr>
              <w:drawing>
                <wp:inline distT="0" distB="0" distL="0" distR="0" wp14:anchorId="01A94B4C" wp14:editId="56BA4D78">
                  <wp:extent cx="3128010" cy="2063691"/>
                  <wp:effectExtent l="0" t="0" r="15240" b="13335"/>
                  <wp:docPr id="14" name="Chart 14">
                    <a:extLst xmlns:a="http://schemas.openxmlformats.org/drawingml/2006/main">
                      <a:ext uri="{FF2B5EF4-FFF2-40B4-BE49-F238E27FC236}">
                        <a16:creationId xmlns:a16="http://schemas.microsoft.com/office/drawing/2014/main" id="{DE98B2B7-8B08-46F6-B6AB-5029C8C1C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015C5D4C" w14:textId="77777777" w:rsidR="00643415" w:rsidRPr="00FF2046" w:rsidRDefault="00643415" w:rsidP="00643415">
      <w:pPr>
        <w:pStyle w:val="ListParagraph"/>
        <w:ind w:left="0"/>
        <w:jc w:val="center"/>
        <w:rPr>
          <w:rFonts w:eastAsiaTheme="minorEastAsia"/>
          <w:szCs w:val="24"/>
        </w:rPr>
        <w:sectPr w:rsidR="00643415" w:rsidRPr="00FF2046" w:rsidSect="00D80FBB">
          <w:headerReference w:type="default" r:id="rId31"/>
          <w:type w:val="continuous"/>
          <w:pgSz w:w="12240" w:h="15840" w:code="1"/>
          <w:pgMar w:top="1440" w:right="1440" w:bottom="1440" w:left="1440" w:header="720" w:footer="720" w:gutter="0"/>
          <w:cols w:space="720"/>
          <w:docGrid w:linePitch="360"/>
        </w:sectPr>
      </w:pPr>
      <w:r w:rsidRPr="006F0D7E">
        <w:rPr>
          <w:b/>
          <w:bCs/>
          <w:szCs w:val="24"/>
        </w:rPr>
        <w:t>Figure 3 Predicted trip comparison</w:t>
      </w:r>
    </w:p>
    <w:p w14:paraId="16F20AA1" w14:textId="32DF519A" w:rsidR="00EC13EA" w:rsidRDefault="00EC13EA" w:rsidP="007B1352">
      <w:pPr>
        <w:rPr>
          <w:b/>
          <w:bCs/>
          <w:szCs w:val="24"/>
        </w:rPr>
      </w:pPr>
      <w:bookmarkStart w:id="26" w:name="_Hlk58875644"/>
      <w:r>
        <w:rPr>
          <w:b/>
          <w:bCs/>
          <w:szCs w:val="24"/>
        </w:rPr>
        <w:t xml:space="preserve">Table 2 Percentage </w:t>
      </w:r>
      <w:r w:rsidR="0095029D">
        <w:rPr>
          <w:b/>
          <w:bCs/>
          <w:szCs w:val="24"/>
        </w:rPr>
        <w:t>c</w:t>
      </w:r>
      <w:r>
        <w:rPr>
          <w:b/>
          <w:bCs/>
          <w:szCs w:val="24"/>
        </w:rPr>
        <w:t xml:space="preserve">hanges in </w:t>
      </w:r>
      <w:r w:rsidR="0095029D">
        <w:rPr>
          <w:b/>
          <w:bCs/>
          <w:szCs w:val="24"/>
        </w:rPr>
        <w:t>d</w:t>
      </w:r>
      <w:r>
        <w:rPr>
          <w:b/>
          <w:bCs/>
          <w:szCs w:val="24"/>
        </w:rPr>
        <w:t xml:space="preserve">emand by </w:t>
      </w:r>
      <w:r w:rsidR="0095029D">
        <w:rPr>
          <w:b/>
          <w:bCs/>
          <w:szCs w:val="24"/>
        </w:rPr>
        <w:t>m</w:t>
      </w:r>
      <w:r>
        <w:rPr>
          <w:b/>
          <w:bCs/>
          <w:szCs w:val="24"/>
        </w:rPr>
        <w:t xml:space="preserve">onths </w:t>
      </w:r>
    </w:p>
    <w:tbl>
      <w:tblPr>
        <w:tblW w:w="5025" w:type="pct"/>
        <w:tblLook w:val="04A0" w:firstRow="1" w:lastRow="0" w:firstColumn="1" w:lastColumn="0" w:noHBand="0" w:noVBand="1"/>
      </w:tblPr>
      <w:tblGrid>
        <w:gridCol w:w="1946"/>
        <w:gridCol w:w="1670"/>
        <w:gridCol w:w="1619"/>
        <w:gridCol w:w="1376"/>
        <w:gridCol w:w="1376"/>
        <w:gridCol w:w="1374"/>
      </w:tblGrid>
      <w:tr w:rsidR="00EC13EA" w:rsidRPr="00EC13EA" w14:paraId="24CF6CE5" w14:textId="77777777" w:rsidTr="00235CCF">
        <w:trPr>
          <w:trHeight w:val="556"/>
        </w:trPr>
        <w:tc>
          <w:tcPr>
            <w:tcW w:w="1039" w:type="pct"/>
            <w:tcBorders>
              <w:top w:val="double" w:sz="6" w:space="0" w:color="auto"/>
              <w:left w:val="double" w:sz="6" w:space="0" w:color="auto"/>
              <w:bottom w:val="double" w:sz="6" w:space="0" w:color="auto"/>
              <w:right w:val="double" w:sz="4" w:space="0" w:color="auto"/>
            </w:tcBorders>
            <w:shd w:val="clear" w:color="auto" w:fill="auto"/>
            <w:vAlign w:val="center"/>
            <w:hideMark/>
          </w:tcPr>
          <w:p w14:paraId="20CB0723" w14:textId="77777777" w:rsidR="00EC13EA" w:rsidRPr="00EC13EA" w:rsidRDefault="00EC13EA" w:rsidP="002A136C">
            <w:pPr>
              <w:jc w:val="left"/>
              <w:rPr>
                <w:rFonts w:eastAsia="Times New Roman" w:cs="Times New Roman"/>
                <w:color w:val="000000"/>
                <w:sz w:val="20"/>
                <w:szCs w:val="20"/>
              </w:rPr>
            </w:pPr>
            <w:proofErr w:type="spellStart"/>
            <w:r w:rsidRPr="00EC13EA">
              <w:rPr>
                <w:rFonts w:eastAsia="Times New Roman" w:cs="Times New Roman"/>
                <w:color w:val="000000"/>
                <w:sz w:val="20"/>
                <w:szCs w:val="20"/>
              </w:rPr>
              <w:t>Ridehailing</w:t>
            </w:r>
            <w:proofErr w:type="spellEnd"/>
            <w:r w:rsidRPr="00EC13EA">
              <w:rPr>
                <w:rFonts w:eastAsia="Times New Roman" w:cs="Times New Roman"/>
                <w:color w:val="000000"/>
                <w:sz w:val="20"/>
                <w:szCs w:val="20"/>
              </w:rPr>
              <w:t xml:space="preserve"> Modes</w:t>
            </w:r>
          </w:p>
        </w:tc>
        <w:tc>
          <w:tcPr>
            <w:tcW w:w="892" w:type="pct"/>
            <w:tcBorders>
              <w:top w:val="double" w:sz="6" w:space="0" w:color="auto"/>
              <w:left w:val="double" w:sz="4" w:space="0" w:color="auto"/>
              <w:bottom w:val="double" w:sz="6" w:space="0" w:color="auto"/>
              <w:right w:val="single" w:sz="4" w:space="0" w:color="auto"/>
            </w:tcBorders>
            <w:shd w:val="clear" w:color="auto" w:fill="auto"/>
            <w:noWrap/>
            <w:vAlign w:val="center"/>
            <w:hideMark/>
          </w:tcPr>
          <w:p w14:paraId="27DD95F5" w14:textId="77777777" w:rsidR="00EC13EA" w:rsidRPr="00EC13EA" w:rsidRDefault="00EC13EA" w:rsidP="002A136C">
            <w:pPr>
              <w:jc w:val="center"/>
              <w:rPr>
                <w:rFonts w:eastAsia="Times New Roman" w:cs="Times New Roman"/>
                <w:color w:val="000000"/>
                <w:sz w:val="20"/>
                <w:szCs w:val="20"/>
              </w:rPr>
            </w:pPr>
            <w:r w:rsidRPr="00EC13EA">
              <w:rPr>
                <w:rFonts w:eastAsia="Times New Roman" w:cs="Times New Roman"/>
                <w:color w:val="000000"/>
                <w:sz w:val="20"/>
                <w:szCs w:val="20"/>
              </w:rPr>
              <w:t>Feb-19</w:t>
            </w:r>
          </w:p>
        </w:tc>
        <w:tc>
          <w:tcPr>
            <w:tcW w:w="865" w:type="pct"/>
            <w:tcBorders>
              <w:top w:val="double" w:sz="6" w:space="0" w:color="auto"/>
              <w:left w:val="nil"/>
              <w:bottom w:val="double" w:sz="6" w:space="0" w:color="auto"/>
              <w:right w:val="single" w:sz="4" w:space="0" w:color="auto"/>
            </w:tcBorders>
            <w:shd w:val="clear" w:color="auto" w:fill="auto"/>
            <w:noWrap/>
            <w:vAlign w:val="center"/>
            <w:hideMark/>
          </w:tcPr>
          <w:p w14:paraId="7ACE97BA" w14:textId="77777777" w:rsidR="00EC13EA" w:rsidRPr="00EC13EA" w:rsidRDefault="00EC13EA" w:rsidP="002A136C">
            <w:pPr>
              <w:jc w:val="center"/>
              <w:rPr>
                <w:rFonts w:eastAsia="Times New Roman" w:cs="Times New Roman"/>
                <w:color w:val="000000"/>
                <w:sz w:val="20"/>
                <w:szCs w:val="20"/>
              </w:rPr>
            </w:pPr>
            <w:r w:rsidRPr="00EC13EA">
              <w:rPr>
                <w:rFonts w:eastAsia="Times New Roman" w:cs="Times New Roman"/>
                <w:color w:val="000000"/>
                <w:sz w:val="20"/>
                <w:szCs w:val="20"/>
              </w:rPr>
              <w:t>Mar-19</w:t>
            </w:r>
          </w:p>
        </w:tc>
        <w:tc>
          <w:tcPr>
            <w:tcW w:w="735" w:type="pct"/>
            <w:tcBorders>
              <w:top w:val="double" w:sz="6" w:space="0" w:color="auto"/>
              <w:left w:val="nil"/>
              <w:bottom w:val="double" w:sz="6" w:space="0" w:color="auto"/>
              <w:right w:val="single" w:sz="4" w:space="0" w:color="auto"/>
            </w:tcBorders>
            <w:shd w:val="clear" w:color="auto" w:fill="auto"/>
            <w:noWrap/>
            <w:vAlign w:val="center"/>
            <w:hideMark/>
          </w:tcPr>
          <w:p w14:paraId="629FBA35" w14:textId="77777777" w:rsidR="00EC13EA" w:rsidRPr="00EC13EA" w:rsidRDefault="00EC13EA" w:rsidP="002A136C">
            <w:pPr>
              <w:jc w:val="center"/>
              <w:rPr>
                <w:rFonts w:eastAsia="Times New Roman" w:cs="Times New Roman"/>
                <w:color w:val="000000"/>
                <w:sz w:val="20"/>
                <w:szCs w:val="20"/>
              </w:rPr>
            </w:pPr>
            <w:r w:rsidRPr="00EC13EA">
              <w:rPr>
                <w:rFonts w:eastAsia="Times New Roman" w:cs="Times New Roman"/>
                <w:color w:val="000000"/>
                <w:sz w:val="20"/>
                <w:szCs w:val="20"/>
              </w:rPr>
              <w:t>Apr-19</w:t>
            </w:r>
          </w:p>
        </w:tc>
        <w:tc>
          <w:tcPr>
            <w:tcW w:w="735" w:type="pct"/>
            <w:tcBorders>
              <w:top w:val="double" w:sz="6" w:space="0" w:color="auto"/>
              <w:left w:val="nil"/>
              <w:bottom w:val="double" w:sz="6" w:space="0" w:color="auto"/>
              <w:right w:val="single" w:sz="4" w:space="0" w:color="auto"/>
            </w:tcBorders>
            <w:shd w:val="clear" w:color="auto" w:fill="auto"/>
            <w:noWrap/>
            <w:vAlign w:val="center"/>
            <w:hideMark/>
          </w:tcPr>
          <w:p w14:paraId="24B7809C" w14:textId="77777777" w:rsidR="00EC13EA" w:rsidRPr="00EC13EA" w:rsidRDefault="00EC13EA" w:rsidP="002A136C">
            <w:pPr>
              <w:jc w:val="center"/>
              <w:rPr>
                <w:rFonts w:eastAsia="Times New Roman" w:cs="Times New Roman"/>
                <w:color w:val="000000"/>
                <w:sz w:val="20"/>
                <w:szCs w:val="20"/>
              </w:rPr>
            </w:pPr>
            <w:r w:rsidRPr="00EC13EA">
              <w:rPr>
                <w:rFonts w:eastAsia="Times New Roman" w:cs="Times New Roman"/>
                <w:color w:val="000000"/>
                <w:sz w:val="20"/>
                <w:szCs w:val="20"/>
              </w:rPr>
              <w:t>May-19</w:t>
            </w:r>
          </w:p>
        </w:tc>
        <w:tc>
          <w:tcPr>
            <w:tcW w:w="734" w:type="pct"/>
            <w:tcBorders>
              <w:top w:val="double" w:sz="6" w:space="0" w:color="auto"/>
              <w:left w:val="nil"/>
              <w:bottom w:val="double" w:sz="6" w:space="0" w:color="auto"/>
              <w:right w:val="double" w:sz="6" w:space="0" w:color="auto"/>
            </w:tcBorders>
            <w:shd w:val="clear" w:color="auto" w:fill="auto"/>
            <w:noWrap/>
            <w:vAlign w:val="center"/>
            <w:hideMark/>
          </w:tcPr>
          <w:p w14:paraId="2ECDB617" w14:textId="77777777" w:rsidR="00EC13EA" w:rsidRPr="00EC13EA" w:rsidRDefault="00EC13EA" w:rsidP="002A136C">
            <w:pPr>
              <w:jc w:val="center"/>
              <w:rPr>
                <w:rFonts w:eastAsia="Times New Roman" w:cs="Times New Roman"/>
                <w:color w:val="000000"/>
                <w:sz w:val="20"/>
                <w:szCs w:val="20"/>
              </w:rPr>
            </w:pPr>
            <w:r w:rsidRPr="00EC13EA">
              <w:rPr>
                <w:rFonts w:eastAsia="Times New Roman" w:cs="Times New Roman"/>
                <w:color w:val="000000"/>
                <w:sz w:val="20"/>
                <w:szCs w:val="20"/>
              </w:rPr>
              <w:t>Jun-19</w:t>
            </w:r>
          </w:p>
        </w:tc>
      </w:tr>
      <w:tr w:rsidR="00EC13EA" w:rsidRPr="00EC13EA" w14:paraId="78340CA0" w14:textId="77777777" w:rsidTr="00235CCF">
        <w:trPr>
          <w:trHeight w:val="308"/>
        </w:trPr>
        <w:tc>
          <w:tcPr>
            <w:tcW w:w="1039" w:type="pct"/>
            <w:tcBorders>
              <w:top w:val="nil"/>
              <w:left w:val="double" w:sz="6" w:space="0" w:color="auto"/>
              <w:bottom w:val="single" w:sz="4" w:space="0" w:color="auto"/>
              <w:right w:val="double" w:sz="4" w:space="0" w:color="auto"/>
            </w:tcBorders>
            <w:shd w:val="clear" w:color="auto" w:fill="auto"/>
            <w:noWrap/>
            <w:vAlign w:val="center"/>
            <w:hideMark/>
          </w:tcPr>
          <w:p w14:paraId="44914D2E" w14:textId="77777777" w:rsidR="00EC13EA" w:rsidRPr="00EC13EA" w:rsidRDefault="00EC13EA" w:rsidP="002A136C">
            <w:pPr>
              <w:jc w:val="left"/>
              <w:rPr>
                <w:rFonts w:eastAsia="Times New Roman" w:cs="Times New Roman"/>
                <w:color w:val="000000"/>
                <w:sz w:val="20"/>
                <w:szCs w:val="20"/>
              </w:rPr>
            </w:pPr>
            <w:r w:rsidRPr="00EC13EA">
              <w:rPr>
                <w:rFonts w:eastAsia="Times New Roman" w:cs="Times New Roman"/>
                <w:color w:val="000000"/>
                <w:sz w:val="20"/>
                <w:szCs w:val="20"/>
              </w:rPr>
              <w:t>TNC Trips</w:t>
            </w:r>
          </w:p>
        </w:tc>
        <w:tc>
          <w:tcPr>
            <w:tcW w:w="892" w:type="pct"/>
            <w:tcBorders>
              <w:top w:val="nil"/>
              <w:left w:val="double" w:sz="4" w:space="0" w:color="auto"/>
              <w:bottom w:val="single" w:sz="4" w:space="0" w:color="auto"/>
              <w:right w:val="single" w:sz="4" w:space="0" w:color="auto"/>
            </w:tcBorders>
            <w:shd w:val="clear" w:color="auto" w:fill="auto"/>
            <w:noWrap/>
            <w:vAlign w:val="center"/>
            <w:hideMark/>
          </w:tcPr>
          <w:p w14:paraId="154ABC33" w14:textId="77777777" w:rsidR="00EC13EA" w:rsidRPr="00EC13EA" w:rsidRDefault="00EC13EA" w:rsidP="002A136C">
            <w:pPr>
              <w:jc w:val="center"/>
              <w:rPr>
                <w:rFonts w:eastAsia="Times New Roman" w:cs="Times New Roman"/>
                <w:color w:val="000000"/>
                <w:sz w:val="20"/>
                <w:szCs w:val="20"/>
              </w:rPr>
            </w:pPr>
            <w:r w:rsidRPr="00EC13EA">
              <w:rPr>
                <w:rFonts w:eastAsia="Times New Roman" w:cs="Times New Roman"/>
                <w:color w:val="000000"/>
                <w:sz w:val="20"/>
                <w:szCs w:val="20"/>
              </w:rPr>
              <w:t>0.390</w:t>
            </w:r>
          </w:p>
        </w:tc>
        <w:tc>
          <w:tcPr>
            <w:tcW w:w="865" w:type="pct"/>
            <w:tcBorders>
              <w:top w:val="nil"/>
              <w:left w:val="nil"/>
              <w:bottom w:val="single" w:sz="4" w:space="0" w:color="auto"/>
              <w:right w:val="single" w:sz="4" w:space="0" w:color="auto"/>
            </w:tcBorders>
            <w:shd w:val="clear" w:color="auto" w:fill="auto"/>
            <w:noWrap/>
            <w:vAlign w:val="center"/>
            <w:hideMark/>
          </w:tcPr>
          <w:p w14:paraId="6F22A5E0" w14:textId="77777777" w:rsidR="00EC13EA" w:rsidRPr="00EC13EA" w:rsidRDefault="00EC13EA" w:rsidP="002A136C">
            <w:pPr>
              <w:jc w:val="center"/>
              <w:rPr>
                <w:rFonts w:eastAsia="Times New Roman" w:cs="Times New Roman"/>
                <w:color w:val="000000"/>
                <w:sz w:val="20"/>
                <w:szCs w:val="20"/>
              </w:rPr>
            </w:pPr>
            <w:r w:rsidRPr="00EC13EA">
              <w:rPr>
                <w:rFonts w:eastAsia="Times New Roman" w:cs="Times New Roman"/>
                <w:color w:val="000000"/>
                <w:sz w:val="20"/>
                <w:szCs w:val="20"/>
              </w:rPr>
              <w:t>3.446</w:t>
            </w:r>
          </w:p>
        </w:tc>
        <w:tc>
          <w:tcPr>
            <w:tcW w:w="735" w:type="pct"/>
            <w:tcBorders>
              <w:top w:val="nil"/>
              <w:left w:val="nil"/>
              <w:bottom w:val="single" w:sz="4" w:space="0" w:color="auto"/>
              <w:right w:val="single" w:sz="4" w:space="0" w:color="auto"/>
            </w:tcBorders>
            <w:shd w:val="clear" w:color="auto" w:fill="auto"/>
            <w:noWrap/>
            <w:vAlign w:val="center"/>
            <w:hideMark/>
          </w:tcPr>
          <w:p w14:paraId="1F4268CE" w14:textId="77777777" w:rsidR="00EC13EA" w:rsidRPr="00EC13EA" w:rsidRDefault="00EC13EA" w:rsidP="002A136C">
            <w:pPr>
              <w:jc w:val="center"/>
              <w:rPr>
                <w:rFonts w:eastAsia="Times New Roman" w:cs="Times New Roman"/>
                <w:color w:val="000000"/>
                <w:sz w:val="20"/>
                <w:szCs w:val="20"/>
              </w:rPr>
            </w:pPr>
            <w:r w:rsidRPr="00EC13EA">
              <w:rPr>
                <w:rFonts w:eastAsia="Times New Roman" w:cs="Times New Roman"/>
                <w:color w:val="000000"/>
                <w:sz w:val="20"/>
                <w:szCs w:val="20"/>
              </w:rPr>
              <w:t>3.406</w:t>
            </w:r>
          </w:p>
        </w:tc>
        <w:tc>
          <w:tcPr>
            <w:tcW w:w="735" w:type="pct"/>
            <w:tcBorders>
              <w:top w:val="nil"/>
              <w:left w:val="nil"/>
              <w:bottom w:val="single" w:sz="4" w:space="0" w:color="auto"/>
              <w:right w:val="single" w:sz="4" w:space="0" w:color="auto"/>
            </w:tcBorders>
            <w:shd w:val="clear" w:color="auto" w:fill="auto"/>
            <w:noWrap/>
            <w:vAlign w:val="center"/>
            <w:hideMark/>
          </w:tcPr>
          <w:p w14:paraId="51BB6600" w14:textId="77777777" w:rsidR="00EC13EA" w:rsidRPr="00EC13EA" w:rsidRDefault="00EC13EA" w:rsidP="002A136C">
            <w:pPr>
              <w:jc w:val="center"/>
              <w:rPr>
                <w:rFonts w:eastAsia="Times New Roman" w:cs="Times New Roman"/>
                <w:color w:val="000000"/>
                <w:sz w:val="20"/>
                <w:szCs w:val="20"/>
              </w:rPr>
            </w:pPr>
            <w:r w:rsidRPr="00EC13EA">
              <w:rPr>
                <w:rFonts w:eastAsia="Times New Roman" w:cs="Times New Roman"/>
                <w:color w:val="000000"/>
                <w:sz w:val="20"/>
                <w:szCs w:val="20"/>
              </w:rPr>
              <w:t>3.366</w:t>
            </w:r>
          </w:p>
        </w:tc>
        <w:tc>
          <w:tcPr>
            <w:tcW w:w="734" w:type="pct"/>
            <w:tcBorders>
              <w:top w:val="nil"/>
              <w:left w:val="nil"/>
              <w:bottom w:val="single" w:sz="4" w:space="0" w:color="auto"/>
              <w:right w:val="double" w:sz="6" w:space="0" w:color="auto"/>
            </w:tcBorders>
            <w:shd w:val="clear" w:color="auto" w:fill="auto"/>
            <w:noWrap/>
            <w:vAlign w:val="center"/>
            <w:hideMark/>
          </w:tcPr>
          <w:p w14:paraId="1D44EC90" w14:textId="77777777" w:rsidR="00EC13EA" w:rsidRPr="00EC13EA" w:rsidRDefault="00EC13EA" w:rsidP="002A136C">
            <w:pPr>
              <w:jc w:val="center"/>
              <w:rPr>
                <w:rFonts w:eastAsia="Times New Roman" w:cs="Times New Roman"/>
                <w:color w:val="000000"/>
                <w:sz w:val="20"/>
                <w:szCs w:val="20"/>
              </w:rPr>
            </w:pPr>
            <w:r w:rsidRPr="00EC13EA">
              <w:rPr>
                <w:rFonts w:eastAsia="Times New Roman" w:cs="Times New Roman"/>
                <w:color w:val="000000"/>
                <w:sz w:val="20"/>
                <w:szCs w:val="20"/>
              </w:rPr>
              <w:t>1.595</w:t>
            </w:r>
          </w:p>
        </w:tc>
      </w:tr>
      <w:tr w:rsidR="00492C90" w:rsidRPr="00EC13EA" w14:paraId="69955423" w14:textId="77777777" w:rsidTr="00235CCF">
        <w:trPr>
          <w:trHeight w:val="298"/>
        </w:trPr>
        <w:tc>
          <w:tcPr>
            <w:tcW w:w="1039" w:type="pct"/>
            <w:tcBorders>
              <w:top w:val="nil"/>
              <w:left w:val="double" w:sz="6" w:space="0" w:color="auto"/>
              <w:bottom w:val="single" w:sz="4" w:space="0" w:color="auto"/>
              <w:right w:val="double" w:sz="4" w:space="0" w:color="auto"/>
            </w:tcBorders>
            <w:shd w:val="clear" w:color="auto" w:fill="auto"/>
            <w:noWrap/>
            <w:vAlign w:val="center"/>
          </w:tcPr>
          <w:p w14:paraId="4BC87588" w14:textId="2E9DF20A" w:rsidR="00492C90" w:rsidRPr="00EC13EA" w:rsidRDefault="00492C90" w:rsidP="00492C90">
            <w:pPr>
              <w:jc w:val="left"/>
              <w:rPr>
                <w:rFonts w:eastAsia="Times New Roman" w:cs="Times New Roman"/>
                <w:color w:val="000000"/>
                <w:sz w:val="20"/>
                <w:szCs w:val="20"/>
              </w:rPr>
            </w:pPr>
            <w:r w:rsidRPr="00EC13EA">
              <w:rPr>
                <w:rFonts w:eastAsia="Times New Roman" w:cs="Times New Roman"/>
                <w:color w:val="000000"/>
                <w:sz w:val="20"/>
                <w:szCs w:val="20"/>
              </w:rPr>
              <w:t>Taxi Trips</w:t>
            </w:r>
          </w:p>
        </w:tc>
        <w:tc>
          <w:tcPr>
            <w:tcW w:w="892" w:type="pct"/>
            <w:tcBorders>
              <w:top w:val="nil"/>
              <w:left w:val="double" w:sz="4" w:space="0" w:color="auto"/>
              <w:bottom w:val="single" w:sz="4" w:space="0" w:color="auto"/>
              <w:right w:val="single" w:sz="4" w:space="0" w:color="auto"/>
            </w:tcBorders>
            <w:shd w:val="clear" w:color="auto" w:fill="auto"/>
            <w:noWrap/>
            <w:vAlign w:val="center"/>
          </w:tcPr>
          <w:p w14:paraId="6451AF95" w14:textId="7C5B35C2" w:rsidR="00492C90" w:rsidRPr="00EC13EA" w:rsidRDefault="00492C90" w:rsidP="00492C90">
            <w:pPr>
              <w:jc w:val="center"/>
              <w:rPr>
                <w:rFonts w:eastAsia="Times New Roman" w:cs="Times New Roman"/>
                <w:color w:val="000000"/>
                <w:sz w:val="20"/>
                <w:szCs w:val="20"/>
              </w:rPr>
            </w:pPr>
            <w:r w:rsidRPr="00EC13EA">
              <w:rPr>
                <w:rFonts w:eastAsia="Times New Roman" w:cs="Times New Roman"/>
                <w:color w:val="000000"/>
                <w:sz w:val="20"/>
                <w:szCs w:val="20"/>
              </w:rPr>
              <w:t>-2.928</w:t>
            </w:r>
          </w:p>
        </w:tc>
        <w:tc>
          <w:tcPr>
            <w:tcW w:w="865" w:type="pct"/>
            <w:tcBorders>
              <w:top w:val="nil"/>
              <w:left w:val="nil"/>
              <w:bottom w:val="single" w:sz="4" w:space="0" w:color="auto"/>
              <w:right w:val="single" w:sz="4" w:space="0" w:color="auto"/>
            </w:tcBorders>
            <w:shd w:val="clear" w:color="auto" w:fill="auto"/>
            <w:noWrap/>
            <w:vAlign w:val="center"/>
          </w:tcPr>
          <w:p w14:paraId="2CC9C46B" w14:textId="522A424B" w:rsidR="00492C90" w:rsidRPr="00EC13EA" w:rsidRDefault="00492C90" w:rsidP="00492C90">
            <w:pPr>
              <w:jc w:val="center"/>
              <w:rPr>
                <w:rFonts w:eastAsia="Times New Roman" w:cs="Times New Roman"/>
                <w:color w:val="000000"/>
                <w:sz w:val="20"/>
                <w:szCs w:val="20"/>
              </w:rPr>
            </w:pPr>
            <w:r w:rsidRPr="00EC13EA">
              <w:rPr>
                <w:rFonts w:eastAsia="Times New Roman" w:cs="Times New Roman"/>
                <w:color w:val="000000"/>
                <w:sz w:val="20"/>
                <w:szCs w:val="20"/>
              </w:rPr>
              <w:t>-1.338</w:t>
            </w:r>
          </w:p>
        </w:tc>
        <w:tc>
          <w:tcPr>
            <w:tcW w:w="735" w:type="pct"/>
            <w:tcBorders>
              <w:top w:val="nil"/>
              <w:left w:val="nil"/>
              <w:bottom w:val="single" w:sz="4" w:space="0" w:color="auto"/>
              <w:right w:val="single" w:sz="4" w:space="0" w:color="auto"/>
            </w:tcBorders>
            <w:shd w:val="clear" w:color="auto" w:fill="auto"/>
            <w:noWrap/>
            <w:vAlign w:val="center"/>
          </w:tcPr>
          <w:p w14:paraId="5380F5D1" w14:textId="3A3E29F6" w:rsidR="00492C90" w:rsidRPr="00EC13EA" w:rsidRDefault="00492C90" w:rsidP="00492C90">
            <w:pPr>
              <w:jc w:val="center"/>
              <w:rPr>
                <w:rFonts w:eastAsia="Times New Roman" w:cs="Times New Roman"/>
                <w:color w:val="000000"/>
                <w:sz w:val="20"/>
                <w:szCs w:val="20"/>
              </w:rPr>
            </w:pPr>
            <w:r w:rsidRPr="00EC13EA">
              <w:rPr>
                <w:rFonts w:eastAsia="Times New Roman" w:cs="Times New Roman"/>
                <w:color w:val="000000"/>
                <w:sz w:val="20"/>
                <w:szCs w:val="20"/>
              </w:rPr>
              <w:t>-1.396</w:t>
            </w:r>
          </w:p>
        </w:tc>
        <w:tc>
          <w:tcPr>
            <w:tcW w:w="735" w:type="pct"/>
            <w:tcBorders>
              <w:top w:val="nil"/>
              <w:left w:val="nil"/>
              <w:bottom w:val="single" w:sz="4" w:space="0" w:color="auto"/>
              <w:right w:val="single" w:sz="4" w:space="0" w:color="auto"/>
            </w:tcBorders>
            <w:shd w:val="clear" w:color="auto" w:fill="auto"/>
            <w:noWrap/>
            <w:vAlign w:val="center"/>
          </w:tcPr>
          <w:p w14:paraId="15632E91" w14:textId="7DDC9FB9" w:rsidR="00492C90" w:rsidRPr="00EC13EA" w:rsidRDefault="00492C90" w:rsidP="00492C90">
            <w:pPr>
              <w:jc w:val="center"/>
              <w:rPr>
                <w:rFonts w:eastAsia="Times New Roman" w:cs="Times New Roman"/>
                <w:color w:val="000000"/>
                <w:sz w:val="20"/>
                <w:szCs w:val="20"/>
              </w:rPr>
            </w:pPr>
            <w:r w:rsidRPr="00EC13EA">
              <w:rPr>
                <w:rFonts w:eastAsia="Times New Roman" w:cs="Times New Roman"/>
                <w:color w:val="000000"/>
                <w:sz w:val="20"/>
                <w:szCs w:val="20"/>
              </w:rPr>
              <w:t>-1.429</w:t>
            </w:r>
          </w:p>
        </w:tc>
        <w:tc>
          <w:tcPr>
            <w:tcW w:w="734" w:type="pct"/>
            <w:tcBorders>
              <w:top w:val="nil"/>
              <w:left w:val="nil"/>
              <w:bottom w:val="single" w:sz="4" w:space="0" w:color="auto"/>
              <w:right w:val="double" w:sz="6" w:space="0" w:color="auto"/>
            </w:tcBorders>
            <w:shd w:val="clear" w:color="auto" w:fill="auto"/>
            <w:noWrap/>
            <w:vAlign w:val="center"/>
          </w:tcPr>
          <w:p w14:paraId="18FE29C6" w14:textId="13E888DA" w:rsidR="00492C90" w:rsidRPr="00EC13EA" w:rsidRDefault="00492C90" w:rsidP="00492C90">
            <w:pPr>
              <w:jc w:val="center"/>
              <w:rPr>
                <w:rFonts w:eastAsia="Times New Roman" w:cs="Times New Roman"/>
                <w:color w:val="000000"/>
                <w:sz w:val="20"/>
                <w:szCs w:val="20"/>
              </w:rPr>
            </w:pPr>
            <w:r w:rsidRPr="00EC13EA">
              <w:rPr>
                <w:rFonts w:eastAsia="Times New Roman" w:cs="Times New Roman"/>
                <w:color w:val="000000"/>
                <w:sz w:val="20"/>
                <w:szCs w:val="20"/>
              </w:rPr>
              <w:t>-4.651</w:t>
            </w:r>
          </w:p>
        </w:tc>
      </w:tr>
      <w:tr w:rsidR="00492C90" w:rsidRPr="00EC13EA" w14:paraId="6982C979" w14:textId="77777777" w:rsidTr="00235CCF">
        <w:trPr>
          <w:trHeight w:val="308"/>
        </w:trPr>
        <w:tc>
          <w:tcPr>
            <w:tcW w:w="1039" w:type="pct"/>
            <w:tcBorders>
              <w:top w:val="single" w:sz="4" w:space="0" w:color="auto"/>
              <w:left w:val="double" w:sz="6" w:space="0" w:color="auto"/>
              <w:bottom w:val="double" w:sz="4" w:space="0" w:color="auto"/>
              <w:right w:val="double" w:sz="4" w:space="0" w:color="auto"/>
            </w:tcBorders>
            <w:shd w:val="clear" w:color="auto" w:fill="auto"/>
            <w:noWrap/>
            <w:vAlign w:val="center"/>
          </w:tcPr>
          <w:p w14:paraId="3AFE7CEC" w14:textId="6EED247B" w:rsidR="00492C90" w:rsidRPr="00EC13EA" w:rsidRDefault="00492C90" w:rsidP="00492C90">
            <w:pPr>
              <w:jc w:val="left"/>
              <w:rPr>
                <w:rFonts w:eastAsia="Times New Roman" w:cs="Times New Roman"/>
                <w:color w:val="000000"/>
                <w:sz w:val="20"/>
                <w:szCs w:val="20"/>
              </w:rPr>
            </w:pPr>
            <w:r w:rsidRPr="00EC13EA">
              <w:rPr>
                <w:rFonts w:eastAsia="Times New Roman" w:cs="Times New Roman"/>
                <w:color w:val="000000"/>
                <w:sz w:val="20"/>
                <w:szCs w:val="20"/>
              </w:rPr>
              <w:lastRenderedPageBreak/>
              <w:t>Total Trips</w:t>
            </w:r>
          </w:p>
        </w:tc>
        <w:tc>
          <w:tcPr>
            <w:tcW w:w="892" w:type="pct"/>
            <w:tcBorders>
              <w:top w:val="single" w:sz="4" w:space="0" w:color="auto"/>
              <w:left w:val="double" w:sz="4" w:space="0" w:color="auto"/>
              <w:bottom w:val="double" w:sz="4" w:space="0" w:color="auto"/>
              <w:right w:val="single" w:sz="4" w:space="0" w:color="auto"/>
            </w:tcBorders>
            <w:shd w:val="clear" w:color="auto" w:fill="auto"/>
            <w:noWrap/>
            <w:vAlign w:val="center"/>
          </w:tcPr>
          <w:p w14:paraId="500B45AC" w14:textId="1A9D6DC2" w:rsidR="00492C90" w:rsidRPr="00EC13EA" w:rsidRDefault="00492C90" w:rsidP="00492C90">
            <w:pPr>
              <w:jc w:val="center"/>
              <w:rPr>
                <w:rFonts w:eastAsia="Times New Roman" w:cs="Times New Roman"/>
                <w:color w:val="000000"/>
                <w:sz w:val="20"/>
                <w:szCs w:val="20"/>
              </w:rPr>
            </w:pPr>
            <w:r w:rsidRPr="00EC13EA">
              <w:rPr>
                <w:rFonts w:eastAsia="Times New Roman" w:cs="Times New Roman"/>
                <w:color w:val="000000"/>
                <w:sz w:val="20"/>
                <w:szCs w:val="20"/>
              </w:rPr>
              <w:t>-0.482</w:t>
            </w:r>
          </w:p>
        </w:tc>
        <w:tc>
          <w:tcPr>
            <w:tcW w:w="865" w:type="pct"/>
            <w:tcBorders>
              <w:top w:val="single" w:sz="4" w:space="0" w:color="auto"/>
              <w:left w:val="nil"/>
              <w:bottom w:val="double" w:sz="4" w:space="0" w:color="auto"/>
              <w:right w:val="single" w:sz="4" w:space="0" w:color="auto"/>
            </w:tcBorders>
            <w:shd w:val="clear" w:color="auto" w:fill="auto"/>
            <w:noWrap/>
            <w:vAlign w:val="center"/>
          </w:tcPr>
          <w:p w14:paraId="5B7CAC74" w14:textId="248874AF" w:rsidR="00492C90" w:rsidRPr="00EC13EA" w:rsidRDefault="00492C90" w:rsidP="00492C90">
            <w:pPr>
              <w:jc w:val="center"/>
              <w:rPr>
                <w:rFonts w:eastAsia="Times New Roman" w:cs="Times New Roman"/>
                <w:color w:val="000000"/>
                <w:sz w:val="20"/>
                <w:szCs w:val="20"/>
              </w:rPr>
            </w:pPr>
            <w:r w:rsidRPr="00EC13EA">
              <w:rPr>
                <w:rFonts w:eastAsia="Times New Roman" w:cs="Times New Roman"/>
                <w:color w:val="000000"/>
                <w:sz w:val="20"/>
                <w:szCs w:val="20"/>
              </w:rPr>
              <w:t>2.220</w:t>
            </w:r>
          </w:p>
        </w:tc>
        <w:tc>
          <w:tcPr>
            <w:tcW w:w="735" w:type="pct"/>
            <w:tcBorders>
              <w:top w:val="single" w:sz="4" w:space="0" w:color="auto"/>
              <w:left w:val="nil"/>
              <w:bottom w:val="double" w:sz="4" w:space="0" w:color="auto"/>
              <w:right w:val="single" w:sz="4" w:space="0" w:color="auto"/>
            </w:tcBorders>
            <w:shd w:val="clear" w:color="auto" w:fill="auto"/>
            <w:noWrap/>
            <w:vAlign w:val="center"/>
          </w:tcPr>
          <w:p w14:paraId="58F0B73B" w14:textId="21F122CF" w:rsidR="00492C90" w:rsidRPr="00EC13EA" w:rsidRDefault="00492C90" w:rsidP="00492C90">
            <w:pPr>
              <w:jc w:val="center"/>
              <w:rPr>
                <w:rFonts w:eastAsia="Times New Roman" w:cs="Times New Roman"/>
                <w:color w:val="000000"/>
                <w:sz w:val="20"/>
                <w:szCs w:val="20"/>
              </w:rPr>
            </w:pPr>
            <w:r w:rsidRPr="00EC13EA">
              <w:rPr>
                <w:rFonts w:eastAsia="Times New Roman" w:cs="Times New Roman"/>
                <w:color w:val="000000"/>
                <w:sz w:val="20"/>
                <w:szCs w:val="20"/>
              </w:rPr>
              <w:t>2.218</w:t>
            </w:r>
          </w:p>
        </w:tc>
        <w:tc>
          <w:tcPr>
            <w:tcW w:w="735" w:type="pct"/>
            <w:tcBorders>
              <w:top w:val="single" w:sz="4" w:space="0" w:color="auto"/>
              <w:left w:val="nil"/>
              <w:bottom w:val="double" w:sz="4" w:space="0" w:color="auto"/>
              <w:right w:val="single" w:sz="4" w:space="0" w:color="auto"/>
            </w:tcBorders>
            <w:shd w:val="clear" w:color="auto" w:fill="auto"/>
            <w:noWrap/>
            <w:vAlign w:val="center"/>
          </w:tcPr>
          <w:p w14:paraId="25B22B27" w14:textId="3AD132BF" w:rsidR="00492C90" w:rsidRPr="00EC13EA" w:rsidRDefault="00492C90" w:rsidP="00492C90">
            <w:pPr>
              <w:jc w:val="center"/>
              <w:rPr>
                <w:rFonts w:eastAsia="Times New Roman" w:cs="Times New Roman"/>
                <w:color w:val="000000"/>
                <w:sz w:val="20"/>
                <w:szCs w:val="20"/>
              </w:rPr>
            </w:pPr>
            <w:r w:rsidRPr="00EC13EA">
              <w:rPr>
                <w:rFonts w:eastAsia="Times New Roman" w:cs="Times New Roman"/>
                <w:color w:val="000000"/>
                <w:sz w:val="20"/>
                <w:szCs w:val="20"/>
              </w:rPr>
              <w:t>2.218</w:t>
            </w:r>
          </w:p>
        </w:tc>
        <w:tc>
          <w:tcPr>
            <w:tcW w:w="734" w:type="pct"/>
            <w:tcBorders>
              <w:top w:val="single" w:sz="4" w:space="0" w:color="auto"/>
              <w:left w:val="nil"/>
              <w:bottom w:val="double" w:sz="4" w:space="0" w:color="auto"/>
              <w:right w:val="double" w:sz="6" w:space="0" w:color="auto"/>
            </w:tcBorders>
            <w:shd w:val="clear" w:color="auto" w:fill="auto"/>
            <w:noWrap/>
            <w:vAlign w:val="center"/>
          </w:tcPr>
          <w:p w14:paraId="3F2E2D0B" w14:textId="0694912C" w:rsidR="00492C90" w:rsidRPr="00EC13EA" w:rsidRDefault="00492C90" w:rsidP="00492C90">
            <w:pPr>
              <w:jc w:val="center"/>
              <w:rPr>
                <w:rFonts w:eastAsia="Times New Roman" w:cs="Times New Roman"/>
                <w:color w:val="000000"/>
                <w:sz w:val="20"/>
                <w:szCs w:val="20"/>
              </w:rPr>
            </w:pPr>
            <w:r w:rsidRPr="00EC13EA">
              <w:rPr>
                <w:rFonts w:eastAsia="Times New Roman" w:cs="Times New Roman"/>
                <w:color w:val="000000"/>
                <w:sz w:val="20"/>
                <w:szCs w:val="20"/>
              </w:rPr>
              <w:t>0.157</w:t>
            </w:r>
          </w:p>
        </w:tc>
      </w:tr>
    </w:tbl>
    <w:p w14:paraId="756874DC" w14:textId="2720232C" w:rsidR="00EC13EA" w:rsidRPr="00B24A3B" w:rsidRDefault="00EC13EA" w:rsidP="007B1352">
      <w:pPr>
        <w:rPr>
          <w:b/>
          <w:bCs/>
          <w:szCs w:val="24"/>
        </w:rPr>
      </w:pPr>
      <w:r>
        <w:rPr>
          <w:b/>
          <w:bCs/>
          <w:szCs w:val="24"/>
        </w:rPr>
        <w:t xml:space="preserve"> </w:t>
      </w:r>
    </w:p>
    <w:bookmarkEnd w:id="26"/>
    <w:p w14:paraId="0A23C28E" w14:textId="18EB7B35" w:rsidR="00902123" w:rsidRDefault="00902123" w:rsidP="007B1352">
      <w:pPr>
        <w:rPr>
          <w:szCs w:val="24"/>
        </w:rPr>
      </w:pPr>
    </w:p>
    <w:p w14:paraId="4388B565" w14:textId="77777777" w:rsidR="00F755A6" w:rsidRDefault="00F755A6" w:rsidP="00ED3B6E">
      <w:pPr>
        <w:pStyle w:val="TRBHead1"/>
      </w:pPr>
      <w:r>
        <w:t>Elasticity Analysis</w:t>
      </w:r>
    </w:p>
    <w:p w14:paraId="1CDE42BC" w14:textId="19FA182A" w:rsidR="00F755A6" w:rsidRDefault="00F755A6" w:rsidP="00F755A6">
      <w:bookmarkStart w:id="27" w:name="_Hlk61561447"/>
      <w:r>
        <w:t xml:space="preserve">The parameters of the </w:t>
      </w:r>
      <w:r w:rsidR="00423357">
        <w:t>independent</w:t>
      </w:r>
      <w:r>
        <w:t xml:space="preserve"> variables in Table 1 do not directly provide the exact magnitude of the effects of variables on the taxi zone level trip demand and proportion of the trips. </w:t>
      </w:r>
      <w:r w:rsidRPr="00D04218">
        <w:t xml:space="preserve">In order to highlight the effect of various attributes on </w:t>
      </w:r>
      <w:r>
        <w:t xml:space="preserve">total </w:t>
      </w:r>
      <w:r w:rsidRPr="00D04218">
        <w:t>trip</w:t>
      </w:r>
      <w:r>
        <w:t>s</w:t>
      </w:r>
      <w:r w:rsidRPr="00D04218">
        <w:t xml:space="preserve"> and </w:t>
      </w:r>
      <w:r>
        <w:t>proportion</w:t>
      </w:r>
      <w:r w:rsidR="00423357">
        <w:t xml:space="preserve"> across </w:t>
      </w:r>
      <w:proofErr w:type="spellStart"/>
      <w:r w:rsidR="00423357">
        <w:t>ridehailing</w:t>
      </w:r>
      <w:proofErr w:type="spellEnd"/>
      <w:r w:rsidR="00423357">
        <w:t xml:space="preserve"> alternatives</w:t>
      </w:r>
      <w:r w:rsidRPr="00D04218">
        <w:t xml:space="preserve">, an elasticity analysis is conducted (see Eluru &amp; Bhat </w:t>
      </w:r>
      <w:r w:rsidR="001562ED" w:rsidRPr="00643415">
        <w:rPr>
          <w:i/>
          <w:iCs/>
        </w:rPr>
        <w:t>(</w:t>
      </w:r>
      <w:r w:rsidR="00E030C3" w:rsidRPr="00643415">
        <w:rPr>
          <w:i/>
          <w:iCs/>
        </w:rPr>
        <w:t>6</w:t>
      </w:r>
      <w:r w:rsidR="00E030C3">
        <w:rPr>
          <w:i/>
          <w:iCs/>
        </w:rPr>
        <w:t>7</w:t>
      </w:r>
      <w:r w:rsidR="001562ED" w:rsidRPr="00643415">
        <w:rPr>
          <w:i/>
          <w:iCs/>
        </w:rPr>
        <w:t>)</w:t>
      </w:r>
      <w:r w:rsidRPr="00D04218">
        <w:t xml:space="preserve"> for a discussion on the methodology for computing elasticities).</w:t>
      </w:r>
      <w:r>
        <w:t xml:space="preserve"> For this purpose, we identify a subset of variables including population density, job density, median income, p</w:t>
      </w:r>
      <w:r w:rsidRPr="00D04218">
        <w:t xml:space="preserve">roportion of </w:t>
      </w:r>
      <w:r>
        <w:t>z</w:t>
      </w:r>
      <w:r w:rsidRPr="00D04218">
        <w:t xml:space="preserve">ero </w:t>
      </w:r>
      <w:r>
        <w:t>c</w:t>
      </w:r>
      <w:r w:rsidRPr="00D04218">
        <w:t xml:space="preserve">ar </w:t>
      </w:r>
      <w:r>
        <w:t>household, transit score, n</w:t>
      </w:r>
      <w:r w:rsidRPr="00D04218">
        <w:t>on-motorized vehicle score</w:t>
      </w:r>
      <w:r>
        <w:t xml:space="preserve">, residential area, park area, airport indicator, bike lane length, number of bike stations and street length. </w:t>
      </w:r>
      <w:r w:rsidR="002A136C">
        <w:t>Table 3</w:t>
      </w:r>
      <w:r>
        <w:t xml:space="preserve"> presents elasticity analysis results for both model components. For the </w:t>
      </w:r>
      <w:r w:rsidRPr="001476FF">
        <w:rPr>
          <w:u w:val="single"/>
        </w:rPr>
        <w:t>first component</w:t>
      </w:r>
      <w:r>
        <w:t xml:space="preserve">, we investigate the percentage change in the expected taxi zone level trip counts in response to </w:t>
      </w:r>
      <w:r w:rsidR="00423357">
        <w:t>a 10%</w:t>
      </w:r>
      <w:r>
        <w:t xml:space="preserve"> change in the explanatory variable. From the results, it is found that job density in the taxi zone has the highest impact on total </w:t>
      </w:r>
      <w:proofErr w:type="spellStart"/>
      <w:r>
        <w:t>ridehailing</w:t>
      </w:r>
      <w:proofErr w:type="spellEnd"/>
      <w:r>
        <w:t xml:space="preserve"> trips made in that zone. </w:t>
      </w:r>
      <w:r w:rsidR="00627324">
        <w:t xml:space="preserve">It is particularly interesting to note </w:t>
      </w:r>
      <w:r w:rsidR="00190E87">
        <w:t xml:space="preserve">the </w:t>
      </w:r>
      <w:r w:rsidR="00627324">
        <w:t>significant</w:t>
      </w:r>
      <w:r w:rsidR="00190E87">
        <w:t xml:space="preserve">ly larger </w:t>
      </w:r>
      <w:r w:rsidR="00627324">
        <w:t xml:space="preserve">influence of </w:t>
      </w:r>
      <w:r w:rsidR="00190E87">
        <w:t>job density</w:t>
      </w:r>
      <w:r w:rsidR="005C69CC">
        <w:t xml:space="preserve"> </w:t>
      </w:r>
      <w:r w:rsidR="00190E87">
        <w:t xml:space="preserve">relative to </w:t>
      </w:r>
      <w:r w:rsidR="00627324">
        <w:t xml:space="preserve">population density </w:t>
      </w:r>
      <w:r w:rsidR="00190E87">
        <w:t xml:space="preserve">on </w:t>
      </w:r>
      <w:proofErr w:type="spellStart"/>
      <w:r w:rsidR="00EB10C7">
        <w:t>ridehailing</w:t>
      </w:r>
      <w:proofErr w:type="spellEnd"/>
      <w:r w:rsidR="00EB10C7">
        <w:t xml:space="preserve"> demand</w:t>
      </w:r>
      <w:r w:rsidR="008A5E2A">
        <w:t xml:space="preserve"> potentially highlighting </w:t>
      </w:r>
      <w:r w:rsidR="005C69CC">
        <w:t>how</w:t>
      </w:r>
      <w:r w:rsidR="008A5E2A">
        <w:t xml:space="preserve"> ride hailing demand is closely associated with employment opportunities</w:t>
      </w:r>
      <w:r w:rsidR="00BA0793">
        <w:t xml:space="preserve">. </w:t>
      </w:r>
      <w:r w:rsidR="00BE399D">
        <w:t xml:space="preserve">In their study, </w:t>
      </w:r>
      <w:r w:rsidR="00BA0793">
        <w:t xml:space="preserve">Correa et al. </w:t>
      </w:r>
      <w:r w:rsidR="00AF49B2" w:rsidRPr="00AF49B2">
        <w:rPr>
          <w:i/>
          <w:iCs/>
        </w:rPr>
        <w:t>(34)</w:t>
      </w:r>
      <w:r w:rsidR="00BA0793">
        <w:t xml:space="preserve"> </w:t>
      </w:r>
      <w:r w:rsidR="00BE399D">
        <w:t>found</w:t>
      </w:r>
      <w:r w:rsidR="00BA0793">
        <w:t xml:space="preserve"> </w:t>
      </w:r>
      <w:r w:rsidR="00BE399D">
        <w:t xml:space="preserve">that job density affected </w:t>
      </w:r>
      <w:proofErr w:type="spellStart"/>
      <w:r w:rsidR="00BE399D">
        <w:t>ridehailing</w:t>
      </w:r>
      <w:proofErr w:type="spellEnd"/>
      <w:r w:rsidR="00BE399D">
        <w:t xml:space="preserve"> demand while population density was not significant. </w:t>
      </w:r>
      <w:r w:rsidR="00067E9A">
        <w:t>The median household income and share of zero car households also have a considerable influence on ridership</w:t>
      </w:r>
      <w:r w:rsidR="00B75F11">
        <w:t xml:space="preserve"> (</w:t>
      </w:r>
      <w:r w:rsidR="00067E9A">
        <w:t xml:space="preserve">Correa et al. </w:t>
      </w:r>
      <w:r w:rsidR="00067E9A" w:rsidRPr="000E4B81">
        <w:rPr>
          <w:i/>
          <w:iCs/>
        </w:rPr>
        <w:t>(34)</w:t>
      </w:r>
      <w:r w:rsidR="00067E9A">
        <w:t xml:space="preserve"> observed </w:t>
      </w:r>
      <w:r w:rsidR="00E00945">
        <w:t xml:space="preserve">the negative </w:t>
      </w:r>
      <w:r w:rsidR="00067E9A">
        <w:t xml:space="preserve">impact of </w:t>
      </w:r>
      <w:r w:rsidR="00E00945">
        <w:t xml:space="preserve">higher </w:t>
      </w:r>
      <w:r w:rsidR="00067E9A">
        <w:t xml:space="preserve">vehicle ownership </w:t>
      </w:r>
      <w:r w:rsidR="00590B45">
        <w:t xml:space="preserve">and positive influence of income </w:t>
      </w:r>
      <w:r w:rsidR="00E00945">
        <w:t xml:space="preserve">on </w:t>
      </w:r>
      <w:proofErr w:type="spellStart"/>
      <w:r w:rsidR="00E00945">
        <w:t>ridehailing</w:t>
      </w:r>
      <w:proofErr w:type="spellEnd"/>
      <w:r w:rsidR="00E00945">
        <w:t xml:space="preserve"> demand</w:t>
      </w:r>
      <w:r w:rsidR="00B75F11">
        <w:t>)</w:t>
      </w:r>
      <w:r w:rsidR="00E00945">
        <w:t xml:space="preserve">. </w:t>
      </w:r>
      <w:r w:rsidR="00423357">
        <w:t>Further</w:t>
      </w:r>
      <w:r>
        <w:t xml:space="preserve">, transit score and non-motorized vehicle score highly affect the total </w:t>
      </w:r>
      <w:proofErr w:type="spellStart"/>
      <w:r>
        <w:t>ridehailing</w:t>
      </w:r>
      <w:proofErr w:type="spellEnd"/>
      <w:r>
        <w:t xml:space="preserve"> trips</w:t>
      </w:r>
      <w:r w:rsidR="003B4837">
        <w:t xml:space="preserve"> (see Correa</w:t>
      </w:r>
      <w:r w:rsidR="00067E9A">
        <w:t xml:space="preserve"> et al.</w:t>
      </w:r>
      <w:r w:rsidR="0060266E">
        <w:t xml:space="preserve"> </w:t>
      </w:r>
      <w:r w:rsidR="00067E9A" w:rsidRPr="0060266E">
        <w:rPr>
          <w:i/>
          <w:iCs/>
        </w:rPr>
        <w:t>(34)</w:t>
      </w:r>
      <w:r w:rsidR="00067E9A">
        <w:t xml:space="preserve"> for similar results)</w:t>
      </w:r>
      <w:r>
        <w:t>.</w:t>
      </w:r>
      <w:r w:rsidR="00F416A5">
        <w:t xml:space="preserve"> </w:t>
      </w:r>
      <w:r w:rsidR="00F416A5" w:rsidRPr="003B5968">
        <w:rPr>
          <w:rFonts w:cs="Times New Roman"/>
          <w:szCs w:val="24"/>
        </w:rPr>
        <w:t xml:space="preserve">Of course, it is important to recognize that altering these variables by 10% within a taxi zone </w:t>
      </w:r>
      <w:r w:rsidR="00F416A5">
        <w:rPr>
          <w:rFonts w:cs="Times New Roman"/>
          <w:szCs w:val="24"/>
        </w:rPr>
        <w:t xml:space="preserve">is not a simple process </w:t>
      </w:r>
      <w:r w:rsidR="00F416A5" w:rsidRPr="003B5968">
        <w:rPr>
          <w:rFonts w:cs="Times New Roman"/>
          <w:szCs w:val="24"/>
        </w:rPr>
        <w:t xml:space="preserve">and could potentially take several years. </w:t>
      </w:r>
      <w:r>
        <w:t xml:space="preserve">For the </w:t>
      </w:r>
      <w:r>
        <w:rPr>
          <w:u w:val="single"/>
        </w:rPr>
        <w:t>s</w:t>
      </w:r>
      <w:r w:rsidRPr="00D47307">
        <w:rPr>
          <w:u w:val="single"/>
        </w:rPr>
        <w:t>econd</w:t>
      </w:r>
      <w:r>
        <w:rPr>
          <w:u w:val="single"/>
        </w:rPr>
        <w:t xml:space="preserve"> component</w:t>
      </w:r>
      <w:r>
        <w:t xml:space="preserve">, we investigate the percentage change in the predicted proportion of trips for each mode considered in response to </w:t>
      </w:r>
      <w:r w:rsidR="00423357">
        <w:t>a 10%</w:t>
      </w:r>
      <w:r>
        <w:t xml:space="preserve"> in the explanatory variable. </w:t>
      </w:r>
      <w:r w:rsidR="00A7662E">
        <w:t xml:space="preserve">The reader should note that these elasticity effects are directly associated with the proportion of trips (not actual trips by these alternatives). Hence, while the proportion of an alternative might increase or reduce, the actual change in the alternative trips will depend on the net effect of the two components. </w:t>
      </w:r>
      <w:r>
        <w:t xml:space="preserve">From the analysis, it is found that </w:t>
      </w:r>
      <w:r w:rsidR="00423357">
        <w:t>Job density, bike lane density, and street length variables positively influence TNC proportion. P</w:t>
      </w:r>
      <w:r w:rsidRPr="00F755A6">
        <w:t xml:space="preserve">roportion of zero car households </w:t>
      </w:r>
      <w:r>
        <w:t xml:space="preserve">in the taxi zone has </w:t>
      </w:r>
      <w:r w:rsidR="00423357">
        <w:t xml:space="preserve">a significant positive impact on Green Taxi </w:t>
      </w:r>
      <w:r w:rsidR="00A7662E">
        <w:t>proportion</w:t>
      </w:r>
      <w:r w:rsidR="00423357">
        <w:t xml:space="preserve">. Median Income and Park area variables affect Yellow Taxi mode </w:t>
      </w:r>
      <w:r w:rsidR="00A7662E">
        <w:t xml:space="preserve">proportion </w:t>
      </w:r>
      <w:r w:rsidR="00423357">
        <w:t xml:space="preserve">positively. </w:t>
      </w:r>
    </w:p>
    <w:p w14:paraId="35D6ADC7" w14:textId="20C0F30A" w:rsidR="002A136C" w:rsidRPr="002470DC" w:rsidRDefault="002A136C" w:rsidP="002A136C">
      <w:pPr>
        <w:spacing w:before="240"/>
        <w:rPr>
          <w:rFonts w:cs="Times New Roman"/>
          <w:b/>
          <w:bCs/>
          <w:szCs w:val="24"/>
        </w:rPr>
      </w:pPr>
      <w:bookmarkStart w:id="28" w:name="_Hlk58876593"/>
      <w:bookmarkEnd w:id="27"/>
      <w:r w:rsidRPr="002470DC">
        <w:rPr>
          <w:rFonts w:cs="Times New Roman"/>
          <w:b/>
          <w:bCs/>
          <w:szCs w:val="24"/>
        </w:rPr>
        <w:t xml:space="preserve">Table 3 Elasticity </w:t>
      </w:r>
      <w:r w:rsidR="0095029D" w:rsidRPr="002470DC">
        <w:rPr>
          <w:rFonts w:cs="Times New Roman"/>
          <w:b/>
          <w:bCs/>
          <w:szCs w:val="24"/>
        </w:rPr>
        <w:t>a</w:t>
      </w:r>
      <w:r w:rsidRPr="002470DC">
        <w:rPr>
          <w:rFonts w:cs="Times New Roman"/>
          <w:b/>
          <w:bCs/>
          <w:szCs w:val="24"/>
        </w:rPr>
        <w:t xml:space="preserve">nalysis </w:t>
      </w:r>
      <w:r w:rsidR="0095029D" w:rsidRPr="002470DC">
        <w:rPr>
          <w:rFonts w:cs="Times New Roman"/>
          <w:b/>
          <w:bCs/>
          <w:szCs w:val="24"/>
        </w:rPr>
        <w:t>r</w:t>
      </w:r>
      <w:r w:rsidRPr="002470DC">
        <w:rPr>
          <w:rFonts w:cs="Times New Roman"/>
          <w:b/>
          <w:bCs/>
          <w:szCs w:val="24"/>
        </w:rPr>
        <w:t>esults</w:t>
      </w:r>
    </w:p>
    <w:tbl>
      <w:tblPr>
        <w:tblW w:w="5016" w:type="pct"/>
        <w:tblLook w:val="04A0" w:firstRow="1" w:lastRow="0" w:firstColumn="1" w:lastColumn="0" w:noHBand="0" w:noVBand="1"/>
      </w:tblPr>
      <w:tblGrid>
        <w:gridCol w:w="2936"/>
        <w:gridCol w:w="1602"/>
        <w:gridCol w:w="1602"/>
        <w:gridCol w:w="1602"/>
        <w:gridCol w:w="1602"/>
      </w:tblGrid>
      <w:tr w:rsidR="002A136C" w:rsidRPr="00234391" w14:paraId="5D70055F" w14:textId="77777777" w:rsidTr="00C62A97">
        <w:trPr>
          <w:trHeight w:val="317"/>
        </w:trPr>
        <w:tc>
          <w:tcPr>
            <w:tcW w:w="1571" w:type="pct"/>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07D5739A" w14:textId="77777777" w:rsidR="002A136C" w:rsidRPr="00234391" w:rsidRDefault="002A136C" w:rsidP="00C62A97">
            <w:pPr>
              <w:jc w:val="left"/>
              <w:rPr>
                <w:rFonts w:eastAsia="Times New Roman" w:cs="Times New Roman"/>
                <w:b/>
                <w:bCs/>
                <w:color w:val="000000"/>
                <w:sz w:val="20"/>
                <w:szCs w:val="20"/>
              </w:rPr>
            </w:pPr>
            <w:proofErr w:type="spellStart"/>
            <w:r w:rsidRPr="00234391">
              <w:rPr>
                <w:rFonts w:eastAsia="Times New Roman" w:cs="Times New Roman"/>
                <w:b/>
                <w:bCs/>
                <w:color w:val="000000"/>
                <w:sz w:val="20"/>
                <w:szCs w:val="20"/>
              </w:rPr>
              <w:t>Ridehailing</w:t>
            </w:r>
            <w:proofErr w:type="spellEnd"/>
            <w:r w:rsidRPr="00234391">
              <w:rPr>
                <w:rFonts w:eastAsia="Times New Roman" w:cs="Times New Roman"/>
                <w:b/>
                <w:bCs/>
                <w:color w:val="000000"/>
                <w:sz w:val="20"/>
                <w:szCs w:val="20"/>
              </w:rPr>
              <w:t xml:space="preserve"> Alternatives</w:t>
            </w:r>
          </w:p>
        </w:tc>
        <w:tc>
          <w:tcPr>
            <w:tcW w:w="857" w:type="pct"/>
            <w:tcBorders>
              <w:top w:val="double" w:sz="6" w:space="0" w:color="auto"/>
              <w:left w:val="nil"/>
              <w:bottom w:val="double" w:sz="6" w:space="0" w:color="auto"/>
              <w:right w:val="single" w:sz="4" w:space="0" w:color="auto"/>
            </w:tcBorders>
            <w:shd w:val="clear" w:color="auto" w:fill="auto"/>
            <w:noWrap/>
            <w:vAlign w:val="center"/>
            <w:hideMark/>
          </w:tcPr>
          <w:p w14:paraId="22C0994A" w14:textId="77777777" w:rsidR="002A136C" w:rsidRPr="00234391" w:rsidRDefault="002A136C" w:rsidP="00C62A97">
            <w:pPr>
              <w:jc w:val="center"/>
              <w:rPr>
                <w:rFonts w:eastAsia="Times New Roman" w:cs="Times New Roman"/>
                <w:b/>
                <w:bCs/>
                <w:color w:val="000000"/>
                <w:sz w:val="20"/>
                <w:szCs w:val="20"/>
              </w:rPr>
            </w:pPr>
            <w:r w:rsidRPr="00234391">
              <w:rPr>
                <w:rFonts w:eastAsia="Times New Roman" w:cs="Times New Roman"/>
                <w:b/>
                <w:bCs/>
                <w:color w:val="000000"/>
                <w:sz w:val="20"/>
                <w:szCs w:val="20"/>
              </w:rPr>
              <w:t>Total trips</w:t>
            </w:r>
          </w:p>
        </w:tc>
        <w:tc>
          <w:tcPr>
            <w:tcW w:w="857" w:type="pct"/>
            <w:tcBorders>
              <w:top w:val="double" w:sz="6" w:space="0" w:color="auto"/>
              <w:left w:val="nil"/>
              <w:bottom w:val="double" w:sz="6" w:space="0" w:color="auto"/>
              <w:right w:val="single" w:sz="4" w:space="0" w:color="auto"/>
            </w:tcBorders>
            <w:shd w:val="clear" w:color="auto" w:fill="auto"/>
            <w:noWrap/>
            <w:vAlign w:val="center"/>
            <w:hideMark/>
          </w:tcPr>
          <w:p w14:paraId="51C56427" w14:textId="77777777" w:rsidR="002A136C" w:rsidRPr="00234391" w:rsidRDefault="002A136C" w:rsidP="00C62A97">
            <w:pPr>
              <w:jc w:val="center"/>
              <w:rPr>
                <w:rFonts w:eastAsia="Times New Roman" w:cs="Times New Roman"/>
                <w:b/>
                <w:bCs/>
                <w:color w:val="000000"/>
                <w:sz w:val="20"/>
                <w:szCs w:val="20"/>
              </w:rPr>
            </w:pPr>
            <w:r w:rsidRPr="00234391">
              <w:rPr>
                <w:rFonts w:eastAsia="Times New Roman" w:cs="Times New Roman"/>
                <w:b/>
                <w:bCs/>
                <w:color w:val="000000"/>
                <w:sz w:val="20"/>
                <w:szCs w:val="20"/>
              </w:rPr>
              <w:t>Yellow Taxi</w:t>
            </w:r>
          </w:p>
        </w:tc>
        <w:tc>
          <w:tcPr>
            <w:tcW w:w="857" w:type="pct"/>
            <w:tcBorders>
              <w:top w:val="double" w:sz="6" w:space="0" w:color="auto"/>
              <w:left w:val="nil"/>
              <w:bottom w:val="double" w:sz="6" w:space="0" w:color="auto"/>
              <w:right w:val="single" w:sz="4" w:space="0" w:color="auto"/>
            </w:tcBorders>
            <w:shd w:val="clear" w:color="auto" w:fill="auto"/>
            <w:noWrap/>
            <w:vAlign w:val="center"/>
            <w:hideMark/>
          </w:tcPr>
          <w:p w14:paraId="1CA015D2" w14:textId="77777777" w:rsidR="002A136C" w:rsidRPr="00234391" w:rsidRDefault="002A136C" w:rsidP="00C62A97">
            <w:pPr>
              <w:jc w:val="center"/>
              <w:rPr>
                <w:rFonts w:eastAsia="Times New Roman" w:cs="Times New Roman"/>
                <w:b/>
                <w:bCs/>
                <w:color w:val="000000"/>
                <w:sz w:val="20"/>
                <w:szCs w:val="20"/>
              </w:rPr>
            </w:pPr>
            <w:r w:rsidRPr="00234391">
              <w:rPr>
                <w:rFonts w:eastAsia="Times New Roman" w:cs="Times New Roman"/>
                <w:b/>
                <w:bCs/>
                <w:color w:val="000000"/>
                <w:sz w:val="20"/>
                <w:szCs w:val="20"/>
              </w:rPr>
              <w:t>Green Taxi</w:t>
            </w:r>
          </w:p>
        </w:tc>
        <w:tc>
          <w:tcPr>
            <w:tcW w:w="857" w:type="pct"/>
            <w:tcBorders>
              <w:top w:val="double" w:sz="6" w:space="0" w:color="auto"/>
              <w:left w:val="nil"/>
              <w:bottom w:val="double" w:sz="6" w:space="0" w:color="auto"/>
              <w:right w:val="double" w:sz="6" w:space="0" w:color="auto"/>
            </w:tcBorders>
            <w:shd w:val="clear" w:color="auto" w:fill="auto"/>
            <w:noWrap/>
            <w:vAlign w:val="center"/>
            <w:hideMark/>
          </w:tcPr>
          <w:p w14:paraId="4471D11C" w14:textId="77777777" w:rsidR="002A136C" w:rsidRPr="00234391" w:rsidRDefault="002A136C" w:rsidP="00C62A97">
            <w:pPr>
              <w:jc w:val="center"/>
              <w:rPr>
                <w:rFonts w:eastAsia="Times New Roman" w:cs="Times New Roman"/>
                <w:b/>
                <w:bCs/>
                <w:color w:val="000000"/>
                <w:sz w:val="20"/>
                <w:szCs w:val="20"/>
              </w:rPr>
            </w:pPr>
            <w:r w:rsidRPr="00234391">
              <w:rPr>
                <w:rFonts w:eastAsia="Times New Roman" w:cs="Times New Roman"/>
                <w:b/>
                <w:bCs/>
                <w:color w:val="000000"/>
                <w:sz w:val="20"/>
                <w:szCs w:val="20"/>
              </w:rPr>
              <w:t>TNC</w:t>
            </w:r>
          </w:p>
        </w:tc>
      </w:tr>
      <w:tr w:rsidR="002A136C" w:rsidRPr="00234391" w14:paraId="5D03A306" w14:textId="77777777" w:rsidTr="00C62A97">
        <w:trPr>
          <w:trHeight w:val="307"/>
        </w:trPr>
        <w:tc>
          <w:tcPr>
            <w:tcW w:w="1571" w:type="pct"/>
            <w:tcBorders>
              <w:top w:val="nil"/>
              <w:left w:val="double" w:sz="6" w:space="0" w:color="auto"/>
              <w:bottom w:val="single" w:sz="4" w:space="0" w:color="auto"/>
              <w:right w:val="single" w:sz="4" w:space="0" w:color="auto"/>
            </w:tcBorders>
            <w:shd w:val="clear" w:color="auto" w:fill="auto"/>
            <w:noWrap/>
            <w:vAlign w:val="center"/>
            <w:hideMark/>
          </w:tcPr>
          <w:p w14:paraId="2D8B046D" w14:textId="77777777" w:rsidR="002A136C" w:rsidRPr="00234391" w:rsidRDefault="002A136C" w:rsidP="00C62A97">
            <w:pPr>
              <w:jc w:val="left"/>
              <w:rPr>
                <w:rFonts w:eastAsia="Times New Roman" w:cs="Times New Roman"/>
                <w:color w:val="000000"/>
                <w:sz w:val="20"/>
                <w:szCs w:val="20"/>
              </w:rPr>
            </w:pPr>
            <w:r w:rsidRPr="00234391">
              <w:rPr>
                <w:rFonts w:eastAsia="Times New Roman" w:cs="Times New Roman"/>
                <w:color w:val="000000"/>
                <w:sz w:val="20"/>
                <w:szCs w:val="20"/>
              </w:rPr>
              <w:t xml:space="preserve">Population Density </w:t>
            </w:r>
          </w:p>
        </w:tc>
        <w:tc>
          <w:tcPr>
            <w:tcW w:w="857" w:type="pct"/>
            <w:tcBorders>
              <w:top w:val="nil"/>
              <w:left w:val="nil"/>
              <w:bottom w:val="single" w:sz="4" w:space="0" w:color="auto"/>
              <w:right w:val="single" w:sz="4" w:space="0" w:color="auto"/>
            </w:tcBorders>
            <w:shd w:val="clear" w:color="auto" w:fill="auto"/>
            <w:noWrap/>
            <w:vAlign w:val="center"/>
            <w:hideMark/>
          </w:tcPr>
          <w:p w14:paraId="49358730" w14:textId="77777777" w:rsidR="002A136C" w:rsidRPr="00234391" w:rsidRDefault="002A136C" w:rsidP="00C62A97">
            <w:pPr>
              <w:jc w:val="center"/>
              <w:rPr>
                <w:rFonts w:eastAsia="Times New Roman" w:cs="Times New Roman"/>
                <w:color w:val="000000"/>
                <w:sz w:val="20"/>
                <w:szCs w:val="20"/>
                <w:vertAlign w:val="superscript"/>
              </w:rPr>
            </w:pPr>
            <w:r w:rsidRPr="00234391">
              <w:rPr>
                <w:rFonts w:eastAsia="Times New Roman" w:cs="Times New Roman"/>
                <w:color w:val="000000"/>
                <w:sz w:val="20"/>
                <w:szCs w:val="20"/>
              </w:rPr>
              <w:t>0.551</w:t>
            </w:r>
            <w:r>
              <w:rPr>
                <w:rFonts w:eastAsia="Times New Roman" w:cs="Times New Roman"/>
                <w:color w:val="000000"/>
                <w:sz w:val="20"/>
                <w:szCs w:val="20"/>
                <w:vertAlign w:val="superscript"/>
              </w:rPr>
              <w:t>1</w:t>
            </w:r>
          </w:p>
        </w:tc>
        <w:tc>
          <w:tcPr>
            <w:tcW w:w="857" w:type="pct"/>
            <w:tcBorders>
              <w:top w:val="nil"/>
              <w:left w:val="nil"/>
              <w:bottom w:val="single" w:sz="4" w:space="0" w:color="auto"/>
              <w:right w:val="single" w:sz="4" w:space="0" w:color="auto"/>
            </w:tcBorders>
            <w:shd w:val="clear" w:color="auto" w:fill="auto"/>
            <w:noWrap/>
            <w:vAlign w:val="center"/>
            <w:hideMark/>
          </w:tcPr>
          <w:p w14:paraId="2590221E"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2.519</w:t>
            </w:r>
          </w:p>
        </w:tc>
        <w:tc>
          <w:tcPr>
            <w:tcW w:w="857" w:type="pct"/>
            <w:tcBorders>
              <w:top w:val="nil"/>
              <w:left w:val="nil"/>
              <w:bottom w:val="single" w:sz="4" w:space="0" w:color="auto"/>
              <w:right w:val="single" w:sz="4" w:space="0" w:color="auto"/>
            </w:tcBorders>
            <w:shd w:val="clear" w:color="auto" w:fill="auto"/>
            <w:noWrap/>
            <w:vAlign w:val="center"/>
            <w:hideMark/>
          </w:tcPr>
          <w:p w14:paraId="25799F09"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-4.637</w:t>
            </w:r>
          </w:p>
        </w:tc>
        <w:tc>
          <w:tcPr>
            <w:tcW w:w="857" w:type="pct"/>
            <w:tcBorders>
              <w:top w:val="nil"/>
              <w:left w:val="nil"/>
              <w:bottom w:val="single" w:sz="4" w:space="0" w:color="auto"/>
              <w:right w:val="double" w:sz="6" w:space="0" w:color="auto"/>
            </w:tcBorders>
            <w:shd w:val="clear" w:color="auto" w:fill="auto"/>
            <w:noWrap/>
            <w:vAlign w:val="center"/>
            <w:hideMark/>
          </w:tcPr>
          <w:p w14:paraId="45D6D058"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-0.075</w:t>
            </w:r>
          </w:p>
        </w:tc>
      </w:tr>
      <w:tr w:rsidR="002A136C" w:rsidRPr="00234391" w14:paraId="2DA89076" w14:textId="77777777" w:rsidTr="00C62A97">
        <w:trPr>
          <w:trHeight w:val="296"/>
        </w:trPr>
        <w:tc>
          <w:tcPr>
            <w:tcW w:w="1571" w:type="pct"/>
            <w:tcBorders>
              <w:top w:val="nil"/>
              <w:left w:val="double" w:sz="6" w:space="0" w:color="auto"/>
              <w:bottom w:val="single" w:sz="4" w:space="0" w:color="auto"/>
              <w:right w:val="single" w:sz="4" w:space="0" w:color="auto"/>
            </w:tcBorders>
            <w:shd w:val="clear" w:color="auto" w:fill="auto"/>
            <w:noWrap/>
            <w:vAlign w:val="center"/>
            <w:hideMark/>
          </w:tcPr>
          <w:p w14:paraId="6F91FBF6" w14:textId="77777777" w:rsidR="002A136C" w:rsidRPr="00234391" w:rsidRDefault="002A136C" w:rsidP="00C62A97">
            <w:pPr>
              <w:jc w:val="left"/>
              <w:rPr>
                <w:rFonts w:eastAsia="Times New Roman" w:cs="Times New Roman"/>
                <w:color w:val="000000"/>
                <w:sz w:val="20"/>
                <w:szCs w:val="20"/>
              </w:rPr>
            </w:pPr>
            <w:r w:rsidRPr="00234391">
              <w:rPr>
                <w:rFonts w:eastAsia="Times New Roman" w:cs="Times New Roman"/>
                <w:color w:val="000000"/>
                <w:sz w:val="20"/>
                <w:szCs w:val="20"/>
              </w:rPr>
              <w:t>Job Density</w:t>
            </w:r>
          </w:p>
        </w:tc>
        <w:tc>
          <w:tcPr>
            <w:tcW w:w="857" w:type="pct"/>
            <w:tcBorders>
              <w:top w:val="nil"/>
              <w:left w:val="nil"/>
              <w:bottom w:val="single" w:sz="4" w:space="0" w:color="auto"/>
              <w:right w:val="single" w:sz="4" w:space="0" w:color="auto"/>
            </w:tcBorders>
            <w:shd w:val="clear" w:color="auto" w:fill="auto"/>
            <w:noWrap/>
            <w:vAlign w:val="center"/>
            <w:hideMark/>
          </w:tcPr>
          <w:p w14:paraId="4E7C03F4"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17.835</w:t>
            </w:r>
          </w:p>
        </w:tc>
        <w:tc>
          <w:tcPr>
            <w:tcW w:w="857" w:type="pct"/>
            <w:tcBorders>
              <w:top w:val="nil"/>
              <w:left w:val="nil"/>
              <w:bottom w:val="single" w:sz="4" w:space="0" w:color="auto"/>
              <w:right w:val="single" w:sz="4" w:space="0" w:color="auto"/>
            </w:tcBorders>
            <w:shd w:val="clear" w:color="auto" w:fill="auto"/>
            <w:noWrap/>
            <w:vAlign w:val="center"/>
            <w:hideMark/>
          </w:tcPr>
          <w:p w14:paraId="06B07D96"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-4.351</w:t>
            </w:r>
          </w:p>
        </w:tc>
        <w:tc>
          <w:tcPr>
            <w:tcW w:w="857" w:type="pct"/>
            <w:tcBorders>
              <w:top w:val="nil"/>
              <w:left w:val="nil"/>
              <w:bottom w:val="single" w:sz="4" w:space="0" w:color="auto"/>
              <w:right w:val="single" w:sz="4" w:space="0" w:color="auto"/>
            </w:tcBorders>
            <w:shd w:val="clear" w:color="auto" w:fill="auto"/>
            <w:noWrap/>
            <w:vAlign w:val="center"/>
            <w:hideMark/>
          </w:tcPr>
          <w:p w14:paraId="3BCEA415"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-5.879</w:t>
            </w:r>
          </w:p>
        </w:tc>
        <w:tc>
          <w:tcPr>
            <w:tcW w:w="857" w:type="pct"/>
            <w:tcBorders>
              <w:top w:val="nil"/>
              <w:left w:val="nil"/>
              <w:bottom w:val="single" w:sz="4" w:space="0" w:color="auto"/>
              <w:right w:val="double" w:sz="6" w:space="0" w:color="auto"/>
            </w:tcBorders>
            <w:shd w:val="clear" w:color="auto" w:fill="auto"/>
            <w:noWrap/>
            <w:vAlign w:val="center"/>
            <w:hideMark/>
          </w:tcPr>
          <w:p w14:paraId="01798323"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1.677</w:t>
            </w:r>
          </w:p>
        </w:tc>
      </w:tr>
      <w:tr w:rsidR="002A136C" w:rsidRPr="00234391" w14:paraId="3DDD080E" w14:textId="77777777" w:rsidTr="00934094">
        <w:trPr>
          <w:trHeight w:val="296"/>
        </w:trPr>
        <w:tc>
          <w:tcPr>
            <w:tcW w:w="1571" w:type="pct"/>
            <w:tcBorders>
              <w:top w:val="nil"/>
              <w:left w:val="double" w:sz="6" w:space="0" w:color="auto"/>
              <w:bottom w:val="single" w:sz="4" w:space="0" w:color="auto"/>
              <w:right w:val="single" w:sz="4" w:space="0" w:color="auto"/>
            </w:tcBorders>
            <w:shd w:val="clear" w:color="auto" w:fill="auto"/>
            <w:noWrap/>
            <w:vAlign w:val="center"/>
            <w:hideMark/>
          </w:tcPr>
          <w:p w14:paraId="36BAC1EE" w14:textId="77777777" w:rsidR="002A136C" w:rsidRPr="00234391" w:rsidRDefault="002A136C" w:rsidP="00C62A97">
            <w:pPr>
              <w:jc w:val="left"/>
              <w:rPr>
                <w:rFonts w:eastAsia="Times New Roman" w:cs="Times New Roman"/>
                <w:color w:val="000000"/>
                <w:sz w:val="20"/>
                <w:szCs w:val="20"/>
              </w:rPr>
            </w:pPr>
            <w:r w:rsidRPr="00234391">
              <w:rPr>
                <w:rFonts w:eastAsia="Times New Roman" w:cs="Times New Roman"/>
                <w:color w:val="000000"/>
                <w:sz w:val="20"/>
                <w:szCs w:val="20"/>
              </w:rPr>
              <w:t xml:space="preserve">Median Income </w:t>
            </w:r>
          </w:p>
        </w:tc>
        <w:tc>
          <w:tcPr>
            <w:tcW w:w="857" w:type="pct"/>
            <w:tcBorders>
              <w:top w:val="nil"/>
              <w:left w:val="nil"/>
              <w:bottom w:val="single" w:sz="4" w:space="0" w:color="auto"/>
              <w:right w:val="single" w:sz="4" w:space="0" w:color="auto"/>
            </w:tcBorders>
            <w:shd w:val="clear" w:color="auto" w:fill="auto"/>
            <w:noWrap/>
            <w:vAlign w:val="center"/>
            <w:hideMark/>
          </w:tcPr>
          <w:p w14:paraId="35AE9C3E"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6.442</w:t>
            </w:r>
          </w:p>
        </w:tc>
        <w:tc>
          <w:tcPr>
            <w:tcW w:w="857" w:type="pct"/>
            <w:tcBorders>
              <w:top w:val="nil"/>
              <w:left w:val="nil"/>
              <w:bottom w:val="single" w:sz="4" w:space="0" w:color="auto"/>
              <w:right w:val="single" w:sz="4" w:space="0" w:color="auto"/>
            </w:tcBorders>
            <w:shd w:val="clear" w:color="auto" w:fill="auto"/>
            <w:noWrap/>
            <w:vAlign w:val="center"/>
            <w:hideMark/>
          </w:tcPr>
          <w:p w14:paraId="06ACD157"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5.222</w:t>
            </w:r>
          </w:p>
        </w:tc>
        <w:tc>
          <w:tcPr>
            <w:tcW w:w="857" w:type="pct"/>
            <w:tcBorders>
              <w:top w:val="nil"/>
              <w:left w:val="nil"/>
              <w:bottom w:val="single" w:sz="4" w:space="0" w:color="auto"/>
              <w:right w:val="single" w:sz="4" w:space="0" w:color="auto"/>
            </w:tcBorders>
            <w:shd w:val="clear" w:color="auto" w:fill="auto"/>
            <w:noWrap/>
            <w:vAlign w:val="center"/>
            <w:hideMark/>
          </w:tcPr>
          <w:p w14:paraId="2EE7AFC7"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-1.732</w:t>
            </w:r>
          </w:p>
        </w:tc>
        <w:tc>
          <w:tcPr>
            <w:tcW w:w="857" w:type="pct"/>
            <w:tcBorders>
              <w:top w:val="nil"/>
              <w:left w:val="nil"/>
              <w:bottom w:val="single" w:sz="4" w:space="0" w:color="auto"/>
              <w:right w:val="double" w:sz="6" w:space="0" w:color="auto"/>
            </w:tcBorders>
            <w:shd w:val="clear" w:color="auto" w:fill="auto"/>
            <w:noWrap/>
            <w:vAlign w:val="center"/>
            <w:hideMark/>
          </w:tcPr>
          <w:p w14:paraId="094F2F7A"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-1.034</w:t>
            </w:r>
          </w:p>
        </w:tc>
      </w:tr>
      <w:tr w:rsidR="002A136C" w:rsidRPr="00234391" w14:paraId="4D1FAC44" w14:textId="77777777" w:rsidTr="003114AF">
        <w:trPr>
          <w:trHeight w:val="296"/>
        </w:trPr>
        <w:tc>
          <w:tcPr>
            <w:tcW w:w="1571"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38AC56B" w14:textId="77777777" w:rsidR="002A136C" w:rsidRPr="00234391" w:rsidRDefault="002A136C" w:rsidP="00C62A97">
            <w:pPr>
              <w:jc w:val="left"/>
              <w:rPr>
                <w:rFonts w:eastAsia="Times New Roman" w:cs="Times New Roman"/>
                <w:color w:val="000000"/>
                <w:sz w:val="20"/>
                <w:szCs w:val="20"/>
              </w:rPr>
            </w:pPr>
            <w:r w:rsidRPr="00234391">
              <w:rPr>
                <w:rFonts w:eastAsia="Times New Roman" w:cs="Times New Roman"/>
                <w:color w:val="000000"/>
                <w:sz w:val="20"/>
                <w:szCs w:val="20"/>
              </w:rPr>
              <w:t xml:space="preserve">Zero Car HH </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14:paraId="5DC48CE2"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6.932</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14:paraId="585DB356"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-4.121</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14:paraId="1DB5C00A"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12.493</w:t>
            </w:r>
          </w:p>
        </w:tc>
        <w:tc>
          <w:tcPr>
            <w:tcW w:w="857" w:type="pct"/>
            <w:tcBorders>
              <w:top w:val="single" w:sz="4" w:space="0" w:color="auto"/>
              <w:left w:val="nil"/>
              <w:bottom w:val="single" w:sz="4" w:space="0" w:color="auto"/>
              <w:right w:val="double" w:sz="6" w:space="0" w:color="auto"/>
            </w:tcBorders>
            <w:shd w:val="clear" w:color="auto" w:fill="auto"/>
            <w:noWrap/>
            <w:vAlign w:val="center"/>
            <w:hideMark/>
          </w:tcPr>
          <w:p w14:paraId="6094F248"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-0.424</w:t>
            </w:r>
          </w:p>
        </w:tc>
      </w:tr>
      <w:tr w:rsidR="002A136C" w:rsidRPr="00234391" w14:paraId="0D81548D" w14:textId="77777777" w:rsidTr="003114AF">
        <w:trPr>
          <w:trHeight w:val="296"/>
        </w:trPr>
        <w:tc>
          <w:tcPr>
            <w:tcW w:w="1571"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53208D0F" w14:textId="77777777" w:rsidR="002A136C" w:rsidRPr="00234391" w:rsidRDefault="002A136C" w:rsidP="00C62A97">
            <w:pPr>
              <w:jc w:val="left"/>
              <w:rPr>
                <w:rFonts w:eastAsia="Times New Roman" w:cs="Times New Roman"/>
                <w:color w:val="000000"/>
                <w:sz w:val="20"/>
                <w:szCs w:val="20"/>
              </w:rPr>
            </w:pPr>
            <w:r w:rsidRPr="00234391">
              <w:rPr>
                <w:rFonts w:eastAsia="Times New Roman" w:cs="Times New Roman"/>
                <w:color w:val="000000"/>
                <w:sz w:val="20"/>
                <w:szCs w:val="20"/>
              </w:rPr>
              <w:t xml:space="preserve">Transit Score  </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14:paraId="22D068EB"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15.439</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14:paraId="3055CB80"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0.000</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14:paraId="666CB5F4"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0.000</w:t>
            </w:r>
          </w:p>
        </w:tc>
        <w:tc>
          <w:tcPr>
            <w:tcW w:w="857" w:type="pct"/>
            <w:tcBorders>
              <w:top w:val="single" w:sz="4" w:space="0" w:color="auto"/>
              <w:left w:val="nil"/>
              <w:bottom w:val="single" w:sz="4" w:space="0" w:color="auto"/>
              <w:right w:val="double" w:sz="6" w:space="0" w:color="auto"/>
            </w:tcBorders>
            <w:shd w:val="clear" w:color="auto" w:fill="auto"/>
            <w:noWrap/>
            <w:vAlign w:val="center"/>
            <w:hideMark/>
          </w:tcPr>
          <w:p w14:paraId="738D4447"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0.000</w:t>
            </w:r>
          </w:p>
        </w:tc>
      </w:tr>
      <w:tr w:rsidR="002A136C" w:rsidRPr="00234391" w14:paraId="2B204BC4" w14:textId="77777777" w:rsidTr="00C62A97">
        <w:trPr>
          <w:trHeight w:val="296"/>
        </w:trPr>
        <w:tc>
          <w:tcPr>
            <w:tcW w:w="1571" w:type="pct"/>
            <w:tcBorders>
              <w:top w:val="nil"/>
              <w:left w:val="double" w:sz="6" w:space="0" w:color="auto"/>
              <w:bottom w:val="single" w:sz="4" w:space="0" w:color="auto"/>
              <w:right w:val="single" w:sz="4" w:space="0" w:color="auto"/>
            </w:tcBorders>
            <w:shd w:val="clear" w:color="auto" w:fill="auto"/>
            <w:noWrap/>
            <w:vAlign w:val="center"/>
            <w:hideMark/>
          </w:tcPr>
          <w:p w14:paraId="35956955" w14:textId="77777777" w:rsidR="002A136C" w:rsidRPr="00234391" w:rsidRDefault="002A136C" w:rsidP="00C62A97">
            <w:pPr>
              <w:jc w:val="left"/>
              <w:rPr>
                <w:rFonts w:eastAsia="Times New Roman" w:cs="Times New Roman"/>
                <w:color w:val="000000"/>
                <w:sz w:val="20"/>
                <w:szCs w:val="20"/>
              </w:rPr>
            </w:pPr>
            <w:r w:rsidRPr="00234391">
              <w:rPr>
                <w:rFonts w:eastAsia="Times New Roman" w:cs="Times New Roman"/>
                <w:color w:val="000000"/>
                <w:sz w:val="20"/>
                <w:szCs w:val="20"/>
              </w:rPr>
              <w:t xml:space="preserve">Non-motorized Score </w:t>
            </w:r>
          </w:p>
        </w:tc>
        <w:tc>
          <w:tcPr>
            <w:tcW w:w="857" w:type="pct"/>
            <w:tcBorders>
              <w:top w:val="nil"/>
              <w:left w:val="nil"/>
              <w:bottom w:val="single" w:sz="4" w:space="0" w:color="auto"/>
              <w:right w:val="single" w:sz="4" w:space="0" w:color="auto"/>
            </w:tcBorders>
            <w:shd w:val="clear" w:color="auto" w:fill="auto"/>
            <w:noWrap/>
            <w:vAlign w:val="center"/>
            <w:hideMark/>
          </w:tcPr>
          <w:p w14:paraId="3FF6BFFD"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-10.127</w:t>
            </w:r>
          </w:p>
        </w:tc>
        <w:tc>
          <w:tcPr>
            <w:tcW w:w="857" w:type="pct"/>
            <w:tcBorders>
              <w:top w:val="nil"/>
              <w:left w:val="nil"/>
              <w:bottom w:val="single" w:sz="4" w:space="0" w:color="auto"/>
              <w:right w:val="single" w:sz="4" w:space="0" w:color="auto"/>
            </w:tcBorders>
            <w:shd w:val="clear" w:color="auto" w:fill="auto"/>
            <w:noWrap/>
            <w:vAlign w:val="center"/>
            <w:hideMark/>
          </w:tcPr>
          <w:p w14:paraId="78302C24"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0.000</w:t>
            </w:r>
          </w:p>
        </w:tc>
        <w:tc>
          <w:tcPr>
            <w:tcW w:w="857" w:type="pct"/>
            <w:tcBorders>
              <w:top w:val="nil"/>
              <w:left w:val="nil"/>
              <w:bottom w:val="single" w:sz="4" w:space="0" w:color="auto"/>
              <w:right w:val="single" w:sz="4" w:space="0" w:color="auto"/>
            </w:tcBorders>
            <w:shd w:val="clear" w:color="auto" w:fill="auto"/>
            <w:noWrap/>
            <w:vAlign w:val="center"/>
            <w:hideMark/>
          </w:tcPr>
          <w:p w14:paraId="6B1A5C1C"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0.000</w:t>
            </w:r>
          </w:p>
        </w:tc>
        <w:tc>
          <w:tcPr>
            <w:tcW w:w="857" w:type="pct"/>
            <w:tcBorders>
              <w:top w:val="nil"/>
              <w:left w:val="nil"/>
              <w:bottom w:val="single" w:sz="4" w:space="0" w:color="auto"/>
              <w:right w:val="double" w:sz="6" w:space="0" w:color="auto"/>
            </w:tcBorders>
            <w:shd w:val="clear" w:color="auto" w:fill="auto"/>
            <w:noWrap/>
            <w:vAlign w:val="center"/>
            <w:hideMark/>
          </w:tcPr>
          <w:p w14:paraId="6D4C81E6"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0.000</w:t>
            </w:r>
          </w:p>
        </w:tc>
      </w:tr>
      <w:tr w:rsidR="002A136C" w:rsidRPr="00234391" w14:paraId="5E4F1F90" w14:textId="77777777" w:rsidTr="00C62A97">
        <w:trPr>
          <w:trHeight w:val="296"/>
        </w:trPr>
        <w:tc>
          <w:tcPr>
            <w:tcW w:w="1571" w:type="pct"/>
            <w:tcBorders>
              <w:top w:val="nil"/>
              <w:left w:val="double" w:sz="6" w:space="0" w:color="auto"/>
              <w:bottom w:val="single" w:sz="4" w:space="0" w:color="auto"/>
              <w:right w:val="single" w:sz="4" w:space="0" w:color="auto"/>
            </w:tcBorders>
            <w:shd w:val="clear" w:color="auto" w:fill="auto"/>
            <w:noWrap/>
            <w:vAlign w:val="center"/>
            <w:hideMark/>
          </w:tcPr>
          <w:p w14:paraId="110777BF" w14:textId="77777777" w:rsidR="002A136C" w:rsidRPr="00234391" w:rsidRDefault="002A136C" w:rsidP="00C62A97">
            <w:pPr>
              <w:jc w:val="left"/>
              <w:rPr>
                <w:rFonts w:eastAsia="Times New Roman" w:cs="Times New Roman"/>
                <w:color w:val="000000"/>
                <w:sz w:val="20"/>
                <w:szCs w:val="20"/>
              </w:rPr>
            </w:pPr>
            <w:r w:rsidRPr="00234391">
              <w:rPr>
                <w:rFonts w:eastAsia="Times New Roman" w:cs="Times New Roman"/>
                <w:color w:val="000000"/>
                <w:sz w:val="20"/>
                <w:szCs w:val="20"/>
              </w:rPr>
              <w:t xml:space="preserve">Residential Area </w:t>
            </w:r>
          </w:p>
        </w:tc>
        <w:tc>
          <w:tcPr>
            <w:tcW w:w="857" w:type="pct"/>
            <w:tcBorders>
              <w:top w:val="nil"/>
              <w:left w:val="nil"/>
              <w:bottom w:val="single" w:sz="4" w:space="0" w:color="auto"/>
              <w:right w:val="single" w:sz="4" w:space="0" w:color="auto"/>
            </w:tcBorders>
            <w:shd w:val="clear" w:color="auto" w:fill="auto"/>
            <w:noWrap/>
            <w:vAlign w:val="center"/>
            <w:hideMark/>
          </w:tcPr>
          <w:p w14:paraId="6689902F"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3.591</w:t>
            </w:r>
          </w:p>
        </w:tc>
        <w:tc>
          <w:tcPr>
            <w:tcW w:w="857" w:type="pct"/>
            <w:tcBorders>
              <w:top w:val="nil"/>
              <w:left w:val="nil"/>
              <w:bottom w:val="single" w:sz="4" w:space="0" w:color="auto"/>
              <w:right w:val="single" w:sz="4" w:space="0" w:color="auto"/>
            </w:tcBorders>
            <w:shd w:val="clear" w:color="auto" w:fill="auto"/>
            <w:noWrap/>
            <w:vAlign w:val="center"/>
            <w:hideMark/>
          </w:tcPr>
          <w:p w14:paraId="466D44F3"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0.000</w:t>
            </w:r>
          </w:p>
        </w:tc>
        <w:tc>
          <w:tcPr>
            <w:tcW w:w="857" w:type="pct"/>
            <w:tcBorders>
              <w:top w:val="nil"/>
              <w:left w:val="nil"/>
              <w:bottom w:val="single" w:sz="4" w:space="0" w:color="auto"/>
              <w:right w:val="single" w:sz="4" w:space="0" w:color="auto"/>
            </w:tcBorders>
            <w:shd w:val="clear" w:color="auto" w:fill="auto"/>
            <w:noWrap/>
            <w:vAlign w:val="center"/>
            <w:hideMark/>
          </w:tcPr>
          <w:p w14:paraId="68FAEB00"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0.000</w:t>
            </w:r>
          </w:p>
        </w:tc>
        <w:tc>
          <w:tcPr>
            <w:tcW w:w="857" w:type="pct"/>
            <w:tcBorders>
              <w:top w:val="nil"/>
              <w:left w:val="nil"/>
              <w:bottom w:val="single" w:sz="4" w:space="0" w:color="auto"/>
              <w:right w:val="double" w:sz="6" w:space="0" w:color="auto"/>
            </w:tcBorders>
            <w:shd w:val="clear" w:color="auto" w:fill="auto"/>
            <w:noWrap/>
            <w:vAlign w:val="center"/>
            <w:hideMark/>
          </w:tcPr>
          <w:p w14:paraId="7D165F33"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0.000</w:t>
            </w:r>
          </w:p>
        </w:tc>
      </w:tr>
      <w:tr w:rsidR="002A136C" w:rsidRPr="00234391" w14:paraId="02F38E7D" w14:textId="77777777" w:rsidTr="00C62A97">
        <w:trPr>
          <w:trHeight w:val="296"/>
        </w:trPr>
        <w:tc>
          <w:tcPr>
            <w:tcW w:w="1571" w:type="pct"/>
            <w:tcBorders>
              <w:top w:val="nil"/>
              <w:left w:val="double" w:sz="6" w:space="0" w:color="auto"/>
              <w:bottom w:val="single" w:sz="4" w:space="0" w:color="auto"/>
              <w:right w:val="single" w:sz="4" w:space="0" w:color="auto"/>
            </w:tcBorders>
            <w:shd w:val="clear" w:color="auto" w:fill="auto"/>
            <w:noWrap/>
            <w:vAlign w:val="center"/>
            <w:hideMark/>
          </w:tcPr>
          <w:p w14:paraId="1C7AB0DB" w14:textId="77777777" w:rsidR="002A136C" w:rsidRPr="00234391" w:rsidRDefault="002A136C" w:rsidP="00C62A97">
            <w:pPr>
              <w:jc w:val="left"/>
              <w:rPr>
                <w:rFonts w:eastAsia="Times New Roman" w:cs="Times New Roman"/>
                <w:color w:val="000000"/>
                <w:sz w:val="20"/>
                <w:szCs w:val="20"/>
              </w:rPr>
            </w:pPr>
            <w:r w:rsidRPr="00234391">
              <w:rPr>
                <w:rFonts w:eastAsia="Times New Roman" w:cs="Times New Roman"/>
                <w:color w:val="000000"/>
                <w:sz w:val="20"/>
                <w:szCs w:val="20"/>
              </w:rPr>
              <w:t>Park Area</w:t>
            </w:r>
          </w:p>
        </w:tc>
        <w:tc>
          <w:tcPr>
            <w:tcW w:w="857" w:type="pct"/>
            <w:tcBorders>
              <w:top w:val="nil"/>
              <w:left w:val="nil"/>
              <w:bottom w:val="single" w:sz="4" w:space="0" w:color="auto"/>
              <w:right w:val="single" w:sz="4" w:space="0" w:color="auto"/>
            </w:tcBorders>
            <w:shd w:val="clear" w:color="auto" w:fill="auto"/>
            <w:noWrap/>
            <w:vAlign w:val="center"/>
            <w:hideMark/>
          </w:tcPr>
          <w:p w14:paraId="29DF775C"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2.371</w:t>
            </w:r>
          </w:p>
        </w:tc>
        <w:tc>
          <w:tcPr>
            <w:tcW w:w="857" w:type="pct"/>
            <w:tcBorders>
              <w:top w:val="nil"/>
              <w:left w:val="nil"/>
              <w:bottom w:val="single" w:sz="4" w:space="0" w:color="auto"/>
              <w:right w:val="single" w:sz="4" w:space="0" w:color="auto"/>
            </w:tcBorders>
            <w:shd w:val="clear" w:color="auto" w:fill="auto"/>
            <w:noWrap/>
            <w:vAlign w:val="center"/>
            <w:hideMark/>
          </w:tcPr>
          <w:p w14:paraId="7CF2C7EE"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2.965</w:t>
            </w:r>
          </w:p>
        </w:tc>
        <w:tc>
          <w:tcPr>
            <w:tcW w:w="857" w:type="pct"/>
            <w:tcBorders>
              <w:top w:val="nil"/>
              <w:left w:val="nil"/>
              <w:bottom w:val="single" w:sz="4" w:space="0" w:color="auto"/>
              <w:right w:val="single" w:sz="4" w:space="0" w:color="auto"/>
            </w:tcBorders>
            <w:shd w:val="clear" w:color="auto" w:fill="auto"/>
            <w:noWrap/>
            <w:vAlign w:val="center"/>
            <w:hideMark/>
          </w:tcPr>
          <w:p w14:paraId="08ECE88E"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-1.315</w:t>
            </w:r>
          </w:p>
        </w:tc>
        <w:tc>
          <w:tcPr>
            <w:tcW w:w="857" w:type="pct"/>
            <w:tcBorders>
              <w:top w:val="nil"/>
              <w:left w:val="nil"/>
              <w:bottom w:val="single" w:sz="4" w:space="0" w:color="auto"/>
              <w:right w:val="double" w:sz="6" w:space="0" w:color="auto"/>
            </w:tcBorders>
            <w:shd w:val="clear" w:color="auto" w:fill="auto"/>
            <w:noWrap/>
            <w:vAlign w:val="center"/>
            <w:hideMark/>
          </w:tcPr>
          <w:p w14:paraId="03A24311"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-0.550</w:t>
            </w:r>
          </w:p>
        </w:tc>
      </w:tr>
      <w:tr w:rsidR="002A136C" w:rsidRPr="00234391" w14:paraId="4575CBF8" w14:textId="77777777" w:rsidTr="00C62A97">
        <w:trPr>
          <w:trHeight w:val="296"/>
        </w:trPr>
        <w:tc>
          <w:tcPr>
            <w:tcW w:w="1571" w:type="pct"/>
            <w:tcBorders>
              <w:top w:val="nil"/>
              <w:left w:val="double" w:sz="6" w:space="0" w:color="auto"/>
              <w:bottom w:val="single" w:sz="4" w:space="0" w:color="auto"/>
              <w:right w:val="single" w:sz="4" w:space="0" w:color="auto"/>
            </w:tcBorders>
            <w:shd w:val="clear" w:color="auto" w:fill="auto"/>
            <w:noWrap/>
            <w:vAlign w:val="center"/>
            <w:hideMark/>
          </w:tcPr>
          <w:p w14:paraId="54AE046F" w14:textId="77777777" w:rsidR="002A136C" w:rsidRPr="00234391" w:rsidRDefault="002A136C" w:rsidP="00C62A97">
            <w:pPr>
              <w:jc w:val="left"/>
              <w:rPr>
                <w:rFonts w:eastAsia="Times New Roman" w:cs="Times New Roman"/>
                <w:color w:val="000000"/>
                <w:sz w:val="20"/>
                <w:szCs w:val="20"/>
              </w:rPr>
            </w:pPr>
            <w:r w:rsidRPr="00234391">
              <w:rPr>
                <w:rFonts w:eastAsia="Times New Roman" w:cs="Times New Roman"/>
                <w:color w:val="000000"/>
                <w:sz w:val="20"/>
                <w:szCs w:val="20"/>
              </w:rPr>
              <w:t>Bike Lane Density</w:t>
            </w:r>
          </w:p>
        </w:tc>
        <w:tc>
          <w:tcPr>
            <w:tcW w:w="857" w:type="pct"/>
            <w:tcBorders>
              <w:top w:val="nil"/>
              <w:left w:val="nil"/>
              <w:bottom w:val="single" w:sz="4" w:space="0" w:color="auto"/>
              <w:right w:val="single" w:sz="4" w:space="0" w:color="auto"/>
            </w:tcBorders>
            <w:shd w:val="clear" w:color="auto" w:fill="auto"/>
            <w:noWrap/>
            <w:vAlign w:val="center"/>
            <w:hideMark/>
          </w:tcPr>
          <w:p w14:paraId="32ED0AEB"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-1.647</w:t>
            </w:r>
          </w:p>
        </w:tc>
        <w:tc>
          <w:tcPr>
            <w:tcW w:w="857" w:type="pct"/>
            <w:tcBorders>
              <w:top w:val="nil"/>
              <w:left w:val="nil"/>
              <w:bottom w:val="single" w:sz="4" w:space="0" w:color="auto"/>
              <w:right w:val="single" w:sz="4" w:space="0" w:color="auto"/>
            </w:tcBorders>
            <w:shd w:val="clear" w:color="auto" w:fill="auto"/>
            <w:noWrap/>
            <w:vAlign w:val="center"/>
            <w:hideMark/>
          </w:tcPr>
          <w:p w14:paraId="4AC895C3"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-1.056</w:t>
            </w:r>
          </w:p>
        </w:tc>
        <w:tc>
          <w:tcPr>
            <w:tcW w:w="857" w:type="pct"/>
            <w:tcBorders>
              <w:top w:val="nil"/>
              <w:left w:val="nil"/>
              <w:bottom w:val="single" w:sz="4" w:space="0" w:color="auto"/>
              <w:right w:val="single" w:sz="4" w:space="0" w:color="auto"/>
            </w:tcBorders>
            <w:shd w:val="clear" w:color="auto" w:fill="auto"/>
            <w:noWrap/>
            <w:vAlign w:val="center"/>
            <w:hideMark/>
          </w:tcPr>
          <w:p w14:paraId="0C26431E"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0.480</w:t>
            </w:r>
          </w:p>
        </w:tc>
        <w:tc>
          <w:tcPr>
            <w:tcW w:w="857" w:type="pct"/>
            <w:tcBorders>
              <w:top w:val="nil"/>
              <w:left w:val="nil"/>
              <w:bottom w:val="single" w:sz="4" w:space="0" w:color="auto"/>
              <w:right w:val="double" w:sz="6" w:space="0" w:color="auto"/>
            </w:tcBorders>
            <w:shd w:val="clear" w:color="auto" w:fill="auto"/>
            <w:noWrap/>
            <w:vAlign w:val="center"/>
            <w:hideMark/>
          </w:tcPr>
          <w:p w14:paraId="32E9913E"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0.195</w:t>
            </w:r>
          </w:p>
        </w:tc>
      </w:tr>
      <w:tr w:rsidR="002A136C" w:rsidRPr="00234391" w14:paraId="71EAFF5B" w14:textId="77777777" w:rsidTr="00C62A97">
        <w:trPr>
          <w:trHeight w:val="296"/>
        </w:trPr>
        <w:tc>
          <w:tcPr>
            <w:tcW w:w="1571" w:type="pct"/>
            <w:tcBorders>
              <w:top w:val="nil"/>
              <w:left w:val="double" w:sz="6" w:space="0" w:color="auto"/>
              <w:bottom w:val="single" w:sz="4" w:space="0" w:color="auto"/>
              <w:right w:val="single" w:sz="4" w:space="0" w:color="auto"/>
            </w:tcBorders>
            <w:shd w:val="clear" w:color="auto" w:fill="auto"/>
            <w:noWrap/>
            <w:vAlign w:val="center"/>
            <w:hideMark/>
          </w:tcPr>
          <w:p w14:paraId="531EB7C5" w14:textId="77777777" w:rsidR="002A136C" w:rsidRPr="00234391" w:rsidRDefault="002A136C" w:rsidP="00C62A97">
            <w:pPr>
              <w:jc w:val="left"/>
              <w:rPr>
                <w:rFonts w:eastAsia="Times New Roman" w:cs="Times New Roman"/>
                <w:color w:val="000000"/>
                <w:sz w:val="20"/>
                <w:szCs w:val="20"/>
              </w:rPr>
            </w:pPr>
            <w:r w:rsidRPr="00234391">
              <w:rPr>
                <w:rFonts w:eastAsia="Times New Roman" w:cs="Times New Roman"/>
                <w:color w:val="000000"/>
                <w:sz w:val="20"/>
                <w:szCs w:val="20"/>
              </w:rPr>
              <w:lastRenderedPageBreak/>
              <w:t xml:space="preserve">Bikeshare Stations </w:t>
            </w:r>
          </w:p>
        </w:tc>
        <w:tc>
          <w:tcPr>
            <w:tcW w:w="857" w:type="pct"/>
            <w:tcBorders>
              <w:top w:val="nil"/>
              <w:left w:val="nil"/>
              <w:bottom w:val="single" w:sz="4" w:space="0" w:color="auto"/>
              <w:right w:val="single" w:sz="4" w:space="0" w:color="auto"/>
            </w:tcBorders>
            <w:shd w:val="clear" w:color="auto" w:fill="auto"/>
            <w:noWrap/>
            <w:vAlign w:val="center"/>
            <w:hideMark/>
          </w:tcPr>
          <w:p w14:paraId="5C7CCFC4"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-0.401</w:t>
            </w:r>
          </w:p>
        </w:tc>
        <w:tc>
          <w:tcPr>
            <w:tcW w:w="857" w:type="pct"/>
            <w:tcBorders>
              <w:top w:val="nil"/>
              <w:left w:val="nil"/>
              <w:bottom w:val="single" w:sz="4" w:space="0" w:color="auto"/>
              <w:right w:val="single" w:sz="4" w:space="0" w:color="auto"/>
            </w:tcBorders>
            <w:shd w:val="clear" w:color="auto" w:fill="auto"/>
            <w:noWrap/>
            <w:vAlign w:val="center"/>
            <w:hideMark/>
          </w:tcPr>
          <w:p w14:paraId="3B3B6BD1"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0.102</w:t>
            </w:r>
          </w:p>
        </w:tc>
        <w:tc>
          <w:tcPr>
            <w:tcW w:w="857" w:type="pct"/>
            <w:tcBorders>
              <w:top w:val="nil"/>
              <w:left w:val="nil"/>
              <w:bottom w:val="single" w:sz="4" w:space="0" w:color="auto"/>
              <w:right w:val="single" w:sz="4" w:space="0" w:color="auto"/>
            </w:tcBorders>
            <w:shd w:val="clear" w:color="auto" w:fill="auto"/>
            <w:noWrap/>
            <w:vAlign w:val="center"/>
            <w:hideMark/>
          </w:tcPr>
          <w:p w14:paraId="71A4140E"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-0.409</w:t>
            </w:r>
          </w:p>
        </w:tc>
        <w:tc>
          <w:tcPr>
            <w:tcW w:w="857" w:type="pct"/>
            <w:tcBorders>
              <w:top w:val="nil"/>
              <w:left w:val="nil"/>
              <w:bottom w:val="single" w:sz="4" w:space="0" w:color="auto"/>
              <w:right w:val="double" w:sz="6" w:space="0" w:color="auto"/>
            </w:tcBorders>
            <w:shd w:val="clear" w:color="auto" w:fill="auto"/>
            <w:noWrap/>
            <w:vAlign w:val="center"/>
            <w:hideMark/>
          </w:tcPr>
          <w:p w14:paraId="3EA242D7"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0.022</w:t>
            </w:r>
          </w:p>
        </w:tc>
      </w:tr>
      <w:tr w:rsidR="002A136C" w:rsidRPr="00234391" w14:paraId="19D967AC" w14:textId="77777777" w:rsidTr="00C62A97">
        <w:trPr>
          <w:trHeight w:val="307"/>
        </w:trPr>
        <w:tc>
          <w:tcPr>
            <w:tcW w:w="1571" w:type="pct"/>
            <w:tcBorders>
              <w:top w:val="nil"/>
              <w:left w:val="double" w:sz="6" w:space="0" w:color="auto"/>
              <w:bottom w:val="double" w:sz="6" w:space="0" w:color="auto"/>
              <w:right w:val="single" w:sz="4" w:space="0" w:color="auto"/>
            </w:tcBorders>
            <w:shd w:val="clear" w:color="auto" w:fill="auto"/>
            <w:noWrap/>
            <w:vAlign w:val="center"/>
            <w:hideMark/>
          </w:tcPr>
          <w:p w14:paraId="5F532A50" w14:textId="77777777" w:rsidR="002A136C" w:rsidRPr="00234391" w:rsidRDefault="002A136C" w:rsidP="00C62A97">
            <w:pPr>
              <w:jc w:val="left"/>
              <w:rPr>
                <w:rFonts w:eastAsia="Times New Roman" w:cs="Times New Roman"/>
                <w:color w:val="000000"/>
                <w:sz w:val="20"/>
                <w:szCs w:val="20"/>
              </w:rPr>
            </w:pPr>
            <w:r w:rsidRPr="00234391">
              <w:rPr>
                <w:rFonts w:eastAsia="Times New Roman" w:cs="Times New Roman"/>
                <w:color w:val="000000"/>
                <w:sz w:val="20"/>
                <w:szCs w:val="20"/>
              </w:rPr>
              <w:t>Street Length</w:t>
            </w:r>
          </w:p>
        </w:tc>
        <w:tc>
          <w:tcPr>
            <w:tcW w:w="857" w:type="pct"/>
            <w:tcBorders>
              <w:top w:val="nil"/>
              <w:left w:val="nil"/>
              <w:bottom w:val="double" w:sz="6" w:space="0" w:color="auto"/>
              <w:right w:val="single" w:sz="4" w:space="0" w:color="auto"/>
            </w:tcBorders>
            <w:shd w:val="clear" w:color="auto" w:fill="auto"/>
            <w:noWrap/>
            <w:vAlign w:val="center"/>
            <w:hideMark/>
          </w:tcPr>
          <w:p w14:paraId="148B1A67"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0.371</w:t>
            </w:r>
          </w:p>
        </w:tc>
        <w:tc>
          <w:tcPr>
            <w:tcW w:w="857" w:type="pct"/>
            <w:tcBorders>
              <w:top w:val="nil"/>
              <w:left w:val="nil"/>
              <w:bottom w:val="double" w:sz="6" w:space="0" w:color="auto"/>
              <w:right w:val="single" w:sz="4" w:space="0" w:color="auto"/>
            </w:tcBorders>
            <w:shd w:val="clear" w:color="auto" w:fill="auto"/>
            <w:noWrap/>
            <w:vAlign w:val="center"/>
            <w:hideMark/>
          </w:tcPr>
          <w:p w14:paraId="3780A501"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-4.532</w:t>
            </w:r>
          </w:p>
        </w:tc>
        <w:tc>
          <w:tcPr>
            <w:tcW w:w="857" w:type="pct"/>
            <w:tcBorders>
              <w:top w:val="nil"/>
              <w:left w:val="nil"/>
              <w:bottom w:val="double" w:sz="6" w:space="0" w:color="auto"/>
              <w:right w:val="single" w:sz="4" w:space="0" w:color="auto"/>
            </w:tcBorders>
            <w:shd w:val="clear" w:color="auto" w:fill="auto"/>
            <w:noWrap/>
            <w:vAlign w:val="center"/>
            <w:hideMark/>
          </w:tcPr>
          <w:p w14:paraId="5D46EB0F"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1.949</w:t>
            </w:r>
          </w:p>
        </w:tc>
        <w:tc>
          <w:tcPr>
            <w:tcW w:w="857" w:type="pct"/>
            <w:tcBorders>
              <w:top w:val="nil"/>
              <w:left w:val="nil"/>
              <w:bottom w:val="double" w:sz="6" w:space="0" w:color="auto"/>
              <w:right w:val="double" w:sz="6" w:space="0" w:color="auto"/>
            </w:tcBorders>
            <w:shd w:val="clear" w:color="auto" w:fill="auto"/>
            <w:noWrap/>
            <w:vAlign w:val="center"/>
            <w:hideMark/>
          </w:tcPr>
          <w:p w14:paraId="04B4742C" w14:textId="77777777" w:rsidR="002A136C" w:rsidRPr="00234391" w:rsidRDefault="002A136C" w:rsidP="00C62A97">
            <w:pPr>
              <w:jc w:val="center"/>
              <w:rPr>
                <w:rFonts w:eastAsia="Times New Roman" w:cs="Times New Roman"/>
                <w:color w:val="000000"/>
                <w:sz w:val="20"/>
                <w:szCs w:val="20"/>
              </w:rPr>
            </w:pPr>
            <w:r w:rsidRPr="00234391">
              <w:rPr>
                <w:rFonts w:eastAsia="Times New Roman" w:cs="Times New Roman"/>
                <w:color w:val="000000"/>
                <w:sz w:val="20"/>
                <w:szCs w:val="20"/>
              </w:rPr>
              <w:t>0.848</w:t>
            </w:r>
          </w:p>
        </w:tc>
      </w:tr>
    </w:tbl>
    <w:p w14:paraId="7651E6D4" w14:textId="77777777" w:rsidR="00235CCF" w:rsidRPr="00235CCF" w:rsidRDefault="00235CCF" w:rsidP="00235CCF">
      <w:pPr>
        <w:spacing w:after="160" w:line="259" w:lineRule="auto"/>
        <w:rPr>
          <w:rFonts w:eastAsia="Calibri" w:cs="Times New Roman"/>
          <w:sz w:val="20"/>
          <w:szCs w:val="20"/>
        </w:rPr>
      </w:pPr>
      <w:bookmarkStart w:id="29" w:name="_Hlk60960334"/>
      <w:bookmarkEnd w:id="28"/>
      <w:r w:rsidRPr="00235CCF">
        <w:rPr>
          <w:rFonts w:eastAsia="Calibri" w:cs="Times New Roman"/>
          <w:sz w:val="20"/>
          <w:szCs w:val="20"/>
          <w:vertAlign w:val="superscript"/>
        </w:rPr>
        <w:t>1</w:t>
      </w:r>
      <w:r w:rsidRPr="00235CCF">
        <w:rPr>
          <w:rFonts w:eastAsia="Calibri" w:cs="Times New Roman"/>
          <w:sz w:val="20"/>
          <w:szCs w:val="20"/>
        </w:rPr>
        <w:t xml:space="preserve"> = percentage change in demand due to change in the independent variables</w:t>
      </w:r>
    </w:p>
    <w:bookmarkEnd w:id="29"/>
    <w:p w14:paraId="6D40935C" w14:textId="59C9935F" w:rsidR="00C63B40" w:rsidRPr="00FF2046" w:rsidRDefault="00C63B40" w:rsidP="00ED3B6E">
      <w:pPr>
        <w:pStyle w:val="TRBHead1"/>
      </w:pPr>
      <w:r w:rsidRPr="00FF2046">
        <w:t>Conclusions</w:t>
      </w:r>
    </w:p>
    <w:p w14:paraId="2CED7ECD" w14:textId="21B35672" w:rsidR="004A416F" w:rsidRPr="003E705B" w:rsidRDefault="00A305B5" w:rsidP="004A416F">
      <w:pPr>
        <w:pStyle w:val="ListParagraph"/>
        <w:ind w:left="0"/>
        <w:rPr>
          <w:szCs w:val="24"/>
        </w:rPr>
      </w:pPr>
      <w:r w:rsidRPr="00FF2046">
        <w:rPr>
          <w:szCs w:val="24"/>
        </w:rPr>
        <w:t xml:space="preserve">We develop an innovative joint econometric model system to </w:t>
      </w:r>
      <w:r>
        <w:rPr>
          <w:szCs w:val="24"/>
        </w:rPr>
        <w:t>study</w:t>
      </w:r>
      <w:r w:rsidRPr="00FF2046">
        <w:rPr>
          <w:szCs w:val="24"/>
        </w:rPr>
        <w:t xml:space="preserve"> two components of </w:t>
      </w:r>
      <w:r>
        <w:rPr>
          <w:szCs w:val="24"/>
        </w:rPr>
        <w:t xml:space="preserve">the </w:t>
      </w:r>
      <w:proofErr w:type="spellStart"/>
      <w:r w:rsidR="0095029D">
        <w:rPr>
          <w:szCs w:val="24"/>
        </w:rPr>
        <w:t>ridehailing</w:t>
      </w:r>
      <w:proofErr w:type="spellEnd"/>
      <w:r w:rsidRPr="003E705B">
        <w:rPr>
          <w:szCs w:val="24"/>
        </w:rPr>
        <w:t xml:space="preserve"> demand </w:t>
      </w:r>
      <w:proofErr w:type="gramStart"/>
      <w:r w:rsidRPr="00FF2046">
        <w:rPr>
          <w:szCs w:val="24"/>
        </w:rPr>
        <w:t>transformation;</w:t>
      </w:r>
      <w:proofErr w:type="gramEnd"/>
      <w:r w:rsidRPr="00FF2046">
        <w:rPr>
          <w:szCs w:val="24"/>
        </w:rPr>
        <w:t xml:space="preserve"> (a) the increase in </w:t>
      </w:r>
      <w:proofErr w:type="spellStart"/>
      <w:r w:rsidR="0095029D">
        <w:rPr>
          <w:szCs w:val="24"/>
        </w:rPr>
        <w:t>ridehailing</w:t>
      </w:r>
      <w:proofErr w:type="spellEnd"/>
      <w:r w:rsidRPr="00FF2046">
        <w:rPr>
          <w:szCs w:val="24"/>
        </w:rPr>
        <w:t xml:space="preserve"> demand and (b) the shift from traditional taxi services to TNC services. </w:t>
      </w:r>
      <w:r w:rsidR="007B7DD9" w:rsidRPr="003E705B">
        <w:rPr>
          <w:szCs w:val="24"/>
        </w:rPr>
        <w:t>The first component is analyzed adopting a negative binomial count model while the second component is analyzed using a multinomial fractional split model. The two model components are stitched together in a joint framework that allows for the influence of repeated observations as well as for the presence of common unobserved factors affecting the two components.</w:t>
      </w:r>
      <w:r w:rsidR="004A416F" w:rsidRPr="003E705B">
        <w:rPr>
          <w:szCs w:val="24"/>
        </w:rPr>
        <w:tab/>
      </w:r>
    </w:p>
    <w:p w14:paraId="4C647889" w14:textId="307CB377" w:rsidR="003A3CFD" w:rsidRDefault="004A416F" w:rsidP="004A416F">
      <w:pPr>
        <w:rPr>
          <w:szCs w:val="24"/>
        </w:rPr>
      </w:pPr>
      <w:r w:rsidRPr="003E705B">
        <w:rPr>
          <w:szCs w:val="24"/>
        </w:rPr>
        <w:tab/>
        <w:t>The data for our analysis is drawn from New York City Taxi &amp; Limousine Commission (NYTLC) for four years from January 2015 through December 2018. The model estimation considered a comprehensive set of independent variables</w:t>
      </w:r>
      <w:r w:rsidR="003A3CFD">
        <w:rPr>
          <w:szCs w:val="24"/>
        </w:rPr>
        <w:t xml:space="preserve">. Among those </w:t>
      </w:r>
      <w:proofErr w:type="gramStart"/>
      <w:r w:rsidR="003A3CFD">
        <w:rPr>
          <w:szCs w:val="24"/>
        </w:rPr>
        <w:t xml:space="preserve">tested, </w:t>
      </w:r>
      <w:r w:rsidRPr="003E705B">
        <w:rPr>
          <w:szCs w:val="24"/>
        </w:rPr>
        <w:t xml:space="preserve"> </w:t>
      </w:r>
      <w:r w:rsidR="005870AD">
        <w:rPr>
          <w:szCs w:val="24"/>
        </w:rPr>
        <w:t>F</w:t>
      </w:r>
      <w:proofErr w:type="gramEnd"/>
      <w:r w:rsidR="003A3CFD">
        <w:rPr>
          <w:szCs w:val="24"/>
        </w:rPr>
        <w:t xml:space="preserve"> f</w:t>
      </w:r>
      <w:r w:rsidR="005870AD">
        <w:rPr>
          <w:szCs w:val="24"/>
        </w:rPr>
        <w:t xml:space="preserve">or the total trip component, </w:t>
      </w:r>
      <w:r w:rsidR="003A3CFD">
        <w:rPr>
          <w:szCs w:val="24"/>
        </w:rPr>
        <w:t xml:space="preserve">land use and built environment variables (such as population density, job density, median income, transit score, non-motorized vehicle score, restaurants and cafes, points of interest and presence of airport), </w:t>
      </w:r>
      <w:r w:rsidR="003A3CFD" w:rsidRPr="003E705B">
        <w:rPr>
          <w:szCs w:val="24"/>
        </w:rPr>
        <w:t xml:space="preserve"> transportation infrastructure variables</w:t>
      </w:r>
      <w:r w:rsidR="003A3CFD">
        <w:rPr>
          <w:szCs w:val="24"/>
        </w:rPr>
        <w:t xml:space="preserve"> (such as bicycle and public transit infrastructure)</w:t>
      </w:r>
      <w:r w:rsidR="003A3CFD" w:rsidRPr="003E705B">
        <w:rPr>
          <w:szCs w:val="24"/>
        </w:rPr>
        <w:t xml:space="preserve">, </w:t>
      </w:r>
      <w:r w:rsidR="003A3CFD">
        <w:rPr>
          <w:szCs w:val="24"/>
        </w:rPr>
        <w:t xml:space="preserve">temporal and </w:t>
      </w:r>
      <w:r w:rsidR="003A3CFD" w:rsidRPr="003E705B">
        <w:rPr>
          <w:szCs w:val="24"/>
        </w:rPr>
        <w:t>weather attributes</w:t>
      </w:r>
      <w:r w:rsidR="003A3CFD">
        <w:rPr>
          <w:szCs w:val="24"/>
        </w:rPr>
        <w:t xml:space="preserve"> (such as season and snow depth) offer significant impacts. For the proportion model component, we observe that only a subset of these variable </w:t>
      </w:r>
      <w:proofErr w:type="gramStart"/>
      <w:r w:rsidR="003A3CFD">
        <w:rPr>
          <w:szCs w:val="24"/>
        </w:rPr>
        <w:t>offer</w:t>
      </w:r>
      <w:proofErr w:type="gramEnd"/>
      <w:r w:rsidR="003A3CFD">
        <w:rPr>
          <w:szCs w:val="24"/>
        </w:rPr>
        <w:t xml:space="preserve"> significant parameters. Several variables such as population density and job density offer significant impacts. However, the impact is specific to a subset of </w:t>
      </w:r>
      <w:proofErr w:type="spellStart"/>
      <w:r w:rsidR="003A3CFD">
        <w:rPr>
          <w:szCs w:val="24"/>
        </w:rPr>
        <w:t>ridehailing</w:t>
      </w:r>
      <w:proofErr w:type="spellEnd"/>
      <w:r w:rsidR="003A3CFD">
        <w:rPr>
          <w:szCs w:val="24"/>
        </w:rPr>
        <w:t xml:space="preserve"> alternatives. In terms of the influence of common unobserved factors in the joint model, only one variable capturing the interconnectedness between Yellow Taxi and TNC proportions was found to be significant. </w:t>
      </w:r>
    </w:p>
    <w:p w14:paraId="4A9F3D1D" w14:textId="28CC9B0B" w:rsidR="003A3CFD" w:rsidRDefault="003A3CFD" w:rsidP="004A416F">
      <w:pPr>
        <w:rPr>
          <w:szCs w:val="24"/>
        </w:rPr>
      </w:pPr>
      <w:r>
        <w:rPr>
          <w:szCs w:val="24"/>
        </w:rPr>
        <w:tab/>
      </w:r>
      <w:r w:rsidR="00AA153C">
        <w:rPr>
          <w:szCs w:val="24"/>
        </w:rPr>
        <w:t xml:space="preserve">The model estimation effort was augmented via a comprehensive </w:t>
      </w:r>
      <w:r w:rsidR="00227E29">
        <w:rPr>
          <w:szCs w:val="24"/>
        </w:rPr>
        <w:t>estimation sample</w:t>
      </w:r>
      <w:r w:rsidR="00AA153C">
        <w:rPr>
          <w:szCs w:val="24"/>
        </w:rPr>
        <w:t xml:space="preserve"> prediction</w:t>
      </w:r>
      <w:r w:rsidR="00227E29">
        <w:rPr>
          <w:szCs w:val="24"/>
        </w:rPr>
        <w:t>, hold-out sample prediction</w:t>
      </w:r>
      <w:r w:rsidR="00AA153C">
        <w:rPr>
          <w:szCs w:val="24"/>
        </w:rPr>
        <w:t xml:space="preserve"> and elasticity analysis exercises.</w:t>
      </w:r>
      <w:r w:rsidR="00227E29">
        <w:rPr>
          <w:szCs w:val="24"/>
        </w:rPr>
        <w:t xml:space="preserve"> First, we compared the performance of the model on the estimation sample</w:t>
      </w:r>
      <w:r w:rsidR="00086894">
        <w:rPr>
          <w:szCs w:val="24"/>
        </w:rPr>
        <w:t xml:space="preserve"> and validation sample (for the same time frame)</w:t>
      </w:r>
      <w:r w:rsidR="00227E29">
        <w:rPr>
          <w:szCs w:val="24"/>
        </w:rPr>
        <w:t xml:space="preserve">. Second, we examined the performance of the model on data </w:t>
      </w:r>
      <w:r w:rsidR="00086894">
        <w:rPr>
          <w:szCs w:val="24"/>
        </w:rPr>
        <w:t xml:space="preserve">from the model future </w:t>
      </w:r>
      <w:r w:rsidR="00227E29">
        <w:rPr>
          <w:szCs w:val="24"/>
        </w:rPr>
        <w:t xml:space="preserve">for </w:t>
      </w:r>
      <w:r w:rsidR="00086894">
        <w:rPr>
          <w:szCs w:val="24"/>
        </w:rPr>
        <w:t xml:space="preserve">examining </w:t>
      </w:r>
      <w:r w:rsidR="00227E29">
        <w:rPr>
          <w:szCs w:val="24"/>
        </w:rPr>
        <w:t xml:space="preserve">prediction </w:t>
      </w:r>
      <w:r w:rsidR="00086894">
        <w:rPr>
          <w:szCs w:val="24"/>
        </w:rPr>
        <w:t>performance in the future</w:t>
      </w:r>
      <w:r w:rsidR="00227E29">
        <w:rPr>
          <w:szCs w:val="24"/>
        </w:rPr>
        <w:t xml:space="preserve">. Finally, to illustrate the impact of various independent variables an elasticity exercise is conducted. The comparison exercise is conducted using a host of traditional metrics used for model evaluation. It is encouraging to observe that the </w:t>
      </w:r>
    </w:p>
    <w:p w14:paraId="0269159E" w14:textId="18FA9004" w:rsidR="003A3CFD" w:rsidRDefault="00227E29" w:rsidP="004A416F">
      <w:pPr>
        <w:rPr>
          <w:szCs w:val="24"/>
        </w:rPr>
      </w:pPr>
      <w:r w:rsidRPr="003E705B">
        <w:rPr>
          <w:szCs w:val="24"/>
        </w:rPr>
        <w:t>proposed model provides excellent match with estimation and validation datasets</w:t>
      </w:r>
      <w:r w:rsidR="00086894">
        <w:rPr>
          <w:szCs w:val="24"/>
        </w:rPr>
        <w:t xml:space="preserve"> for the estimation time frame</w:t>
      </w:r>
      <w:r w:rsidRPr="003E705B">
        <w:rPr>
          <w:szCs w:val="24"/>
        </w:rPr>
        <w:t xml:space="preserve">. </w:t>
      </w:r>
      <w:r w:rsidR="00086894">
        <w:rPr>
          <w:szCs w:val="24"/>
        </w:rPr>
        <w:t xml:space="preserve">Further, the performance of the model is quite good even for prediction into the future. </w:t>
      </w:r>
      <w:r w:rsidR="00086894" w:rsidRPr="003E705B">
        <w:rPr>
          <w:szCs w:val="24"/>
        </w:rPr>
        <w:t xml:space="preserve">The results indicate that the predicted model tracks the evolving trends by </w:t>
      </w:r>
      <w:proofErr w:type="spellStart"/>
      <w:r w:rsidR="00086894">
        <w:rPr>
          <w:szCs w:val="24"/>
        </w:rPr>
        <w:t>ridehailing</w:t>
      </w:r>
      <w:proofErr w:type="spellEnd"/>
      <w:r w:rsidR="00086894" w:rsidRPr="003E705B">
        <w:rPr>
          <w:szCs w:val="24"/>
        </w:rPr>
        <w:t xml:space="preserve"> alternatives very closely.</w:t>
      </w:r>
      <w:r w:rsidR="00086894">
        <w:rPr>
          <w:szCs w:val="24"/>
        </w:rPr>
        <w:t xml:space="preserve"> </w:t>
      </w:r>
      <w:proofErr w:type="gramStart"/>
      <w:r w:rsidR="00086894">
        <w:rPr>
          <w:szCs w:val="24"/>
        </w:rPr>
        <w:t>Finally</w:t>
      </w:r>
      <w:proofErr w:type="gramEnd"/>
      <w:r w:rsidR="00086894">
        <w:rPr>
          <w:szCs w:val="24"/>
        </w:rPr>
        <w:t xml:space="preserve"> an elasticity exercise was conducted to identify the important variables affecting the two components of the joint model. From our analysis, job density, employment density, households with zero vehicle ownership, bike infrastructure and transit score significantly affect </w:t>
      </w:r>
      <w:proofErr w:type="spellStart"/>
      <w:r w:rsidR="00086894">
        <w:rPr>
          <w:szCs w:val="24"/>
        </w:rPr>
        <w:t>ridehailing</w:t>
      </w:r>
      <w:proofErr w:type="spellEnd"/>
      <w:r w:rsidR="00086894">
        <w:rPr>
          <w:szCs w:val="24"/>
        </w:rPr>
        <w:t xml:space="preserve"> demand and the proportion across various </w:t>
      </w:r>
      <w:proofErr w:type="spellStart"/>
      <w:r w:rsidR="00086894">
        <w:rPr>
          <w:szCs w:val="24"/>
        </w:rPr>
        <w:t>ridehailing</w:t>
      </w:r>
      <w:proofErr w:type="spellEnd"/>
      <w:r w:rsidR="00086894">
        <w:rPr>
          <w:szCs w:val="24"/>
        </w:rPr>
        <w:t xml:space="preserve"> alternatives.  </w:t>
      </w:r>
    </w:p>
    <w:p w14:paraId="0C9DE1E0" w14:textId="1F38E1F2" w:rsidR="008D2354" w:rsidRDefault="00A76C3F" w:rsidP="002E55DC">
      <w:pPr>
        <w:rPr>
          <w:szCs w:val="24"/>
        </w:rPr>
      </w:pPr>
      <w:r>
        <w:rPr>
          <w:szCs w:val="24"/>
        </w:rPr>
        <w:tab/>
        <w:t xml:space="preserve">The proposed framework can be employed by </w:t>
      </w:r>
      <w:r w:rsidR="001376C2">
        <w:rPr>
          <w:szCs w:val="24"/>
        </w:rPr>
        <w:t xml:space="preserve">urban </w:t>
      </w:r>
      <w:r>
        <w:rPr>
          <w:szCs w:val="24"/>
        </w:rPr>
        <w:t xml:space="preserve">transportation agencies </w:t>
      </w:r>
      <w:r w:rsidR="008D2354">
        <w:rPr>
          <w:szCs w:val="24"/>
        </w:rPr>
        <w:t>to understand</w:t>
      </w:r>
      <w:r>
        <w:rPr>
          <w:szCs w:val="24"/>
        </w:rPr>
        <w:t xml:space="preserve"> the influence of emerging TNC demand </w:t>
      </w:r>
      <w:r w:rsidR="001376C2">
        <w:rPr>
          <w:szCs w:val="24"/>
        </w:rPr>
        <w:t>at a fine spatial and temporal resolution while accommodating for the influence of a host of variables.</w:t>
      </w:r>
      <w:r w:rsidR="008D2354">
        <w:rPr>
          <w:szCs w:val="24"/>
        </w:rPr>
        <w:t xml:space="preserve"> </w:t>
      </w:r>
      <w:r w:rsidR="002E55DC">
        <w:rPr>
          <w:szCs w:val="24"/>
        </w:rPr>
        <w:t xml:space="preserve">The </w:t>
      </w:r>
      <w:proofErr w:type="gramStart"/>
      <w:r w:rsidR="002E55DC">
        <w:rPr>
          <w:szCs w:val="24"/>
        </w:rPr>
        <w:t>high resolution</w:t>
      </w:r>
      <w:proofErr w:type="gramEnd"/>
      <w:r w:rsidR="002E55DC">
        <w:rPr>
          <w:szCs w:val="24"/>
        </w:rPr>
        <w:t xml:space="preserve"> framework is sensitive enough to accommodate for various scenario impacts such as </w:t>
      </w:r>
      <w:r w:rsidR="008D2354">
        <w:rPr>
          <w:szCs w:val="24"/>
        </w:rPr>
        <w:t>future developments in the urban region</w:t>
      </w:r>
      <w:r w:rsidR="002E55DC">
        <w:rPr>
          <w:szCs w:val="24"/>
        </w:rPr>
        <w:t xml:space="preserve">, </w:t>
      </w:r>
      <w:r w:rsidR="008D2354">
        <w:rPr>
          <w:szCs w:val="24"/>
        </w:rPr>
        <w:t>incentive/penalty structure</w:t>
      </w:r>
      <w:r w:rsidR="002E55DC">
        <w:rPr>
          <w:szCs w:val="24"/>
        </w:rPr>
        <w:t>s</w:t>
      </w:r>
      <w:r w:rsidR="008D2354">
        <w:rPr>
          <w:szCs w:val="24"/>
        </w:rPr>
        <w:t xml:space="preserve"> on TNC and </w:t>
      </w:r>
      <w:r w:rsidR="002E55DC">
        <w:rPr>
          <w:szCs w:val="24"/>
        </w:rPr>
        <w:t>evolving land use and built environment patterns</w:t>
      </w:r>
      <w:r w:rsidR="008D2354">
        <w:rPr>
          <w:szCs w:val="24"/>
        </w:rPr>
        <w:t xml:space="preserve">. Further, the model outputs can </w:t>
      </w:r>
      <w:r w:rsidR="002E55DC">
        <w:rPr>
          <w:szCs w:val="24"/>
        </w:rPr>
        <w:t xml:space="preserve">be useful for long range planning exercises. </w:t>
      </w:r>
      <w:r w:rsidR="008D2354">
        <w:rPr>
          <w:szCs w:val="24"/>
        </w:rPr>
        <w:t xml:space="preserve">The </w:t>
      </w:r>
      <w:proofErr w:type="spellStart"/>
      <w:r w:rsidR="008D2354">
        <w:rPr>
          <w:szCs w:val="24"/>
        </w:rPr>
        <w:t>ridehailing</w:t>
      </w:r>
      <w:proofErr w:type="spellEnd"/>
      <w:r w:rsidR="008D2354">
        <w:rPr>
          <w:szCs w:val="24"/>
        </w:rPr>
        <w:t xml:space="preserve"> demand </w:t>
      </w:r>
      <w:r w:rsidR="002E55DC">
        <w:rPr>
          <w:szCs w:val="24"/>
        </w:rPr>
        <w:t xml:space="preserve">estimates from the joint model </w:t>
      </w:r>
      <w:r w:rsidR="008D2354">
        <w:rPr>
          <w:szCs w:val="24"/>
        </w:rPr>
        <w:t xml:space="preserve">can be combined with passenger demand from a four step or </w:t>
      </w:r>
      <w:proofErr w:type="gramStart"/>
      <w:r w:rsidR="008D2354">
        <w:rPr>
          <w:szCs w:val="24"/>
        </w:rPr>
        <w:t>activity based</w:t>
      </w:r>
      <w:proofErr w:type="gramEnd"/>
      <w:r w:rsidR="008D2354">
        <w:rPr>
          <w:szCs w:val="24"/>
        </w:rPr>
        <w:t xml:space="preserve"> model to conduct an assessment of urban </w:t>
      </w:r>
      <w:r w:rsidR="002E55DC">
        <w:rPr>
          <w:szCs w:val="24"/>
        </w:rPr>
        <w:t xml:space="preserve">travel patterns and </w:t>
      </w:r>
      <w:proofErr w:type="spellStart"/>
      <w:r w:rsidR="002E55DC">
        <w:rPr>
          <w:szCs w:val="24"/>
        </w:rPr>
        <w:t>spatio</w:t>
      </w:r>
      <w:proofErr w:type="spellEnd"/>
      <w:r w:rsidR="002E55DC">
        <w:rPr>
          <w:szCs w:val="24"/>
        </w:rPr>
        <w:t xml:space="preserve">-temporal </w:t>
      </w:r>
      <w:r w:rsidR="008D2354">
        <w:rPr>
          <w:szCs w:val="24"/>
        </w:rPr>
        <w:t>congestion</w:t>
      </w:r>
      <w:r w:rsidR="002E55DC">
        <w:rPr>
          <w:szCs w:val="24"/>
        </w:rPr>
        <w:t xml:space="preserve"> profiles</w:t>
      </w:r>
      <w:r w:rsidR="008D2354">
        <w:rPr>
          <w:szCs w:val="24"/>
        </w:rPr>
        <w:t xml:space="preserve">. </w:t>
      </w:r>
    </w:p>
    <w:p w14:paraId="0BAA39B1" w14:textId="57BF6265" w:rsidR="004A416F" w:rsidRDefault="004A416F" w:rsidP="002E55DC">
      <w:pPr>
        <w:rPr>
          <w:szCs w:val="24"/>
        </w:rPr>
      </w:pPr>
      <w:r w:rsidRPr="003E705B">
        <w:rPr>
          <w:szCs w:val="24"/>
        </w:rPr>
        <w:lastRenderedPageBreak/>
        <w:tab/>
        <w:t>To be sure, the study is not without limitations. It might be interesting to enhance the study methodology by accounting for unobserved temporal effects (heteroscedasticity) across the multiple years of data. In future efforts, it might also be useful to include monthly economic indicators (such as employment and wages) in the model to control for macroeconomic conditions.</w:t>
      </w:r>
      <w:r w:rsidR="00086894">
        <w:rPr>
          <w:szCs w:val="24"/>
        </w:rPr>
        <w:t xml:space="preserve"> Finally, access to more details on trip pricing and travel time can allow the development of more advanced and realistic demand frameworks. </w:t>
      </w:r>
    </w:p>
    <w:p w14:paraId="642E8FB6" w14:textId="08EDCF01" w:rsidR="00C44E2B" w:rsidRDefault="00C44E2B" w:rsidP="002E55DC">
      <w:pPr>
        <w:rPr>
          <w:szCs w:val="24"/>
        </w:rPr>
      </w:pPr>
    </w:p>
    <w:p w14:paraId="6A2AED12" w14:textId="77777777" w:rsidR="00C44E2B" w:rsidRPr="00FF2046" w:rsidRDefault="00C44E2B" w:rsidP="00C44E2B">
      <w:pPr>
        <w:rPr>
          <w:b/>
        </w:rPr>
      </w:pPr>
      <w:r w:rsidRPr="00FF2046">
        <w:rPr>
          <w:b/>
        </w:rPr>
        <w:t>AUTHOR CONTRIBUTION STATEMENT</w:t>
      </w:r>
    </w:p>
    <w:p w14:paraId="0BD5BF4F" w14:textId="77777777" w:rsidR="00C44E2B" w:rsidRPr="00FF2046" w:rsidRDefault="00C44E2B" w:rsidP="00C44E2B">
      <w:r w:rsidRPr="00FF2046">
        <w:t xml:space="preserve">The authors confirm contribution to the paper as follows: study conception and design: Naveen Eluru, Karthik C. Konduri and Bibhas Kumar Dey; data collection: Bibhas Kumar Dey; model estimation and validation: Bibhas Kumar Dey; analysis and interpretation of results: Bibhas Kumar Dey, </w:t>
      </w:r>
      <w:r>
        <w:t xml:space="preserve">Sudipta Dey Tirtha, </w:t>
      </w:r>
      <w:r w:rsidRPr="00FF2046">
        <w:t xml:space="preserve">Naveen Eluru; draft manuscript preparation: Bibhas Kumar Dey, </w:t>
      </w:r>
      <w:r>
        <w:t xml:space="preserve">Sudipta Dey Tirtha, </w:t>
      </w:r>
      <w:r w:rsidRPr="00FF2046">
        <w:t>Naveen Eluru. All authors reviewed the results and approved the final version of the manuscript.</w:t>
      </w:r>
    </w:p>
    <w:p w14:paraId="6AE962F6" w14:textId="1C73FAC4" w:rsidR="00D64A66" w:rsidRPr="00FF2046" w:rsidRDefault="005919FD" w:rsidP="00650883">
      <w:r w:rsidRPr="00FF2046">
        <w:t xml:space="preserve">  </w:t>
      </w:r>
    </w:p>
    <w:p w14:paraId="12E7AA6B" w14:textId="4C8BD1F6" w:rsidR="00B1043B" w:rsidRPr="00842E37" w:rsidRDefault="00842E37" w:rsidP="00842E37">
      <w:pPr>
        <w:rPr>
          <w:b/>
          <w:bCs/>
        </w:rPr>
      </w:pPr>
      <w:r w:rsidRPr="00842E37">
        <w:rPr>
          <w:b/>
          <w:bCs/>
        </w:rPr>
        <w:t>REFERENCES</w:t>
      </w:r>
    </w:p>
    <w:p w14:paraId="01F79C1A" w14:textId="18733E21" w:rsidR="00B514A8" w:rsidRDefault="00B514A8" w:rsidP="00B514A8">
      <w:pPr>
        <w:pStyle w:val="EndNoteBibliography"/>
      </w:pPr>
      <w:r>
        <w:t xml:space="preserve">[1] NYC Taxi &amp; Limousine Commission. (2019, March). Taxi and Ride hailing Usage in New York City. Retrieved July 2019, from https://toddwschneider.com/dashboards/nyc-taxi-ridehailing-uber-lyft-data/. </w:t>
      </w:r>
    </w:p>
    <w:p w14:paraId="132C521D" w14:textId="77777777" w:rsidR="00B514A8" w:rsidRDefault="00B514A8" w:rsidP="00B514A8">
      <w:pPr>
        <w:pStyle w:val="EndNoteBibliography"/>
      </w:pPr>
      <w:r>
        <w:t>[2] Rajagopalan, B. S., and K. K. Srinivasan. Integrating household-level mode choice and modal expenditure decisions in a developing country: multiple discrete–continuous extreme value model. Transportation Research Record, Vol. 2076, No. 1, 2008, pp. 41-51.</w:t>
      </w:r>
    </w:p>
    <w:p w14:paraId="2656CCA6" w14:textId="780EEF4C" w:rsidR="00B514A8" w:rsidRDefault="00B514A8" w:rsidP="00B514A8">
      <w:pPr>
        <w:pStyle w:val="EndNoteBibliography"/>
      </w:pPr>
      <w:r>
        <w:t xml:space="preserve">[3] Gerte, R., K. C. Konduri, N. Ravishanker, A. Mondal, and N. Eluru. Understanding the Relationships between Demand for Shared Ride Modes: Case Study using Open Data from New York City. Transportation Research Record, </w:t>
      </w:r>
      <w:r w:rsidR="00030A56">
        <w:t xml:space="preserve">Vol. 2673, No. 12, </w:t>
      </w:r>
      <w:r>
        <w:t xml:space="preserve">2019, </w:t>
      </w:r>
      <w:r w:rsidR="00030A56">
        <w:t>p</w:t>
      </w:r>
      <w:r>
        <w:t xml:space="preserve">p. </w:t>
      </w:r>
      <w:r w:rsidR="00030A56">
        <w:t>30-39</w:t>
      </w:r>
      <w:r>
        <w:t>.</w:t>
      </w:r>
    </w:p>
    <w:p w14:paraId="6AF5C9EE" w14:textId="77777777" w:rsidR="00B514A8" w:rsidRDefault="00B514A8" w:rsidP="00B514A8">
      <w:pPr>
        <w:pStyle w:val="EndNoteBibliography"/>
      </w:pPr>
      <w:r>
        <w:t>[4] Schaller, B. Entry controls in taxi regulation: Implications of US and Canadian experience for taxi regulation and deregulation. Transport policy, Vol. 14, No. 6, 2007, pp. 490-506.</w:t>
      </w:r>
    </w:p>
    <w:p w14:paraId="72509031" w14:textId="77777777" w:rsidR="00B514A8" w:rsidRDefault="00B514A8" w:rsidP="00B514A8">
      <w:pPr>
        <w:pStyle w:val="EndNoteBibliography"/>
      </w:pPr>
      <w:r>
        <w:t>[5] Çetin, T., and K. Y. Eryigit. Estimating the effects of entry regulation in the Istanbul taxicab market. Transportation Research Part A: Policy and Practice, Vol. 45, No. 6, 2011, pp. 476-484.</w:t>
      </w:r>
    </w:p>
    <w:p w14:paraId="17B894D3" w14:textId="77777777" w:rsidR="00B514A8" w:rsidRDefault="00B514A8" w:rsidP="00B514A8">
      <w:pPr>
        <w:pStyle w:val="EndNoteBibliography"/>
      </w:pPr>
      <w:r>
        <w:t>[6] Chang, S. J., and C.-H. Chu. Taxi vacancy rate, fare, and subsidy with maximum social willingness-to-pay under log-linear demand function. Transportation Research Record, Vol. 2111, No. 1, 2009, pp. 90-99.</w:t>
      </w:r>
    </w:p>
    <w:p w14:paraId="1F322138" w14:textId="77777777" w:rsidR="00B514A8" w:rsidRDefault="00B514A8" w:rsidP="00B514A8">
      <w:pPr>
        <w:pStyle w:val="EndNoteBibliography"/>
      </w:pPr>
      <w:r>
        <w:t>[7] Milioti, C. P., M. G. Karlaftis, and D. Spyropoulou. Impact of the Financial Recession on the Taxi Market: Perceptions of Travelers and Taxi Drivers. Transportation Research Record, Vol. 2536, No. 1, 2015, pp. 67-75.</w:t>
      </w:r>
    </w:p>
    <w:p w14:paraId="61312E85" w14:textId="77777777" w:rsidR="00B514A8" w:rsidRDefault="00B514A8" w:rsidP="00B514A8">
      <w:pPr>
        <w:pStyle w:val="EndNoteBibliography"/>
      </w:pPr>
      <w:r>
        <w:t>[8] Zhang, W., and S. V. Ukkusuri. Optimal fleet size and fare setting in emerging taxi markets with stochastic demand. Computer‐Aided Civil and Infrastructure Engineering, Vol. 31, No. 9, 2016, pp. 647-660.</w:t>
      </w:r>
    </w:p>
    <w:p w14:paraId="36D2819A" w14:textId="75831702" w:rsidR="00B514A8" w:rsidRDefault="00B514A8" w:rsidP="00B514A8">
      <w:pPr>
        <w:pStyle w:val="EndNoteBibliography"/>
      </w:pPr>
      <w:r>
        <w:t>[9] Burghout, W., P. J. Rigole, and I. Andreasson. Impacts of shared autonomous taxis in a metropolitan area.</w:t>
      </w:r>
      <w:r w:rsidR="001F72A2">
        <w:t xml:space="preserve"> </w:t>
      </w:r>
      <w:r>
        <w:t>In Proceedings of the 94th annual meeting of the Transportation Research Board, Washington DC, 2015.</w:t>
      </w:r>
    </w:p>
    <w:p w14:paraId="44C2D041" w14:textId="2A77873D" w:rsidR="00B514A8" w:rsidRDefault="00B514A8" w:rsidP="00B514A8">
      <w:pPr>
        <w:pStyle w:val="EndNoteBibliography"/>
      </w:pPr>
      <w:r>
        <w:t>[10] Chrysostomou, K., A. Georgakis, M. Morfoulaki, K. Kotoula, and G. Myrovali. Using Big Taxi GPS Data to Investigate Feasibility of Electric Taxis in Thessaloniki, Greece</w:t>
      </w:r>
      <w:r w:rsidR="007A6E80">
        <w:t>.</w:t>
      </w:r>
      <w:r>
        <w:t xml:space="preserve"> 2016.</w:t>
      </w:r>
    </w:p>
    <w:p w14:paraId="00BC2941" w14:textId="77777777" w:rsidR="00B514A8" w:rsidRDefault="00B514A8" w:rsidP="00B514A8">
      <w:pPr>
        <w:pStyle w:val="EndNoteBibliography"/>
      </w:pPr>
      <w:r>
        <w:t>[11] Jung, J., J. Y. Chow, R. Jayakrishnan, and J. Y. Park. Stochastic dynamic itinerary interception refueling location problem with queue delay for electric taxi charging stations. Transportation Research Part C: Emerging Technologies, Vol. 40, 2014, pp. 123-142.</w:t>
      </w:r>
    </w:p>
    <w:p w14:paraId="4D875BB5" w14:textId="77777777" w:rsidR="00B514A8" w:rsidRDefault="00B514A8" w:rsidP="00B514A8">
      <w:pPr>
        <w:pStyle w:val="EndNoteBibliography"/>
      </w:pPr>
      <w:r>
        <w:lastRenderedPageBreak/>
        <w:t>[12] Wong, K., S. Wong, H. Yang, and J. Wu. Modeling urban taxi services with multiple user classes and vehicle modes. Transportation Research Part B: Methodological, Vol. 42, No. 10, 2008, pp. 985-1007.</w:t>
      </w:r>
    </w:p>
    <w:p w14:paraId="5CD61854" w14:textId="77777777" w:rsidR="00B514A8" w:rsidRDefault="00B514A8" w:rsidP="00B514A8">
      <w:pPr>
        <w:pStyle w:val="EndNoteBibliography"/>
      </w:pPr>
      <w:r>
        <w:t>[13] Wong, R., W. Szeto, and S. Wong. Bi-level decisions of vacant taxi drivers traveling towards taxi stands in customer-search: Modeling methodology and policy implications. Transport policy, Vol. 33, 2014, pp. 73-81.</w:t>
      </w:r>
    </w:p>
    <w:p w14:paraId="1C703133" w14:textId="77777777" w:rsidR="00B514A8" w:rsidRDefault="00B514A8" w:rsidP="00B514A8">
      <w:pPr>
        <w:pStyle w:val="EndNoteBibliography"/>
      </w:pPr>
      <w:r>
        <w:t>[14] Wong, R., W. Szeto, and S. Wong. A two-stage approach to modeling vacant taxi movements. Transportation Research Procedia, Vol. 7, 2015, pp. 254-275.</w:t>
      </w:r>
    </w:p>
    <w:p w14:paraId="171C2D79" w14:textId="77777777" w:rsidR="00B514A8" w:rsidRDefault="00B514A8" w:rsidP="00B514A8">
      <w:pPr>
        <w:pStyle w:val="EndNoteBibliography"/>
      </w:pPr>
      <w:r>
        <w:t>[15] Yang, H., and S. Wong. A network model of urban taxi services. Transportation Research Part B: Methodological, Vol. 32, No. 4, 1998, pp. 235-246.</w:t>
      </w:r>
    </w:p>
    <w:p w14:paraId="2F093A6C" w14:textId="77777777" w:rsidR="00B514A8" w:rsidRDefault="00B514A8" w:rsidP="00B514A8">
      <w:pPr>
        <w:pStyle w:val="EndNoteBibliography"/>
      </w:pPr>
      <w:r>
        <w:t>[16] Zhang, W., S. V. Ukkusuri, and J. J. Lu. Impacts of urban built environment on empty taxi trips using limited geolocation data. Transportation, Vol. 44, No. 6, 2017, pp. 1445-1473.</w:t>
      </w:r>
    </w:p>
    <w:p w14:paraId="1013154F" w14:textId="4151404C" w:rsidR="00B514A8" w:rsidRDefault="00B514A8" w:rsidP="00B514A8">
      <w:pPr>
        <w:pStyle w:val="EndNoteBibliography"/>
      </w:pPr>
      <w:r>
        <w:t>[17] Zhan, X., and S. V. Ukkusuri. Probabilistic urban link travel time estimation model using large-scale taxi trip data. 2015.</w:t>
      </w:r>
    </w:p>
    <w:p w14:paraId="47252388" w14:textId="77777777" w:rsidR="00B514A8" w:rsidRDefault="00B514A8" w:rsidP="00B514A8">
      <w:pPr>
        <w:pStyle w:val="EndNoteBibliography"/>
      </w:pPr>
      <w:r>
        <w:t>[18] Dalziel, J. R., and R. S. Job. Motor vehicle accidents, fatigue and optimism bias in taxi drivers. Accident Analysis &amp; Prevention, Vol. 29, No. 4, 1997, pp. 489-494.</w:t>
      </w:r>
    </w:p>
    <w:p w14:paraId="76D0FC35" w14:textId="77777777" w:rsidR="00B514A8" w:rsidRDefault="00B514A8" w:rsidP="00B514A8">
      <w:pPr>
        <w:pStyle w:val="EndNoteBibliography"/>
      </w:pPr>
      <w:r>
        <w:t>[19] Lam, L. T. Environmental factors associated with crash-related mortality and injury among taxi drivers in New South Wales, Australia. Accident Analysis &amp; Prevention, Vol. 36, No. 5, 2004, pp. 905-908.</w:t>
      </w:r>
    </w:p>
    <w:p w14:paraId="4A687B5C" w14:textId="77777777" w:rsidR="00B514A8" w:rsidRDefault="00B514A8" w:rsidP="00B514A8">
      <w:pPr>
        <w:pStyle w:val="EndNoteBibliography"/>
      </w:pPr>
      <w:r>
        <w:t>[20] Peltzer, K., and W. Renner. Superstition, risk-taking and risk perception of accidents among South African taxi drivers. Accident Analysis &amp; Prevention, Vol. 35, No. 4, 2003, pp. 619-623.</w:t>
      </w:r>
    </w:p>
    <w:p w14:paraId="255146E0" w14:textId="77777777" w:rsidR="00B514A8" w:rsidRDefault="00B514A8" w:rsidP="00B514A8">
      <w:pPr>
        <w:pStyle w:val="EndNoteBibliography"/>
      </w:pPr>
      <w:r>
        <w:t>[21] Tay, R., and J. Choi. Factors associated with crashes involving taxi owners and non-owners: A case of moral hazard and adverse selection? Accident Analysis &amp; Prevention, Vol. 87, 2016, pp. 78-82.</w:t>
      </w:r>
    </w:p>
    <w:p w14:paraId="3A18B9AB" w14:textId="77777777" w:rsidR="00B514A8" w:rsidRDefault="00B514A8" w:rsidP="00B514A8">
      <w:pPr>
        <w:pStyle w:val="EndNoteBibliography"/>
      </w:pPr>
      <w:r>
        <w:t>[22] Tseng, C.-M. Operating styles, working time and daily driving distance in relation to a taxi driver's speeding offenses in Taiwan. Accident Analysis &amp; Prevention, Vol. 52, 2013, pp. 1-8.</w:t>
      </w:r>
    </w:p>
    <w:p w14:paraId="6197BB19" w14:textId="77777777" w:rsidR="00B514A8" w:rsidRDefault="00B514A8" w:rsidP="00B514A8">
      <w:pPr>
        <w:pStyle w:val="EndNoteBibliography"/>
      </w:pPr>
      <w:r>
        <w:t>[23] Chan, N. D., and S. A. Shaheen. Ridesharing in North America: Past, present, and future. Transport Reviews, Vol. 32, No. 1, 2012, pp. 93-112.</w:t>
      </w:r>
    </w:p>
    <w:p w14:paraId="14F19017" w14:textId="77777777" w:rsidR="00B514A8" w:rsidRDefault="00B514A8" w:rsidP="00B514A8">
      <w:pPr>
        <w:pStyle w:val="EndNoteBibliography"/>
      </w:pPr>
      <w:r>
        <w:t>[24] Sun, C., and P. Edara. Is getting an Uber-Lyft from a sidecar different from hailing a taxi? Current dynamic ridesharing controversy. Transportation Research Record, Vol. 2536, No. 1, 2015, pp. 60-66.</w:t>
      </w:r>
    </w:p>
    <w:p w14:paraId="12318C50" w14:textId="77777777" w:rsidR="00B514A8" w:rsidRDefault="00B514A8" w:rsidP="00B514A8">
      <w:pPr>
        <w:pStyle w:val="EndNoteBibliography"/>
      </w:pPr>
      <w:r>
        <w:t>[25] Furuhata, M., M. Dessouky, F. Ordóñez, M.-E. Brunet, X. Wang, and S. Koenig. Ridesharing: The state-of-the-art and future directions. Transportation Research Part B: Methodological, Vol. 57, 2013, pp. 28-46.</w:t>
      </w:r>
    </w:p>
    <w:p w14:paraId="11E09742" w14:textId="77777777" w:rsidR="00B514A8" w:rsidRDefault="00B514A8" w:rsidP="00B514A8">
      <w:pPr>
        <w:pStyle w:val="EndNoteBibliography"/>
      </w:pPr>
      <w:r>
        <w:t>[26] Agatz, N., A. Erera, M. Savelsbergh, and X. Wang. Optimization for dynamic ride-sharing: A review. European Journal of Operational Research, Vol. 223, No. 2, 2012, pp. 295-303.</w:t>
      </w:r>
    </w:p>
    <w:p w14:paraId="7017694F" w14:textId="77777777" w:rsidR="00B514A8" w:rsidRDefault="00B514A8" w:rsidP="00B514A8">
      <w:pPr>
        <w:pStyle w:val="EndNoteBibliography"/>
      </w:pPr>
      <w:r>
        <w:t>[27] Amey, A., J. Attanucci, and R. Mishalani. Real-time ridesharing: opportunities and challenges in using mobile phone technology to improve rideshare services. Transportation Research Record, Vol. 2217, No. 1, 2011, pp. 103-110.</w:t>
      </w:r>
    </w:p>
    <w:p w14:paraId="4D2FED97" w14:textId="2B27F366" w:rsidR="00B514A8" w:rsidRDefault="00B514A8" w:rsidP="00B514A8">
      <w:pPr>
        <w:pStyle w:val="EndNoteBibliography"/>
      </w:pPr>
      <w:r>
        <w:t>[28] Cramer, J., and A. B. Krueger. Disruptive change in the taxi business: The case of Uber. American Economic Review, Vol. 106, No. 5, 2016, pp.</w:t>
      </w:r>
      <w:r w:rsidR="00A05664">
        <w:t xml:space="preserve"> </w:t>
      </w:r>
      <w:r>
        <w:t>177-182.</w:t>
      </w:r>
    </w:p>
    <w:p w14:paraId="42BA974B" w14:textId="12C42ECE" w:rsidR="00B514A8" w:rsidRDefault="00B514A8" w:rsidP="00B514A8">
      <w:pPr>
        <w:pStyle w:val="EndNoteBibliography"/>
      </w:pPr>
      <w:r>
        <w:t>[29] Chen, L., A. Mislove, and C. Wilson. Peeking beneath the hood of uber.In Proceedings of the 2015 Internet Measurement Conference, ACM, 2015. pp.</w:t>
      </w:r>
      <w:r w:rsidR="00A05664">
        <w:t xml:space="preserve"> </w:t>
      </w:r>
      <w:r>
        <w:t>495-508.</w:t>
      </w:r>
    </w:p>
    <w:p w14:paraId="0B4ADF22" w14:textId="6C18A0D0" w:rsidR="00B514A8" w:rsidRDefault="00B514A8" w:rsidP="00B514A8">
      <w:pPr>
        <w:pStyle w:val="EndNoteBibliography"/>
      </w:pPr>
      <w:r>
        <w:t>[30] Chen, M. K., and M. Sheldon. Dynamic pricing in a labor market: Surge pricing and the supply of Uber driver-partners. University of California (Los Angeles) Working Paper</w:t>
      </w:r>
      <w:r w:rsidR="005769F5">
        <w:t>.</w:t>
      </w:r>
      <w:r>
        <w:t xml:space="preserve"> URL http://citeseerx. ist. psu. edu/viewdoc/download, 2015.</w:t>
      </w:r>
    </w:p>
    <w:p w14:paraId="525EC862" w14:textId="6C0300B1" w:rsidR="00B514A8" w:rsidRDefault="00B514A8" w:rsidP="00B514A8">
      <w:pPr>
        <w:pStyle w:val="EndNoteBibliography"/>
      </w:pPr>
      <w:r>
        <w:lastRenderedPageBreak/>
        <w:t>[31] Guo, S., Y. Liu, K. Xu, and D. M. Chiu. Understanding ride-on-demand service: Demand and dynamic pricing.In 2017 IEEE International Conference on Pervasive Computing and Communications Workshops (PerCom Workshops), IEEE, 2017</w:t>
      </w:r>
      <w:r w:rsidR="005769F5">
        <w:t>,</w:t>
      </w:r>
      <w:r>
        <w:t xml:space="preserve"> pp.</w:t>
      </w:r>
      <w:r w:rsidR="00A05664">
        <w:t xml:space="preserve"> </w:t>
      </w:r>
      <w:r>
        <w:t>509-514.</w:t>
      </w:r>
    </w:p>
    <w:p w14:paraId="193A37D0" w14:textId="77777777" w:rsidR="00B514A8" w:rsidRDefault="00B514A8" w:rsidP="00B514A8">
      <w:pPr>
        <w:pStyle w:val="EndNoteBibliography"/>
      </w:pPr>
      <w:r>
        <w:t>[32] Smart, R., B. Rowe, and A. Hawken. Faster and cheaper: How ride-sourcing fills a gap in low-income Los Angeles neighborhoods. 2015.</w:t>
      </w:r>
    </w:p>
    <w:p w14:paraId="697BE2BA" w14:textId="77777777" w:rsidR="00B514A8" w:rsidRDefault="00B514A8" w:rsidP="00B514A8">
      <w:pPr>
        <w:pStyle w:val="EndNoteBibliography"/>
      </w:pPr>
      <w:r>
        <w:t>[33] Alemi, F., G. Circella, S. Handy, and P. Mokhtarian. What influences travelers to use Uber? Exploring the factors affecting the adoption of on-demand ride services in California. Travel Behaviour and Society, Vol. 13, 2018, pp. 88-104.</w:t>
      </w:r>
    </w:p>
    <w:p w14:paraId="50B5F44D" w14:textId="77777777" w:rsidR="00B514A8" w:rsidRDefault="00B514A8" w:rsidP="00B514A8">
      <w:pPr>
        <w:pStyle w:val="EndNoteBibliography"/>
      </w:pPr>
      <w:r>
        <w:t>[34] Correa, D., K. Xie, and K. Ozbay. Exploring the Taxi and Uber Demand in New York City: An Empirical Analysis and Spatial Modeling. Presented at 96th Annual Meeting of the Transportation Research Board, Washington, D.C., 2017.</w:t>
      </w:r>
    </w:p>
    <w:p w14:paraId="6F6A1C0A" w14:textId="4A126851" w:rsidR="00B514A8" w:rsidRDefault="00B514A8" w:rsidP="00B514A8">
      <w:pPr>
        <w:pStyle w:val="EndNoteBibliography"/>
      </w:pPr>
      <w:r>
        <w:t>[35] Davidson, A., J. Peters, and C. Brakewood. Interactive travel modes: Uber, transit, and mobility in New York City. 2017.</w:t>
      </w:r>
    </w:p>
    <w:p w14:paraId="54C2A551" w14:textId="77777777" w:rsidR="00B514A8" w:rsidRDefault="00B514A8" w:rsidP="00B514A8">
      <w:pPr>
        <w:pStyle w:val="EndNoteBibliography"/>
      </w:pPr>
      <w:r>
        <w:t xml:space="preserve">[36] Feigon, S., and C. Murphy. TCRP Report 188: Shared Mobility and the Transformation of Public Transit. Transportation Research Board of the National Academies, Washington, D.C., 2016. http://www.trb.org/Main/Blurbs/174653.aspx. </w:t>
      </w:r>
    </w:p>
    <w:p w14:paraId="4A4CEDAA" w14:textId="4454AF2A" w:rsidR="00B514A8" w:rsidRDefault="00B514A8" w:rsidP="00B514A8">
      <w:pPr>
        <w:pStyle w:val="EndNoteBibliography"/>
      </w:pPr>
      <w:r>
        <w:t>[37] Rayle, L., D. Dai, N. Chan, R. Cervero, and S. Shaheen. Just a better taxi? A survey-based comparison of taxis, transit, and ridesourcing services in San Francisco. Transport policy, Vol. 45, 2016, pp.</w:t>
      </w:r>
      <w:r w:rsidR="00A05664">
        <w:t xml:space="preserve"> </w:t>
      </w:r>
      <w:r>
        <w:t>168-178.</w:t>
      </w:r>
    </w:p>
    <w:p w14:paraId="0446796A" w14:textId="77EF36D0" w:rsidR="00B514A8" w:rsidRDefault="00B514A8" w:rsidP="00B514A8">
      <w:pPr>
        <w:pStyle w:val="EndNoteBibliography"/>
      </w:pPr>
      <w:r>
        <w:t>[38] Komanduri, A., Z. Wafa, K. Proussaloglou, and S. Jacobs. Assessing the impact of app-based ride share systems in an urban context: Findings from Austin. Transportation Research Record, Vol. 2672, No. 7, 2018, pp.</w:t>
      </w:r>
      <w:r w:rsidR="00A05664">
        <w:t xml:space="preserve"> </w:t>
      </w:r>
      <w:r>
        <w:t>34-46.</w:t>
      </w:r>
    </w:p>
    <w:p w14:paraId="1EAC8524" w14:textId="21A678C1" w:rsidR="00B514A8" w:rsidRDefault="00B514A8" w:rsidP="00B514A8">
      <w:pPr>
        <w:pStyle w:val="EndNoteBibliography"/>
      </w:pPr>
      <w:r>
        <w:t>[39] Yu, H.</w:t>
      </w:r>
      <w:r w:rsidR="00EF4834">
        <w:t>,</w:t>
      </w:r>
      <w:r>
        <w:t xml:space="preserve"> and Z.R.</w:t>
      </w:r>
      <w:r w:rsidR="00EF4834">
        <w:t xml:space="preserve"> Peng</w:t>
      </w:r>
      <w:r>
        <w:t>. Exploring the spatial variation of ridesourcing demand and its relationship to built environment and socioeconomic factors with the geographically weighted Poisson regression. Journal of Transport Geography, Vol. 75,</w:t>
      </w:r>
      <w:r w:rsidR="00EF4834">
        <w:t xml:space="preserve"> 2019,</w:t>
      </w:r>
      <w:r>
        <w:t xml:space="preserve"> pp.</w:t>
      </w:r>
      <w:r w:rsidR="00A05664">
        <w:t xml:space="preserve"> </w:t>
      </w:r>
      <w:r>
        <w:t>147-163.</w:t>
      </w:r>
    </w:p>
    <w:p w14:paraId="67AD2BFD" w14:textId="78E057AD" w:rsidR="00EF4834" w:rsidRDefault="00B514A8" w:rsidP="00B514A8">
      <w:pPr>
        <w:pStyle w:val="EndNoteBibliography"/>
      </w:pPr>
      <w:r>
        <w:t xml:space="preserve">[40] Lavieri, P.S., </w:t>
      </w:r>
      <w:r w:rsidR="00EF4834">
        <w:t xml:space="preserve">F.F. </w:t>
      </w:r>
      <w:r>
        <w:t xml:space="preserve">Dias, </w:t>
      </w:r>
      <w:r w:rsidR="00EF4834">
        <w:t xml:space="preserve">N.R. </w:t>
      </w:r>
      <w:r>
        <w:t xml:space="preserve">Juri, </w:t>
      </w:r>
      <w:r w:rsidR="00EF4834">
        <w:t xml:space="preserve">J. </w:t>
      </w:r>
      <w:r>
        <w:t>Kuhr</w:t>
      </w:r>
      <w:r w:rsidR="00EF4834">
        <w:t>,</w:t>
      </w:r>
      <w:r>
        <w:t xml:space="preserve"> and </w:t>
      </w:r>
      <w:r w:rsidR="00EF4834">
        <w:t xml:space="preserve">C.R. </w:t>
      </w:r>
      <w:r>
        <w:t xml:space="preserve">Bhat. A model of ridesourcing demand generation and distribution. Transportation Research Record, Vol. 2672, No. 46, </w:t>
      </w:r>
      <w:r w:rsidR="00EF4834">
        <w:t xml:space="preserve">2018, </w:t>
      </w:r>
      <w:r>
        <w:t>pp.</w:t>
      </w:r>
      <w:r w:rsidR="00A05664">
        <w:t xml:space="preserve"> </w:t>
      </w:r>
      <w:r>
        <w:t>31-40.</w:t>
      </w:r>
    </w:p>
    <w:p w14:paraId="52797543" w14:textId="2BFA28D8" w:rsidR="00B514A8" w:rsidRDefault="00B514A8" w:rsidP="00B514A8">
      <w:pPr>
        <w:pStyle w:val="EndNoteBibliography"/>
      </w:pPr>
      <w:r>
        <w:t>[41] Poulsen, L. K., D. Dekkers, N. Wagenaar, W. Snijders, B. Lewinsky, R. R. Mukkamala, and R. Vatrapu. Green Cabs vs. Uber in New York City.In 2016 IEEE International Congress on Big Data (BigData Congress), IEEE, 2016. pp.</w:t>
      </w:r>
      <w:r w:rsidR="00A05664">
        <w:t xml:space="preserve"> </w:t>
      </w:r>
      <w:r>
        <w:t>222-229.</w:t>
      </w:r>
    </w:p>
    <w:p w14:paraId="189462B5" w14:textId="77777777" w:rsidR="00B514A8" w:rsidRDefault="00B514A8" w:rsidP="00B514A8">
      <w:pPr>
        <w:pStyle w:val="EndNoteBibliography"/>
      </w:pPr>
      <w:r>
        <w:t>[42] Babar, Y., and G. Burtch. Examining the impact of ridehailing services on public transit use. Available at SSRN 3042805, 2017.</w:t>
      </w:r>
    </w:p>
    <w:p w14:paraId="0F9B8BA7" w14:textId="1810AF50" w:rsidR="00B514A8" w:rsidRDefault="00B514A8" w:rsidP="00B514A8">
      <w:pPr>
        <w:pStyle w:val="EndNoteBibliography"/>
      </w:pPr>
      <w:r>
        <w:t xml:space="preserve">[43] Wang, H., </w:t>
      </w:r>
      <w:r w:rsidR="00EF4834">
        <w:t>and</w:t>
      </w:r>
      <w:r>
        <w:t xml:space="preserve"> </w:t>
      </w:r>
      <w:r w:rsidR="00EF4834">
        <w:t xml:space="preserve">H. </w:t>
      </w:r>
      <w:r>
        <w:t>Yang</w:t>
      </w:r>
      <w:r w:rsidR="00EF4834">
        <w:t>.</w:t>
      </w:r>
      <w:r>
        <w:t xml:space="preserve"> Ridesourcing systems: A framework and review. Transportation Research Part B: Methodological, Vol. 129, 2019, pp.</w:t>
      </w:r>
      <w:r w:rsidR="00A05664">
        <w:t xml:space="preserve"> </w:t>
      </w:r>
      <w:r>
        <w:t>122-155.</w:t>
      </w:r>
    </w:p>
    <w:p w14:paraId="5D494D99" w14:textId="166642B3" w:rsidR="00B514A8" w:rsidRDefault="00B514A8" w:rsidP="00B514A8">
      <w:pPr>
        <w:pStyle w:val="EndNoteBibliography"/>
      </w:pPr>
      <w:r>
        <w:t>[44] Nie, Y.M. How can the taxi industry survive the tide of ridesourcing? Evidence from Shenzhen, China. Transportation Research Part C: Emerging Technologies, Vol. 79, 2017, pp.</w:t>
      </w:r>
      <w:r w:rsidR="00A05664">
        <w:t xml:space="preserve"> </w:t>
      </w:r>
      <w:r>
        <w:t>242-256.</w:t>
      </w:r>
    </w:p>
    <w:p w14:paraId="6032CECE" w14:textId="7F387046" w:rsidR="00B514A8" w:rsidRDefault="00B514A8" w:rsidP="00B514A8">
      <w:pPr>
        <w:pStyle w:val="EndNoteBibliography"/>
      </w:pPr>
      <w:r>
        <w:t xml:space="preserve">[45] Wang, X., </w:t>
      </w:r>
      <w:r w:rsidR="00EF4834">
        <w:t xml:space="preserve">F. </w:t>
      </w:r>
      <w:r>
        <w:t>He</w:t>
      </w:r>
      <w:r w:rsidR="00EF4834">
        <w:t xml:space="preserve">, H. </w:t>
      </w:r>
      <w:r>
        <w:t>Yang</w:t>
      </w:r>
      <w:r w:rsidR="00EF4834">
        <w:t>,</w:t>
      </w:r>
      <w:r>
        <w:t xml:space="preserve"> and </w:t>
      </w:r>
      <w:r w:rsidR="00EF4834">
        <w:t xml:space="preserve">H.O. </w:t>
      </w:r>
      <w:r>
        <w:t>Gao. Pricing strategies for a taxi-hailing platform. Transportation Research Part E: Logistics and Transportation Review, Vol. 93, 2016, pp.</w:t>
      </w:r>
      <w:r w:rsidR="00A05664">
        <w:t xml:space="preserve"> </w:t>
      </w:r>
      <w:r>
        <w:t>212-231.</w:t>
      </w:r>
    </w:p>
    <w:p w14:paraId="1834A814" w14:textId="1E2EE15B" w:rsidR="00B514A8" w:rsidRDefault="00B514A8" w:rsidP="00B514A8">
      <w:pPr>
        <w:pStyle w:val="EndNoteBibliography"/>
      </w:pPr>
      <w:r>
        <w:t xml:space="preserve">[46] Zha, L., </w:t>
      </w:r>
      <w:r w:rsidR="00EF4834">
        <w:t xml:space="preserve">Y. </w:t>
      </w:r>
      <w:r>
        <w:t xml:space="preserve">Yin, and </w:t>
      </w:r>
      <w:r w:rsidR="00EF4834">
        <w:t xml:space="preserve">H. </w:t>
      </w:r>
      <w:r>
        <w:t>Yang</w:t>
      </w:r>
      <w:r w:rsidR="00EF4834">
        <w:t xml:space="preserve">. </w:t>
      </w:r>
      <w:r>
        <w:t>Economic analysis of ride-sourcing markets. Transportation Research Part C: Emerging Technologies, Vol. 71, 2016, pp.</w:t>
      </w:r>
      <w:r w:rsidR="00A05664">
        <w:t xml:space="preserve"> </w:t>
      </w:r>
      <w:r>
        <w:t>249-266.</w:t>
      </w:r>
    </w:p>
    <w:p w14:paraId="3720C8AE" w14:textId="7A48702C" w:rsidR="00B514A8" w:rsidRDefault="00B514A8" w:rsidP="00B514A8">
      <w:pPr>
        <w:pStyle w:val="EndNoteBibliography"/>
      </w:pPr>
      <w:r>
        <w:t xml:space="preserve">[47] Li, W., </w:t>
      </w:r>
      <w:r w:rsidR="00EF4834">
        <w:t xml:space="preserve">Z. </w:t>
      </w:r>
      <w:r>
        <w:t xml:space="preserve">Pu, </w:t>
      </w:r>
      <w:r w:rsidR="00EF4834">
        <w:t xml:space="preserve">Y. </w:t>
      </w:r>
      <w:r>
        <w:t>Li</w:t>
      </w:r>
      <w:r w:rsidR="00EF4834">
        <w:t>,</w:t>
      </w:r>
      <w:r>
        <w:t xml:space="preserve"> and </w:t>
      </w:r>
      <w:r w:rsidR="00EF4834">
        <w:t xml:space="preserve">X.J. </w:t>
      </w:r>
      <w:r>
        <w:t>Ban. Characterization of ridesplitting based on observed data: A case study of Chengdu, China. Transportation Research Part C: Emerging Technologies, Vol. 100, 2019, pp.</w:t>
      </w:r>
      <w:r w:rsidR="00A05664">
        <w:t xml:space="preserve"> </w:t>
      </w:r>
      <w:r>
        <w:t>330-353.</w:t>
      </w:r>
    </w:p>
    <w:p w14:paraId="7FBF84A3" w14:textId="502E1BA7" w:rsidR="00B514A8" w:rsidRDefault="00B514A8" w:rsidP="00B514A8">
      <w:pPr>
        <w:pStyle w:val="EndNoteBibliography"/>
      </w:pPr>
      <w:r>
        <w:lastRenderedPageBreak/>
        <w:t xml:space="preserve">[48] Zhu, Z., </w:t>
      </w:r>
      <w:r w:rsidR="00EF4834">
        <w:t xml:space="preserve">X. </w:t>
      </w:r>
      <w:r>
        <w:t xml:space="preserve">Qin, </w:t>
      </w:r>
      <w:r w:rsidR="00DE090E">
        <w:t xml:space="preserve">J. </w:t>
      </w:r>
      <w:r>
        <w:t xml:space="preserve">Ke, </w:t>
      </w:r>
      <w:r w:rsidR="00DE090E">
        <w:t xml:space="preserve">Z. </w:t>
      </w:r>
      <w:r>
        <w:t xml:space="preserve">Zheng, and </w:t>
      </w:r>
      <w:r w:rsidR="00DE090E">
        <w:t xml:space="preserve">H. </w:t>
      </w:r>
      <w:r>
        <w:t>Yang. Analysis of multi-modal commute behavior with feeding and competing ridesplitting services. Transportation Research Part A: Policy and Practice, Vol. 132, 2020, pp.</w:t>
      </w:r>
      <w:r w:rsidR="00A05664">
        <w:t xml:space="preserve"> </w:t>
      </w:r>
      <w:r>
        <w:t>713-727.</w:t>
      </w:r>
    </w:p>
    <w:p w14:paraId="715061B7" w14:textId="77777777" w:rsidR="00B514A8" w:rsidRDefault="00B514A8" w:rsidP="00B514A8">
      <w:pPr>
        <w:pStyle w:val="EndNoteBibliography"/>
      </w:pPr>
      <w:r>
        <w:t>[49] Bhowmik, T., S. Yasmin, and N. Eluru. A joint econometric approach for modeling crash counts by collision type. Analytic methods in accident research, Vol. 19, 2018, pp. 16-32.</w:t>
      </w:r>
    </w:p>
    <w:p w14:paraId="33C1971A" w14:textId="77777777" w:rsidR="00B514A8" w:rsidRDefault="00B514A8" w:rsidP="00B514A8">
      <w:pPr>
        <w:pStyle w:val="EndNoteBibliography"/>
      </w:pPr>
      <w:r>
        <w:t>[50] Cameron, A. C., T. Li, P. K. Trivedi, and D. M. Zimmer. Modelling the differences in counted outcomes using bivariate copula models with application to mismeasured counts. The Econometrics Journal, Vol. 7, No. 2, 2004, pp. 566-584.</w:t>
      </w:r>
    </w:p>
    <w:p w14:paraId="24CE9065" w14:textId="0912B890" w:rsidR="00B514A8" w:rsidRDefault="00B514A8" w:rsidP="00B514A8">
      <w:pPr>
        <w:pStyle w:val="EndNoteBibliography"/>
      </w:pPr>
      <w:r>
        <w:t>[51] Rahman M., S. Yasmin, and N. Eluru. A Joint Panel Binary Logit and Fractional Split Model for Converting Route-Level Transit Ridership Data to Stop-Level Boarding and Alighting Data. Transportation Research Part A, Vol</w:t>
      </w:r>
      <w:r w:rsidR="000E1A22">
        <w:t>.</w:t>
      </w:r>
      <w:r>
        <w:t xml:space="preserve"> 139, 2020, </w:t>
      </w:r>
      <w:r w:rsidR="000E1A22">
        <w:t>pp.</w:t>
      </w:r>
      <w:r>
        <w:t xml:space="preserve"> 1-16. </w:t>
      </w:r>
    </w:p>
    <w:p w14:paraId="23864544" w14:textId="2F3F344F" w:rsidR="00B514A8" w:rsidRDefault="00B514A8" w:rsidP="00B514A8">
      <w:pPr>
        <w:pStyle w:val="EndNoteBibliography"/>
      </w:pPr>
      <w:r>
        <w:t xml:space="preserve">[52] Tirtha, S.D., S. Yasmin, and N. Eluru. Modeling of Incident Type and Incident Duration Using Data from Multiple Years. Analytic Methods in Accident Research, Vol. 28, 2020, </w:t>
      </w:r>
      <w:r w:rsidR="00A05664">
        <w:t xml:space="preserve">p. </w:t>
      </w:r>
      <w:r>
        <w:t xml:space="preserve">100132. </w:t>
      </w:r>
    </w:p>
    <w:p w14:paraId="711BFB9F" w14:textId="0EBE0298" w:rsidR="00B514A8" w:rsidRDefault="00B514A8" w:rsidP="00B514A8">
      <w:pPr>
        <w:pStyle w:val="EndNoteBibliography"/>
      </w:pPr>
      <w:r>
        <w:t xml:space="preserve">[53] Faghih-Imani, A., and N. Eluru. Determining the Role of Bicycle Sharing System Infrastructure Installation Decision on Usage: Case Study of Montreal BIXI System. Transportation Research Part </w:t>
      </w:r>
      <w:r w:rsidR="00DD6CCD">
        <w:t>,</w:t>
      </w:r>
      <w:r>
        <w:t xml:space="preserve"> </w:t>
      </w:r>
      <w:r w:rsidR="00DD6CCD">
        <w:t xml:space="preserve">Vol. </w:t>
      </w:r>
      <w:r>
        <w:t>94, 2016, pp. 685-698</w:t>
      </w:r>
      <w:r w:rsidR="00DD6CCD">
        <w:t>.</w:t>
      </w:r>
    </w:p>
    <w:p w14:paraId="5990EC42" w14:textId="77777777" w:rsidR="00B514A8" w:rsidRDefault="00B514A8" w:rsidP="00B514A8">
      <w:pPr>
        <w:pStyle w:val="EndNoteBibliography"/>
      </w:pPr>
      <w:r>
        <w:t>[54] Bhat, C. R. Quasi-random maximum simulated likelihood estimation of the mixed multinomial logit model. Transportation Research Part B: Methodological, Vol. 35, No. 7, 2001, pp. 677-693.</w:t>
      </w:r>
    </w:p>
    <w:p w14:paraId="27C49697" w14:textId="77777777" w:rsidR="00B514A8" w:rsidRDefault="00B514A8" w:rsidP="00B514A8">
      <w:pPr>
        <w:pStyle w:val="EndNoteBibliography"/>
      </w:pPr>
      <w:r>
        <w:t>[55] Eluru, N., C. R. Bhat, and D. A. Hensher. A mixed generalized ordered response model for examining pedestrian and bicyclist injury severity level in traffic crashes. Accident Analysis &amp; Prevention, Vol. 40, No. 3, 2008, pp. 1033-1054.</w:t>
      </w:r>
    </w:p>
    <w:p w14:paraId="3BD1E6F0" w14:textId="77777777" w:rsidR="00B514A8" w:rsidRDefault="00B514A8" w:rsidP="00B514A8">
      <w:pPr>
        <w:pStyle w:val="EndNoteBibliography"/>
      </w:pPr>
      <w:r>
        <w:t>[56] Yasmin, S., and N. Eluru. Evaluating alternate discrete outcome frameworks for modeling crash injury severity. Accident Analysis &amp; Prevention, Vol. 59, 2013, pp. 506-521.</w:t>
      </w:r>
    </w:p>
    <w:p w14:paraId="7E9554FC" w14:textId="77777777" w:rsidR="00B514A8" w:rsidRDefault="00B514A8" w:rsidP="00B514A8">
      <w:pPr>
        <w:pStyle w:val="EndNoteBibliography"/>
      </w:pPr>
      <w:r>
        <w:t>[57] Faghih-Imani A., S. Anowar, E. Miller, and N. Eluru, Hail a Cab or Ride a Bike? A Travel Time Comparison of Taxi and Bicycle-Sharing Systems in New York City. Transportation Research Part A: Policy and Practice, Vol. 101, July 2017, pp.11-21</w:t>
      </w:r>
    </w:p>
    <w:p w14:paraId="41EA328B" w14:textId="0318F10D" w:rsidR="00B514A8" w:rsidRDefault="00B514A8" w:rsidP="00B514A8">
      <w:pPr>
        <w:pStyle w:val="EndNoteBibliography"/>
      </w:pPr>
      <w:r>
        <w:t>[58] Li</w:t>
      </w:r>
      <w:r w:rsidR="00DE090E">
        <w:t>,</w:t>
      </w:r>
      <w:r>
        <w:t xml:space="preserve"> T</w:t>
      </w:r>
      <w:r w:rsidR="00DE090E">
        <w:t>.</w:t>
      </w:r>
      <w:r>
        <w:t xml:space="preserve">, </w:t>
      </w:r>
      <w:r w:rsidR="00DE090E">
        <w:t xml:space="preserve">P. </w:t>
      </w:r>
      <w:r>
        <w:t>Jing,</w:t>
      </w:r>
      <w:r w:rsidR="00DE090E">
        <w:t xml:space="preserve"> L.</w:t>
      </w:r>
      <w:r>
        <w:t xml:space="preserve"> Li, </w:t>
      </w:r>
      <w:r w:rsidR="00DE090E">
        <w:t xml:space="preserve">D. </w:t>
      </w:r>
      <w:r>
        <w:t>Sun,</w:t>
      </w:r>
      <w:r w:rsidR="00DE090E">
        <w:t xml:space="preserve"> and</w:t>
      </w:r>
      <w:r>
        <w:t xml:space="preserve"> </w:t>
      </w:r>
      <w:r w:rsidR="00DE090E">
        <w:t xml:space="preserve">W. </w:t>
      </w:r>
      <w:r>
        <w:t xml:space="preserve">Yan. Revealing the Varying Impact of Urban Built Environment on Online Car-Hailing Travel in Spatio-Temporal Dimension: An Exploratory Analysis in Chengdu, China. Sustainability, Vol. 11, No. 5, 2019,  </w:t>
      </w:r>
      <w:r w:rsidR="00A05664">
        <w:t xml:space="preserve">p. </w:t>
      </w:r>
      <w:r>
        <w:t>1336.</w:t>
      </w:r>
    </w:p>
    <w:p w14:paraId="50A1E705" w14:textId="4BAFC301" w:rsidR="00B514A8" w:rsidRDefault="00B514A8" w:rsidP="00B514A8">
      <w:pPr>
        <w:pStyle w:val="EndNoteBibliography"/>
      </w:pPr>
      <w:r>
        <w:t>[59] Wenzel</w:t>
      </w:r>
      <w:r w:rsidR="00DE090E">
        <w:t>,</w:t>
      </w:r>
      <w:r>
        <w:t xml:space="preserve"> T</w:t>
      </w:r>
      <w:r w:rsidR="00DE090E">
        <w:t>.</w:t>
      </w:r>
      <w:r>
        <w:t xml:space="preserve">, </w:t>
      </w:r>
      <w:r w:rsidR="00DE090E">
        <w:t xml:space="preserve">C. </w:t>
      </w:r>
      <w:r>
        <w:t xml:space="preserve">Rames, </w:t>
      </w:r>
      <w:r w:rsidR="00DE090E">
        <w:t xml:space="preserve">E. </w:t>
      </w:r>
      <w:r>
        <w:t>Kontou,</w:t>
      </w:r>
      <w:r w:rsidR="00DE090E">
        <w:t xml:space="preserve"> and A.</w:t>
      </w:r>
      <w:r>
        <w:t xml:space="preserve"> Henao. Travel and energy implications of ridesourcing service in Austin, Texas. Transportation Research Part D: Transport and Environment, Vol. 70, 2019, pp. 18-34.</w:t>
      </w:r>
    </w:p>
    <w:p w14:paraId="6E289390" w14:textId="1A6D7F35" w:rsidR="00B514A8" w:rsidRDefault="00B514A8" w:rsidP="00B514A8">
      <w:pPr>
        <w:pStyle w:val="EndNoteBibliography"/>
      </w:pPr>
      <w:r>
        <w:t>[60] Dey</w:t>
      </w:r>
      <w:r w:rsidR="00DE090E">
        <w:t>,</w:t>
      </w:r>
      <w:r>
        <w:t xml:space="preserve"> B. K., S. Anowar,</w:t>
      </w:r>
      <w:r w:rsidR="00C761AB">
        <w:t xml:space="preserve"> and</w:t>
      </w:r>
      <w:r>
        <w:t xml:space="preserve"> N. Eluru. A Framework for Estimating Bikeshare Origin Destination Flows Using a Multiple Discrete Continuous System. Transportation Research Part A, Vol. 144, 2021, pp.119-133</w:t>
      </w:r>
      <w:r w:rsidR="0040185D">
        <w:t>.</w:t>
      </w:r>
    </w:p>
    <w:p w14:paraId="25B1F8F8" w14:textId="386A9376" w:rsidR="00B514A8" w:rsidRDefault="00B514A8" w:rsidP="00B514A8">
      <w:pPr>
        <w:pStyle w:val="EndNoteBibliography"/>
      </w:pPr>
      <w:r>
        <w:t>[61] Dey</w:t>
      </w:r>
      <w:r w:rsidR="00DE090E">
        <w:t>,</w:t>
      </w:r>
      <w:r>
        <w:t xml:space="preserve"> B</w:t>
      </w:r>
      <w:r w:rsidR="00DE090E">
        <w:t>.</w:t>
      </w:r>
      <w:r>
        <w:t>K</w:t>
      </w:r>
      <w:r w:rsidR="00DE090E">
        <w:t>.</w:t>
      </w:r>
      <w:r>
        <w:t xml:space="preserve">, </w:t>
      </w:r>
      <w:r w:rsidR="00DE090E">
        <w:t xml:space="preserve">S.D. </w:t>
      </w:r>
      <w:r>
        <w:t xml:space="preserve">Tirtha, </w:t>
      </w:r>
      <w:r w:rsidR="00C761AB">
        <w:t xml:space="preserve">and </w:t>
      </w:r>
      <w:r w:rsidR="00DE090E">
        <w:t xml:space="preserve">N. </w:t>
      </w:r>
      <w:r>
        <w:t>Eluru. Transport Networking Companies Demand and Flow Estimation in New York City. Transportation Research Record</w:t>
      </w:r>
      <w:r w:rsidR="00DE090E">
        <w:t>,</w:t>
      </w:r>
      <w:r>
        <w:t xml:space="preserve"> 2021</w:t>
      </w:r>
      <w:r w:rsidR="00244CB8">
        <w:t xml:space="preserve">, </w:t>
      </w:r>
      <w:r w:rsidR="00A05664">
        <w:t xml:space="preserve">p. </w:t>
      </w:r>
      <w:r>
        <w:t>03611981211000752.</w:t>
      </w:r>
    </w:p>
    <w:p w14:paraId="37A90D19" w14:textId="721288E9" w:rsidR="00B514A8" w:rsidRDefault="00B514A8" w:rsidP="00B514A8">
      <w:pPr>
        <w:pStyle w:val="EndNoteBibliography"/>
      </w:pPr>
      <w:r>
        <w:t>[62] Liu</w:t>
      </w:r>
      <w:r w:rsidR="00DE090E">
        <w:t>,</w:t>
      </w:r>
      <w:r>
        <w:t xml:space="preserve"> Y</w:t>
      </w:r>
      <w:r w:rsidR="00DE090E">
        <w:t>.</w:t>
      </w:r>
      <w:r>
        <w:t xml:space="preserve">, </w:t>
      </w:r>
      <w:r w:rsidR="00DE090E">
        <w:t xml:space="preserve">A. </w:t>
      </w:r>
      <w:r>
        <w:t xml:space="preserve">Singleton, </w:t>
      </w:r>
      <w:r w:rsidR="00DE090E">
        <w:t xml:space="preserve">D. </w:t>
      </w:r>
      <w:r>
        <w:t>Arribas-bel,</w:t>
      </w:r>
      <w:r w:rsidR="00DE090E">
        <w:t xml:space="preserve"> and</w:t>
      </w:r>
      <w:r>
        <w:t xml:space="preserve"> </w:t>
      </w:r>
      <w:r w:rsidR="00DE090E">
        <w:t xml:space="preserve">M. </w:t>
      </w:r>
      <w:r>
        <w:t xml:space="preserve">Chen. Identifying and understanding road-constrained areas of interest (AOIs) through spatiotemporal taxi GPS data: A case study in New York City. Computers, Environment and Urban Systems, Vol. 86, 2021, </w:t>
      </w:r>
      <w:r w:rsidR="00A05664">
        <w:t xml:space="preserve">p. </w:t>
      </w:r>
      <w:r>
        <w:t>101592.</w:t>
      </w:r>
    </w:p>
    <w:p w14:paraId="01AC43EC" w14:textId="100BBAF0" w:rsidR="00EF6F8C" w:rsidRDefault="00B514A8" w:rsidP="00B514A8">
      <w:pPr>
        <w:pStyle w:val="EndNoteBibliography"/>
      </w:pPr>
      <w:r>
        <w:t xml:space="preserve">[63] </w:t>
      </w:r>
      <w:r w:rsidR="00EF6F8C" w:rsidRPr="00EF6F8C">
        <w:t xml:space="preserve">Sadowsky, N., </w:t>
      </w:r>
      <w:r w:rsidR="00C761AB">
        <w:t xml:space="preserve">and </w:t>
      </w:r>
      <w:r w:rsidR="00EF6F8C">
        <w:t xml:space="preserve">E. </w:t>
      </w:r>
      <w:r w:rsidR="00EF6F8C" w:rsidRPr="00EF6F8C">
        <w:t>Nelson. The Impact of Ride-Hailing Services on Public Transportation Use: A Discontinuity Regression Analysis. Economics Department, Bowdoin College, 2017. https://digitalcommons.bowdoin.edu/econpapers/13/</w:t>
      </w:r>
      <w:r w:rsidR="00EF6F8C">
        <w:t xml:space="preserve"> </w:t>
      </w:r>
    </w:p>
    <w:p w14:paraId="1B16082D" w14:textId="4C44ACF6" w:rsidR="00B514A8" w:rsidRDefault="00B514A8" w:rsidP="00B514A8">
      <w:pPr>
        <w:pStyle w:val="EndNoteBibliography"/>
      </w:pPr>
      <w:r>
        <w:t xml:space="preserve">[64] Tirachini, A., and </w:t>
      </w:r>
      <w:r w:rsidR="00244CB8">
        <w:t xml:space="preserve">M. </w:t>
      </w:r>
      <w:r>
        <w:t>del Río. Ride-hailing in Santiago de Chile: Users’ characterisation and effects on travel behaviour. Transport Policy, Vol. 82, 2019, pp. 46-57.</w:t>
      </w:r>
    </w:p>
    <w:p w14:paraId="37447732" w14:textId="61FF3FAA" w:rsidR="00B514A8" w:rsidRDefault="00B514A8" w:rsidP="00B514A8">
      <w:pPr>
        <w:pStyle w:val="EndNoteBibliography"/>
      </w:pPr>
      <w:r>
        <w:lastRenderedPageBreak/>
        <w:t xml:space="preserve">[65] Brodeur, A., </w:t>
      </w:r>
      <w:r w:rsidR="00244CB8">
        <w:t>and K.</w:t>
      </w:r>
      <w:r>
        <w:t xml:space="preserve"> Nield. An empirical analysis of taxi, Lyft and Uber rides: Evidence from weather shocks in NYC. Journal of Economic Behavior &amp; Organization, Vol. 152, 2018, pp. 1-16.</w:t>
      </w:r>
    </w:p>
    <w:p w14:paraId="589D92A1" w14:textId="1A73A004" w:rsidR="00B514A8" w:rsidRDefault="00B514A8" w:rsidP="00B514A8">
      <w:pPr>
        <w:pStyle w:val="EndNoteBibliography"/>
      </w:pPr>
      <w:r>
        <w:t>[66] Schneider, W</w:t>
      </w:r>
      <w:r w:rsidR="00670CC0">
        <w:t>.</w:t>
      </w:r>
      <w:r>
        <w:t xml:space="preserve"> T. (2018, March). Analyzing 1.1 Billion NYC Taxi and Uber Trips, with a Vengeance. Retrieved July 2019, from https://toddwschneider.com/posts/analyzing-1-1-billion-nyc-taxi-and-uber-trips-with-a-vengeance/#airport-traffic.</w:t>
      </w:r>
    </w:p>
    <w:p w14:paraId="29D4BA4F" w14:textId="3B076BA8" w:rsidR="00FE15F5" w:rsidRPr="00FF2046" w:rsidRDefault="00B514A8" w:rsidP="00B514A8">
      <w:pPr>
        <w:pStyle w:val="EndNoteBibliography"/>
      </w:pPr>
      <w:r>
        <w:t xml:space="preserve">[67] Eluru, N., and </w:t>
      </w:r>
      <w:r w:rsidR="00244CB8">
        <w:t xml:space="preserve">C.R. </w:t>
      </w:r>
      <w:r>
        <w:t>Bhat. A joint econometric analysis of seat belt use and crash-related injury severity. Accident Analysis and Prevention, Vol. 39, No. 5, 2007, pp. 1037–1049.</w:t>
      </w:r>
    </w:p>
    <w:sectPr w:rsidR="00FE15F5" w:rsidRPr="00FF2046" w:rsidSect="00D80FBB">
      <w:headerReference w:type="default" r:id="rId32"/>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13CB0" w14:textId="77777777" w:rsidR="00693CA9" w:rsidRDefault="00693CA9" w:rsidP="00D7210B">
      <w:r>
        <w:separator/>
      </w:r>
    </w:p>
  </w:endnote>
  <w:endnote w:type="continuationSeparator" w:id="0">
    <w:p w14:paraId="2A002A5D" w14:textId="77777777" w:rsidR="00693CA9" w:rsidRDefault="00693CA9" w:rsidP="00D72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B1D18D-2297-4434-85E6-D3F236EBDEE9}"/>
    <w:embedBold r:id="rId2" w:fontKey="{652C91BD-3B23-4567-95C0-0D2A082A1F6A}"/>
    <w:embedItalic r:id="rId3" w:fontKey="{155893DA-46BC-412D-A370-97B485F981DD}"/>
    <w:embedBoldItalic r:id="rId4" w:fontKey="{08F97FF1-1476-44A5-ADB5-B1C1BD7EFAA5}"/>
  </w:font>
  <w:font w:name="Vrinda">
    <w:panose1 w:val="00000400000000000000"/>
    <w:charset w:val="00"/>
    <w:family w:val="swiss"/>
    <w:pitch w:val="variable"/>
    <w:sig w:usb0="00010003" w:usb1="00000000" w:usb2="00000000" w:usb3="00000000" w:csb0="00000001" w:csb1="00000000"/>
    <w:embedRegular r:id="rId5" w:fontKey="{27F81AA2-D264-4A53-9B31-20CC5E741A0F}"/>
    <w:embedBold r:id="rId6" w:fontKey="{30756BAA-9AE9-443C-B6AF-D629CC28C6C1}"/>
    <w:embedItalic r:id="rId7" w:fontKey="{B61E76B6-FF23-496F-A55B-A415F2CB4B54}"/>
  </w:font>
  <w:font w:name="Cambria">
    <w:panose1 w:val="02040503050406030204"/>
    <w:charset w:val="00"/>
    <w:family w:val="roman"/>
    <w:pitch w:val="variable"/>
    <w:sig w:usb0="E00006FF" w:usb1="420024FF" w:usb2="02000000" w:usb3="00000000" w:csb0="0000019F" w:csb1="00000000"/>
    <w:embedRegular r:id="rId8" w:fontKey="{F715F68C-30EB-45D2-A8C3-317537C2518B}"/>
    <w:embedItalic r:id="rId9" w:fontKey="{D4259FA2-8E03-4969-9409-2BA0FE1665B9}"/>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B8B107BA-0C51-4A54-B91F-B51CE0E61271}"/>
  </w:font>
  <w:font w:name="Cambria Math">
    <w:panose1 w:val="02040503050406030204"/>
    <w:charset w:val="00"/>
    <w:family w:val="roman"/>
    <w:pitch w:val="variable"/>
    <w:sig w:usb0="E00006FF" w:usb1="420024FF" w:usb2="02000000" w:usb3="00000000" w:csb0="0000019F" w:csb1="00000000"/>
    <w:embedRegular r:id="rId11" w:fontKey="{4CDAED9B-E291-407B-AC32-D33E9D05679E}"/>
    <w:embedItalic r:id="rId12" w:fontKey="{715BE8E2-1C4A-4E66-AB19-85A6B1016539}"/>
    <w:embedBoldItalic r:id="rId13" w:fontKey="{103565CC-113E-473A-950C-242AE025E3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4D543" w14:textId="77777777" w:rsidR="00693CA9" w:rsidRDefault="00693CA9" w:rsidP="00D7210B">
      <w:r>
        <w:separator/>
      </w:r>
    </w:p>
  </w:footnote>
  <w:footnote w:type="continuationSeparator" w:id="0">
    <w:p w14:paraId="5D6CCFC5" w14:textId="77777777" w:rsidR="00693CA9" w:rsidRDefault="00693CA9" w:rsidP="00D7210B">
      <w:r>
        <w:continuationSeparator/>
      </w:r>
    </w:p>
  </w:footnote>
  <w:footnote w:id="1">
    <w:p w14:paraId="452A450A" w14:textId="0FF4F207" w:rsidR="00DE090E" w:rsidRDefault="00DE090E">
      <w:pPr>
        <w:pStyle w:val="FootnoteText"/>
      </w:pPr>
      <w:r>
        <w:rPr>
          <w:rStyle w:val="FootnoteReference"/>
        </w:rPr>
        <w:footnoteRef/>
      </w:r>
      <w:r>
        <w:t xml:space="preserve"> For a recent detailed literature review on emerging ridehailing alternatives see Wang and Yang </w:t>
      </w:r>
      <w:r w:rsidRPr="00B557D0">
        <w:rPr>
          <w:i/>
          <w:iCs/>
        </w:rPr>
        <w:t>(4</w:t>
      </w:r>
      <w:r>
        <w:rPr>
          <w:i/>
          <w:iCs/>
        </w:rPr>
        <w:t>3</w:t>
      </w:r>
      <w:r w:rsidRPr="00B557D0">
        <w:rPr>
          <w:i/>
          <w:iCs/>
        </w:rPr>
        <w:t>)</w:t>
      </w:r>
      <w:r>
        <w:t>.</w:t>
      </w:r>
    </w:p>
  </w:footnote>
  <w:footnote w:id="2">
    <w:p w14:paraId="43632B7A" w14:textId="77777777" w:rsidR="00DE090E" w:rsidRDefault="00DE090E" w:rsidP="004F45F8">
      <w:pPr>
        <w:rPr>
          <w:rFonts w:cs="Times New Roman"/>
          <w:bCs/>
          <w:iCs/>
          <w:szCs w:val="24"/>
        </w:rPr>
      </w:pPr>
      <w:r>
        <w:rPr>
          <w:rStyle w:val="FootnoteReference"/>
        </w:rPr>
        <w:footnoteRef/>
      </w:r>
      <w:r>
        <w:t xml:space="preserve"> </w:t>
      </w:r>
      <w:r w:rsidRPr="00DD1542">
        <w:rPr>
          <w:rFonts w:cs="Times New Roman"/>
          <w:bCs/>
          <w:iCs/>
          <w:szCs w:val="24"/>
        </w:rPr>
        <w:t xml:space="preserve">Walk </w:t>
      </w:r>
      <w:r>
        <w:rPr>
          <w:rFonts w:cs="Times New Roman"/>
          <w:bCs/>
          <w:iCs/>
          <w:szCs w:val="24"/>
        </w:rPr>
        <w:t>(</w:t>
      </w:r>
      <w:r w:rsidRPr="00DD1542">
        <w:rPr>
          <w:rFonts w:cs="Times New Roman"/>
          <w:bCs/>
          <w:iCs/>
          <w:szCs w:val="24"/>
        </w:rPr>
        <w:t>bike</w:t>
      </w:r>
      <w:r>
        <w:rPr>
          <w:rFonts w:cs="Times New Roman"/>
          <w:bCs/>
          <w:iCs/>
          <w:szCs w:val="24"/>
        </w:rPr>
        <w:t>)</w:t>
      </w:r>
      <w:r w:rsidRPr="00DD1542">
        <w:rPr>
          <w:rFonts w:cs="Times New Roman"/>
          <w:bCs/>
          <w:iCs/>
          <w:szCs w:val="24"/>
        </w:rPr>
        <w:t xml:space="preserve"> score</w:t>
      </w:r>
      <w:r>
        <w:rPr>
          <w:rFonts w:cs="Times New Roman"/>
          <w:bCs/>
          <w:iCs/>
          <w:szCs w:val="24"/>
        </w:rPr>
        <w:t xml:space="preserve"> provide a numerical value assessing the walkability (bikability) in the community. The exact methodology employed is detailed in their webpage </w:t>
      </w:r>
      <w:hyperlink r:id="rId1" w:history="1">
        <w:r w:rsidRPr="00C305D1">
          <w:rPr>
            <w:rStyle w:val="Hyperlink"/>
            <w:rFonts w:cs="Times New Roman"/>
            <w:bCs/>
            <w:iCs/>
            <w:szCs w:val="24"/>
          </w:rPr>
          <w:t>https://www.walkscore.com/</w:t>
        </w:r>
      </w:hyperlink>
      <w:r>
        <w:rPr>
          <w:rFonts w:cs="Times New Roman"/>
          <w:bCs/>
          <w:iCs/>
          <w:szCs w:val="24"/>
        </w:rPr>
        <w:t xml:space="preserve">. </w:t>
      </w:r>
    </w:p>
    <w:p w14:paraId="690BFB74" w14:textId="0B6FFC4C" w:rsidR="00DE090E" w:rsidRDefault="00DE090E">
      <w:pPr>
        <w:pStyle w:val="FootnoteText"/>
      </w:pPr>
    </w:p>
  </w:footnote>
  <w:footnote w:id="3">
    <w:p w14:paraId="6B7701D4" w14:textId="3BBB2EF4" w:rsidR="00DE090E" w:rsidRDefault="00DE090E" w:rsidP="006D35A3">
      <w:pPr>
        <w:rPr>
          <w:rFonts w:cs="Times New Roman"/>
          <w:bCs/>
          <w:iCs/>
          <w:szCs w:val="24"/>
        </w:rPr>
      </w:pPr>
      <w:r>
        <w:rPr>
          <w:rStyle w:val="FootnoteReference"/>
        </w:rPr>
        <w:footnoteRef/>
      </w:r>
      <w:r>
        <w:t xml:space="preserve"> </w:t>
      </w:r>
      <w:r w:rsidRPr="00DD1542">
        <w:rPr>
          <w:rFonts w:cs="Times New Roman"/>
          <w:bCs/>
          <w:iCs/>
          <w:szCs w:val="24"/>
        </w:rPr>
        <w:t xml:space="preserve">Times </w:t>
      </w:r>
      <w:r>
        <w:rPr>
          <w:rFonts w:cs="Times New Roman"/>
          <w:bCs/>
          <w:iCs/>
          <w:szCs w:val="24"/>
        </w:rPr>
        <w:t xml:space="preserve">Square represents an iconic destination in New York representing the center of the business district. Several earlier papers modeling bikeshare and ridesourcing have considered Times Square as a significant point of interest (see Dey et al. </w:t>
      </w:r>
      <w:r w:rsidRPr="00643415">
        <w:rPr>
          <w:rFonts w:cs="Times New Roman"/>
          <w:bCs/>
          <w:i/>
          <w:szCs w:val="24"/>
        </w:rPr>
        <w:t>(</w:t>
      </w:r>
      <w:r>
        <w:rPr>
          <w:rFonts w:cs="Times New Roman"/>
          <w:bCs/>
          <w:i/>
          <w:szCs w:val="24"/>
        </w:rPr>
        <w:t>60</w:t>
      </w:r>
      <w:r w:rsidR="00F73CFA">
        <w:rPr>
          <w:rFonts w:cs="Times New Roman"/>
          <w:bCs/>
          <w:i/>
          <w:szCs w:val="24"/>
        </w:rPr>
        <w:t>, 61</w:t>
      </w:r>
      <w:r w:rsidRPr="00643415">
        <w:rPr>
          <w:rFonts w:cs="Times New Roman"/>
          <w:bCs/>
          <w:i/>
          <w:szCs w:val="24"/>
        </w:rPr>
        <w:t>)</w:t>
      </w:r>
      <w:r>
        <w:rPr>
          <w:rFonts w:cs="Times New Roman"/>
          <w:bCs/>
          <w:iCs/>
          <w:szCs w:val="24"/>
        </w:rPr>
        <w:t>,</w:t>
      </w:r>
      <w:r>
        <w:rPr>
          <w:rFonts w:cs="Times New Roman"/>
          <w:bCs/>
          <w:i/>
          <w:szCs w:val="24"/>
        </w:rPr>
        <w:t xml:space="preserve"> </w:t>
      </w:r>
      <w:r w:rsidRPr="000E4B81">
        <w:rPr>
          <w:rFonts w:cs="Times New Roman"/>
          <w:bCs/>
          <w:iCs/>
          <w:szCs w:val="24"/>
        </w:rPr>
        <w:t xml:space="preserve">and </w:t>
      </w:r>
      <w:r>
        <w:rPr>
          <w:rFonts w:cs="Times New Roman"/>
          <w:bCs/>
          <w:iCs/>
          <w:szCs w:val="24"/>
        </w:rPr>
        <w:t xml:space="preserve">Liu et al. </w:t>
      </w:r>
      <w:r w:rsidRPr="000E4B81">
        <w:rPr>
          <w:rFonts w:cs="Times New Roman"/>
          <w:bCs/>
          <w:i/>
          <w:szCs w:val="24"/>
        </w:rPr>
        <w:t>(</w:t>
      </w:r>
      <w:r>
        <w:rPr>
          <w:rFonts w:cs="Times New Roman"/>
          <w:bCs/>
          <w:i/>
          <w:szCs w:val="24"/>
        </w:rPr>
        <w:t>62</w:t>
      </w:r>
      <w:r w:rsidRPr="000E4B81">
        <w:rPr>
          <w:rFonts w:cs="Times New Roman"/>
          <w:bCs/>
          <w:i/>
          <w:szCs w:val="24"/>
        </w:rPr>
        <w:t>)</w:t>
      </w:r>
      <w:r>
        <w:rPr>
          <w:rFonts w:cs="Times New Roman"/>
          <w:bCs/>
          <w:iCs/>
          <w:szCs w:val="24"/>
        </w:rPr>
        <w:t>).</w:t>
      </w:r>
    </w:p>
    <w:p w14:paraId="4F8E1734" w14:textId="77777777" w:rsidR="00DE090E" w:rsidRDefault="00DE090E" w:rsidP="006D35A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043485"/>
      <w:docPartObj>
        <w:docPartGallery w:val="Page Numbers (Top of Page)"/>
        <w:docPartUnique/>
      </w:docPartObj>
    </w:sdtPr>
    <w:sdtEndPr>
      <w:rPr>
        <w:noProof/>
      </w:rPr>
    </w:sdtEndPr>
    <w:sdtContent>
      <w:p w14:paraId="63027509" w14:textId="5E15BBA8" w:rsidR="00DE090E" w:rsidRDefault="00DE090E">
        <w:pPr>
          <w:pStyle w:val="Header"/>
          <w:jc w:val="right"/>
        </w:pPr>
        <w:r>
          <w:t xml:space="preserve">Dey, and Eluru </w:t>
        </w:r>
        <w:r>
          <w:tab/>
        </w:r>
        <w:r>
          <w:tab/>
        </w:r>
        <w:r>
          <w:fldChar w:fldCharType="begin"/>
        </w:r>
        <w:r>
          <w:instrText xml:space="preserve"> PAGE   \* MERGEFORMAT </w:instrText>
        </w:r>
        <w:r>
          <w:fldChar w:fldCharType="separate"/>
        </w:r>
        <w:r>
          <w:rPr>
            <w:noProof/>
          </w:rPr>
          <w:t>2</w:t>
        </w:r>
        <w:r>
          <w:rPr>
            <w:noProof/>
          </w:rPr>
          <w:fldChar w:fldCharType="end"/>
        </w:r>
      </w:p>
    </w:sdtContent>
  </w:sdt>
  <w:p w14:paraId="019B41EF" w14:textId="77777777" w:rsidR="00DE090E" w:rsidRDefault="00DE09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710593"/>
      <w:docPartObj>
        <w:docPartGallery w:val="Page Numbers (Top of Page)"/>
        <w:docPartUnique/>
      </w:docPartObj>
    </w:sdtPr>
    <w:sdtEndPr>
      <w:rPr>
        <w:noProof/>
      </w:rPr>
    </w:sdtEndPr>
    <w:sdtContent>
      <w:p w14:paraId="6E3BAFCE" w14:textId="79E2CFD0" w:rsidR="00DE090E" w:rsidRDefault="00DE090E">
        <w:pPr>
          <w:pStyle w:val="Header"/>
          <w:jc w:val="right"/>
        </w:pPr>
        <w:r>
          <w:tab/>
        </w:r>
        <w:r>
          <w:tab/>
          <w:t xml:space="preserve"> </w:t>
        </w:r>
      </w:p>
    </w:sdtContent>
  </w:sdt>
  <w:p w14:paraId="5363609A" w14:textId="77777777" w:rsidR="00DE090E" w:rsidRDefault="00DE09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956608"/>
      <w:docPartObj>
        <w:docPartGallery w:val="Page Numbers (Top of Page)"/>
        <w:docPartUnique/>
      </w:docPartObj>
    </w:sdtPr>
    <w:sdtEndPr>
      <w:rPr>
        <w:noProof/>
      </w:rPr>
    </w:sdtEndPr>
    <w:sdtContent>
      <w:p w14:paraId="04E62665" w14:textId="5CDE346C" w:rsidR="00DE090E" w:rsidRDefault="00DE090E">
        <w:pPr>
          <w:pStyle w:val="Header"/>
          <w:jc w:val="right"/>
        </w:pPr>
        <w:r w:rsidRPr="00A12841">
          <w:t xml:space="preserve">Dey, </w:t>
        </w:r>
        <w:r>
          <w:t xml:space="preserve">Tirtha, </w:t>
        </w:r>
        <w:r w:rsidRPr="00A12841">
          <w:t xml:space="preserve">Eluru, and </w:t>
        </w:r>
        <w:r w:rsidRPr="00A12841">
          <w:rPr>
            <w:sz w:val="23"/>
            <w:szCs w:val="23"/>
          </w:rPr>
          <w:t>Konduri</w:t>
        </w:r>
        <w:r>
          <w:t xml:space="preserve"> </w:t>
        </w:r>
        <w:r>
          <w:tab/>
        </w:r>
        <w:r>
          <w:tab/>
        </w:r>
        <w:r>
          <w:fldChar w:fldCharType="begin"/>
        </w:r>
        <w:r>
          <w:instrText xml:space="preserve"> PAGE   \* MERGEFORMAT </w:instrText>
        </w:r>
        <w:r>
          <w:fldChar w:fldCharType="separate"/>
        </w:r>
        <w:r>
          <w:rPr>
            <w:noProof/>
          </w:rPr>
          <w:t>11</w:t>
        </w:r>
        <w:r>
          <w:rPr>
            <w:noProof/>
          </w:rPr>
          <w:fldChar w:fldCharType="end"/>
        </w:r>
      </w:p>
    </w:sdtContent>
  </w:sdt>
  <w:p w14:paraId="0C5B9FAD" w14:textId="77777777" w:rsidR="00DE090E" w:rsidRDefault="00DE09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478571"/>
      <w:docPartObj>
        <w:docPartGallery w:val="Page Numbers (Top of Page)"/>
        <w:docPartUnique/>
      </w:docPartObj>
    </w:sdtPr>
    <w:sdtEndPr>
      <w:rPr>
        <w:noProof/>
      </w:rPr>
    </w:sdtEndPr>
    <w:sdtContent>
      <w:p w14:paraId="5611F1BE" w14:textId="526BC8A6" w:rsidR="00DE090E" w:rsidRDefault="00DE090E">
        <w:pPr>
          <w:pStyle w:val="Header"/>
          <w:jc w:val="right"/>
        </w:pPr>
        <w:r w:rsidRPr="00A12841">
          <w:t xml:space="preserve">Dey, </w:t>
        </w:r>
        <w:r>
          <w:t xml:space="preserve">Tirtha, </w:t>
        </w:r>
        <w:r w:rsidRPr="00A12841">
          <w:t xml:space="preserve">Eluru, and </w:t>
        </w:r>
        <w:r w:rsidRPr="00A12841">
          <w:rPr>
            <w:sz w:val="23"/>
            <w:szCs w:val="23"/>
          </w:rPr>
          <w:t>Konduri</w:t>
        </w:r>
        <w:r>
          <w:rPr>
            <w:sz w:val="23"/>
            <w:szCs w:val="23"/>
          </w:rPr>
          <w:tab/>
        </w:r>
        <w:r>
          <w:rPr>
            <w:sz w:val="23"/>
            <w:szCs w:val="23"/>
          </w:rPr>
          <w:tab/>
        </w:r>
        <w:r>
          <w:rPr>
            <w:sz w:val="23"/>
            <w:szCs w:val="23"/>
          </w:rPr>
          <w:tab/>
        </w:r>
        <w:r>
          <w:rPr>
            <w:sz w:val="23"/>
            <w:szCs w:val="23"/>
          </w:rPr>
          <w:tab/>
        </w:r>
        <w:r>
          <w:t xml:space="preserve"> </w:t>
        </w:r>
        <w:r>
          <w:tab/>
        </w:r>
        <w:r>
          <w:tab/>
        </w:r>
        <w:r>
          <w:fldChar w:fldCharType="begin"/>
        </w:r>
        <w:r>
          <w:instrText xml:space="preserve"> PAGE   \* MERGEFORMAT </w:instrText>
        </w:r>
        <w:r>
          <w:fldChar w:fldCharType="separate"/>
        </w:r>
        <w:r>
          <w:rPr>
            <w:noProof/>
          </w:rPr>
          <w:t>12</w:t>
        </w:r>
        <w:r>
          <w:rPr>
            <w:noProof/>
          </w:rPr>
          <w:fldChar w:fldCharType="end"/>
        </w:r>
      </w:p>
    </w:sdtContent>
  </w:sdt>
  <w:p w14:paraId="0973EC74" w14:textId="77777777" w:rsidR="00DE090E" w:rsidRDefault="00DE09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521981"/>
      <w:docPartObj>
        <w:docPartGallery w:val="Page Numbers (Top of Page)"/>
        <w:docPartUnique/>
      </w:docPartObj>
    </w:sdtPr>
    <w:sdtEndPr>
      <w:rPr>
        <w:noProof/>
      </w:rPr>
    </w:sdtEndPr>
    <w:sdtContent>
      <w:p w14:paraId="443ACA8A" w14:textId="58EA0343" w:rsidR="00DE090E" w:rsidRDefault="00DE090E">
        <w:pPr>
          <w:pStyle w:val="Header"/>
          <w:jc w:val="right"/>
        </w:pPr>
        <w:r w:rsidRPr="00A12841">
          <w:t xml:space="preserve">Dey, </w:t>
        </w:r>
        <w:r>
          <w:t xml:space="preserve">Tirtha, </w:t>
        </w:r>
        <w:r w:rsidRPr="00A12841">
          <w:t xml:space="preserve">Eluru, and </w:t>
        </w:r>
        <w:r w:rsidRPr="00A12841">
          <w:rPr>
            <w:sz w:val="23"/>
            <w:szCs w:val="23"/>
          </w:rPr>
          <w:t>Konduri</w:t>
        </w:r>
        <w:r>
          <w:tab/>
        </w:r>
        <w:r>
          <w:tab/>
        </w:r>
        <w:r>
          <w:fldChar w:fldCharType="begin"/>
        </w:r>
        <w:r>
          <w:instrText xml:space="preserve"> PAGE   \* MERGEFORMAT </w:instrText>
        </w:r>
        <w:r>
          <w:fldChar w:fldCharType="separate"/>
        </w:r>
        <w:r>
          <w:rPr>
            <w:noProof/>
          </w:rPr>
          <w:t>17</w:t>
        </w:r>
        <w:r>
          <w:rPr>
            <w:noProof/>
          </w:rPr>
          <w:fldChar w:fldCharType="end"/>
        </w:r>
      </w:p>
    </w:sdtContent>
  </w:sdt>
  <w:p w14:paraId="1E78DC30" w14:textId="77777777" w:rsidR="00DE090E" w:rsidRDefault="00DE09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747520"/>
      <w:docPartObj>
        <w:docPartGallery w:val="Page Numbers (Top of Page)"/>
        <w:docPartUnique/>
      </w:docPartObj>
    </w:sdtPr>
    <w:sdtEndPr>
      <w:rPr>
        <w:noProof/>
      </w:rPr>
    </w:sdtEndPr>
    <w:sdtContent>
      <w:p w14:paraId="118CA13A" w14:textId="6D3CC89B" w:rsidR="00DE090E" w:rsidRDefault="00DE090E">
        <w:pPr>
          <w:pStyle w:val="Header"/>
          <w:jc w:val="right"/>
        </w:pPr>
        <w:r w:rsidRPr="00A12841">
          <w:t xml:space="preserve">Dey, </w:t>
        </w:r>
        <w:r>
          <w:t xml:space="preserve">Tirtha, </w:t>
        </w:r>
        <w:r w:rsidRPr="00A12841">
          <w:t xml:space="preserve">Eluru, and </w:t>
        </w:r>
        <w:r w:rsidRPr="00A12841">
          <w:rPr>
            <w:sz w:val="23"/>
            <w:szCs w:val="23"/>
          </w:rPr>
          <w:t>Konduri</w:t>
        </w:r>
        <w:r>
          <w:tab/>
        </w:r>
        <w:r>
          <w:tab/>
        </w:r>
        <w:r>
          <w:fldChar w:fldCharType="begin"/>
        </w:r>
        <w:r>
          <w:instrText xml:space="preserve"> PAGE   \* MERGEFORMAT </w:instrText>
        </w:r>
        <w:r>
          <w:fldChar w:fldCharType="separate"/>
        </w:r>
        <w:r>
          <w:rPr>
            <w:noProof/>
          </w:rPr>
          <w:t>24</w:t>
        </w:r>
        <w:r>
          <w:rPr>
            <w:noProof/>
          </w:rPr>
          <w:fldChar w:fldCharType="end"/>
        </w:r>
      </w:p>
    </w:sdtContent>
  </w:sdt>
  <w:p w14:paraId="5B11E7C4" w14:textId="77777777" w:rsidR="00DE090E" w:rsidRDefault="00DE09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923"/>
    <w:multiLevelType w:val="hybridMultilevel"/>
    <w:tmpl w:val="4A481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D4162"/>
    <w:multiLevelType w:val="hybridMultilevel"/>
    <w:tmpl w:val="A3CC3BEE"/>
    <w:lvl w:ilvl="0" w:tplc="170687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316A6"/>
    <w:multiLevelType w:val="hybridMultilevel"/>
    <w:tmpl w:val="4EEAE2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C6DF9"/>
    <w:multiLevelType w:val="multilevel"/>
    <w:tmpl w:val="8D4C48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C6630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3650D14"/>
    <w:multiLevelType w:val="hybridMultilevel"/>
    <w:tmpl w:val="A25ACADE"/>
    <w:lvl w:ilvl="0" w:tplc="287203A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EC5A18"/>
    <w:multiLevelType w:val="hybridMultilevel"/>
    <w:tmpl w:val="A404A922"/>
    <w:lvl w:ilvl="0" w:tplc="FCE0C64E">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8E015F"/>
    <w:multiLevelType w:val="multilevel"/>
    <w:tmpl w:val="9E824AF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5215FEC"/>
    <w:multiLevelType w:val="hybridMultilevel"/>
    <w:tmpl w:val="51080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BC0F3F"/>
    <w:multiLevelType w:val="hybridMultilevel"/>
    <w:tmpl w:val="24C6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C240F5"/>
    <w:multiLevelType w:val="multilevel"/>
    <w:tmpl w:val="9E7EC52C"/>
    <w:lvl w:ilvl="0">
      <w:start w:val="1"/>
      <w:numFmt w:val="decimal"/>
      <w:pStyle w:val="TRBHead1"/>
      <w:suff w:val="space"/>
      <w:lvlText w:val="%1"/>
      <w:lvlJc w:val="left"/>
      <w:pPr>
        <w:ind w:left="288" w:hanging="288"/>
      </w:pPr>
      <w:rPr>
        <w:rFonts w:ascii="Times New Roman" w:hAnsi="Times New Roman" w:hint="default"/>
        <w:sz w:val="24"/>
      </w:rPr>
    </w:lvl>
    <w:lvl w:ilvl="1">
      <w:start w:val="1"/>
      <w:numFmt w:val="decimal"/>
      <w:pStyle w:val="Heading2"/>
      <w:suff w:val="space"/>
      <w:lvlText w:val="%1.%2"/>
      <w:lvlJc w:val="left"/>
      <w:pPr>
        <w:ind w:left="288" w:hanging="288"/>
      </w:pPr>
      <w:rPr>
        <w:rFonts w:ascii="Times New Roman" w:hAnsi="Times New Roman" w:hint="default"/>
        <w:sz w:val="24"/>
      </w:rPr>
    </w:lvl>
    <w:lvl w:ilvl="2">
      <w:start w:val="1"/>
      <w:numFmt w:val="decimal"/>
      <w:pStyle w:val="Heading3"/>
      <w:suff w:val="space"/>
      <w:lvlText w:val="%1.%2.%3"/>
      <w:lvlJc w:val="left"/>
      <w:pPr>
        <w:ind w:left="288" w:hanging="288"/>
      </w:pPr>
      <w:rPr>
        <w:rFonts w:ascii="Times New Roman" w:hAnsi="Times New Roman" w:hint="default"/>
        <w:sz w:val="24"/>
      </w:rPr>
    </w:lvl>
    <w:lvl w:ilvl="3">
      <w:start w:val="1"/>
      <w:numFmt w:val="decimal"/>
      <w:pStyle w:val="Heading4"/>
      <w:suff w:val="space"/>
      <w:lvlText w:val="%1.%2.%3.%4"/>
      <w:lvlJc w:val="left"/>
      <w:pPr>
        <w:ind w:left="288" w:hanging="288"/>
      </w:pPr>
      <w:rPr>
        <w:rFonts w:ascii="Times New Roman" w:hAnsi="Times New Roman" w:hint="default"/>
        <w:sz w:val="24"/>
        <w:szCs w:val="18"/>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3A1323CA"/>
    <w:multiLevelType w:val="hybridMultilevel"/>
    <w:tmpl w:val="C6A2BD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F8726B"/>
    <w:multiLevelType w:val="hybridMultilevel"/>
    <w:tmpl w:val="994ED0A4"/>
    <w:lvl w:ilvl="0" w:tplc="F78682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DE394A"/>
    <w:multiLevelType w:val="hybridMultilevel"/>
    <w:tmpl w:val="E610742A"/>
    <w:lvl w:ilvl="0" w:tplc="AA2868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1667E1"/>
    <w:multiLevelType w:val="hybridMultilevel"/>
    <w:tmpl w:val="9D88E046"/>
    <w:lvl w:ilvl="0" w:tplc="0278157C">
      <w:start w:val="14"/>
      <w:numFmt w:val="decimal"/>
      <w:lvlText w:val="(%1)"/>
      <w:lvlJc w:val="right"/>
      <w:pPr>
        <w:ind w:left="121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C77E5C"/>
    <w:multiLevelType w:val="hybridMultilevel"/>
    <w:tmpl w:val="ADBCB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42522C"/>
    <w:multiLevelType w:val="hybridMultilevel"/>
    <w:tmpl w:val="35D0F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495A49"/>
    <w:multiLevelType w:val="hybridMultilevel"/>
    <w:tmpl w:val="F6A6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314878"/>
    <w:multiLevelType w:val="hybridMultilevel"/>
    <w:tmpl w:val="51080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831797"/>
    <w:multiLevelType w:val="hybridMultilevel"/>
    <w:tmpl w:val="7466D8C0"/>
    <w:lvl w:ilvl="0" w:tplc="AF8AB9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12B81"/>
    <w:multiLevelType w:val="hybridMultilevel"/>
    <w:tmpl w:val="51080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EF669E"/>
    <w:multiLevelType w:val="hybridMultilevel"/>
    <w:tmpl w:val="17068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315FB3"/>
    <w:multiLevelType w:val="hybridMultilevel"/>
    <w:tmpl w:val="D15C4E1A"/>
    <w:lvl w:ilvl="0" w:tplc="179408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9"/>
  </w:num>
  <w:num w:numId="4">
    <w:abstractNumId w:val="21"/>
  </w:num>
  <w:num w:numId="5">
    <w:abstractNumId w:val="16"/>
  </w:num>
  <w:num w:numId="6">
    <w:abstractNumId w:val="0"/>
  </w:num>
  <w:num w:numId="7">
    <w:abstractNumId w:val="17"/>
  </w:num>
  <w:num w:numId="8">
    <w:abstractNumId w:val="3"/>
  </w:num>
  <w:num w:numId="9">
    <w:abstractNumId w:val="6"/>
  </w:num>
  <w:num w:numId="10">
    <w:abstractNumId w:val="15"/>
  </w:num>
  <w:num w:numId="11">
    <w:abstractNumId w:val="20"/>
  </w:num>
  <w:num w:numId="12">
    <w:abstractNumId w:val="18"/>
  </w:num>
  <w:num w:numId="13">
    <w:abstractNumId w:val="8"/>
  </w:num>
  <w:num w:numId="14">
    <w:abstractNumId w:val="4"/>
  </w:num>
  <w:num w:numId="15">
    <w:abstractNumId w:val="5"/>
  </w:num>
  <w:num w:numId="16">
    <w:abstractNumId w:val="1"/>
  </w:num>
  <w:num w:numId="17">
    <w:abstractNumId w:val="19"/>
  </w:num>
  <w:num w:numId="18">
    <w:abstractNumId w:val="14"/>
  </w:num>
  <w:num w:numId="19">
    <w:abstractNumId w:val="22"/>
  </w:num>
  <w:num w:numId="20">
    <w:abstractNumId w:val="12"/>
  </w:num>
  <w:num w:numId="21">
    <w:abstractNumId w:val="13"/>
  </w:num>
  <w:num w:numId="22">
    <w:abstractNumId w:val="7"/>
  </w:num>
  <w:num w:numId="23">
    <w:abstractNumId w:val="10"/>
  </w:num>
  <w:num w:numId="24">
    <w:abstractNumId w:val="10"/>
  </w:num>
  <w:num w:numId="25">
    <w:abstractNumId w:val="1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5"/>
    </w:lvlOverride>
    <w:lvlOverride w:ilvl="1">
      <w:startOverride w:val="1"/>
    </w:lvlOverride>
    <w:lvlOverride w:ilvl="2">
      <w:startOverride w:val="2"/>
    </w:lvlOverride>
    <w:lvlOverride w:ilvl="3">
      <w:startOverride w:val="1"/>
    </w:lvlOverride>
  </w:num>
  <w:num w:numId="28">
    <w:abstractNumId w:val="10"/>
    <w:lvlOverride w:ilvl="0">
      <w:startOverride w:val="5"/>
    </w:lvlOverride>
    <w:lvlOverride w:ilvl="1">
      <w:startOverride w:val="1"/>
    </w:lvlOverride>
    <w:lvlOverride w:ilvl="2">
      <w:startOverride w:val="2"/>
    </w:lvlOverride>
    <w:lvlOverride w:ilvl="3">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activeWritingStyle w:appName="MSWord" w:lang="en-CA" w:vendorID="64" w:dllVersion="0" w:nlCheck="1" w:checkStyle="0"/>
  <w:activeWritingStyle w:appName="MSWord" w:lang="en-CA" w:vendorID="64" w:dllVersion="6" w:nlCheck="1" w:checkStyle="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NDczNLMwMDcztjBS0lEKTi0uzszPAykwMq0FAISmIcYtAAAA"/>
    <w:docVar w:name="EN.InstantFormat" w:val="&lt;ENInstantFormat&gt;&lt;Enabled&gt;1&lt;/Enabled&gt;&lt;ScanUnformatted&gt;1&lt;/ScanUnformatted&gt;&lt;ScanChanges&gt;1&lt;/ScanChanges&gt;&lt;Suspended&gt;0&lt;/Suspended&gt;&lt;/ENInstantFormat&gt;"/>
    <w:docVar w:name="EN.Layout" w:val="&lt;ENLayout&gt;&lt;Style&gt;TR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t2fwvs5dt0r2epfpxpvvdlf2d90rrwpzr9&quot;&gt;FHV_Taxi&lt;record-ids&gt;&lt;item&gt;6&lt;/item&gt;&lt;item&gt;7&lt;/item&gt;&lt;item&gt;9&lt;/item&gt;&lt;item&gt;10&lt;/item&gt;&lt;item&gt;13&lt;/item&gt;&lt;item&gt;14&lt;/item&gt;&lt;item&gt;15&lt;/item&gt;&lt;item&gt;18&lt;/item&gt;&lt;item&gt;19&lt;/item&gt;&lt;item&gt;21&lt;/item&gt;&lt;item&gt;23&lt;/item&gt;&lt;item&gt;24&lt;/item&gt;&lt;item&gt;26&lt;/item&gt;&lt;item&gt;27&lt;/item&gt;&lt;item&gt;28&lt;/item&gt;&lt;item&gt;32&lt;/item&gt;&lt;item&gt;38&lt;/item&gt;&lt;item&gt;39&lt;/item&gt;&lt;item&gt;41&lt;/item&gt;&lt;item&gt;42&lt;/item&gt;&lt;item&gt;43&lt;/item&gt;&lt;item&gt;44&lt;/item&gt;&lt;item&gt;45&lt;/item&gt;&lt;item&gt;46&lt;/item&gt;&lt;item&gt;47&lt;/item&gt;&lt;item&gt;48&lt;/item&gt;&lt;item&gt;49&lt;/item&gt;&lt;item&gt;51&lt;/item&gt;&lt;item&gt;52&lt;/item&gt;&lt;item&gt;53&lt;/item&gt;&lt;item&gt;54&lt;/item&gt;&lt;item&gt;55&lt;/item&gt;&lt;item&gt;60&lt;/item&gt;&lt;item&gt;61&lt;/item&gt;&lt;item&gt;65&lt;/item&gt;&lt;item&gt;68&lt;/item&gt;&lt;item&gt;74&lt;/item&gt;&lt;item&gt;81&lt;/item&gt;&lt;item&gt;85&lt;/item&gt;&lt;item&gt;86&lt;/item&gt;&lt;item&gt;87&lt;/item&gt;&lt;item&gt;88&lt;/item&gt;&lt;item&gt;91&lt;/item&gt;&lt;item&gt;93&lt;/item&gt;&lt;item&gt;96&lt;/item&gt;&lt;/record-ids&gt;&lt;/item&gt;&lt;/Libraries&gt;"/>
  </w:docVars>
  <w:rsids>
    <w:rsidRoot w:val="002D6397"/>
    <w:rsid w:val="00002418"/>
    <w:rsid w:val="00002D2E"/>
    <w:rsid w:val="00003190"/>
    <w:rsid w:val="00003B63"/>
    <w:rsid w:val="0000423D"/>
    <w:rsid w:val="00004822"/>
    <w:rsid w:val="00004EE6"/>
    <w:rsid w:val="00005673"/>
    <w:rsid w:val="00007D56"/>
    <w:rsid w:val="000111BD"/>
    <w:rsid w:val="0001175D"/>
    <w:rsid w:val="00012696"/>
    <w:rsid w:val="000130F8"/>
    <w:rsid w:val="00013792"/>
    <w:rsid w:val="00013875"/>
    <w:rsid w:val="000156E5"/>
    <w:rsid w:val="00015A06"/>
    <w:rsid w:val="000176CF"/>
    <w:rsid w:val="00020CA7"/>
    <w:rsid w:val="00021544"/>
    <w:rsid w:val="00021766"/>
    <w:rsid w:val="000218A4"/>
    <w:rsid w:val="000247D3"/>
    <w:rsid w:val="00024A3F"/>
    <w:rsid w:val="00024BF6"/>
    <w:rsid w:val="00025B29"/>
    <w:rsid w:val="00025EFE"/>
    <w:rsid w:val="000303A1"/>
    <w:rsid w:val="00030A56"/>
    <w:rsid w:val="00030DB0"/>
    <w:rsid w:val="000314EE"/>
    <w:rsid w:val="000315AA"/>
    <w:rsid w:val="000332DB"/>
    <w:rsid w:val="00033653"/>
    <w:rsid w:val="00033AF5"/>
    <w:rsid w:val="000343B6"/>
    <w:rsid w:val="00034482"/>
    <w:rsid w:val="000357E2"/>
    <w:rsid w:val="00036505"/>
    <w:rsid w:val="00040B81"/>
    <w:rsid w:val="000410CD"/>
    <w:rsid w:val="000413B0"/>
    <w:rsid w:val="00041869"/>
    <w:rsid w:val="000436BE"/>
    <w:rsid w:val="00043835"/>
    <w:rsid w:val="00043C70"/>
    <w:rsid w:val="000461DC"/>
    <w:rsid w:val="00050192"/>
    <w:rsid w:val="00050E00"/>
    <w:rsid w:val="00051AD5"/>
    <w:rsid w:val="00052D18"/>
    <w:rsid w:val="000540D9"/>
    <w:rsid w:val="00054DAB"/>
    <w:rsid w:val="00055C8A"/>
    <w:rsid w:val="00056117"/>
    <w:rsid w:val="00060A4A"/>
    <w:rsid w:val="00061625"/>
    <w:rsid w:val="0006237C"/>
    <w:rsid w:val="000623DC"/>
    <w:rsid w:val="000626E9"/>
    <w:rsid w:val="00062A36"/>
    <w:rsid w:val="0006442D"/>
    <w:rsid w:val="00064FC9"/>
    <w:rsid w:val="000669A8"/>
    <w:rsid w:val="000670AF"/>
    <w:rsid w:val="000676F0"/>
    <w:rsid w:val="000679D0"/>
    <w:rsid w:val="00067E9A"/>
    <w:rsid w:val="00070743"/>
    <w:rsid w:val="00070AA6"/>
    <w:rsid w:val="000710D0"/>
    <w:rsid w:val="00073697"/>
    <w:rsid w:val="000737DE"/>
    <w:rsid w:val="00074376"/>
    <w:rsid w:val="00075097"/>
    <w:rsid w:val="0007652B"/>
    <w:rsid w:val="00076AF1"/>
    <w:rsid w:val="000819BD"/>
    <w:rsid w:val="00082E6B"/>
    <w:rsid w:val="0008367E"/>
    <w:rsid w:val="0008414A"/>
    <w:rsid w:val="000843B6"/>
    <w:rsid w:val="000847ED"/>
    <w:rsid w:val="000849FD"/>
    <w:rsid w:val="000862F1"/>
    <w:rsid w:val="00086894"/>
    <w:rsid w:val="000875D2"/>
    <w:rsid w:val="00087D35"/>
    <w:rsid w:val="0009016F"/>
    <w:rsid w:val="00091921"/>
    <w:rsid w:val="00091D86"/>
    <w:rsid w:val="00096306"/>
    <w:rsid w:val="000967D2"/>
    <w:rsid w:val="00096BC3"/>
    <w:rsid w:val="00096EAC"/>
    <w:rsid w:val="000975C0"/>
    <w:rsid w:val="00097B33"/>
    <w:rsid w:val="00097FE0"/>
    <w:rsid w:val="000A062E"/>
    <w:rsid w:val="000A1D37"/>
    <w:rsid w:val="000A1D54"/>
    <w:rsid w:val="000A22C8"/>
    <w:rsid w:val="000A22E4"/>
    <w:rsid w:val="000A28E0"/>
    <w:rsid w:val="000A38F0"/>
    <w:rsid w:val="000A5C98"/>
    <w:rsid w:val="000A6203"/>
    <w:rsid w:val="000A6837"/>
    <w:rsid w:val="000A6A55"/>
    <w:rsid w:val="000A7100"/>
    <w:rsid w:val="000A7595"/>
    <w:rsid w:val="000A7774"/>
    <w:rsid w:val="000B09EE"/>
    <w:rsid w:val="000B16B5"/>
    <w:rsid w:val="000B189F"/>
    <w:rsid w:val="000B2199"/>
    <w:rsid w:val="000B2F16"/>
    <w:rsid w:val="000B570B"/>
    <w:rsid w:val="000B5D74"/>
    <w:rsid w:val="000C1DAA"/>
    <w:rsid w:val="000C2FC1"/>
    <w:rsid w:val="000C3713"/>
    <w:rsid w:val="000C4483"/>
    <w:rsid w:val="000C4923"/>
    <w:rsid w:val="000C555F"/>
    <w:rsid w:val="000C5590"/>
    <w:rsid w:val="000C736B"/>
    <w:rsid w:val="000C77A1"/>
    <w:rsid w:val="000D0185"/>
    <w:rsid w:val="000D1C4B"/>
    <w:rsid w:val="000D403E"/>
    <w:rsid w:val="000D645F"/>
    <w:rsid w:val="000D7420"/>
    <w:rsid w:val="000D7763"/>
    <w:rsid w:val="000D7776"/>
    <w:rsid w:val="000E0183"/>
    <w:rsid w:val="000E0911"/>
    <w:rsid w:val="000E1599"/>
    <w:rsid w:val="000E1A22"/>
    <w:rsid w:val="000E1A5C"/>
    <w:rsid w:val="000E3622"/>
    <w:rsid w:val="000E4359"/>
    <w:rsid w:val="000E4B81"/>
    <w:rsid w:val="000E7D2D"/>
    <w:rsid w:val="000F12B7"/>
    <w:rsid w:val="000F16D9"/>
    <w:rsid w:val="000F2DD3"/>
    <w:rsid w:val="000F395B"/>
    <w:rsid w:val="000F405E"/>
    <w:rsid w:val="000F408B"/>
    <w:rsid w:val="000F5CA4"/>
    <w:rsid w:val="000F5D54"/>
    <w:rsid w:val="000F7626"/>
    <w:rsid w:val="00101643"/>
    <w:rsid w:val="00101BAC"/>
    <w:rsid w:val="00110FB3"/>
    <w:rsid w:val="00112EB8"/>
    <w:rsid w:val="00113759"/>
    <w:rsid w:val="00114DE7"/>
    <w:rsid w:val="001153E3"/>
    <w:rsid w:val="00120689"/>
    <w:rsid w:val="001207D8"/>
    <w:rsid w:val="00122BC8"/>
    <w:rsid w:val="001232AF"/>
    <w:rsid w:val="00125974"/>
    <w:rsid w:val="0012678F"/>
    <w:rsid w:val="0012679B"/>
    <w:rsid w:val="00126AF2"/>
    <w:rsid w:val="00126DAD"/>
    <w:rsid w:val="00127107"/>
    <w:rsid w:val="001300A4"/>
    <w:rsid w:val="0013018C"/>
    <w:rsid w:val="0013075C"/>
    <w:rsid w:val="00130DEA"/>
    <w:rsid w:val="00131754"/>
    <w:rsid w:val="001327A0"/>
    <w:rsid w:val="00133084"/>
    <w:rsid w:val="001338B1"/>
    <w:rsid w:val="001359F3"/>
    <w:rsid w:val="001368AC"/>
    <w:rsid w:val="00136C4F"/>
    <w:rsid w:val="001376C2"/>
    <w:rsid w:val="00140E83"/>
    <w:rsid w:val="00141004"/>
    <w:rsid w:val="001415CC"/>
    <w:rsid w:val="00144DAF"/>
    <w:rsid w:val="0014656B"/>
    <w:rsid w:val="00146B12"/>
    <w:rsid w:val="001476FF"/>
    <w:rsid w:val="001513AE"/>
    <w:rsid w:val="0015165A"/>
    <w:rsid w:val="001517F0"/>
    <w:rsid w:val="001519EB"/>
    <w:rsid w:val="00151AFD"/>
    <w:rsid w:val="00152B34"/>
    <w:rsid w:val="00153C31"/>
    <w:rsid w:val="001562ED"/>
    <w:rsid w:val="0015653F"/>
    <w:rsid w:val="0015768F"/>
    <w:rsid w:val="001611D0"/>
    <w:rsid w:val="00162702"/>
    <w:rsid w:val="00162D7C"/>
    <w:rsid w:val="00163DC8"/>
    <w:rsid w:val="00171CF3"/>
    <w:rsid w:val="00172E29"/>
    <w:rsid w:val="00173E60"/>
    <w:rsid w:val="001748C8"/>
    <w:rsid w:val="00175847"/>
    <w:rsid w:val="0018082F"/>
    <w:rsid w:val="00180D53"/>
    <w:rsid w:val="00181764"/>
    <w:rsid w:val="0018249F"/>
    <w:rsid w:val="0018356B"/>
    <w:rsid w:val="001862E6"/>
    <w:rsid w:val="001870F6"/>
    <w:rsid w:val="00187C04"/>
    <w:rsid w:val="001904F3"/>
    <w:rsid w:val="001908A8"/>
    <w:rsid w:val="00190E60"/>
    <w:rsid w:val="00190E87"/>
    <w:rsid w:val="00190EE5"/>
    <w:rsid w:val="0019190A"/>
    <w:rsid w:val="00191F2A"/>
    <w:rsid w:val="00192139"/>
    <w:rsid w:val="0019552C"/>
    <w:rsid w:val="00195BDC"/>
    <w:rsid w:val="001968F8"/>
    <w:rsid w:val="001A12ED"/>
    <w:rsid w:val="001A1F40"/>
    <w:rsid w:val="001A205E"/>
    <w:rsid w:val="001A2B6D"/>
    <w:rsid w:val="001A30E6"/>
    <w:rsid w:val="001A3CAC"/>
    <w:rsid w:val="001A40F4"/>
    <w:rsid w:val="001A4DC7"/>
    <w:rsid w:val="001A5A74"/>
    <w:rsid w:val="001A67C7"/>
    <w:rsid w:val="001A6CE1"/>
    <w:rsid w:val="001A7A35"/>
    <w:rsid w:val="001B017C"/>
    <w:rsid w:val="001B79CF"/>
    <w:rsid w:val="001C1049"/>
    <w:rsid w:val="001C375C"/>
    <w:rsid w:val="001C49CC"/>
    <w:rsid w:val="001C55E2"/>
    <w:rsid w:val="001C7A13"/>
    <w:rsid w:val="001D0E39"/>
    <w:rsid w:val="001D2471"/>
    <w:rsid w:val="001D2FAC"/>
    <w:rsid w:val="001D479C"/>
    <w:rsid w:val="001D7A3A"/>
    <w:rsid w:val="001D7D6D"/>
    <w:rsid w:val="001E151C"/>
    <w:rsid w:val="001E19F6"/>
    <w:rsid w:val="001E2F36"/>
    <w:rsid w:val="001E4EA5"/>
    <w:rsid w:val="001E55FB"/>
    <w:rsid w:val="001E7B61"/>
    <w:rsid w:val="001F214F"/>
    <w:rsid w:val="001F3F39"/>
    <w:rsid w:val="001F408E"/>
    <w:rsid w:val="001F5D00"/>
    <w:rsid w:val="001F60B9"/>
    <w:rsid w:val="001F72A2"/>
    <w:rsid w:val="00201A43"/>
    <w:rsid w:val="00201BDA"/>
    <w:rsid w:val="0020450F"/>
    <w:rsid w:val="00204513"/>
    <w:rsid w:val="00204E95"/>
    <w:rsid w:val="00205351"/>
    <w:rsid w:val="0021174C"/>
    <w:rsid w:val="002126DD"/>
    <w:rsid w:val="002141A1"/>
    <w:rsid w:val="00217592"/>
    <w:rsid w:val="00220A12"/>
    <w:rsid w:val="00220E94"/>
    <w:rsid w:val="00221B67"/>
    <w:rsid w:val="00223C97"/>
    <w:rsid w:val="00223FD7"/>
    <w:rsid w:val="00224AA5"/>
    <w:rsid w:val="00225250"/>
    <w:rsid w:val="00225A69"/>
    <w:rsid w:val="00225AFF"/>
    <w:rsid w:val="002264E9"/>
    <w:rsid w:val="00226FAC"/>
    <w:rsid w:val="0022727E"/>
    <w:rsid w:val="00227E29"/>
    <w:rsid w:val="002300E6"/>
    <w:rsid w:val="0023181D"/>
    <w:rsid w:val="0023365D"/>
    <w:rsid w:val="00234CB0"/>
    <w:rsid w:val="00235CCF"/>
    <w:rsid w:val="00237D66"/>
    <w:rsid w:val="0024127E"/>
    <w:rsid w:val="002413A4"/>
    <w:rsid w:val="00241492"/>
    <w:rsid w:val="00243B35"/>
    <w:rsid w:val="00244CB8"/>
    <w:rsid w:val="002459AB"/>
    <w:rsid w:val="002463FC"/>
    <w:rsid w:val="00246958"/>
    <w:rsid w:val="002470DC"/>
    <w:rsid w:val="00247C75"/>
    <w:rsid w:val="002525A9"/>
    <w:rsid w:val="00252D5E"/>
    <w:rsid w:val="002540F6"/>
    <w:rsid w:val="00255740"/>
    <w:rsid w:val="00257349"/>
    <w:rsid w:val="00257667"/>
    <w:rsid w:val="00257A38"/>
    <w:rsid w:val="00260D86"/>
    <w:rsid w:val="00261A56"/>
    <w:rsid w:val="00261B48"/>
    <w:rsid w:val="00261D08"/>
    <w:rsid w:val="00261EF2"/>
    <w:rsid w:val="00262701"/>
    <w:rsid w:val="00262C6B"/>
    <w:rsid w:val="0026353C"/>
    <w:rsid w:val="00263B1B"/>
    <w:rsid w:val="002643AE"/>
    <w:rsid w:val="002649E8"/>
    <w:rsid w:val="00264B0A"/>
    <w:rsid w:val="00265306"/>
    <w:rsid w:val="00265F21"/>
    <w:rsid w:val="00266F99"/>
    <w:rsid w:val="002673C6"/>
    <w:rsid w:val="00267745"/>
    <w:rsid w:val="00275DA5"/>
    <w:rsid w:val="00280C51"/>
    <w:rsid w:val="00280DFD"/>
    <w:rsid w:val="00280FC8"/>
    <w:rsid w:val="002810B5"/>
    <w:rsid w:val="002814EF"/>
    <w:rsid w:val="002814FD"/>
    <w:rsid w:val="0028182F"/>
    <w:rsid w:val="00282AB3"/>
    <w:rsid w:val="002839D7"/>
    <w:rsid w:val="002846DB"/>
    <w:rsid w:val="00285DBC"/>
    <w:rsid w:val="00285F49"/>
    <w:rsid w:val="0028670E"/>
    <w:rsid w:val="00287261"/>
    <w:rsid w:val="00287673"/>
    <w:rsid w:val="00287BEC"/>
    <w:rsid w:val="00293CB8"/>
    <w:rsid w:val="00294E7B"/>
    <w:rsid w:val="0029544E"/>
    <w:rsid w:val="0029777D"/>
    <w:rsid w:val="002A136C"/>
    <w:rsid w:val="002A162B"/>
    <w:rsid w:val="002A27A0"/>
    <w:rsid w:val="002A2CFD"/>
    <w:rsid w:val="002A431B"/>
    <w:rsid w:val="002A5192"/>
    <w:rsid w:val="002A51BF"/>
    <w:rsid w:val="002A69A9"/>
    <w:rsid w:val="002A6E1C"/>
    <w:rsid w:val="002A71D6"/>
    <w:rsid w:val="002B3B84"/>
    <w:rsid w:val="002B3BF3"/>
    <w:rsid w:val="002B3F5F"/>
    <w:rsid w:val="002B43E1"/>
    <w:rsid w:val="002B786E"/>
    <w:rsid w:val="002C0DB7"/>
    <w:rsid w:val="002C1538"/>
    <w:rsid w:val="002C1CCD"/>
    <w:rsid w:val="002C3309"/>
    <w:rsid w:val="002C3A0B"/>
    <w:rsid w:val="002C6783"/>
    <w:rsid w:val="002C687A"/>
    <w:rsid w:val="002C7BEA"/>
    <w:rsid w:val="002D0467"/>
    <w:rsid w:val="002D1204"/>
    <w:rsid w:val="002D2195"/>
    <w:rsid w:val="002D5A3A"/>
    <w:rsid w:val="002D6397"/>
    <w:rsid w:val="002D7D80"/>
    <w:rsid w:val="002D7E5F"/>
    <w:rsid w:val="002E3A59"/>
    <w:rsid w:val="002E3F8D"/>
    <w:rsid w:val="002E4038"/>
    <w:rsid w:val="002E4095"/>
    <w:rsid w:val="002E4E2F"/>
    <w:rsid w:val="002E55DC"/>
    <w:rsid w:val="002E75E0"/>
    <w:rsid w:val="002E7730"/>
    <w:rsid w:val="002E780A"/>
    <w:rsid w:val="002F07E0"/>
    <w:rsid w:val="002F0E61"/>
    <w:rsid w:val="002F33AC"/>
    <w:rsid w:val="002F3678"/>
    <w:rsid w:val="002F5664"/>
    <w:rsid w:val="002F602D"/>
    <w:rsid w:val="002F6AB0"/>
    <w:rsid w:val="002F6CF7"/>
    <w:rsid w:val="002F7CA2"/>
    <w:rsid w:val="00300A49"/>
    <w:rsid w:val="0030110C"/>
    <w:rsid w:val="00301245"/>
    <w:rsid w:val="0030169D"/>
    <w:rsid w:val="00301772"/>
    <w:rsid w:val="00302A6B"/>
    <w:rsid w:val="00304BB5"/>
    <w:rsid w:val="00305777"/>
    <w:rsid w:val="00305BEE"/>
    <w:rsid w:val="00307722"/>
    <w:rsid w:val="0031077C"/>
    <w:rsid w:val="00310E55"/>
    <w:rsid w:val="00311429"/>
    <w:rsid w:val="003114AF"/>
    <w:rsid w:val="00311D62"/>
    <w:rsid w:val="0031212F"/>
    <w:rsid w:val="00312518"/>
    <w:rsid w:val="0031373C"/>
    <w:rsid w:val="00313CE3"/>
    <w:rsid w:val="00313F1F"/>
    <w:rsid w:val="0031448E"/>
    <w:rsid w:val="003149EF"/>
    <w:rsid w:val="00315012"/>
    <w:rsid w:val="0031601F"/>
    <w:rsid w:val="00317242"/>
    <w:rsid w:val="003172B1"/>
    <w:rsid w:val="0031771D"/>
    <w:rsid w:val="003201A0"/>
    <w:rsid w:val="00320B21"/>
    <w:rsid w:val="00320D4B"/>
    <w:rsid w:val="00321A06"/>
    <w:rsid w:val="00322E50"/>
    <w:rsid w:val="0032353B"/>
    <w:rsid w:val="003237EC"/>
    <w:rsid w:val="00325F7E"/>
    <w:rsid w:val="00326AE4"/>
    <w:rsid w:val="0033092E"/>
    <w:rsid w:val="003312EF"/>
    <w:rsid w:val="00331F04"/>
    <w:rsid w:val="00332B1F"/>
    <w:rsid w:val="00335F86"/>
    <w:rsid w:val="003378F5"/>
    <w:rsid w:val="00337CF6"/>
    <w:rsid w:val="003409B9"/>
    <w:rsid w:val="003430B8"/>
    <w:rsid w:val="00344692"/>
    <w:rsid w:val="0034564D"/>
    <w:rsid w:val="00345C3D"/>
    <w:rsid w:val="003460E2"/>
    <w:rsid w:val="0034773D"/>
    <w:rsid w:val="00347959"/>
    <w:rsid w:val="00347A96"/>
    <w:rsid w:val="00347B8C"/>
    <w:rsid w:val="00350072"/>
    <w:rsid w:val="00350E2F"/>
    <w:rsid w:val="00352289"/>
    <w:rsid w:val="00353059"/>
    <w:rsid w:val="00355501"/>
    <w:rsid w:val="0035564E"/>
    <w:rsid w:val="00357262"/>
    <w:rsid w:val="00357296"/>
    <w:rsid w:val="003608DC"/>
    <w:rsid w:val="00363C6B"/>
    <w:rsid w:val="00364F2F"/>
    <w:rsid w:val="003665CD"/>
    <w:rsid w:val="00370926"/>
    <w:rsid w:val="00370A30"/>
    <w:rsid w:val="00374067"/>
    <w:rsid w:val="00374ACB"/>
    <w:rsid w:val="00374FA2"/>
    <w:rsid w:val="00375025"/>
    <w:rsid w:val="00376346"/>
    <w:rsid w:val="003776A5"/>
    <w:rsid w:val="00380BCF"/>
    <w:rsid w:val="00382222"/>
    <w:rsid w:val="003844D6"/>
    <w:rsid w:val="00384BA3"/>
    <w:rsid w:val="00385295"/>
    <w:rsid w:val="003858BA"/>
    <w:rsid w:val="003861B0"/>
    <w:rsid w:val="00386626"/>
    <w:rsid w:val="0038782E"/>
    <w:rsid w:val="00387D5A"/>
    <w:rsid w:val="00393C82"/>
    <w:rsid w:val="003940C8"/>
    <w:rsid w:val="00394859"/>
    <w:rsid w:val="0039557D"/>
    <w:rsid w:val="00395D51"/>
    <w:rsid w:val="00397149"/>
    <w:rsid w:val="00397317"/>
    <w:rsid w:val="00397706"/>
    <w:rsid w:val="003A3CFD"/>
    <w:rsid w:val="003A7513"/>
    <w:rsid w:val="003B0B04"/>
    <w:rsid w:val="003B0B0E"/>
    <w:rsid w:val="003B3020"/>
    <w:rsid w:val="003B42AD"/>
    <w:rsid w:val="003B444E"/>
    <w:rsid w:val="003B4837"/>
    <w:rsid w:val="003B5968"/>
    <w:rsid w:val="003B6512"/>
    <w:rsid w:val="003C09D6"/>
    <w:rsid w:val="003C319E"/>
    <w:rsid w:val="003C587D"/>
    <w:rsid w:val="003C60A0"/>
    <w:rsid w:val="003D0643"/>
    <w:rsid w:val="003D0EA8"/>
    <w:rsid w:val="003D1331"/>
    <w:rsid w:val="003D1939"/>
    <w:rsid w:val="003D25B9"/>
    <w:rsid w:val="003D2FEE"/>
    <w:rsid w:val="003D5E6A"/>
    <w:rsid w:val="003D66CB"/>
    <w:rsid w:val="003D6A67"/>
    <w:rsid w:val="003E0D2C"/>
    <w:rsid w:val="003E106F"/>
    <w:rsid w:val="003E1790"/>
    <w:rsid w:val="003E389D"/>
    <w:rsid w:val="003E3BDA"/>
    <w:rsid w:val="003E4472"/>
    <w:rsid w:val="003E454E"/>
    <w:rsid w:val="003E4D9F"/>
    <w:rsid w:val="003E5B62"/>
    <w:rsid w:val="003E5E8B"/>
    <w:rsid w:val="003E6765"/>
    <w:rsid w:val="003E7097"/>
    <w:rsid w:val="003F012B"/>
    <w:rsid w:val="003F0497"/>
    <w:rsid w:val="003F0AD0"/>
    <w:rsid w:val="003F2019"/>
    <w:rsid w:val="003F2EBB"/>
    <w:rsid w:val="003F2F71"/>
    <w:rsid w:val="003F3DC3"/>
    <w:rsid w:val="003F45D5"/>
    <w:rsid w:val="003F5B17"/>
    <w:rsid w:val="003F5F2A"/>
    <w:rsid w:val="003F612A"/>
    <w:rsid w:val="003F6228"/>
    <w:rsid w:val="003F6CE0"/>
    <w:rsid w:val="003F7364"/>
    <w:rsid w:val="003F7D3F"/>
    <w:rsid w:val="004007FB"/>
    <w:rsid w:val="00400888"/>
    <w:rsid w:val="004011CD"/>
    <w:rsid w:val="0040185D"/>
    <w:rsid w:val="00403487"/>
    <w:rsid w:val="0040352F"/>
    <w:rsid w:val="00404F8C"/>
    <w:rsid w:val="004058A6"/>
    <w:rsid w:val="0040679F"/>
    <w:rsid w:val="00406EFD"/>
    <w:rsid w:val="00407790"/>
    <w:rsid w:val="00410D80"/>
    <w:rsid w:val="004112E0"/>
    <w:rsid w:val="0041160A"/>
    <w:rsid w:val="0041226E"/>
    <w:rsid w:val="004130D6"/>
    <w:rsid w:val="00413432"/>
    <w:rsid w:val="00414F94"/>
    <w:rsid w:val="00420285"/>
    <w:rsid w:val="004209A1"/>
    <w:rsid w:val="004213D8"/>
    <w:rsid w:val="0042247B"/>
    <w:rsid w:val="00423357"/>
    <w:rsid w:val="00424AD1"/>
    <w:rsid w:val="00425A89"/>
    <w:rsid w:val="00425BE8"/>
    <w:rsid w:val="00425EEE"/>
    <w:rsid w:val="00426505"/>
    <w:rsid w:val="004279F9"/>
    <w:rsid w:val="00431437"/>
    <w:rsid w:val="004327EC"/>
    <w:rsid w:val="0043332F"/>
    <w:rsid w:val="0043410B"/>
    <w:rsid w:val="00434479"/>
    <w:rsid w:val="00434A5C"/>
    <w:rsid w:val="0043514C"/>
    <w:rsid w:val="004352CC"/>
    <w:rsid w:val="0043700B"/>
    <w:rsid w:val="0043710C"/>
    <w:rsid w:val="00440CFE"/>
    <w:rsid w:val="004419C2"/>
    <w:rsid w:val="00443373"/>
    <w:rsid w:val="00443D84"/>
    <w:rsid w:val="00445B4F"/>
    <w:rsid w:val="00446B3D"/>
    <w:rsid w:val="00451495"/>
    <w:rsid w:val="00451AB5"/>
    <w:rsid w:val="004521CE"/>
    <w:rsid w:val="00452FF4"/>
    <w:rsid w:val="00454CBA"/>
    <w:rsid w:val="00454F28"/>
    <w:rsid w:val="00455046"/>
    <w:rsid w:val="00460E25"/>
    <w:rsid w:val="00461D65"/>
    <w:rsid w:val="00464AE8"/>
    <w:rsid w:val="004654CB"/>
    <w:rsid w:val="00466B20"/>
    <w:rsid w:val="00466B84"/>
    <w:rsid w:val="004671D1"/>
    <w:rsid w:val="00467850"/>
    <w:rsid w:val="0047006B"/>
    <w:rsid w:val="0047026F"/>
    <w:rsid w:val="00471999"/>
    <w:rsid w:val="00475A09"/>
    <w:rsid w:val="004805AE"/>
    <w:rsid w:val="004815C3"/>
    <w:rsid w:val="004826C5"/>
    <w:rsid w:val="00483A41"/>
    <w:rsid w:val="004844F6"/>
    <w:rsid w:val="00484C9F"/>
    <w:rsid w:val="00487F3D"/>
    <w:rsid w:val="00490477"/>
    <w:rsid w:val="00491166"/>
    <w:rsid w:val="00491833"/>
    <w:rsid w:val="00492C90"/>
    <w:rsid w:val="004930D8"/>
    <w:rsid w:val="0049377D"/>
    <w:rsid w:val="00494346"/>
    <w:rsid w:val="004948AE"/>
    <w:rsid w:val="00496429"/>
    <w:rsid w:val="00497095"/>
    <w:rsid w:val="004A0E6D"/>
    <w:rsid w:val="004A1F02"/>
    <w:rsid w:val="004A33CC"/>
    <w:rsid w:val="004A3A7E"/>
    <w:rsid w:val="004A416F"/>
    <w:rsid w:val="004A42B0"/>
    <w:rsid w:val="004A4315"/>
    <w:rsid w:val="004A4A17"/>
    <w:rsid w:val="004A7057"/>
    <w:rsid w:val="004A7F9D"/>
    <w:rsid w:val="004B131A"/>
    <w:rsid w:val="004B2EDD"/>
    <w:rsid w:val="004B343D"/>
    <w:rsid w:val="004B36B6"/>
    <w:rsid w:val="004B450E"/>
    <w:rsid w:val="004B5AB3"/>
    <w:rsid w:val="004B5EA0"/>
    <w:rsid w:val="004B6F07"/>
    <w:rsid w:val="004C1170"/>
    <w:rsid w:val="004C226D"/>
    <w:rsid w:val="004C2B6D"/>
    <w:rsid w:val="004C3283"/>
    <w:rsid w:val="004C40BD"/>
    <w:rsid w:val="004C4261"/>
    <w:rsid w:val="004C4626"/>
    <w:rsid w:val="004C58D6"/>
    <w:rsid w:val="004C6667"/>
    <w:rsid w:val="004C7E76"/>
    <w:rsid w:val="004D0AB6"/>
    <w:rsid w:val="004D1176"/>
    <w:rsid w:val="004D18E5"/>
    <w:rsid w:val="004D1B14"/>
    <w:rsid w:val="004D297E"/>
    <w:rsid w:val="004D6059"/>
    <w:rsid w:val="004D6EEB"/>
    <w:rsid w:val="004D750B"/>
    <w:rsid w:val="004D7CED"/>
    <w:rsid w:val="004E2702"/>
    <w:rsid w:val="004E2D65"/>
    <w:rsid w:val="004E2FE1"/>
    <w:rsid w:val="004E3550"/>
    <w:rsid w:val="004E5833"/>
    <w:rsid w:val="004E7146"/>
    <w:rsid w:val="004F0BDD"/>
    <w:rsid w:val="004F45F8"/>
    <w:rsid w:val="004F5A92"/>
    <w:rsid w:val="004F5F0A"/>
    <w:rsid w:val="004F6AF9"/>
    <w:rsid w:val="004F7486"/>
    <w:rsid w:val="004F7E32"/>
    <w:rsid w:val="00500D9E"/>
    <w:rsid w:val="00501227"/>
    <w:rsid w:val="00501926"/>
    <w:rsid w:val="00502277"/>
    <w:rsid w:val="00502406"/>
    <w:rsid w:val="00504C53"/>
    <w:rsid w:val="005058A8"/>
    <w:rsid w:val="00505B01"/>
    <w:rsid w:val="00506466"/>
    <w:rsid w:val="00507330"/>
    <w:rsid w:val="00507579"/>
    <w:rsid w:val="005115DF"/>
    <w:rsid w:val="00511BDE"/>
    <w:rsid w:val="00512324"/>
    <w:rsid w:val="005130B3"/>
    <w:rsid w:val="00516488"/>
    <w:rsid w:val="005168C3"/>
    <w:rsid w:val="00520355"/>
    <w:rsid w:val="00520759"/>
    <w:rsid w:val="00520AF4"/>
    <w:rsid w:val="00521467"/>
    <w:rsid w:val="005221AA"/>
    <w:rsid w:val="0052243C"/>
    <w:rsid w:val="005235C3"/>
    <w:rsid w:val="00523AC9"/>
    <w:rsid w:val="00524CF6"/>
    <w:rsid w:val="00527CBB"/>
    <w:rsid w:val="00530E32"/>
    <w:rsid w:val="0053603D"/>
    <w:rsid w:val="0053615F"/>
    <w:rsid w:val="00537CF9"/>
    <w:rsid w:val="0054341A"/>
    <w:rsid w:val="005439A8"/>
    <w:rsid w:val="00547A61"/>
    <w:rsid w:val="00551234"/>
    <w:rsid w:val="00554099"/>
    <w:rsid w:val="005558C1"/>
    <w:rsid w:val="0055602C"/>
    <w:rsid w:val="0055605F"/>
    <w:rsid w:val="00557885"/>
    <w:rsid w:val="00560BDF"/>
    <w:rsid w:val="00561386"/>
    <w:rsid w:val="005622D9"/>
    <w:rsid w:val="00565BFD"/>
    <w:rsid w:val="00565EF4"/>
    <w:rsid w:val="00570498"/>
    <w:rsid w:val="005705C0"/>
    <w:rsid w:val="005713B5"/>
    <w:rsid w:val="00571FC7"/>
    <w:rsid w:val="00572BAB"/>
    <w:rsid w:val="00573013"/>
    <w:rsid w:val="00573A35"/>
    <w:rsid w:val="0057433E"/>
    <w:rsid w:val="005753B2"/>
    <w:rsid w:val="00576969"/>
    <w:rsid w:val="005769F5"/>
    <w:rsid w:val="00576F75"/>
    <w:rsid w:val="005777EA"/>
    <w:rsid w:val="0058093C"/>
    <w:rsid w:val="0058168E"/>
    <w:rsid w:val="00582CF2"/>
    <w:rsid w:val="0058366E"/>
    <w:rsid w:val="005836CE"/>
    <w:rsid w:val="0058435D"/>
    <w:rsid w:val="005856C4"/>
    <w:rsid w:val="005870AD"/>
    <w:rsid w:val="00587321"/>
    <w:rsid w:val="00587466"/>
    <w:rsid w:val="00590B45"/>
    <w:rsid w:val="00591875"/>
    <w:rsid w:val="005919FD"/>
    <w:rsid w:val="00594399"/>
    <w:rsid w:val="00597482"/>
    <w:rsid w:val="0059758A"/>
    <w:rsid w:val="005A266C"/>
    <w:rsid w:val="005A325B"/>
    <w:rsid w:val="005A34C1"/>
    <w:rsid w:val="005A361D"/>
    <w:rsid w:val="005A3C2D"/>
    <w:rsid w:val="005A5379"/>
    <w:rsid w:val="005B163B"/>
    <w:rsid w:val="005B4B61"/>
    <w:rsid w:val="005B51E3"/>
    <w:rsid w:val="005B52B5"/>
    <w:rsid w:val="005B57CE"/>
    <w:rsid w:val="005C060D"/>
    <w:rsid w:val="005C0A87"/>
    <w:rsid w:val="005C2756"/>
    <w:rsid w:val="005C2A99"/>
    <w:rsid w:val="005C2E4E"/>
    <w:rsid w:val="005C36C2"/>
    <w:rsid w:val="005C5924"/>
    <w:rsid w:val="005C59B3"/>
    <w:rsid w:val="005C60E8"/>
    <w:rsid w:val="005C6454"/>
    <w:rsid w:val="005C69CC"/>
    <w:rsid w:val="005C6ACF"/>
    <w:rsid w:val="005C723E"/>
    <w:rsid w:val="005C7868"/>
    <w:rsid w:val="005D12B7"/>
    <w:rsid w:val="005D186D"/>
    <w:rsid w:val="005D1971"/>
    <w:rsid w:val="005D2B7E"/>
    <w:rsid w:val="005D2D8F"/>
    <w:rsid w:val="005D4331"/>
    <w:rsid w:val="005D5501"/>
    <w:rsid w:val="005D57DB"/>
    <w:rsid w:val="005D77ED"/>
    <w:rsid w:val="005E0CBF"/>
    <w:rsid w:val="005E0E63"/>
    <w:rsid w:val="005E1389"/>
    <w:rsid w:val="005E2225"/>
    <w:rsid w:val="005E30C9"/>
    <w:rsid w:val="005E3B7D"/>
    <w:rsid w:val="005E3C29"/>
    <w:rsid w:val="005E6314"/>
    <w:rsid w:val="005E6B84"/>
    <w:rsid w:val="005E6D51"/>
    <w:rsid w:val="005F24DB"/>
    <w:rsid w:val="005F3B01"/>
    <w:rsid w:val="005F4646"/>
    <w:rsid w:val="005F6F91"/>
    <w:rsid w:val="005F72BB"/>
    <w:rsid w:val="005F7762"/>
    <w:rsid w:val="00600BC9"/>
    <w:rsid w:val="00601B61"/>
    <w:rsid w:val="0060266E"/>
    <w:rsid w:val="00602DF3"/>
    <w:rsid w:val="006030DF"/>
    <w:rsid w:val="0060348A"/>
    <w:rsid w:val="00605EFB"/>
    <w:rsid w:val="00606F2B"/>
    <w:rsid w:val="00607368"/>
    <w:rsid w:val="0061151F"/>
    <w:rsid w:val="00611B72"/>
    <w:rsid w:val="00611CCB"/>
    <w:rsid w:val="006122AD"/>
    <w:rsid w:val="00613997"/>
    <w:rsid w:val="0061546F"/>
    <w:rsid w:val="00615D24"/>
    <w:rsid w:val="00616624"/>
    <w:rsid w:val="006173EE"/>
    <w:rsid w:val="00620764"/>
    <w:rsid w:val="0062098E"/>
    <w:rsid w:val="00620E6B"/>
    <w:rsid w:val="00622B14"/>
    <w:rsid w:val="00622E34"/>
    <w:rsid w:val="0062311E"/>
    <w:rsid w:val="0062420A"/>
    <w:rsid w:val="006242A4"/>
    <w:rsid w:val="0062518C"/>
    <w:rsid w:val="006257BF"/>
    <w:rsid w:val="006268BD"/>
    <w:rsid w:val="00627319"/>
    <w:rsid w:val="00627324"/>
    <w:rsid w:val="00627EF7"/>
    <w:rsid w:val="0063054A"/>
    <w:rsid w:val="00631EC8"/>
    <w:rsid w:val="006337EE"/>
    <w:rsid w:val="00633F2C"/>
    <w:rsid w:val="00634E76"/>
    <w:rsid w:val="00636E83"/>
    <w:rsid w:val="00637C34"/>
    <w:rsid w:val="00640E41"/>
    <w:rsid w:val="006429F5"/>
    <w:rsid w:val="00642C06"/>
    <w:rsid w:val="00643415"/>
    <w:rsid w:val="006439DC"/>
    <w:rsid w:val="0064635C"/>
    <w:rsid w:val="00647B47"/>
    <w:rsid w:val="00650883"/>
    <w:rsid w:val="00652C34"/>
    <w:rsid w:val="00653ED1"/>
    <w:rsid w:val="00656934"/>
    <w:rsid w:val="006569B5"/>
    <w:rsid w:val="00660033"/>
    <w:rsid w:val="00660161"/>
    <w:rsid w:val="00661E97"/>
    <w:rsid w:val="00663473"/>
    <w:rsid w:val="00667191"/>
    <w:rsid w:val="006707AA"/>
    <w:rsid w:val="00670CC0"/>
    <w:rsid w:val="00671981"/>
    <w:rsid w:val="00671A1E"/>
    <w:rsid w:val="00671A84"/>
    <w:rsid w:val="00674873"/>
    <w:rsid w:val="0067521E"/>
    <w:rsid w:val="006754EA"/>
    <w:rsid w:val="00675E3D"/>
    <w:rsid w:val="00675F9B"/>
    <w:rsid w:val="00677868"/>
    <w:rsid w:val="006802F4"/>
    <w:rsid w:val="0068095A"/>
    <w:rsid w:val="00680F45"/>
    <w:rsid w:val="006818DB"/>
    <w:rsid w:val="00682A4B"/>
    <w:rsid w:val="006834B5"/>
    <w:rsid w:val="0068512F"/>
    <w:rsid w:val="00686926"/>
    <w:rsid w:val="006870E4"/>
    <w:rsid w:val="00690D7C"/>
    <w:rsid w:val="0069148B"/>
    <w:rsid w:val="00691EFC"/>
    <w:rsid w:val="00693CA9"/>
    <w:rsid w:val="006978F3"/>
    <w:rsid w:val="006A0831"/>
    <w:rsid w:val="006A1A4C"/>
    <w:rsid w:val="006A38EF"/>
    <w:rsid w:val="006A5523"/>
    <w:rsid w:val="006A5B45"/>
    <w:rsid w:val="006A5E6B"/>
    <w:rsid w:val="006A71C5"/>
    <w:rsid w:val="006A7D84"/>
    <w:rsid w:val="006B0075"/>
    <w:rsid w:val="006B08A0"/>
    <w:rsid w:val="006B196F"/>
    <w:rsid w:val="006B3C2B"/>
    <w:rsid w:val="006B4668"/>
    <w:rsid w:val="006B6342"/>
    <w:rsid w:val="006B64C5"/>
    <w:rsid w:val="006B7220"/>
    <w:rsid w:val="006B7A44"/>
    <w:rsid w:val="006B7ABE"/>
    <w:rsid w:val="006C09AB"/>
    <w:rsid w:val="006C27F6"/>
    <w:rsid w:val="006C290D"/>
    <w:rsid w:val="006C33DB"/>
    <w:rsid w:val="006C36D7"/>
    <w:rsid w:val="006C38C8"/>
    <w:rsid w:val="006C4A95"/>
    <w:rsid w:val="006C4CF0"/>
    <w:rsid w:val="006C566D"/>
    <w:rsid w:val="006C5F1E"/>
    <w:rsid w:val="006C7869"/>
    <w:rsid w:val="006D10CE"/>
    <w:rsid w:val="006D1ED0"/>
    <w:rsid w:val="006D35A3"/>
    <w:rsid w:val="006D408E"/>
    <w:rsid w:val="006D51E6"/>
    <w:rsid w:val="006D577A"/>
    <w:rsid w:val="006D5D87"/>
    <w:rsid w:val="006D6324"/>
    <w:rsid w:val="006D6ED0"/>
    <w:rsid w:val="006D717F"/>
    <w:rsid w:val="006E0ECB"/>
    <w:rsid w:val="006E3CEB"/>
    <w:rsid w:val="006E51B8"/>
    <w:rsid w:val="006E571B"/>
    <w:rsid w:val="006E6811"/>
    <w:rsid w:val="006E7B03"/>
    <w:rsid w:val="006F0AD1"/>
    <w:rsid w:val="006F0D7E"/>
    <w:rsid w:val="006F2562"/>
    <w:rsid w:val="006F2ADC"/>
    <w:rsid w:val="006F2F9F"/>
    <w:rsid w:val="006F3112"/>
    <w:rsid w:val="006F4074"/>
    <w:rsid w:val="006F4AD0"/>
    <w:rsid w:val="006F5CDF"/>
    <w:rsid w:val="006F78EE"/>
    <w:rsid w:val="00702A8B"/>
    <w:rsid w:val="00704588"/>
    <w:rsid w:val="00704619"/>
    <w:rsid w:val="0070505D"/>
    <w:rsid w:val="00705A32"/>
    <w:rsid w:val="007060E2"/>
    <w:rsid w:val="007061B9"/>
    <w:rsid w:val="00706CDF"/>
    <w:rsid w:val="007072C6"/>
    <w:rsid w:val="00707C4F"/>
    <w:rsid w:val="00710841"/>
    <w:rsid w:val="00711FA4"/>
    <w:rsid w:val="007122C0"/>
    <w:rsid w:val="00714143"/>
    <w:rsid w:val="00714B4A"/>
    <w:rsid w:val="0071580E"/>
    <w:rsid w:val="00715890"/>
    <w:rsid w:val="00715A89"/>
    <w:rsid w:val="00717D7E"/>
    <w:rsid w:val="00721A1E"/>
    <w:rsid w:val="00721DE0"/>
    <w:rsid w:val="00724B5B"/>
    <w:rsid w:val="00726E52"/>
    <w:rsid w:val="00727285"/>
    <w:rsid w:val="00727E48"/>
    <w:rsid w:val="00727F1D"/>
    <w:rsid w:val="00727F87"/>
    <w:rsid w:val="007317E5"/>
    <w:rsid w:val="00734782"/>
    <w:rsid w:val="00735363"/>
    <w:rsid w:val="00735699"/>
    <w:rsid w:val="0073679A"/>
    <w:rsid w:val="00736B50"/>
    <w:rsid w:val="00737741"/>
    <w:rsid w:val="00740DCD"/>
    <w:rsid w:val="00741894"/>
    <w:rsid w:val="007421CB"/>
    <w:rsid w:val="00742B0D"/>
    <w:rsid w:val="0074348D"/>
    <w:rsid w:val="00743FFA"/>
    <w:rsid w:val="007447BB"/>
    <w:rsid w:val="007453D2"/>
    <w:rsid w:val="00746274"/>
    <w:rsid w:val="007462F8"/>
    <w:rsid w:val="00746413"/>
    <w:rsid w:val="00747E5A"/>
    <w:rsid w:val="00750726"/>
    <w:rsid w:val="00750AEA"/>
    <w:rsid w:val="00750CA0"/>
    <w:rsid w:val="0075128A"/>
    <w:rsid w:val="00751E96"/>
    <w:rsid w:val="007548F8"/>
    <w:rsid w:val="00754D48"/>
    <w:rsid w:val="007552A5"/>
    <w:rsid w:val="0075644E"/>
    <w:rsid w:val="007605B4"/>
    <w:rsid w:val="00760BCD"/>
    <w:rsid w:val="007614F7"/>
    <w:rsid w:val="00762436"/>
    <w:rsid w:val="007648AE"/>
    <w:rsid w:val="00764FE8"/>
    <w:rsid w:val="00766679"/>
    <w:rsid w:val="00766810"/>
    <w:rsid w:val="00766C63"/>
    <w:rsid w:val="00772797"/>
    <w:rsid w:val="00773694"/>
    <w:rsid w:val="0077449D"/>
    <w:rsid w:val="007748FE"/>
    <w:rsid w:val="00774D9E"/>
    <w:rsid w:val="007750CD"/>
    <w:rsid w:val="0077582B"/>
    <w:rsid w:val="007758E7"/>
    <w:rsid w:val="00775CD2"/>
    <w:rsid w:val="00777128"/>
    <w:rsid w:val="00777F28"/>
    <w:rsid w:val="00780BE7"/>
    <w:rsid w:val="00782905"/>
    <w:rsid w:val="00783EE7"/>
    <w:rsid w:val="0078516B"/>
    <w:rsid w:val="0078607A"/>
    <w:rsid w:val="00786174"/>
    <w:rsid w:val="0079024A"/>
    <w:rsid w:val="00791055"/>
    <w:rsid w:val="007919F9"/>
    <w:rsid w:val="007939EF"/>
    <w:rsid w:val="00794410"/>
    <w:rsid w:val="00794704"/>
    <w:rsid w:val="00794C94"/>
    <w:rsid w:val="00795D9F"/>
    <w:rsid w:val="007976F7"/>
    <w:rsid w:val="007A0D9B"/>
    <w:rsid w:val="007A11C9"/>
    <w:rsid w:val="007A380F"/>
    <w:rsid w:val="007A4C2F"/>
    <w:rsid w:val="007A4E67"/>
    <w:rsid w:val="007A5B88"/>
    <w:rsid w:val="007A632F"/>
    <w:rsid w:val="007A6E80"/>
    <w:rsid w:val="007A7114"/>
    <w:rsid w:val="007B0BB7"/>
    <w:rsid w:val="007B0CD8"/>
    <w:rsid w:val="007B1352"/>
    <w:rsid w:val="007B2269"/>
    <w:rsid w:val="007B2663"/>
    <w:rsid w:val="007B3275"/>
    <w:rsid w:val="007B3F0D"/>
    <w:rsid w:val="007B469F"/>
    <w:rsid w:val="007B6F1B"/>
    <w:rsid w:val="007B7DD9"/>
    <w:rsid w:val="007C01EB"/>
    <w:rsid w:val="007C0DC5"/>
    <w:rsid w:val="007C1E17"/>
    <w:rsid w:val="007C2802"/>
    <w:rsid w:val="007C3750"/>
    <w:rsid w:val="007C3AF5"/>
    <w:rsid w:val="007C61F8"/>
    <w:rsid w:val="007D0DFF"/>
    <w:rsid w:val="007D121F"/>
    <w:rsid w:val="007D1B14"/>
    <w:rsid w:val="007D2286"/>
    <w:rsid w:val="007D2ACC"/>
    <w:rsid w:val="007D3620"/>
    <w:rsid w:val="007D398C"/>
    <w:rsid w:val="007D59E9"/>
    <w:rsid w:val="007D5B3E"/>
    <w:rsid w:val="007D5D43"/>
    <w:rsid w:val="007D6E17"/>
    <w:rsid w:val="007E1296"/>
    <w:rsid w:val="007E167A"/>
    <w:rsid w:val="007E1F99"/>
    <w:rsid w:val="007E2DEA"/>
    <w:rsid w:val="007E3D59"/>
    <w:rsid w:val="007E6DBA"/>
    <w:rsid w:val="007E7C3A"/>
    <w:rsid w:val="007F039D"/>
    <w:rsid w:val="007F0E44"/>
    <w:rsid w:val="007F1C47"/>
    <w:rsid w:val="007F1F30"/>
    <w:rsid w:val="007F2A55"/>
    <w:rsid w:val="007F4449"/>
    <w:rsid w:val="007F78FC"/>
    <w:rsid w:val="00800F3E"/>
    <w:rsid w:val="00801022"/>
    <w:rsid w:val="00801BDF"/>
    <w:rsid w:val="00802262"/>
    <w:rsid w:val="00802409"/>
    <w:rsid w:val="00804A40"/>
    <w:rsid w:val="008056D1"/>
    <w:rsid w:val="00805BBE"/>
    <w:rsid w:val="008060EC"/>
    <w:rsid w:val="0080621E"/>
    <w:rsid w:val="008062F5"/>
    <w:rsid w:val="0080750C"/>
    <w:rsid w:val="00807776"/>
    <w:rsid w:val="0081031C"/>
    <w:rsid w:val="008115F4"/>
    <w:rsid w:val="00811CB8"/>
    <w:rsid w:val="008134B1"/>
    <w:rsid w:val="00813BAF"/>
    <w:rsid w:val="008154E5"/>
    <w:rsid w:val="00815784"/>
    <w:rsid w:val="00815861"/>
    <w:rsid w:val="00815C9D"/>
    <w:rsid w:val="00817491"/>
    <w:rsid w:val="00820457"/>
    <w:rsid w:val="00821C32"/>
    <w:rsid w:val="00824665"/>
    <w:rsid w:val="00824EA9"/>
    <w:rsid w:val="0082549E"/>
    <w:rsid w:val="008269BE"/>
    <w:rsid w:val="00827323"/>
    <w:rsid w:val="008276E2"/>
    <w:rsid w:val="0082775C"/>
    <w:rsid w:val="008277BD"/>
    <w:rsid w:val="008310E1"/>
    <w:rsid w:val="00831A80"/>
    <w:rsid w:val="00831ACD"/>
    <w:rsid w:val="00831E1E"/>
    <w:rsid w:val="00832DC8"/>
    <w:rsid w:val="00833EEA"/>
    <w:rsid w:val="00834781"/>
    <w:rsid w:val="00835134"/>
    <w:rsid w:val="00836B0B"/>
    <w:rsid w:val="008374B8"/>
    <w:rsid w:val="0084079F"/>
    <w:rsid w:val="0084272C"/>
    <w:rsid w:val="00842E37"/>
    <w:rsid w:val="008433BF"/>
    <w:rsid w:val="00844674"/>
    <w:rsid w:val="008459F8"/>
    <w:rsid w:val="00850216"/>
    <w:rsid w:val="00850E89"/>
    <w:rsid w:val="00853494"/>
    <w:rsid w:val="0085578D"/>
    <w:rsid w:val="008557A3"/>
    <w:rsid w:val="00857936"/>
    <w:rsid w:val="00860B84"/>
    <w:rsid w:val="00862FB7"/>
    <w:rsid w:val="00864537"/>
    <w:rsid w:val="008645C6"/>
    <w:rsid w:val="00866329"/>
    <w:rsid w:val="008672EF"/>
    <w:rsid w:val="00867808"/>
    <w:rsid w:val="0086797D"/>
    <w:rsid w:val="00867FA7"/>
    <w:rsid w:val="00870985"/>
    <w:rsid w:val="00871A6A"/>
    <w:rsid w:val="00871BED"/>
    <w:rsid w:val="00872375"/>
    <w:rsid w:val="00873298"/>
    <w:rsid w:val="008740B1"/>
    <w:rsid w:val="00875A02"/>
    <w:rsid w:val="00877C05"/>
    <w:rsid w:val="00880B13"/>
    <w:rsid w:val="00881007"/>
    <w:rsid w:val="0088141B"/>
    <w:rsid w:val="00881C5E"/>
    <w:rsid w:val="008825A2"/>
    <w:rsid w:val="00883818"/>
    <w:rsid w:val="00883E5B"/>
    <w:rsid w:val="008846B7"/>
    <w:rsid w:val="008878AB"/>
    <w:rsid w:val="00887D0B"/>
    <w:rsid w:val="008904FE"/>
    <w:rsid w:val="00891770"/>
    <w:rsid w:val="00891949"/>
    <w:rsid w:val="00891F2B"/>
    <w:rsid w:val="008924B7"/>
    <w:rsid w:val="008938D9"/>
    <w:rsid w:val="0089461E"/>
    <w:rsid w:val="008946D7"/>
    <w:rsid w:val="00894F60"/>
    <w:rsid w:val="00895FC0"/>
    <w:rsid w:val="008960E7"/>
    <w:rsid w:val="008978B8"/>
    <w:rsid w:val="00897D86"/>
    <w:rsid w:val="008A1A29"/>
    <w:rsid w:val="008A3353"/>
    <w:rsid w:val="008A3BFD"/>
    <w:rsid w:val="008A5E2A"/>
    <w:rsid w:val="008A70DA"/>
    <w:rsid w:val="008A76E0"/>
    <w:rsid w:val="008A7BC3"/>
    <w:rsid w:val="008B1F5E"/>
    <w:rsid w:val="008B1F60"/>
    <w:rsid w:val="008B2D1E"/>
    <w:rsid w:val="008B4F17"/>
    <w:rsid w:val="008B5E04"/>
    <w:rsid w:val="008B6C8C"/>
    <w:rsid w:val="008B6C9F"/>
    <w:rsid w:val="008B7D6A"/>
    <w:rsid w:val="008C1690"/>
    <w:rsid w:val="008C1D57"/>
    <w:rsid w:val="008C1DC0"/>
    <w:rsid w:val="008C3CEB"/>
    <w:rsid w:val="008C4F6E"/>
    <w:rsid w:val="008C6542"/>
    <w:rsid w:val="008C7DD4"/>
    <w:rsid w:val="008D0A71"/>
    <w:rsid w:val="008D1A05"/>
    <w:rsid w:val="008D1B93"/>
    <w:rsid w:val="008D2354"/>
    <w:rsid w:val="008D287C"/>
    <w:rsid w:val="008D28A3"/>
    <w:rsid w:val="008D294E"/>
    <w:rsid w:val="008D3CA8"/>
    <w:rsid w:val="008D3E49"/>
    <w:rsid w:val="008D44DC"/>
    <w:rsid w:val="008D4EBE"/>
    <w:rsid w:val="008D578C"/>
    <w:rsid w:val="008D62D8"/>
    <w:rsid w:val="008E1461"/>
    <w:rsid w:val="008E1681"/>
    <w:rsid w:val="008E3059"/>
    <w:rsid w:val="008E30ED"/>
    <w:rsid w:val="008E3A50"/>
    <w:rsid w:val="008E4215"/>
    <w:rsid w:val="008E53B7"/>
    <w:rsid w:val="008E5C50"/>
    <w:rsid w:val="008E5CA6"/>
    <w:rsid w:val="008E6934"/>
    <w:rsid w:val="008E77EE"/>
    <w:rsid w:val="008F08BF"/>
    <w:rsid w:val="008F1ABF"/>
    <w:rsid w:val="008F2D0A"/>
    <w:rsid w:val="008F3468"/>
    <w:rsid w:val="008F5D52"/>
    <w:rsid w:val="008F6CA5"/>
    <w:rsid w:val="008F6FE8"/>
    <w:rsid w:val="0090015D"/>
    <w:rsid w:val="00902123"/>
    <w:rsid w:val="0090252C"/>
    <w:rsid w:val="009032B5"/>
    <w:rsid w:val="009054EF"/>
    <w:rsid w:val="00906357"/>
    <w:rsid w:val="00906434"/>
    <w:rsid w:val="00912B86"/>
    <w:rsid w:val="00913686"/>
    <w:rsid w:val="0091399F"/>
    <w:rsid w:val="00915BDE"/>
    <w:rsid w:val="00917044"/>
    <w:rsid w:val="00917A28"/>
    <w:rsid w:val="00917A3A"/>
    <w:rsid w:val="00921534"/>
    <w:rsid w:val="009228C0"/>
    <w:rsid w:val="009243EA"/>
    <w:rsid w:val="00924E82"/>
    <w:rsid w:val="0092517F"/>
    <w:rsid w:val="00925F53"/>
    <w:rsid w:val="00927112"/>
    <w:rsid w:val="009310C4"/>
    <w:rsid w:val="00931D41"/>
    <w:rsid w:val="00932F95"/>
    <w:rsid w:val="00933A6A"/>
    <w:rsid w:val="00934094"/>
    <w:rsid w:val="00934707"/>
    <w:rsid w:val="00934FD4"/>
    <w:rsid w:val="0093563F"/>
    <w:rsid w:val="00935716"/>
    <w:rsid w:val="009374D6"/>
    <w:rsid w:val="00937893"/>
    <w:rsid w:val="00937F60"/>
    <w:rsid w:val="009408FE"/>
    <w:rsid w:val="00941B90"/>
    <w:rsid w:val="00943619"/>
    <w:rsid w:val="00946768"/>
    <w:rsid w:val="00947183"/>
    <w:rsid w:val="009477AF"/>
    <w:rsid w:val="0095029D"/>
    <w:rsid w:val="00952E45"/>
    <w:rsid w:val="00953720"/>
    <w:rsid w:val="00954695"/>
    <w:rsid w:val="0095492A"/>
    <w:rsid w:val="00954D25"/>
    <w:rsid w:val="009563AB"/>
    <w:rsid w:val="00957872"/>
    <w:rsid w:val="009608B8"/>
    <w:rsid w:val="00960A10"/>
    <w:rsid w:val="0096255D"/>
    <w:rsid w:val="00964743"/>
    <w:rsid w:val="00965220"/>
    <w:rsid w:val="00965F6D"/>
    <w:rsid w:val="00966CE2"/>
    <w:rsid w:val="009679A3"/>
    <w:rsid w:val="00971B34"/>
    <w:rsid w:val="009727C0"/>
    <w:rsid w:val="00972875"/>
    <w:rsid w:val="00972AB9"/>
    <w:rsid w:val="00973256"/>
    <w:rsid w:val="00973A73"/>
    <w:rsid w:val="00976E59"/>
    <w:rsid w:val="00976EA3"/>
    <w:rsid w:val="00976FB1"/>
    <w:rsid w:val="00977310"/>
    <w:rsid w:val="0097779B"/>
    <w:rsid w:val="00980991"/>
    <w:rsid w:val="00980D1F"/>
    <w:rsid w:val="00981854"/>
    <w:rsid w:val="00981D02"/>
    <w:rsid w:val="00981D26"/>
    <w:rsid w:val="00982E37"/>
    <w:rsid w:val="0098615A"/>
    <w:rsid w:val="0098638F"/>
    <w:rsid w:val="009866D3"/>
    <w:rsid w:val="00986C78"/>
    <w:rsid w:val="009872DA"/>
    <w:rsid w:val="00987EAE"/>
    <w:rsid w:val="00991213"/>
    <w:rsid w:val="009920D4"/>
    <w:rsid w:val="0099298A"/>
    <w:rsid w:val="00994D37"/>
    <w:rsid w:val="0099510C"/>
    <w:rsid w:val="00996193"/>
    <w:rsid w:val="00997C83"/>
    <w:rsid w:val="009A0871"/>
    <w:rsid w:val="009A0C41"/>
    <w:rsid w:val="009A1705"/>
    <w:rsid w:val="009A252F"/>
    <w:rsid w:val="009A4261"/>
    <w:rsid w:val="009A4466"/>
    <w:rsid w:val="009A4607"/>
    <w:rsid w:val="009A4C04"/>
    <w:rsid w:val="009A5B13"/>
    <w:rsid w:val="009A670D"/>
    <w:rsid w:val="009B1096"/>
    <w:rsid w:val="009B3432"/>
    <w:rsid w:val="009B4B6D"/>
    <w:rsid w:val="009B5119"/>
    <w:rsid w:val="009B54BD"/>
    <w:rsid w:val="009B5881"/>
    <w:rsid w:val="009B6533"/>
    <w:rsid w:val="009B6F01"/>
    <w:rsid w:val="009C025A"/>
    <w:rsid w:val="009C0333"/>
    <w:rsid w:val="009C1746"/>
    <w:rsid w:val="009C1BB6"/>
    <w:rsid w:val="009C2829"/>
    <w:rsid w:val="009C45F4"/>
    <w:rsid w:val="009C4A43"/>
    <w:rsid w:val="009C7263"/>
    <w:rsid w:val="009C7CCD"/>
    <w:rsid w:val="009C7E54"/>
    <w:rsid w:val="009D07C7"/>
    <w:rsid w:val="009D0F35"/>
    <w:rsid w:val="009D2DE7"/>
    <w:rsid w:val="009D30E4"/>
    <w:rsid w:val="009D4A87"/>
    <w:rsid w:val="009D4C0F"/>
    <w:rsid w:val="009D4F7B"/>
    <w:rsid w:val="009D5178"/>
    <w:rsid w:val="009D5877"/>
    <w:rsid w:val="009D5A52"/>
    <w:rsid w:val="009E160A"/>
    <w:rsid w:val="009E1EAD"/>
    <w:rsid w:val="009E2BC0"/>
    <w:rsid w:val="009E38FF"/>
    <w:rsid w:val="009E4B70"/>
    <w:rsid w:val="009E6684"/>
    <w:rsid w:val="009E7172"/>
    <w:rsid w:val="009F098E"/>
    <w:rsid w:val="009F0C03"/>
    <w:rsid w:val="009F12C1"/>
    <w:rsid w:val="009F16A7"/>
    <w:rsid w:val="009F2616"/>
    <w:rsid w:val="009F69B5"/>
    <w:rsid w:val="009F69B6"/>
    <w:rsid w:val="009F6B08"/>
    <w:rsid w:val="00A006B0"/>
    <w:rsid w:val="00A01018"/>
    <w:rsid w:val="00A015F4"/>
    <w:rsid w:val="00A01976"/>
    <w:rsid w:val="00A01ABF"/>
    <w:rsid w:val="00A021E6"/>
    <w:rsid w:val="00A028D8"/>
    <w:rsid w:val="00A02C62"/>
    <w:rsid w:val="00A0333B"/>
    <w:rsid w:val="00A03E0B"/>
    <w:rsid w:val="00A05268"/>
    <w:rsid w:val="00A05664"/>
    <w:rsid w:val="00A10BF9"/>
    <w:rsid w:val="00A12841"/>
    <w:rsid w:val="00A135A3"/>
    <w:rsid w:val="00A14118"/>
    <w:rsid w:val="00A16FC0"/>
    <w:rsid w:val="00A20405"/>
    <w:rsid w:val="00A21534"/>
    <w:rsid w:val="00A231E0"/>
    <w:rsid w:val="00A246E8"/>
    <w:rsid w:val="00A24BC2"/>
    <w:rsid w:val="00A30310"/>
    <w:rsid w:val="00A305B5"/>
    <w:rsid w:val="00A31A73"/>
    <w:rsid w:val="00A31E38"/>
    <w:rsid w:val="00A32197"/>
    <w:rsid w:val="00A348C6"/>
    <w:rsid w:val="00A35815"/>
    <w:rsid w:val="00A368EF"/>
    <w:rsid w:val="00A41A10"/>
    <w:rsid w:val="00A41DE0"/>
    <w:rsid w:val="00A42204"/>
    <w:rsid w:val="00A42856"/>
    <w:rsid w:val="00A43E03"/>
    <w:rsid w:val="00A4598E"/>
    <w:rsid w:val="00A47AF2"/>
    <w:rsid w:val="00A504DD"/>
    <w:rsid w:val="00A5080B"/>
    <w:rsid w:val="00A509AA"/>
    <w:rsid w:val="00A51CCA"/>
    <w:rsid w:val="00A527B3"/>
    <w:rsid w:val="00A52E8A"/>
    <w:rsid w:val="00A54BFC"/>
    <w:rsid w:val="00A555EC"/>
    <w:rsid w:val="00A55C15"/>
    <w:rsid w:val="00A55DB7"/>
    <w:rsid w:val="00A56E78"/>
    <w:rsid w:val="00A572B2"/>
    <w:rsid w:val="00A6259D"/>
    <w:rsid w:val="00A630A4"/>
    <w:rsid w:val="00A638CB"/>
    <w:rsid w:val="00A666E2"/>
    <w:rsid w:val="00A66A70"/>
    <w:rsid w:val="00A70166"/>
    <w:rsid w:val="00A70AC6"/>
    <w:rsid w:val="00A718D7"/>
    <w:rsid w:val="00A71E91"/>
    <w:rsid w:val="00A72610"/>
    <w:rsid w:val="00A72644"/>
    <w:rsid w:val="00A737C5"/>
    <w:rsid w:val="00A75CB4"/>
    <w:rsid w:val="00A76102"/>
    <w:rsid w:val="00A7646E"/>
    <w:rsid w:val="00A7662E"/>
    <w:rsid w:val="00A76663"/>
    <w:rsid w:val="00A76C3F"/>
    <w:rsid w:val="00A81C32"/>
    <w:rsid w:val="00A81ED5"/>
    <w:rsid w:val="00A83FCA"/>
    <w:rsid w:val="00A84508"/>
    <w:rsid w:val="00A8452C"/>
    <w:rsid w:val="00A855C5"/>
    <w:rsid w:val="00A8587A"/>
    <w:rsid w:val="00A86A1E"/>
    <w:rsid w:val="00A87902"/>
    <w:rsid w:val="00A87C71"/>
    <w:rsid w:val="00A90063"/>
    <w:rsid w:val="00A902A2"/>
    <w:rsid w:val="00A908C7"/>
    <w:rsid w:val="00A926AD"/>
    <w:rsid w:val="00A94D2C"/>
    <w:rsid w:val="00A969FA"/>
    <w:rsid w:val="00A96DC4"/>
    <w:rsid w:val="00A97349"/>
    <w:rsid w:val="00AA0B26"/>
    <w:rsid w:val="00AA1239"/>
    <w:rsid w:val="00AA153C"/>
    <w:rsid w:val="00AA4C3D"/>
    <w:rsid w:val="00AA66A1"/>
    <w:rsid w:val="00AA7BCE"/>
    <w:rsid w:val="00AB271B"/>
    <w:rsid w:val="00AB2A4E"/>
    <w:rsid w:val="00AB381D"/>
    <w:rsid w:val="00AB4CBB"/>
    <w:rsid w:val="00AB64FA"/>
    <w:rsid w:val="00AB69E3"/>
    <w:rsid w:val="00AB6C4F"/>
    <w:rsid w:val="00AB7CE6"/>
    <w:rsid w:val="00AC0654"/>
    <w:rsid w:val="00AC16BF"/>
    <w:rsid w:val="00AC17CC"/>
    <w:rsid w:val="00AC2491"/>
    <w:rsid w:val="00AC38C7"/>
    <w:rsid w:val="00AC60C2"/>
    <w:rsid w:val="00AC6D35"/>
    <w:rsid w:val="00AC7309"/>
    <w:rsid w:val="00AC7C64"/>
    <w:rsid w:val="00AD042B"/>
    <w:rsid w:val="00AD04D1"/>
    <w:rsid w:val="00AD0B32"/>
    <w:rsid w:val="00AD120A"/>
    <w:rsid w:val="00AD19C6"/>
    <w:rsid w:val="00AD2D0F"/>
    <w:rsid w:val="00AD59DF"/>
    <w:rsid w:val="00AD68E3"/>
    <w:rsid w:val="00AE19CD"/>
    <w:rsid w:val="00AE2F38"/>
    <w:rsid w:val="00AE3C60"/>
    <w:rsid w:val="00AE4F35"/>
    <w:rsid w:val="00AE5360"/>
    <w:rsid w:val="00AE58D7"/>
    <w:rsid w:val="00AE63DB"/>
    <w:rsid w:val="00AE79DE"/>
    <w:rsid w:val="00AF1531"/>
    <w:rsid w:val="00AF15AC"/>
    <w:rsid w:val="00AF293E"/>
    <w:rsid w:val="00AF3D45"/>
    <w:rsid w:val="00AF49B2"/>
    <w:rsid w:val="00AF5203"/>
    <w:rsid w:val="00AF5447"/>
    <w:rsid w:val="00AF60B7"/>
    <w:rsid w:val="00AF6FCE"/>
    <w:rsid w:val="00AF718C"/>
    <w:rsid w:val="00AF728A"/>
    <w:rsid w:val="00B000B7"/>
    <w:rsid w:val="00B06037"/>
    <w:rsid w:val="00B1043B"/>
    <w:rsid w:val="00B117A4"/>
    <w:rsid w:val="00B117C9"/>
    <w:rsid w:val="00B1258E"/>
    <w:rsid w:val="00B13A8E"/>
    <w:rsid w:val="00B1522D"/>
    <w:rsid w:val="00B16B0D"/>
    <w:rsid w:val="00B16D80"/>
    <w:rsid w:val="00B16F82"/>
    <w:rsid w:val="00B2238A"/>
    <w:rsid w:val="00B241DA"/>
    <w:rsid w:val="00B24A3B"/>
    <w:rsid w:val="00B2506B"/>
    <w:rsid w:val="00B25DD0"/>
    <w:rsid w:val="00B26D2A"/>
    <w:rsid w:val="00B2758F"/>
    <w:rsid w:val="00B31A78"/>
    <w:rsid w:val="00B33AEF"/>
    <w:rsid w:val="00B349E3"/>
    <w:rsid w:val="00B34F3F"/>
    <w:rsid w:val="00B3507A"/>
    <w:rsid w:val="00B35516"/>
    <w:rsid w:val="00B355D2"/>
    <w:rsid w:val="00B363DF"/>
    <w:rsid w:val="00B40895"/>
    <w:rsid w:val="00B41462"/>
    <w:rsid w:val="00B41F4E"/>
    <w:rsid w:val="00B42356"/>
    <w:rsid w:val="00B423D6"/>
    <w:rsid w:val="00B444E4"/>
    <w:rsid w:val="00B4518A"/>
    <w:rsid w:val="00B45E90"/>
    <w:rsid w:val="00B46A2D"/>
    <w:rsid w:val="00B46A38"/>
    <w:rsid w:val="00B5074E"/>
    <w:rsid w:val="00B50D9E"/>
    <w:rsid w:val="00B51236"/>
    <w:rsid w:val="00B51299"/>
    <w:rsid w:val="00B5142C"/>
    <w:rsid w:val="00B514A8"/>
    <w:rsid w:val="00B5203A"/>
    <w:rsid w:val="00B52C99"/>
    <w:rsid w:val="00B55391"/>
    <w:rsid w:val="00B5553F"/>
    <w:rsid w:val="00B557D0"/>
    <w:rsid w:val="00B55971"/>
    <w:rsid w:val="00B55AE6"/>
    <w:rsid w:val="00B61BB4"/>
    <w:rsid w:val="00B620B2"/>
    <w:rsid w:val="00B62F58"/>
    <w:rsid w:val="00B63269"/>
    <w:rsid w:val="00B64D5C"/>
    <w:rsid w:val="00B664A1"/>
    <w:rsid w:val="00B673E5"/>
    <w:rsid w:val="00B7074A"/>
    <w:rsid w:val="00B71C00"/>
    <w:rsid w:val="00B72D33"/>
    <w:rsid w:val="00B72E34"/>
    <w:rsid w:val="00B72EA8"/>
    <w:rsid w:val="00B73043"/>
    <w:rsid w:val="00B73258"/>
    <w:rsid w:val="00B73498"/>
    <w:rsid w:val="00B743EF"/>
    <w:rsid w:val="00B74A76"/>
    <w:rsid w:val="00B75F11"/>
    <w:rsid w:val="00B8103A"/>
    <w:rsid w:val="00B81193"/>
    <w:rsid w:val="00B81AE1"/>
    <w:rsid w:val="00B82711"/>
    <w:rsid w:val="00B83826"/>
    <w:rsid w:val="00B84BDA"/>
    <w:rsid w:val="00B84C96"/>
    <w:rsid w:val="00B86231"/>
    <w:rsid w:val="00B86681"/>
    <w:rsid w:val="00B90CAF"/>
    <w:rsid w:val="00B91DDC"/>
    <w:rsid w:val="00B93865"/>
    <w:rsid w:val="00B94FA0"/>
    <w:rsid w:val="00B95F9B"/>
    <w:rsid w:val="00B96C8F"/>
    <w:rsid w:val="00B96E21"/>
    <w:rsid w:val="00B97BC4"/>
    <w:rsid w:val="00BA0793"/>
    <w:rsid w:val="00BA1EC0"/>
    <w:rsid w:val="00BA33CE"/>
    <w:rsid w:val="00BA3F2E"/>
    <w:rsid w:val="00BA43A2"/>
    <w:rsid w:val="00BA4CF1"/>
    <w:rsid w:val="00BA528B"/>
    <w:rsid w:val="00BA5846"/>
    <w:rsid w:val="00BA6810"/>
    <w:rsid w:val="00BA6DE5"/>
    <w:rsid w:val="00BA70A1"/>
    <w:rsid w:val="00BB0BA0"/>
    <w:rsid w:val="00BB1D59"/>
    <w:rsid w:val="00BB24F4"/>
    <w:rsid w:val="00BB2C39"/>
    <w:rsid w:val="00BB3911"/>
    <w:rsid w:val="00BB3975"/>
    <w:rsid w:val="00BB398D"/>
    <w:rsid w:val="00BB5350"/>
    <w:rsid w:val="00BB7E07"/>
    <w:rsid w:val="00BC00ED"/>
    <w:rsid w:val="00BC0999"/>
    <w:rsid w:val="00BC0A6B"/>
    <w:rsid w:val="00BC1866"/>
    <w:rsid w:val="00BC2067"/>
    <w:rsid w:val="00BC2C57"/>
    <w:rsid w:val="00BC2D7D"/>
    <w:rsid w:val="00BC2FA7"/>
    <w:rsid w:val="00BC3130"/>
    <w:rsid w:val="00BC3B46"/>
    <w:rsid w:val="00BC459B"/>
    <w:rsid w:val="00BC5B02"/>
    <w:rsid w:val="00BC64E0"/>
    <w:rsid w:val="00BC6CB8"/>
    <w:rsid w:val="00BC7E98"/>
    <w:rsid w:val="00BD2178"/>
    <w:rsid w:val="00BD220B"/>
    <w:rsid w:val="00BD2A04"/>
    <w:rsid w:val="00BD2C15"/>
    <w:rsid w:val="00BD30F1"/>
    <w:rsid w:val="00BD3DAE"/>
    <w:rsid w:val="00BD46D2"/>
    <w:rsid w:val="00BD5FC2"/>
    <w:rsid w:val="00BD71B6"/>
    <w:rsid w:val="00BE0497"/>
    <w:rsid w:val="00BE14EF"/>
    <w:rsid w:val="00BE1A06"/>
    <w:rsid w:val="00BE1A5B"/>
    <w:rsid w:val="00BE27D6"/>
    <w:rsid w:val="00BE399D"/>
    <w:rsid w:val="00BE39B7"/>
    <w:rsid w:val="00BE3B79"/>
    <w:rsid w:val="00BE6E82"/>
    <w:rsid w:val="00BE7326"/>
    <w:rsid w:val="00BF0F56"/>
    <w:rsid w:val="00BF4D4B"/>
    <w:rsid w:val="00BF696D"/>
    <w:rsid w:val="00C0022C"/>
    <w:rsid w:val="00C01DDA"/>
    <w:rsid w:val="00C01EA6"/>
    <w:rsid w:val="00C021AB"/>
    <w:rsid w:val="00C02238"/>
    <w:rsid w:val="00C027EA"/>
    <w:rsid w:val="00C029DD"/>
    <w:rsid w:val="00C04332"/>
    <w:rsid w:val="00C04727"/>
    <w:rsid w:val="00C052EB"/>
    <w:rsid w:val="00C055E0"/>
    <w:rsid w:val="00C06D3E"/>
    <w:rsid w:val="00C07895"/>
    <w:rsid w:val="00C10F2B"/>
    <w:rsid w:val="00C11353"/>
    <w:rsid w:val="00C11DD2"/>
    <w:rsid w:val="00C128C7"/>
    <w:rsid w:val="00C145D1"/>
    <w:rsid w:val="00C14D4D"/>
    <w:rsid w:val="00C15AC7"/>
    <w:rsid w:val="00C160F1"/>
    <w:rsid w:val="00C1699D"/>
    <w:rsid w:val="00C202DD"/>
    <w:rsid w:val="00C204ED"/>
    <w:rsid w:val="00C209A0"/>
    <w:rsid w:val="00C2133C"/>
    <w:rsid w:val="00C22B9C"/>
    <w:rsid w:val="00C2346D"/>
    <w:rsid w:val="00C248E0"/>
    <w:rsid w:val="00C2549D"/>
    <w:rsid w:val="00C2691C"/>
    <w:rsid w:val="00C31F67"/>
    <w:rsid w:val="00C333B3"/>
    <w:rsid w:val="00C33667"/>
    <w:rsid w:val="00C3490D"/>
    <w:rsid w:val="00C34C2C"/>
    <w:rsid w:val="00C35339"/>
    <w:rsid w:val="00C35C2D"/>
    <w:rsid w:val="00C36EF5"/>
    <w:rsid w:val="00C376FB"/>
    <w:rsid w:val="00C40E6A"/>
    <w:rsid w:val="00C41B2C"/>
    <w:rsid w:val="00C41F18"/>
    <w:rsid w:val="00C421CA"/>
    <w:rsid w:val="00C429F1"/>
    <w:rsid w:val="00C449D9"/>
    <w:rsid w:val="00C44BDA"/>
    <w:rsid w:val="00C44E2B"/>
    <w:rsid w:val="00C45847"/>
    <w:rsid w:val="00C478CE"/>
    <w:rsid w:val="00C50957"/>
    <w:rsid w:val="00C50E1F"/>
    <w:rsid w:val="00C50FA3"/>
    <w:rsid w:val="00C515EA"/>
    <w:rsid w:val="00C51C28"/>
    <w:rsid w:val="00C539C5"/>
    <w:rsid w:val="00C5428A"/>
    <w:rsid w:val="00C55383"/>
    <w:rsid w:val="00C55743"/>
    <w:rsid w:val="00C55B14"/>
    <w:rsid w:val="00C5605D"/>
    <w:rsid w:val="00C56110"/>
    <w:rsid w:val="00C56A28"/>
    <w:rsid w:val="00C605EE"/>
    <w:rsid w:val="00C60E14"/>
    <w:rsid w:val="00C6118C"/>
    <w:rsid w:val="00C612FD"/>
    <w:rsid w:val="00C616D3"/>
    <w:rsid w:val="00C61D4D"/>
    <w:rsid w:val="00C62242"/>
    <w:rsid w:val="00C62A97"/>
    <w:rsid w:val="00C62B47"/>
    <w:rsid w:val="00C6320F"/>
    <w:rsid w:val="00C63B40"/>
    <w:rsid w:val="00C64672"/>
    <w:rsid w:val="00C64B68"/>
    <w:rsid w:val="00C65A70"/>
    <w:rsid w:val="00C65C4A"/>
    <w:rsid w:val="00C6759F"/>
    <w:rsid w:val="00C7072E"/>
    <w:rsid w:val="00C71173"/>
    <w:rsid w:val="00C72574"/>
    <w:rsid w:val="00C72D5E"/>
    <w:rsid w:val="00C72FC7"/>
    <w:rsid w:val="00C74079"/>
    <w:rsid w:val="00C74779"/>
    <w:rsid w:val="00C74C63"/>
    <w:rsid w:val="00C761AB"/>
    <w:rsid w:val="00C761D9"/>
    <w:rsid w:val="00C82459"/>
    <w:rsid w:val="00C8304F"/>
    <w:rsid w:val="00C875E9"/>
    <w:rsid w:val="00C916DC"/>
    <w:rsid w:val="00C9199D"/>
    <w:rsid w:val="00C91C54"/>
    <w:rsid w:val="00C91E2C"/>
    <w:rsid w:val="00C934FB"/>
    <w:rsid w:val="00C936BA"/>
    <w:rsid w:val="00C93A4E"/>
    <w:rsid w:val="00C93EF5"/>
    <w:rsid w:val="00C9653D"/>
    <w:rsid w:val="00C97263"/>
    <w:rsid w:val="00C97CD0"/>
    <w:rsid w:val="00CA0D3F"/>
    <w:rsid w:val="00CA0E0A"/>
    <w:rsid w:val="00CA43F9"/>
    <w:rsid w:val="00CA4A59"/>
    <w:rsid w:val="00CA50D4"/>
    <w:rsid w:val="00CA555A"/>
    <w:rsid w:val="00CA5E0C"/>
    <w:rsid w:val="00CA60A5"/>
    <w:rsid w:val="00CA665D"/>
    <w:rsid w:val="00CB0275"/>
    <w:rsid w:val="00CB4B0A"/>
    <w:rsid w:val="00CB527C"/>
    <w:rsid w:val="00CB68A1"/>
    <w:rsid w:val="00CB7457"/>
    <w:rsid w:val="00CC0153"/>
    <w:rsid w:val="00CC0F0E"/>
    <w:rsid w:val="00CC2692"/>
    <w:rsid w:val="00CC2B6C"/>
    <w:rsid w:val="00CC4451"/>
    <w:rsid w:val="00CC5C92"/>
    <w:rsid w:val="00CC68D2"/>
    <w:rsid w:val="00CC6C57"/>
    <w:rsid w:val="00CD0ADA"/>
    <w:rsid w:val="00CD0EEC"/>
    <w:rsid w:val="00CD21FA"/>
    <w:rsid w:val="00CD2A40"/>
    <w:rsid w:val="00CD302D"/>
    <w:rsid w:val="00CD32EC"/>
    <w:rsid w:val="00CD391A"/>
    <w:rsid w:val="00CD4617"/>
    <w:rsid w:val="00CD55B6"/>
    <w:rsid w:val="00CD6117"/>
    <w:rsid w:val="00CD658F"/>
    <w:rsid w:val="00CD6D2A"/>
    <w:rsid w:val="00CD729D"/>
    <w:rsid w:val="00CE00B9"/>
    <w:rsid w:val="00CE0C36"/>
    <w:rsid w:val="00CE2B32"/>
    <w:rsid w:val="00CE4F39"/>
    <w:rsid w:val="00CE5B0C"/>
    <w:rsid w:val="00CE6D81"/>
    <w:rsid w:val="00CE7989"/>
    <w:rsid w:val="00CF031C"/>
    <w:rsid w:val="00CF0457"/>
    <w:rsid w:val="00CF1A31"/>
    <w:rsid w:val="00CF2CDA"/>
    <w:rsid w:val="00CF491B"/>
    <w:rsid w:val="00CF4C61"/>
    <w:rsid w:val="00CF58E8"/>
    <w:rsid w:val="00CF602F"/>
    <w:rsid w:val="00CF72E1"/>
    <w:rsid w:val="00CF72EE"/>
    <w:rsid w:val="00D01BA2"/>
    <w:rsid w:val="00D03286"/>
    <w:rsid w:val="00D04218"/>
    <w:rsid w:val="00D04245"/>
    <w:rsid w:val="00D05339"/>
    <w:rsid w:val="00D05BD6"/>
    <w:rsid w:val="00D05DAB"/>
    <w:rsid w:val="00D06A61"/>
    <w:rsid w:val="00D07C32"/>
    <w:rsid w:val="00D11124"/>
    <w:rsid w:val="00D122B2"/>
    <w:rsid w:val="00D122F3"/>
    <w:rsid w:val="00D135B5"/>
    <w:rsid w:val="00D158F5"/>
    <w:rsid w:val="00D16C72"/>
    <w:rsid w:val="00D2065E"/>
    <w:rsid w:val="00D216B9"/>
    <w:rsid w:val="00D223E6"/>
    <w:rsid w:val="00D23158"/>
    <w:rsid w:val="00D23FE1"/>
    <w:rsid w:val="00D240D2"/>
    <w:rsid w:val="00D2424A"/>
    <w:rsid w:val="00D24597"/>
    <w:rsid w:val="00D2557B"/>
    <w:rsid w:val="00D25ED0"/>
    <w:rsid w:val="00D26A2A"/>
    <w:rsid w:val="00D26BDC"/>
    <w:rsid w:val="00D26E66"/>
    <w:rsid w:val="00D26E88"/>
    <w:rsid w:val="00D27365"/>
    <w:rsid w:val="00D27D42"/>
    <w:rsid w:val="00D305E3"/>
    <w:rsid w:val="00D3216B"/>
    <w:rsid w:val="00D332B1"/>
    <w:rsid w:val="00D35952"/>
    <w:rsid w:val="00D36CB0"/>
    <w:rsid w:val="00D36CD0"/>
    <w:rsid w:val="00D36F98"/>
    <w:rsid w:val="00D416C2"/>
    <w:rsid w:val="00D418D3"/>
    <w:rsid w:val="00D41CEE"/>
    <w:rsid w:val="00D42195"/>
    <w:rsid w:val="00D42B04"/>
    <w:rsid w:val="00D43EC8"/>
    <w:rsid w:val="00D43F86"/>
    <w:rsid w:val="00D442D4"/>
    <w:rsid w:val="00D47307"/>
    <w:rsid w:val="00D505DD"/>
    <w:rsid w:val="00D52B24"/>
    <w:rsid w:val="00D5303C"/>
    <w:rsid w:val="00D5342F"/>
    <w:rsid w:val="00D55D08"/>
    <w:rsid w:val="00D57A88"/>
    <w:rsid w:val="00D60383"/>
    <w:rsid w:val="00D603DA"/>
    <w:rsid w:val="00D6148B"/>
    <w:rsid w:val="00D634EC"/>
    <w:rsid w:val="00D644DA"/>
    <w:rsid w:val="00D64A66"/>
    <w:rsid w:val="00D661B6"/>
    <w:rsid w:val="00D665CD"/>
    <w:rsid w:val="00D6716E"/>
    <w:rsid w:val="00D67F83"/>
    <w:rsid w:val="00D70030"/>
    <w:rsid w:val="00D70C28"/>
    <w:rsid w:val="00D7210B"/>
    <w:rsid w:val="00D7210C"/>
    <w:rsid w:val="00D74B58"/>
    <w:rsid w:val="00D7536E"/>
    <w:rsid w:val="00D80FBB"/>
    <w:rsid w:val="00D81C0E"/>
    <w:rsid w:val="00D81CAD"/>
    <w:rsid w:val="00D820EC"/>
    <w:rsid w:val="00D8351E"/>
    <w:rsid w:val="00D8380C"/>
    <w:rsid w:val="00D8454B"/>
    <w:rsid w:val="00D85151"/>
    <w:rsid w:val="00D8634A"/>
    <w:rsid w:val="00D927AB"/>
    <w:rsid w:val="00D93A3F"/>
    <w:rsid w:val="00D94432"/>
    <w:rsid w:val="00D953AD"/>
    <w:rsid w:val="00D9563A"/>
    <w:rsid w:val="00D960E7"/>
    <w:rsid w:val="00D96BA9"/>
    <w:rsid w:val="00D97F44"/>
    <w:rsid w:val="00DA02E4"/>
    <w:rsid w:val="00DA02FE"/>
    <w:rsid w:val="00DA0D83"/>
    <w:rsid w:val="00DA1500"/>
    <w:rsid w:val="00DA2552"/>
    <w:rsid w:val="00DA4AE4"/>
    <w:rsid w:val="00DA63C2"/>
    <w:rsid w:val="00DA6B2D"/>
    <w:rsid w:val="00DA7642"/>
    <w:rsid w:val="00DA7CEE"/>
    <w:rsid w:val="00DB060D"/>
    <w:rsid w:val="00DB2A9C"/>
    <w:rsid w:val="00DB4470"/>
    <w:rsid w:val="00DB4622"/>
    <w:rsid w:val="00DB6DCF"/>
    <w:rsid w:val="00DB6FCE"/>
    <w:rsid w:val="00DB792C"/>
    <w:rsid w:val="00DB7F05"/>
    <w:rsid w:val="00DC19A6"/>
    <w:rsid w:val="00DC1AB7"/>
    <w:rsid w:val="00DC3495"/>
    <w:rsid w:val="00DC5239"/>
    <w:rsid w:val="00DC52A1"/>
    <w:rsid w:val="00DC6740"/>
    <w:rsid w:val="00DC7368"/>
    <w:rsid w:val="00DD0538"/>
    <w:rsid w:val="00DD0E63"/>
    <w:rsid w:val="00DD19EE"/>
    <w:rsid w:val="00DD25BE"/>
    <w:rsid w:val="00DD2E51"/>
    <w:rsid w:val="00DD3215"/>
    <w:rsid w:val="00DD5EC9"/>
    <w:rsid w:val="00DD6CCD"/>
    <w:rsid w:val="00DE01E9"/>
    <w:rsid w:val="00DE02EB"/>
    <w:rsid w:val="00DE090E"/>
    <w:rsid w:val="00DE325B"/>
    <w:rsid w:val="00DE3E9B"/>
    <w:rsid w:val="00DE5F5E"/>
    <w:rsid w:val="00DE6247"/>
    <w:rsid w:val="00DE6D50"/>
    <w:rsid w:val="00DE728B"/>
    <w:rsid w:val="00DE772F"/>
    <w:rsid w:val="00DF0808"/>
    <w:rsid w:val="00DF0FCD"/>
    <w:rsid w:val="00DF3069"/>
    <w:rsid w:val="00DF4106"/>
    <w:rsid w:val="00DF6BB1"/>
    <w:rsid w:val="00DF700E"/>
    <w:rsid w:val="00DF717E"/>
    <w:rsid w:val="00E00112"/>
    <w:rsid w:val="00E004BB"/>
    <w:rsid w:val="00E004F6"/>
    <w:rsid w:val="00E00945"/>
    <w:rsid w:val="00E00E4C"/>
    <w:rsid w:val="00E014C6"/>
    <w:rsid w:val="00E030C3"/>
    <w:rsid w:val="00E04725"/>
    <w:rsid w:val="00E05795"/>
    <w:rsid w:val="00E069B4"/>
    <w:rsid w:val="00E12C8E"/>
    <w:rsid w:val="00E1302D"/>
    <w:rsid w:val="00E14EE0"/>
    <w:rsid w:val="00E1561A"/>
    <w:rsid w:val="00E1613D"/>
    <w:rsid w:val="00E161C4"/>
    <w:rsid w:val="00E16745"/>
    <w:rsid w:val="00E225D8"/>
    <w:rsid w:val="00E22BC6"/>
    <w:rsid w:val="00E24A0C"/>
    <w:rsid w:val="00E24FB9"/>
    <w:rsid w:val="00E251A4"/>
    <w:rsid w:val="00E25231"/>
    <w:rsid w:val="00E26F8F"/>
    <w:rsid w:val="00E27379"/>
    <w:rsid w:val="00E30208"/>
    <w:rsid w:val="00E32717"/>
    <w:rsid w:val="00E32B6B"/>
    <w:rsid w:val="00E32BF1"/>
    <w:rsid w:val="00E32DAE"/>
    <w:rsid w:val="00E33044"/>
    <w:rsid w:val="00E33E17"/>
    <w:rsid w:val="00E35BC4"/>
    <w:rsid w:val="00E376B9"/>
    <w:rsid w:val="00E41EF1"/>
    <w:rsid w:val="00E424D1"/>
    <w:rsid w:val="00E43085"/>
    <w:rsid w:val="00E43605"/>
    <w:rsid w:val="00E44747"/>
    <w:rsid w:val="00E44772"/>
    <w:rsid w:val="00E45F75"/>
    <w:rsid w:val="00E46040"/>
    <w:rsid w:val="00E46424"/>
    <w:rsid w:val="00E47FE7"/>
    <w:rsid w:val="00E500D0"/>
    <w:rsid w:val="00E51C20"/>
    <w:rsid w:val="00E5381F"/>
    <w:rsid w:val="00E547B6"/>
    <w:rsid w:val="00E549E2"/>
    <w:rsid w:val="00E54BF4"/>
    <w:rsid w:val="00E55057"/>
    <w:rsid w:val="00E558CE"/>
    <w:rsid w:val="00E6001F"/>
    <w:rsid w:val="00E6142E"/>
    <w:rsid w:val="00E62B87"/>
    <w:rsid w:val="00E62BA4"/>
    <w:rsid w:val="00E63287"/>
    <w:rsid w:val="00E63FC1"/>
    <w:rsid w:val="00E64946"/>
    <w:rsid w:val="00E65DDD"/>
    <w:rsid w:val="00E702A3"/>
    <w:rsid w:val="00E7206D"/>
    <w:rsid w:val="00E722EE"/>
    <w:rsid w:val="00E728A5"/>
    <w:rsid w:val="00E74C92"/>
    <w:rsid w:val="00E74F08"/>
    <w:rsid w:val="00E7569C"/>
    <w:rsid w:val="00E7654A"/>
    <w:rsid w:val="00E80978"/>
    <w:rsid w:val="00E82551"/>
    <w:rsid w:val="00E8386E"/>
    <w:rsid w:val="00E83B06"/>
    <w:rsid w:val="00E85E90"/>
    <w:rsid w:val="00E861EF"/>
    <w:rsid w:val="00E864F3"/>
    <w:rsid w:val="00E86AD7"/>
    <w:rsid w:val="00E875F2"/>
    <w:rsid w:val="00E91996"/>
    <w:rsid w:val="00E928CA"/>
    <w:rsid w:val="00E92962"/>
    <w:rsid w:val="00E93007"/>
    <w:rsid w:val="00E9681E"/>
    <w:rsid w:val="00E96A72"/>
    <w:rsid w:val="00EA0FFC"/>
    <w:rsid w:val="00EA112E"/>
    <w:rsid w:val="00EA2DB3"/>
    <w:rsid w:val="00EA3FDD"/>
    <w:rsid w:val="00EA47BE"/>
    <w:rsid w:val="00EA624C"/>
    <w:rsid w:val="00EA7196"/>
    <w:rsid w:val="00EB0252"/>
    <w:rsid w:val="00EB0959"/>
    <w:rsid w:val="00EB10C7"/>
    <w:rsid w:val="00EB1292"/>
    <w:rsid w:val="00EB1FAF"/>
    <w:rsid w:val="00EB1FB3"/>
    <w:rsid w:val="00EB2B4C"/>
    <w:rsid w:val="00EB6CEB"/>
    <w:rsid w:val="00EB7175"/>
    <w:rsid w:val="00EC13EA"/>
    <w:rsid w:val="00EC1F54"/>
    <w:rsid w:val="00EC21C0"/>
    <w:rsid w:val="00EC327D"/>
    <w:rsid w:val="00EC35DD"/>
    <w:rsid w:val="00EC49F0"/>
    <w:rsid w:val="00EC5600"/>
    <w:rsid w:val="00EC63D2"/>
    <w:rsid w:val="00EC6960"/>
    <w:rsid w:val="00EC7010"/>
    <w:rsid w:val="00EC71FE"/>
    <w:rsid w:val="00EC72FF"/>
    <w:rsid w:val="00EC7972"/>
    <w:rsid w:val="00EC7D04"/>
    <w:rsid w:val="00ED0927"/>
    <w:rsid w:val="00ED0D42"/>
    <w:rsid w:val="00ED25A8"/>
    <w:rsid w:val="00ED3B6E"/>
    <w:rsid w:val="00ED4879"/>
    <w:rsid w:val="00ED4D1A"/>
    <w:rsid w:val="00ED5787"/>
    <w:rsid w:val="00ED5D54"/>
    <w:rsid w:val="00ED6D3F"/>
    <w:rsid w:val="00EE0A08"/>
    <w:rsid w:val="00EE1D3D"/>
    <w:rsid w:val="00EE1FF8"/>
    <w:rsid w:val="00EE2056"/>
    <w:rsid w:val="00EE3346"/>
    <w:rsid w:val="00EE7032"/>
    <w:rsid w:val="00EE7E12"/>
    <w:rsid w:val="00EF4834"/>
    <w:rsid w:val="00EF5426"/>
    <w:rsid w:val="00EF676D"/>
    <w:rsid w:val="00EF6F8C"/>
    <w:rsid w:val="00EF7055"/>
    <w:rsid w:val="00EF7E9F"/>
    <w:rsid w:val="00F021B1"/>
    <w:rsid w:val="00F02D33"/>
    <w:rsid w:val="00F03718"/>
    <w:rsid w:val="00F03EB8"/>
    <w:rsid w:val="00F06B4F"/>
    <w:rsid w:val="00F07551"/>
    <w:rsid w:val="00F076F2"/>
    <w:rsid w:val="00F1118E"/>
    <w:rsid w:val="00F1123D"/>
    <w:rsid w:val="00F11587"/>
    <w:rsid w:val="00F1315B"/>
    <w:rsid w:val="00F134E1"/>
    <w:rsid w:val="00F13AEA"/>
    <w:rsid w:val="00F141DA"/>
    <w:rsid w:val="00F15156"/>
    <w:rsid w:val="00F1620A"/>
    <w:rsid w:val="00F179E5"/>
    <w:rsid w:val="00F20657"/>
    <w:rsid w:val="00F2345F"/>
    <w:rsid w:val="00F2585E"/>
    <w:rsid w:val="00F260BF"/>
    <w:rsid w:val="00F26776"/>
    <w:rsid w:val="00F2775B"/>
    <w:rsid w:val="00F27B6C"/>
    <w:rsid w:val="00F302AB"/>
    <w:rsid w:val="00F31618"/>
    <w:rsid w:val="00F32CD7"/>
    <w:rsid w:val="00F336BB"/>
    <w:rsid w:val="00F34B24"/>
    <w:rsid w:val="00F34FC1"/>
    <w:rsid w:val="00F3545D"/>
    <w:rsid w:val="00F35CE6"/>
    <w:rsid w:val="00F412DB"/>
    <w:rsid w:val="00F41681"/>
    <w:rsid w:val="00F416A5"/>
    <w:rsid w:val="00F41BA5"/>
    <w:rsid w:val="00F43401"/>
    <w:rsid w:val="00F43497"/>
    <w:rsid w:val="00F45D96"/>
    <w:rsid w:val="00F45EBA"/>
    <w:rsid w:val="00F47509"/>
    <w:rsid w:val="00F500C7"/>
    <w:rsid w:val="00F5046C"/>
    <w:rsid w:val="00F53996"/>
    <w:rsid w:val="00F55242"/>
    <w:rsid w:val="00F56571"/>
    <w:rsid w:val="00F56AE6"/>
    <w:rsid w:val="00F57CB7"/>
    <w:rsid w:val="00F60893"/>
    <w:rsid w:val="00F62808"/>
    <w:rsid w:val="00F62F19"/>
    <w:rsid w:val="00F63C57"/>
    <w:rsid w:val="00F669CC"/>
    <w:rsid w:val="00F67159"/>
    <w:rsid w:val="00F711BF"/>
    <w:rsid w:val="00F71398"/>
    <w:rsid w:val="00F71E33"/>
    <w:rsid w:val="00F71EFC"/>
    <w:rsid w:val="00F73CFA"/>
    <w:rsid w:val="00F74357"/>
    <w:rsid w:val="00F755A6"/>
    <w:rsid w:val="00F761C4"/>
    <w:rsid w:val="00F80A76"/>
    <w:rsid w:val="00F83563"/>
    <w:rsid w:val="00F860E7"/>
    <w:rsid w:val="00F9114A"/>
    <w:rsid w:val="00F91A46"/>
    <w:rsid w:val="00F922EB"/>
    <w:rsid w:val="00F93A2D"/>
    <w:rsid w:val="00F93C45"/>
    <w:rsid w:val="00F93C8C"/>
    <w:rsid w:val="00F95F50"/>
    <w:rsid w:val="00F96563"/>
    <w:rsid w:val="00F97092"/>
    <w:rsid w:val="00F97E78"/>
    <w:rsid w:val="00FA0199"/>
    <w:rsid w:val="00FA13A8"/>
    <w:rsid w:val="00FA185E"/>
    <w:rsid w:val="00FA2B0B"/>
    <w:rsid w:val="00FA3707"/>
    <w:rsid w:val="00FA3AF7"/>
    <w:rsid w:val="00FA402D"/>
    <w:rsid w:val="00FA4AE9"/>
    <w:rsid w:val="00FA5DCD"/>
    <w:rsid w:val="00FA6302"/>
    <w:rsid w:val="00FA633C"/>
    <w:rsid w:val="00FB3AC8"/>
    <w:rsid w:val="00FB52B3"/>
    <w:rsid w:val="00FB53D8"/>
    <w:rsid w:val="00FC0445"/>
    <w:rsid w:val="00FC1657"/>
    <w:rsid w:val="00FC2E9F"/>
    <w:rsid w:val="00FC4B35"/>
    <w:rsid w:val="00FC5642"/>
    <w:rsid w:val="00FC5CE2"/>
    <w:rsid w:val="00FC632B"/>
    <w:rsid w:val="00FD19FA"/>
    <w:rsid w:val="00FD2FCA"/>
    <w:rsid w:val="00FD5908"/>
    <w:rsid w:val="00FD5B22"/>
    <w:rsid w:val="00FD5FA0"/>
    <w:rsid w:val="00FD6904"/>
    <w:rsid w:val="00FE01E5"/>
    <w:rsid w:val="00FE033C"/>
    <w:rsid w:val="00FE0FCA"/>
    <w:rsid w:val="00FE15F5"/>
    <w:rsid w:val="00FE1CAC"/>
    <w:rsid w:val="00FE2E0A"/>
    <w:rsid w:val="00FE3A9F"/>
    <w:rsid w:val="00FE40DC"/>
    <w:rsid w:val="00FE44AB"/>
    <w:rsid w:val="00FE47BD"/>
    <w:rsid w:val="00FE4B5C"/>
    <w:rsid w:val="00FE54C8"/>
    <w:rsid w:val="00FE64CD"/>
    <w:rsid w:val="00FF07B4"/>
    <w:rsid w:val="00FF0CAF"/>
    <w:rsid w:val="00FF0FD8"/>
    <w:rsid w:val="00FF1421"/>
    <w:rsid w:val="00FF1AB2"/>
    <w:rsid w:val="00FF2046"/>
    <w:rsid w:val="00FF6572"/>
    <w:rsid w:val="00FF7E0B"/>
    <w:rsid w:val="00FF7FC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5E8201"/>
  <w15:chartTrackingRefBased/>
  <w15:docId w15:val="{D2A9FC97-EDBA-4B8E-973F-CA0C3B105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ACB"/>
    <w:pPr>
      <w:spacing w:after="0" w:line="240" w:lineRule="auto"/>
      <w:jc w:val="both"/>
    </w:pPr>
  </w:style>
  <w:style w:type="paragraph" w:styleId="Heading1">
    <w:name w:val="heading 1"/>
    <w:aliases w:val="TRB_Head4"/>
    <w:basedOn w:val="Normal"/>
    <w:next w:val="Normal"/>
    <w:link w:val="Heading1Char"/>
    <w:uiPriority w:val="9"/>
    <w:qFormat/>
    <w:rsid w:val="00B96E21"/>
    <w:pPr>
      <w:keepNext/>
      <w:keepLines/>
      <w:outlineLvl w:val="0"/>
    </w:pPr>
    <w:rPr>
      <w:rFonts w:eastAsiaTheme="majorEastAsia" w:cstheme="majorBidi"/>
      <w:szCs w:val="32"/>
      <w:u w:val="single"/>
    </w:rPr>
  </w:style>
  <w:style w:type="paragraph" w:styleId="Heading2">
    <w:name w:val="heading 2"/>
    <w:basedOn w:val="Normal"/>
    <w:next w:val="Normal"/>
    <w:link w:val="Heading2Char"/>
    <w:uiPriority w:val="9"/>
    <w:unhideWhenUsed/>
    <w:qFormat/>
    <w:rsid w:val="00842E37"/>
    <w:pPr>
      <w:keepNext/>
      <w:keepLines/>
      <w:numPr>
        <w:ilvl w:val="1"/>
        <w:numId w:val="24"/>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558CE"/>
    <w:pPr>
      <w:keepNext/>
      <w:keepLines/>
      <w:numPr>
        <w:ilvl w:val="2"/>
        <w:numId w:val="24"/>
      </w:numPr>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842E37"/>
    <w:pPr>
      <w:keepNext/>
      <w:keepLines/>
      <w:numPr>
        <w:ilvl w:val="3"/>
        <w:numId w:val="24"/>
      </w:numPr>
      <w:spacing w:before="40"/>
      <w:outlineLvl w:val="3"/>
    </w:pPr>
    <w:rPr>
      <w:rFonts w:eastAsiaTheme="majorEastAsia" w:cstheme="majorBidi"/>
      <w:iCs/>
      <w:u w:val="single"/>
    </w:rPr>
  </w:style>
  <w:style w:type="paragraph" w:styleId="Heading5">
    <w:name w:val="heading 5"/>
    <w:basedOn w:val="Normal"/>
    <w:next w:val="Normal"/>
    <w:link w:val="Heading5Char"/>
    <w:uiPriority w:val="9"/>
    <w:semiHidden/>
    <w:unhideWhenUsed/>
    <w:qFormat/>
    <w:rsid w:val="00E558CE"/>
    <w:pPr>
      <w:keepNext/>
      <w:keepLines/>
      <w:numPr>
        <w:ilvl w:val="4"/>
        <w:numId w:val="2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558CE"/>
    <w:pPr>
      <w:keepNext/>
      <w:keepLines/>
      <w:numPr>
        <w:ilvl w:val="5"/>
        <w:numId w:val="2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558CE"/>
    <w:pPr>
      <w:keepNext/>
      <w:keepLines/>
      <w:numPr>
        <w:ilvl w:val="6"/>
        <w:numId w:val="2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558CE"/>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558CE"/>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B2D"/>
    <w:pPr>
      <w:ind w:left="720"/>
      <w:contextualSpacing/>
    </w:pPr>
  </w:style>
  <w:style w:type="character" w:styleId="Hyperlink">
    <w:name w:val="Hyperlink"/>
    <w:basedOn w:val="DefaultParagraphFont"/>
    <w:uiPriority w:val="99"/>
    <w:unhideWhenUsed/>
    <w:rsid w:val="00935716"/>
    <w:rPr>
      <w:color w:val="0000FF" w:themeColor="hyperlink"/>
      <w:u w:val="single"/>
    </w:rPr>
  </w:style>
  <w:style w:type="character" w:customStyle="1" w:styleId="UnresolvedMention1">
    <w:name w:val="Unresolved Mention1"/>
    <w:basedOn w:val="DefaultParagraphFont"/>
    <w:uiPriority w:val="99"/>
    <w:semiHidden/>
    <w:unhideWhenUsed/>
    <w:rsid w:val="00935716"/>
    <w:rPr>
      <w:color w:val="605E5C"/>
      <w:shd w:val="clear" w:color="auto" w:fill="E1DFDD"/>
    </w:rPr>
  </w:style>
  <w:style w:type="paragraph" w:customStyle="1" w:styleId="Default">
    <w:name w:val="Default"/>
    <w:rsid w:val="003409B9"/>
    <w:pPr>
      <w:autoSpaceDE w:val="0"/>
      <w:autoSpaceDN w:val="0"/>
      <w:adjustRightInd w:val="0"/>
      <w:spacing w:after="0" w:line="240" w:lineRule="auto"/>
    </w:pPr>
    <w:rPr>
      <w:rFonts w:cs="Times New Roman"/>
      <w:color w:val="000000"/>
      <w:szCs w:val="24"/>
    </w:rPr>
  </w:style>
  <w:style w:type="paragraph" w:customStyle="1" w:styleId="TRBHead1">
    <w:name w:val="TRB_Head1"/>
    <w:basedOn w:val="Normal"/>
    <w:link w:val="TRBHead1Char"/>
    <w:autoRedefine/>
    <w:qFormat/>
    <w:rsid w:val="00ED3B6E"/>
    <w:pPr>
      <w:numPr>
        <w:numId w:val="24"/>
      </w:numPr>
    </w:pPr>
    <w:rPr>
      <w:rFonts w:eastAsia="SimSun"/>
      <w:b/>
      <w:caps/>
      <w:kern w:val="3"/>
      <w:szCs w:val="24"/>
      <w:lang w:val="es-MX"/>
    </w:rPr>
  </w:style>
  <w:style w:type="paragraph" w:customStyle="1" w:styleId="TRBHead2">
    <w:name w:val="TRB_Head2"/>
    <w:basedOn w:val="TRBHead1"/>
    <w:link w:val="TRBHead2Char"/>
    <w:autoRedefine/>
    <w:rsid w:val="00842E37"/>
    <w:rPr>
      <w:rFonts w:cs="Times New Roman"/>
      <w:caps w:val="0"/>
      <w:lang w:val="en-US"/>
    </w:rPr>
  </w:style>
  <w:style w:type="character" w:customStyle="1" w:styleId="TRBHead1Char">
    <w:name w:val="TRB_Head1 Char"/>
    <w:basedOn w:val="DefaultParagraphFont"/>
    <w:link w:val="TRBHead1"/>
    <w:rsid w:val="00ED3B6E"/>
    <w:rPr>
      <w:rFonts w:eastAsia="SimSun"/>
      <w:b/>
      <w:caps/>
      <w:kern w:val="3"/>
      <w:szCs w:val="24"/>
      <w:lang w:val="es-MX"/>
    </w:rPr>
  </w:style>
  <w:style w:type="paragraph" w:customStyle="1" w:styleId="TRBHead3">
    <w:name w:val="TRB_Head3"/>
    <w:basedOn w:val="TRBHead2"/>
    <w:link w:val="TRBHead3Char"/>
    <w:autoRedefine/>
    <w:rsid w:val="009B1096"/>
    <w:rPr>
      <w:b w:val="0"/>
      <w:i/>
    </w:rPr>
  </w:style>
  <w:style w:type="character" w:customStyle="1" w:styleId="TRBHead2Char">
    <w:name w:val="TRB_Head2 Char"/>
    <w:basedOn w:val="TRBHead1Char"/>
    <w:link w:val="TRBHead2"/>
    <w:rsid w:val="00842E37"/>
    <w:rPr>
      <w:rFonts w:eastAsia="SimSun" w:cs="Times New Roman"/>
      <w:b/>
      <w:caps w:val="0"/>
      <w:kern w:val="3"/>
      <w:szCs w:val="24"/>
      <w:lang w:val="es-MX"/>
    </w:rPr>
  </w:style>
  <w:style w:type="character" w:styleId="PlaceholderText">
    <w:name w:val="Placeholder Text"/>
    <w:basedOn w:val="DefaultParagraphFont"/>
    <w:uiPriority w:val="99"/>
    <w:semiHidden/>
    <w:rsid w:val="008C7DD4"/>
    <w:rPr>
      <w:color w:val="808080"/>
    </w:rPr>
  </w:style>
  <w:style w:type="character" w:customStyle="1" w:styleId="TRBHead3Char">
    <w:name w:val="TRB_Head3 Char"/>
    <w:basedOn w:val="TRBHead2Char"/>
    <w:link w:val="TRBHead3"/>
    <w:rsid w:val="009B1096"/>
    <w:rPr>
      <w:rFonts w:ascii="Times New Roman Bold" w:eastAsia="SimSun" w:hAnsi="Times New Roman Bold" w:cs="Times New Roman"/>
      <w:b w:val="0"/>
      <w:i/>
      <w:caps w:val="0"/>
      <w:kern w:val="3"/>
      <w:szCs w:val="24"/>
      <w:lang w:val="es-MX"/>
    </w:rPr>
  </w:style>
  <w:style w:type="table" w:styleId="TableGrid">
    <w:name w:val="Table Grid"/>
    <w:basedOn w:val="TableNormal"/>
    <w:uiPriority w:val="59"/>
    <w:rsid w:val="00A21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5971"/>
    <w:rPr>
      <w:sz w:val="16"/>
      <w:szCs w:val="16"/>
    </w:rPr>
  </w:style>
  <w:style w:type="paragraph" w:styleId="CommentText">
    <w:name w:val="annotation text"/>
    <w:basedOn w:val="Normal"/>
    <w:link w:val="CommentTextChar"/>
    <w:uiPriority w:val="99"/>
    <w:unhideWhenUsed/>
    <w:rsid w:val="00B55971"/>
    <w:rPr>
      <w:sz w:val="20"/>
      <w:szCs w:val="20"/>
    </w:rPr>
  </w:style>
  <w:style w:type="character" w:customStyle="1" w:styleId="CommentTextChar">
    <w:name w:val="Comment Text Char"/>
    <w:basedOn w:val="DefaultParagraphFont"/>
    <w:link w:val="CommentText"/>
    <w:uiPriority w:val="99"/>
    <w:rsid w:val="00B55971"/>
    <w:rPr>
      <w:sz w:val="20"/>
      <w:szCs w:val="20"/>
    </w:rPr>
  </w:style>
  <w:style w:type="paragraph" w:styleId="CommentSubject">
    <w:name w:val="annotation subject"/>
    <w:basedOn w:val="CommentText"/>
    <w:next w:val="CommentText"/>
    <w:link w:val="CommentSubjectChar"/>
    <w:uiPriority w:val="99"/>
    <w:semiHidden/>
    <w:unhideWhenUsed/>
    <w:rsid w:val="00B55971"/>
    <w:rPr>
      <w:b/>
      <w:bCs/>
    </w:rPr>
  </w:style>
  <w:style w:type="character" w:customStyle="1" w:styleId="CommentSubjectChar">
    <w:name w:val="Comment Subject Char"/>
    <w:basedOn w:val="CommentTextChar"/>
    <w:link w:val="CommentSubject"/>
    <w:uiPriority w:val="99"/>
    <w:semiHidden/>
    <w:rsid w:val="00B55971"/>
    <w:rPr>
      <w:b/>
      <w:bCs/>
      <w:sz w:val="20"/>
      <w:szCs w:val="20"/>
    </w:rPr>
  </w:style>
  <w:style w:type="paragraph" w:styleId="BalloonText">
    <w:name w:val="Balloon Text"/>
    <w:basedOn w:val="Normal"/>
    <w:link w:val="BalloonTextChar"/>
    <w:uiPriority w:val="99"/>
    <w:semiHidden/>
    <w:unhideWhenUsed/>
    <w:rsid w:val="00B559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971"/>
    <w:rPr>
      <w:rFonts w:ascii="Segoe UI" w:hAnsi="Segoe UI" w:cs="Segoe UI"/>
      <w:sz w:val="18"/>
      <w:szCs w:val="18"/>
    </w:rPr>
  </w:style>
  <w:style w:type="character" w:styleId="FollowedHyperlink">
    <w:name w:val="FollowedHyperlink"/>
    <w:basedOn w:val="DefaultParagraphFont"/>
    <w:uiPriority w:val="99"/>
    <w:semiHidden/>
    <w:unhideWhenUsed/>
    <w:rsid w:val="00D57A88"/>
    <w:rPr>
      <w:color w:val="800080" w:themeColor="followedHyperlink"/>
      <w:u w:val="single"/>
    </w:rPr>
  </w:style>
  <w:style w:type="character" w:customStyle="1" w:styleId="ms-font-s">
    <w:name w:val="ms-font-s"/>
    <w:basedOn w:val="DefaultParagraphFont"/>
    <w:rsid w:val="00E33044"/>
  </w:style>
  <w:style w:type="paragraph" w:styleId="NoSpacing">
    <w:name w:val="No Spacing"/>
    <w:link w:val="NoSpacingChar"/>
    <w:uiPriority w:val="1"/>
    <w:rsid w:val="00070AA6"/>
    <w:pPr>
      <w:spacing w:after="0" w:line="240" w:lineRule="auto"/>
    </w:pPr>
    <w:rPr>
      <w:b/>
      <w:caps/>
    </w:rPr>
  </w:style>
  <w:style w:type="paragraph" w:styleId="Header">
    <w:name w:val="header"/>
    <w:basedOn w:val="Normal"/>
    <w:link w:val="HeaderChar"/>
    <w:uiPriority w:val="99"/>
    <w:unhideWhenUsed/>
    <w:rsid w:val="00D7210B"/>
    <w:pPr>
      <w:tabs>
        <w:tab w:val="center" w:pos="4680"/>
        <w:tab w:val="right" w:pos="9360"/>
      </w:tabs>
    </w:pPr>
  </w:style>
  <w:style w:type="character" w:customStyle="1" w:styleId="HeaderChar">
    <w:name w:val="Header Char"/>
    <w:basedOn w:val="DefaultParagraphFont"/>
    <w:link w:val="Header"/>
    <w:uiPriority w:val="99"/>
    <w:rsid w:val="00D7210B"/>
  </w:style>
  <w:style w:type="paragraph" w:styleId="Footer">
    <w:name w:val="footer"/>
    <w:basedOn w:val="Normal"/>
    <w:link w:val="FooterChar"/>
    <w:uiPriority w:val="99"/>
    <w:unhideWhenUsed/>
    <w:rsid w:val="00D7210B"/>
    <w:pPr>
      <w:tabs>
        <w:tab w:val="center" w:pos="4680"/>
        <w:tab w:val="right" w:pos="9360"/>
      </w:tabs>
    </w:pPr>
  </w:style>
  <w:style w:type="character" w:customStyle="1" w:styleId="FooterChar">
    <w:name w:val="Footer Char"/>
    <w:basedOn w:val="DefaultParagraphFont"/>
    <w:link w:val="Footer"/>
    <w:uiPriority w:val="99"/>
    <w:rsid w:val="00D7210B"/>
  </w:style>
  <w:style w:type="paragraph" w:customStyle="1" w:styleId="EndNoteBibliographyTitle">
    <w:name w:val="EndNote Bibliography Title"/>
    <w:basedOn w:val="Normal"/>
    <w:link w:val="EndNoteBibliographyTitleChar"/>
    <w:rsid w:val="00573013"/>
    <w:pPr>
      <w:jc w:val="center"/>
    </w:pPr>
    <w:rPr>
      <w:rFonts w:cs="Times New Roman"/>
      <w:noProof/>
    </w:rPr>
  </w:style>
  <w:style w:type="character" w:customStyle="1" w:styleId="EndNoteBibliographyTitleChar">
    <w:name w:val="EndNote Bibliography Title Char"/>
    <w:basedOn w:val="DefaultParagraphFont"/>
    <w:link w:val="EndNoteBibliographyTitle"/>
    <w:rsid w:val="00573013"/>
    <w:rPr>
      <w:rFonts w:cs="Times New Roman"/>
      <w:noProof/>
    </w:rPr>
  </w:style>
  <w:style w:type="paragraph" w:customStyle="1" w:styleId="EndNoteBibliography">
    <w:name w:val="EndNote Bibliography"/>
    <w:basedOn w:val="Normal"/>
    <w:link w:val="EndNoteBibliographyChar"/>
    <w:rsid w:val="00573013"/>
    <w:rPr>
      <w:rFonts w:cs="Times New Roman"/>
      <w:noProof/>
    </w:rPr>
  </w:style>
  <w:style w:type="character" w:customStyle="1" w:styleId="EndNoteBibliographyChar">
    <w:name w:val="EndNote Bibliography Char"/>
    <w:basedOn w:val="DefaultParagraphFont"/>
    <w:link w:val="EndNoteBibliography"/>
    <w:rsid w:val="00573013"/>
    <w:rPr>
      <w:rFonts w:cs="Times New Roman"/>
      <w:noProof/>
    </w:rPr>
  </w:style>
  <w:style w:type="character" w:styleId="LineNumber">
    <w:name w:val="line number"/>
    <w:basedOn w:val="DefaultParagraphFont"/>
    <w:uiPriority w:val="99"/>
    <w:semiHidden/>
    <w:unhideWhenUsed/>
    <w:rsid w:val="00BD2A04"/>
  </w:style>
  <w:style w:type="character" w:customStyle="1" w:styleId="UnresolvedMention2">
    <w:name w:val="Unresolved Mention2"/>
    <w:basedOn w:val="DefaultParagraphFont"/>
    <w:uiPriority w:val="99"/>
    <w:semiHidden/>
    <w:unhideWhenUsed/>
    <w:rsid w:val="005D5501"/>
    <w:rPr>
      <w:color w:val="605E5C"/>
      <w:shd w:val="clear" w:color="auto" w:fill="E1DFDD"/>
    </w:rPr>
  </w:style>
  <w:style w:type="character" w:customStyle="1" w:styleId="Heading2Char">
    <w:name w:val="Heading 2 Char"/>
    <w:basedOn w:val="DefaultParagraphFont"/>
    <w:link w:val="Heading2"/>
    <w:uiPriority w:val="9"/>
    <w:rsid w:val="00842E37"/>
    <w:rPr>
      <w:rFonts w:eastAsiaTheme="majorEastAsia" w:cstheme="majorBidi"/>
      <w:b/>
      <w:szCs w:val="26"/>
    </w:rPr>
  </w:style>
  <w:style w:type="character" w:customStyle="1" w:styleId="Heading3Char">
    <w:name w:val="Heading 3 Char"/>
    <w:basedOn w:val="DefaultParagraphFont"/>
    <w:link w:val="Heading3"/>
    <w:uiPriority w:val="9"/>
    <w:rsid w:val="009B1096"/>
    <w:rPr>
      <w:rFonts w:eastAsiaTheme="majorEastAsia" w:cstheme="majorBidi"/>
      <w:i/>
      <w:szCs w:val="24"/>
    </w:rPr>
  </w:style>
  <w:style w:type="character" w:customStyle="1" w:styleId="UnresolvedMention3">
    <w:name w:val="Unresolved Mention3"/>
    <w:basedOn w:val="DefaultParagraphFont"/>
    <w:uiPriority w:val="99"/>
    <w:semiHidden/>
    <w:unhideWhenUsed/>
    <w:rsid w:val="00122BC8"/>
    <w:rPr>
      <w:color w:val="605E5C"/>
      <w:shd w:val="clear" w:color="auto" w:fill="E1DFDD"/>
    </w:rPr>
  </w:style>
  <w:style w:type="paragraph" w:styleId="FootnoteText">
    <w:name w:val="footnote text"/>
    <w:basedOn w:val="Normal"/>
    <w:link w:val="FootnoteTextChar"/>
    <w:uiPriority w:val="99"/>
    <w:semiHidden/>
    <w:unhideWhenUsed/>
    <w:rsid w:val="00122BC8"/>
    <w:rPr>
      <w:sz w:val="20"/>
      <w:szCs w:val="20"/>
    </w:rPr>
  </w:style>
  <w:style w:type="character" w:customStyle="1" w:styleId="FootnoteTextChar">
    <w:name w:val="Footnote Text Char"/>
    <w:basedOn w:val="DefaultParagraphFont"/>
    <w:link w:val="FootnoteText"/>
    <w:uiPriority w:val="99"/>
    <w:semiHidden/>
    <w:rsid w:val="00122BC8"/>
    <w:rPr>
      <w:sz w:val="20"/>
      <w:szCs w:val="20"/>
    </w:rPr>
  </w:style>
  <w:style w:type="character" w:styleId="FootnoteReference">
    <w:name w:val="footnote reference"/>
    <w:basedOn w:val="DefaultParagraphFont"/>
    <w:uiPriority w:val="99"/>
    <w:semiHidden/>
    <w:unhideWhenUsed/>
    <w:rsid w:val="00122BC8"/>
    <w:rPr>
      <w:vertAlign w:val="superscript"/>
    </w:rPr>
  </w:style>
  <w:style w:type="paragraph" w:customStyle="1" w:styleId="Paragraph">
    <w:name w:val="Paragraph"/>
    <w:basedOn w:val="Normal"/>
    <w:link w:val="ParagraphChar"/>
    <w:autoRedefine/>
    <w:qFormat/>
    <w:rsid w:val="00122BC8"/>
    <w:rPr>
      <w:rFonts w:ascii="Times New Roman Bold" w:eastAsia="SimSun" w:hAnsi="Times New Roman Bold"/>
      <w:kern w:val="3"/>
      <w:lang w:val="es-MX"/>
    </w:rPr>
  </w:style>
  <w:style w:type="character" w:customStyle="1" w:styleId="ParagraphChar">
    <w:name w:val="Paragraph Char"/>
    <w:basedOn w:val="DefaultParagraphFont"/>
    <w:link w:val="Paragraph"/>
    <w:rsid w:val="00122BC8"/>
    <w:rPr>
      <w:rFonts w:ascii="Times New Roman Bold" w:eastAsia="SimSun" w:hAnsi="Times New Roman Bold"/>
      <w:kern w:val="3"/>
      <w:lang w:val="es-MX"/>
    </w:rPr>
  </w:style>
  <w:style w:type="character" w:customStyle="1" w:styleId="Heading1Char">
    <w:name w:val="Heading 1 Char"/>
    <w:aliases w:val="TRB_Head4 Char"/>
    <w:basedOn w:val="DefaultParagraphFont"/>
    <w:link w:val="Heading1"/>
    <w:uiPriority w:val="9"/>
    <w:rsid w:val="00B96E21"/>
    <w:rPr>
      <w:rFonts w:eastAsiaTheme="majorEastAsia" w:cstheme="majorBidi"/>
      <w:szCs w:val="32"/>
      <w:u w:val="single"/>
    </w:rPr>
  </w:style>
  <w:style w:type="character" w:customStyle="1" w:styleId="NoSpacingChar">
    <w:name w:val="No Spacing Char"/>
    <w:basedOn w:val="DefaultParagraphFont"/>
    <w:link w:val="NoSpacing"/>
    <w:uiPriority w:val="1"/>
    <w:rsid w:val="00B1043B"/>
    <w:rPr>
      <w:b/>
      <w:caps/>
    </w:rPr>
  </w:style>
  <w:style w:type="table" w:customStyle="1" w:styleId="TableGrid1">
    <w:name w:val="Table Grid1"/>
    <w:basedOn w:val="TableNormal"/>
    <w:next w:val="TableGrid"/>
    <w:uiPriority w:val="59"/>
    <w:rsid w:val="00650883"/>
    <w:pPr>
      <w:spacing w:after="0" w:line="240" w:lineRule="auto"/>
      <w:jc w:val="both"/>
    </w:pPr>
    <w:rPr>
      <w:rFonts w:asciiTheme="minorHAnsi" w:hAnsiTheme="minorHAnsi"/>
      <w:sz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650883"/>
    <w:pPr>
      <w:spacing w:after="0" w:line="240" w:lineRule="auto"/>
      <w:jc w:val="both"/>
    </w:pPr>
    <w:rPr>
      <w:rFonts w:asciiTheme="minorHAnsi" w:hAnsiTheme="minorHAnsi"/>
      <w:sz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4">
    <w:name w:val="Unresolved Mention4"/>
    <w:basedOn w:val="DefaultParagraphFont"/>
    <w:uiPriority w:val="99"/>
    <w:semiHidden/>
    <w:unhideWhenUsed/>
    <w:rsid w:val="007D0DFF"/>
    <w:rPr>
      <w:color w:val="605E5C"/>
      <w:shd w:val="clear" w:color="auto" w:fill="E1DFDD"/>
    </w:rPr>
  </w:style>
  <w:style w:type="character" w:customStyle="1" w:styleId="UnresolvedMention5">
    <w:name w:val="Unresolved Mention5"/>
    <w:basedOn w:val="DefaultParagraphFont"/>
    <w:uiPriority w:val="99"/>
    <w:semiHidden/>
    <w:unhideWhenUsed/>
    <w:rsid w:val="00F141DA"/>
    <w:rPr>
      <w:color w:val="605E5C"/>
      <w:shd w:val="clear" w:color="auto" w:fill="E1DFDD"/>
    </w:rPr>
  </w:style>
  <w:style w:type="paragraph" w:styleId="Revision">
    <w:name w:val="Revision"/>
    <w:hidden/>
    <w:uiPriority w:val="99"/>
    <w:semiHidden/>
    <w:rsid w:val="000A1D54"/>
    <w:pPr>
      <w:spacing w:after="0" w:line="240" w:lineRule="auto"/>
    </w:pPr>
  </w:style>
  <w:style w:type="character" w:styleId="Strong">
    <w:name w:val="Strong"/>
    <w:basedOn w:val="DefaultParagraphFont"/>
    <w:uiPriority w:val="22"/>
    <w:qFormat/>
    <w:rsid w:val="008D1A05"/>
    <w:rPr>
      <w:b/>
      <w:bCs/>
    </w:rPr>
  </w:style>
  <w:style w:type="character" w:customStyle="1" w:styleId="UnresolvedMention6">
    <w:name w:val="Unresolved Mention6"/>
    <w:basedOn w:val="DefaultParagraphFont"/>
    <w:uiPriority w:val="99"/>
    <w:semiHidden/>
    <w:unhideWhenUsed/>
    <w:rsid w:val="00FE40DC"/>
    <w:rPr>
      <w:color w:val="605E5C"/>
      <w:shd w:val="clear" w:color="auto" w:fill="E1DFDD"/>
    </w:rPr>
  </w:style>
  <w:style w:type="character" w:customStyle="1" w:styleId="UnresolvedMention7">
    <w:name w:val="Unresolved Mention7"/>
    <w:basedOn w:val="DefaultParagraphFont"/>
    <w:uiPriority w:val="99"/>
    <w:semiHidden/>
    <w:unhideWhenUsed/>
    <w:rsid w:val="00EE2056"/>
    <w:rPr>
      <w:color w:val="605E5C"/>
      <w:shd w:val="clear" w:color="auto" w:fill="E1DFDD"/>
    </w:rPr>
  </w:style>
  <w:style w:type="character" w:customStyle="1" w:styleId="UnresolvedMention8">
    <w:name w:val="Unresolved Mention8"/>
    <w:basedOn w:val="DefaultParagraphFont"/>
    <w:uiPriority w:val="99"/>
    <w:semiHidden/>
    <w:unhideWhenUsed/>
    <w:rsid w:val="00C55743"/>
    <w:rPr>
      <w:color w:val="605E5C"/>
      <w:shd w:val="clear" w:color="auto" w:fill="E1DFDD"/>
    </w:rPr>
  </w:style>
  <w:style w:type="character" w:customStyle="1" w:styleId="Heading4Char">
    <w:name w:val="Heading 4 Char"/>
    <w:basedOn w:val="DefaultParagraphFont"/>
    <w:link w:val="Heading4"/>
    <w:uiPriority w:val="9"/>
    <w:rsid w:val="00842E37"/>
    <w:rPr>
      <w:rFonts w:eastAsiaTheme="majorEastAsia" w:cstheme="majorBidi"/>
      <w:iCs/>
      <w:u w:val="single"/>
    </w:rPr>
  </w:style>
  <w:style w:type="character" w:customStyle="1" w:styleId="Heading5Char">
    <w:name w:val="Heading 5 Char"/>
    <w:basedOn w:val="DefaultParagraphFont"/>
    <w:link w:val="Heading5"/>
    <w:uiPriority w:val="9"/>
    <w:semiHidden/>
    <w:rsid w:val="00E558C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558C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558C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558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558CE"/>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B51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7606">
      <w:bodyDiv w:val="1"/>
      <w:marLeft w:val="0"/>
      <w:marRight w:val="0"/>
      <w:marTop w:val="0"/>
      <w:marBottom w:val="0"/>
      <w:divBdr>
        <w:top w:val="none" w:sz="0" w:space="0" w:color="auto"/>
        <w:left w:val="none" w:sz="0" w:space="0" w:color="auto"/>
        <w:bottom w:val="none" w:sz="0" w:space="0" w:color="auto"/>
        <w:right w:val="none" w:sz="0" w:space="0" w:color="auto"/>
      </w:divBdr>
    </w:div>
    <w:div w:id="47580054">
      <w:bodyDiv w:val="1"/>
      <w:marLeft w:val="0"/>
      <w:marRight w:val="0"/>
      <w:marTop w:val="0"/>
      <w:marBottom w:val="0"/>
      <w:divBdr>
        <w:top w:val="none" w:sz="0" w:space="0" w:color="auto"/>
        <w:left w:val="none" w:sz="0" w:space="0" w:color="auto"/>
        <w:bottom w:val="none" w:sz="0" w:space="0" w:color="auto"/>
        <w:right w:val="none" w:sz="0" w:space="0" w:color="auto"/>
      </w:divBdr>
    </w:div>
    <w:div w:id="115758627">
      <w:bodyDiv w:val="1"/>
      <w:marLeft w:val="0"/>
      <w:marRight w:val="0"/>
      <w:marTop w:val="0"/>
      <w:marBottom w:val="0"/>
      <w:divBdr>
        <w:top w:val="none" w:sz="0" w:space="0" w:color="auto"/>
        <w:left w:val="none" w:sz="0" w:space="0" w:color="auto"/>
        <w:bottom w:val="none" w:sz="0" w:space="0" w:color="auto"/>
        <w:right w:val="none" w:sz="0" w:space="0" w:color="auto"/>
      </w:divBdr>
    </w:div>
    <w:div w:id="247934162">
      <w:bodyDiv w:val="1"/>
      <w:marLeft w:val="0"/>
      <w:marRight w:val="0"/>
      <w:marTop w:val="0"/>
      <w:marBottom w:val="0"/>
      <w:divBdr>
        <w:top w:val="none" w:sz="0" w:space="0" w:color="auto"/>
        <w:left w:val="none" w:sz="0" w:space="0" w:color="auto"/>
        <w:bottom w:val="none" w:sz="0" w:space="0" w:color="auto"/>
        <w:right w:val="none" w:sz="0" w:space="0" w:color="auto"/>
      </w:divBdr>
    </w:div>
    <w:div w:id="296223932">
      <w:bodyDiv w:val="1"/>
      <w:marLeft w:val="0"/>
      <w:marRight w:val="0"/>
      <w:marTop w:val="0"/>
      <w:marBottom w:val="0"/>
      <w:divBdr>
        <w:top w:val="none" w:sz="0" w:space="0" w:color="auto"/>
        <w:left w:val="none" w:sz="0" w:space="0" w:color="auto"/>
        <w:bottom w:val="none" w:sz="0" w:space="0" w:color="auto"/>
        <w:right w:val="none" w:sz="0" w:space="0" w:color="auto"/>
      </w:divBdr>
    </w:div>
    <w:div w:id="420372290">
      <w:bodyDiv w:val="1"/>
      <w:marLeft w:val="0"/>
      <w:marRight w:val="0"/>
      <w:marTop w:val="0"/>
      <w:marBottom w:val="0"/>
      <w:divBdr>
        <w:top w:val="none" w:sz="0" w:space="0" w:color="auto"/>
        <w:left w:val="none" w:sz="0" w:space="0" w:color="auto"/>
        <w:bottom w:val="none" w:sz="0" w:space="0" w:color="auto"/>
        <w:right w:val="none" w:sz="0" w:space="0" w:color="auto"/>
      </w:divBdr>
    </w:div>
    <w:div w:id="464003576">
      <w:bodyDiv w:val="1"/>
      <w:marLeft w:val="0"/>
      <w:marRight w:val="0"/>
      <w:marTop w:val="0"/>
      <w:marBottom w:val="0"/>
      <w:divBdr>
        <w:top w:val="none" w:sz="0" w:space="0" w:color="auto"/>
        <w:left w:val="none" w:sz="0" w:space="0" w:color="auto"/>
        <w:bottom w:val="none" w:sz="0" w:space="0" w:color="auto"/>
        <w:right w:val="none" w:sz="0" w:space="0" w:color="auto"/>
      </w:divBdr>
    </w:div>
    <w:div w:id="551579119">
      <w:bodyDiv w:val="1"/>
      <w:marLeft w:val="0"/>
      <w:marRight w:val="0"/>
      <w:marTop w:val="0"/>
      <w:marBottom w:val="0"/>
      <w:divBdr>
        <w:top w:val="none" w:sz="0" w:space="0" w:color="auto"/>
        <w:left w:val="none" w:sz="0" w:space="0" w:color="auto"/>
        <w:bottom w:val="none" w:sz="0" w:space="0" w:color="auto"/>
        <w:right w:val="none" w:sz="0" w:space="0" w:color="auto"/>
      </w:divBdr>
    </w:div>
    <w:div w:id="616567821">
      <w:bodyDiv w:val="1"/>
      <w:marLeft w:val="0"/>
      <w:marRight w:val="0"/>
      <w:marTop w:val="0"/>
      <w:marBottom w:val="0"/>
      <w:divBdr>
        <w:top w:val="none" w:sz="0" w:space="0" w:color="auto"/>
        <w:left w:val="none" w:sz="0" w:space="0" w:color="auto"/>
        <w:bottom w:val="none" w:sz="0" w:space="0" w:color="auto"/>
        <w:right w:val="none" w:sz="0" w:space="0" w:color="auto"/>
      </w:divBdr>
    </w:div>
    <w:div w:id="671026490">
      <w:bodyDiv w:val="1"/>
      <w:marLeft w:val="0"/>
      <w:marRight w:val="0"/>
      <w:marTop w:val="0"/>
      <w:marBottom w:val="0"/>
      <w:divBdr>
        <w:top w:val="none" w:sz="0" w:space="0" w:color="auto"/>
        <w:left w:val="none" w:sz="0" w:space="0" w:color="auto"/>
        <w:bottom w:val="none" w:sz="0" w:space="0" w:color="auto"/>
        <w:right w:val="none" w:sz="0" w:space="0" w:color="auto"/>
      </w:divBdr>
    </w:div>
    <w:div w:id="886260736">
      <w:bodyDiv w:val="1"/>
      <w:marLeft w:val="0"/>
      <w:marRight w:val="0"/>
      <w:marTop w:val="0"/>
      <w:marBottom w:val="0"/>
      <w:divBdr>
        <w:top w:val="none" w:sz="0" w:space="0" w:color="auto"/>
        <w:left w:val="none" w:sz="0" w:space="0" w:color="auto"/>
        <w:bottom w:val="none" w:sz="0" w:space="0" w:color="auto"/>
        <w:right w:val="none" w:sz="0" w:space="0" w:color="auto"/>
      </w:divBdr>
    </w:div>
    <w:div w:id="898438811">
      <w:bodyDiv w:val="1"/>
      <w:marLeft w:val="0"/>
      <w:marRight w:val="0"/>
      <w:marTop w:val="0"/>
      <w:marBottom w:val="0"/>
      <w:divBdr>
        <w:top w:val="none" w:sz="0" w:space="0" w:color="auto"/>
        <w:left w:val="none" w:sz="0" w:space="0" w:color="auto"/>
        <w:bottom w:val="none" w:sz="0" w:space="0" w:color="auto"/>
        <w:right w:val="none" w:sz="0" w:space="0" w:color="auto"/>
      </w:divBdr>
    </w:div>
    <w:div w:id="929463042">
      <w:bodyDiv w:val="1"/>
      <w:marLeft w:val="0"/>
      <w:marRight w:val="0"/>
      <w:marTop w:val="0"/>
      <w:marBottom w:val="0"/>
      <w:divBdr>
        <w:top w:val="none" w:sz="0" w:space="0" w:color="auto"/>
        <w:left w:val="none" w:sz="0" w:space="0" w:color="auto"/>
        <w:bottom w:val="none" w:sz="0" w:space="0" w:color="auto"/>
        <w:right w:val="none" w:sz="0" w:space="0" w:color="auto"/>
      </w:divBdr>
    </w:div>
    <w:div w:id="949749981">
      <w:bodyDiv w:val="1"/>
      <w:marLeft w:val="0"/>
      <w:marRight w:val="0"/>
      <w:marTop w:val="0"/>
      <w:marBottom w:val="0"/>
      <w:divBdr>
        <w:top w:val="none" w:sz="0" w:space="0" w:color="auto"/>
        <w:left w:val="none" w:sz="0" w:space="0" w:color="auto"/>
        <w:bottom w:val="none" w:sz="0" w:space="0" w:color="auto"/>
        <w:right w:val="none" w:sz="0" w:space="0" w:color="auto"/>
      </w:divBdr>
    </w:div>
    <w:div w:id="1001002618">
      <w:bodyDiv w:val="1"/>
      <w:marLeft w:val="0"/>
      <w:marRight w:val="0"/>
      <w:marTop w:val="0"/>
      <w:marBottom w:val="0"/>
      <w:divBdr>
        <w:top w:val="none" w:sz="0" w:space="0" w:color="auto"/>
        <w:left w:val="none" w:sz="0" w:space="0" w:color="auto"/>
        <w:bottom w:val="none" w:sz="0" w:space="0" w:color="auto"/>
        <w:right w:val="none" w:sz="0" w:space="0" w:color="auto"/>
      </w:divBdr>
    </w:div>
    <w:div w:id="1048452123">
      <w:bodyDiv w:val="1"/>
      <w:marLeft w:val="0"/>
      <w:marRight w:val="0"/>
      <w:marTop w:val="0"/>
      <w:marBottom w:val="0"/>
      <w:divBdr>
        <w:top w:val="none" w:sz="0" w:space="0" w:color="auto"/>
        <w:left w:val="none" w:sz="0" w:space="0" w:color="auto"/>
        <w:bottom w:val="none" w:sz="0" w:space="0" w:color="auto"/>
        <w:right w:val="none" w:sz="0" w:space="0" w:color="auto"/>
      </w:divBdr>
    </w:div>
    <w:div w:id="1248465895">
      <w:bodyDiv w:val="1"/>
      <w:marLeft w:val="0"/>
      <w:marRight w:val="0"/>
      <w:marTop w:val="0"/>
      <w:marBottom w:val="0"/>
      <w:divBdr>
        <w:top w:val="none" w:sz="0" w:space="0" w:color="auto"/>
        <w:left w:val="none" w:sz="0" w:space="0" w:color="auto"/>
        <w:bottom w:val="none" w:sz="0" w:space="0" w:color="auto"/>
        <w:right w:val="none" w:sz="0" w:space="0" w:color="auto"/>
      </w:divBdr>
    </w:div>
    <w:div w:id="1347443685">
      <w:bodyDiv w:val="1"/>
      <w:marLeft w:val="0"/>
      <w:marRight w:val="0"/>
      <w:marTop w:val="0"/>
      <w:marBottom w:val="0"/>
      <w:divBdr>
        <w:top w:val="none" w:sz="0" w:space="0" w:color="auto"/>
        <w:left w:val="none" w:sz="0" w:space="0" w:color="auto"/>
        <w:bottom w:val="none" w:sz="0" w:space="0" w:color="auto"/>
        <w:right w:val="none" w:sz="0" w:space="0" w:color="auto"/>
      </w:divBdr>
    </w:div>
    <w:div w:id="1420102197">
      <w:bodyDiv w:val="1"/>
      <w:marLeft w:val="0"/>
      <w:marRight w:val="0"/>
      <w:marTop w:val="0"/>
      <w:marBottom w:val="0"/>
      <w:divBdr>
        <w:top w:val="none" w:sz="0" w:space="0" w:color="auto"/>
        <w:left w:val="none" w:sz="0" w:space="0" w:color="auto"/>
        <w:bottom w:val="none" w:sz="0" w:space="0" w:color="auto"/>
        <w:right w:val="none" w:sz="0" w:space="0" w:color="auto"/>
      </w:divBdr>
    </w:div>
    <w:div w:id="1472550817">
      <w:bodyDiv w:val="1"/>
      <w:marLeft w:val="0"/>
      <w:marRight w:val="0"/>
      <w:marTop w:val="0"/>
      <w:marBottom w:val="0"/>
      <w:divBdr>
        <w:top w:val="none" w:sz="0" w:space="0" w:color="auto"/>
        <w:left w:val="none" w:sz="0" w:space="0" w:color="auto"/>
        <w:bottom w:val="none" w:sz="0" w:space="0" w:color="auto"/>
        <w:right w:val="none" w:sz="0" w:space="0" w:color="auto"/>
      </w:divBdr>
    </w:div>
    <w:div w:id="1629123404">
      <w:bodyDiv w:val="1"/>
      <w:marLeft w:val="0"/>
      <w:marRight w:val="0"/>
      <w:marTop w:val="0"/>
      <w:marBottom w:val="0"/>
      <w:divBdr>
        <w:top w:val="none" w:sz="0" w:space="0" w:color="auto"/>
        <w:left w:val="none" w:sz="0" w:space="0" w:color="auto"/>
        <w:bottom w:val="none" w:sz="0" w:space="0" w:color="auto"/>
        <w:right w:val="none" w:sz="0" w:space="0" w:color="auto"/>
      </w:divBdr>
    </w:div>
    <w:div w:id="1722947942">
      <w:bodyDiv w:val="1"/>
      <w:marLeft w:val="0"/>
      <w:marRight w:val="0"/>
      <w:marTop w:val="0"/>
      <w:marBottom w:val="0"/>
      <w:divBdr>
        <w:top w:val="none" w:sz="0" w:space="0" w:color="auto"/>
        <w:left w:val="none" w:sz="0" w:space="0" w:color="auto"/>
        <w:bottom w:val="none" w:sz="0" w:space="0" w:color="auto"/>
        <w:right w:val="none" w:sz="0" w:space="0" w:color="auto"/>
      </w:divBdr>
    </w:div>
    <w:div w:id="1850220377">
      <w:bodyDiv w:val="1"/>
      <w:marLeft w:val="0"/>
      <w:marRight w:val="0"/>
      <w:marTop w:val="0"/>
      <w:marBottom w:val="0"/>
      <w:divBdr>
        <w:top w:val="none" w:sz="0" w:space="0" w:color="auto"/>
        <w:left w:val="none" w:sz="0" w:space="0" w:color="auto"/>
        <w:bottom w:val="none" w:sz="0" w:space="0" w:color="auto"/>
        <w:right w:val="none" w:sz="0" w:space="0" w:color="auto"/>
      </w:divBdr>
    </w:div>
    <w:div w:id="1905330552">
      <w:bodyDiv w:val="1"/>
      <w:marLeft w:val="0"/>
      <w:marRight w:val="0"/>
      <w:marTop w:val="0"/>
      <w:marBottom w:val="0"/>
      <w:divBdr>
        <w:top w:val="none" w:sz="0" w:space="0" w:color="auto"/>
        <w:left w:val="none" w:sz="0" w:space="0" w:color="auto"/>
        <w:bottom w:val="none" w:sz="0" w:space="0" w:color="auto"/>
        <w:right w:val="none" w:sz="0" w:space="0" w:color="auto"/>
      </w:divBdr>
    </w:div>
    <w:div w:id="209397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veen.eluru@ucf.edu" TargetMode="External"/><Relationship Id="rId18" Type="http://schemas.openxmlformats.org/officeDocument/2006/relationships/hyperlink" Target="https://nycopendata.socrata.com" TargetMode="Externa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udiptadeytirtha2018@knights.ucf.edu" TargetMode="External"/><Relationship Id="rId17" Type="http://schemas.openxmlformats.org/officeDocument/2006/relationships/hyperlink" Target="https://www1.nyc.gov/site/tlc/about/tlc-trip-record-data.page" TargetMode="External"/><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ibhas.ce@knights.ucf.edu" TargetMode="External"/><Relationship Id="rId24" Type="http://schemas.openxmlformats.org/officeDocument/2006/relationships/chart" Target="charts/chart3.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chart" Target="charts/chart7.xml"/><Relationship Id="rId10" Type="http://schemas.openxmlformats.org/officeDocument/2006/relationships/endnotes" Target="endnotes.xml"/><Relationship Id="rId19" Type="http://schemas.openxmlformats.org/officeDocument/2006/relationships/hyperlink" Target="http://www.ncdc.noaa.gov/data-access"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rthik.konduri@uconn.edu%20" TargetMode="External"/><Relationship Id="rId22" Type="http://schemas.openxmlformats.org/officeDocument/2006/relationships/header" Target="header3.xml"/><Relationship Id="rId27" Type="http://schemas.openxmlformats.org/officeDocument/2006/relationships/chart" Target="charts/chart6.xml"/><Relationship Id="rId30" Type="http://schemas.openxmlformats.org/officeDocument/2006/relationships/chart" Target="charts/chart9.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walkscore.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ibhas\Desktop\Taxi_UBER\Count_Fractional\Trip_Share_Descriptiv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ibhas\Desktop\Taxi_UBER\Count_Fractional\Trip_Share_Descriptiv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file:///C:\Users\Bibhas\Desktop\Taxi_UBER\Count_Fractional\Trip_Share_Descriptiv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Bibhas\Desktop\Taxi_UBER\Count_Fractional\Trip_Share_Descriptiv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Bibhas\Desktop\Taxi_UBER\Count_Fractional\Trip_Share_Descriptiv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Bibhas\Desktop\Taxi_UBER\Count_Fractional\Trip_Share_Prediction.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Bibhas\Desktop\Taxi_UBER\Count_Fractional\Trip_Share_Prediction.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Bibhas\Desktop\Taxi_UBER\Count_Fractional\Trip_Share_Prediction.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Bibhas\Desktop\Taxi_UBER\Count_Fractional\Trip_Share_Predi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'Trip_Share (2)'!$I$1</c:f>
              <c:strCache>
                <c:ptCount val="1"/>
                <c:pt idx="0">
                  <c:v>Yellow Taxi</c:v>
                </c:pt>
              </c:strCache>
            </c:strRef>
          </c:tx>
          <c:spPr>
            <a:solidFill>
              <a:srgbClr val="FFFF00"/>
            </a:solidFill>
            <a:ln>
              <a:noFill/>
            </a:ln>
            <a:effectLst/>
          </c:spPr>
          <c:invertIfNegative val="0"/>
          <c:cat>
            <c:strRef>
              <c:f>'Trip_Share (2)'!$H$2:$H$49</c:f>
              <c:strCache>
                <c:ptCount val="48"/>
                <c:pt idx="0">
                  <c:v>Jan'2015</c:v>
                </c:pt>
                <c:pt idx="6">
                  <c:v>July'2015</c:v>
                </c:pt>
                <c:pt idx="12">
                  <c:v>Jan'2016</c:v>
                </c:pt>
                <c:pt idx="18">
                  <c:v>July'2016</c:v>
                </c:pt>
                <c:pt idx="24">
                  <c:v>Jan'2017</c:v>
                </c:pt>
                <c:pt idx="30">
                  <c:v>July'2017</c:v>
                </c:pt>
                <c:pt idx="36">
                  <c:v>Jan'2018</c:v>
                </c:pt>
                <c:pt idx="42">
                  <c:v>July'2018</c:v>
                </c:pt>
                <c:pt idx="47">
                  <c:v>Dec'2018</c:v>
                </c:pt>
              </c:strCache>
            </c:strRef>
          </c:cat>
          <c:val>
            <c:numRef>
              <c:f>'Trip_Share (2)'!$I$2:$I$49</c:f>
              <c:numCache>
                <c:formatCode>General</c:formatCode>
                <c:ptCount val="48"/>
                <c:pt idx="0">
                  <c:v>12.493828000000001</c:v>
                </c:pt>
                <c:pt idx="1">
                  <c:v>12.193459000000001</c:v>
                </c:pt>
                <c:pt idx="2">
                  <c:v>13.090248000000001</c:v>
                </c:pt>
                <c:pt idx="3">
                  <c:v>12.842881</c:v>
                </c:pt>
                <c:pt idx="4">
                  <c:v>12.947186</c:v>
                </c:pt>
                <c:pt idx="5">
                  <c:v>12.135774</c:v>
                </c:pt>
                <c:pt idx="6">
                  <c:v>11.392246999999999</c:v>
                </c:pt>
                <c:pt idx="7">
                  <c:v>10.967544</c:v>
                </c:pt>
                <c:pt idx="8">
                  <c:v>11.064942</c:v>
                </c:pt>
                <c:pt idx="9">
                  <c:v>12.131672999999999</c:v>
                </c:pt>
                <c:pt idx="10">
                  <c:v>11.134618</c:v>
                </c:pt>
                <c:pt idx="11">
                  <c:v>11.283962000000001</c:v>
                </c:pt>
                <c:pt idx="12">
                  <c:v>10.728018</c:v>
                </c:pt>
                <c:pt idx="13">
                  <c:v>11.196827000000001</c:v>
                </c:pt>
                <c:pt idx="14">
                  <c:v>12.020002</c:v>
                </c:pt>
                <c:pt idx="15">
                  <c:v>11.752995</c:v>
                </c:pt>
                <c:pt idx="16">
                  <c:v>11.680054</c:v>
                </c:pt>
                <c:pt idx="17">
                  <c:v>10.988234</c:v>
                </c:pt>
                <c:pt idx="18">
                  <c:v>10.155422</c:v>
                </c:pt>
                <c:pt idx="19">
                  <c:v>9.8060580000000002</c:v>
                </c:pt>
                <c:pt idx="20">
                  <c:v>9.9784520000000008</c:v>
                </c:pt>
                <c:pt idx="21">
                  <c:v>10.697661999999999</c:v>
                </c:pt>
                <c:pt idx="22">
                  <c:v>9.9469879999999993</c:v>
                </c:pt>
                <c:pt idx="23">
                  <c:v>10.249336</c:v>
                </c:pt>
                <c:pt idx="24">
                  <c:v>9.5400910000000003</c:v>
                </c:pt>
                <c:pt idx="25">
                  <c:v>9.0127710000000008</c:v>
                </c:pt>
                <c:pt idx="26">
                  <c:v>10.108437</c:v>
                </c:pt>
                <c:pt idx="27">
                  <c:v>9.9002160000000003</c:v>
                </c:pt>
                <c:pt idx="28">
                  <c:v>9.9523829999999993</c:v>
                </c:pt>
                <c:pt idx="29">
                  <c:v>9.5162370000000003</c:v>
                </c:pt>
                <c:pt idx="30">
                  <c:v>8.4718459999999993</c:v>
                </c:pt>
                <c:pt idx="31">
                  <c:v>8.6485664999999994</c:v>
                </c:pt>
                <c:pt idx="32">
                  <c:v>8.8252869999999994</c:v>
                </c:pt>
                <c:pt idx="33">
                  <c:v>9.6279749999999993</c:v>
                </c:pt>
                <c:pt idx="34">
                  <c:v>9.1274890000000006</c:v>
                </c:pt>
                <c:pt idx="35">
                  <c:v>9.3306660000000008</c:v>
                </c:pt>
                <c:pt idx="36">
                  <c:v>8.6011830000000007</c:v>
                </c:pt>
                <c:pt idx="37">
                  <c:v>8.3550280000000008</c:v>
                </c:pt>
                <c:pt idx="38">
                  <c:v>9.2666310000000003</c:v>
                </c:pt>
                <c:pt idx="39">
                  <c:v>9.1552140000000009</c:v>
                </c:pt>
                <c:pt idx="40">
                  <c:v>9.0953789999999994</c:v>
                </c:pt>
                <c:pt idx="41">
                  <c:v>8.5873939999999997</c:v>
                </c:pt>
                <c:pt idx="42">
                  <c:v>7.7325039999999996</c:v>
                </c:pt>
                <c:pt idx="43">
                  <c:v>7.7410040000000002</c:v>
                </c:pt>
                <c:pt idx="44">
                  <c:v>7.9295850000000003</c:v>
                </c:pt>
                <c:pt idx="45">
                  <c:v>8.6718119999999992</c:v>
                </c:pt>
                <c:pt idx="46">
                  <c:v>7.9943609999999996</c:v>
                </c:pt>
                <c:pt idx="47">
                  <c:v>8.0094560000000001</c:v>
                </c:pt>
              </c:numCache>
            </c:numRef>
          </c:val>
          <c:extLst>
            <c:ext xmlns:c16="http://schemas.microsoft.com/office/drawing/2014/chart" uri="{C3380CC4-5D6E-409C-BE32-E72D297353CC}">
              <c16:uniqueId val="{00000000-6A87-43D5-831C-B478C31B6232}"/>
            </c:ext>
          </c:extLst>
        </c:ser>
        <c:ser>
          <c:idx val="1"/>
          <c:order val="1"/>
          <c:tx>
            <c:strRef>
              <c:f>'Trip_Share (2)'!$J$1</c:f>
              <c:strCache>
                <c:ptCount val="1"/>
                <c:pt idx="0">
                  <c:v>Green taxi</c:v>
                </c:pt>
              </c:strCache>
            </c:strRef>
          </c:tx>
          <c:spPr>
            <a:solidFill>
              <a:schemeClr val="accent2"/>
            </a:solidFill>
            <a:ln>
              <a:solidFill>
                <a:srgbClr val="00B050"/>
              </a:solidFill>
            </a:ln>
            <a:effectLst/>
          </c:spPr>
          <c:invertIfNegative val="0"/>
          <c:cat>
            <c:strRef>
              <c:f>'Trip_Share (2)'!$H$2:$H$49</c:f>
              <c:strCache>
                <c:ptCount val="48"/>
                <c:pt idx="0">
                  <c:v>Jan'2015</c:v>
                </c:pt>
                <c:pt idx="6">
                  <c:v>July'2015</c:v>
                </c:pt>
                <c:pt idx="12">
                  <c:v>Jan'2016</c:v>
                </c:pt>
                <c:pt idx="18">
                  <c:v>July'2016</c:v>
                </c:pt>
                <c:pt idx="24">
                  <c:v>Jan'2017</c:v>
                </c:pt>
                <c:pt idx="30">
                  <c:v>July'2017</c:v>
                </c:pt>
                <c:pt idx="36">
                  <c:v>Jan'2018</c:v>
                </c:pt>
                <c:pt idx="42">
                  <c:v>July'2018</c:v>
                </c:pt>
                <c:pt idx="47">
                  <c:v>Dec'2018</c:v>
                </c:pt>
              </c:strCache>
            </c:strRef>
          </c:cat>
          <c:val>
            <c:numRef>
              <c:f>'Trip_Share (2)'!$J$2:$J$49</c:f>
              <c:numCache>
                <c:formatCode>General</c:formatCode>
                <c:ptCount val="48"/>
                <c:pt idx="0">
                  <c:v>1.504896</c:v>
                </c:pt>
                <c:pt idx="1">
                  <c:v>1.571202</c:v>
                </c:pt>
                <c:pt idx="2">
                  <c:v>1.7184699999999999</c:v>
                </c:pt>
                <c:pt idx="3">
                  <c:v>1.660615</c:v>
                </c:pt>
                <c:pt idx="4">
                  <c:v>1.7830820000000001</c:v>
                </c:pt>
                <c:pt idx="5">
                  <c:v>1.635321</c:v>
                </c:pt>
                <c:pt idx="6">
                  <c:v>1.538427</c:v>
                </c:pt>
                <c:pt idx="7">
                  <c:v>1.52919</c:v>
                </c:pt>
                <c:pt idx="8">
                  <c:v>1.491814</c:v>
                </c:pt>
                <c:pt idx="9">
                  <c:v>1.627092</c:v>
                </c:pt>
                <c:pt idx="10">
                  <c:v>1.5266580000000001</c:v>
                </c:pt>
                <c:pt idx="11">
                  <c:v>1.6046469999999999</c:v>
                </c:pt>
                <c:pt idx="12">
                  <c:v>1.441605</c:v>
                </c:pt>
                <c:pt idx="13">
                  <c:v>1.5068969999999999</c:v>
                </c:pt>
                <c:pt idx="14">
                  <c:v>1.572865</c:v>
                </c:pt>
                <c:pt idx="15">
                  <c:v>1.5403290000000001</c:v>
                </c:pt>
                <c:pt idx="16">
                  <c:v>1.533574</c:v>
                </c:pt>
                <c:pt idx="17">
                  <c:v>1.401688</c:v>
                </c:pt>
                <c:pt idx="18">
                  <c:v>1.3296239999999999</c:v>
                </c:pt>
                <c:pt idx="19">
                  <c:v>1.2448980000000001</c:v>
                </c:pt>
                <c:pt idx="20">
                  <c:v>1.159923</c:v>
                </c:pt>
                <c:pt idx="21">
                  <c:v>1.2502009999999999</c:v>
                </c:pt>
                <c:pt idx="22">
                  <c:v>1.145958</c:v>
                </c:pt>
                <c:pt idx="23">
                  <c:v>1.221671</c:v>
                </c:pt>
                <c:pt idx="24">
                  <c:v>1.0621860000000001</c:v>
                </c:pt>
                <c:pt idx="25">
                  <c:v>1.0155240000000001</c:v>
                </c:pt>
                <c:pt idx="26">
                  <c:v>1.1499600000000001</c:v>
                </c:pt>
                <c:pt idx="27">
                  <c:v>1.0735539999999999</c:v>
                </c:pt>
                <c:pt idx="28">
                  <c:v>1.0518019999999999</c:v>
                </c:pt>
                <c:pt idx="29">
                  <c:v>0.96952000000000005</c:v>
                </c:pt>
                <c:pt idx="30">
                  <c:v>0.90795499999999996</c:v>
                </c:pt>
                <c:pt idx="31">
                  <c:v>0.91354500000000005</c:v>
                </c:pt>
                <c:pt idx="32">
                  <c:v>0.91913500000000004</c:v>
                </c:pt>
                <c:pt idx="33">
                  <c:v>0.91902300000000003</c:v>
                </c:pt>
                <c:pt idx="34">
                  <c:v>0.867483</c:v>
                </c:pt>
                <c:pt idx="35">
                  <c:v>0.89947600000000005</c:v>
                </c:pt>
                <c:pt idx="36">
                  <c:v>0.79226099999999999</c:v>
                </c:pt>
                <c:pt idx="37">
                  <c:v>0.76876900000000004</c:v>
                </c:pt>
                <c:pt idx="38">
                  <c:v>0.835812</c:v>
                </c:pt>
                <c:pt idx="39">
                  <c:v>0.79888899999999996</c:v>
                </c:pt>
                <c:pt idx="40">
                  <c:v>0.79599299999999995</c:v>
                </c:pt>
                <c:pt idx="41">
                  <c:v>0.73814900000000006</c:v>
                </c:pt>
                <c:pt idx="42">
                  <c:v>0.68331399999999998</c:v>
                </c:pt>
                <c:pt idx="43">
                  <c:v>0.66504799999999997</c:v>
                </c:pt>
                <c:pt idx="44">
                  <c:v>0.66550799999999999</c:v>
                </c:pt>
                <c:pt idx="45">
                  <c:v>0.70942099999999997</c:v>
                </c:pt>
                <c:pt idx="46">
                  <c:v>0.65572900000000001</c:v>
                </c:pt>
                <c:pt idx="47">
                  <c:v>0.68410899999999997</c:v>
                </c:pt>
              </c:numCache>
            </c:numRef>
          </c:val>
          <c:extLst>
            <c:ext xmlns:c16="http://schemas.microsoft.com/office/drawing/2014/chart" uri="{C3380CC4-5D6E-409C-BE32-E72D297353CC}">
              <c16:uniqueId val="{00000001-6A87-43D5-831C-B478C31B6232}"/>
            </c:ext>
          </c:extLst>
        </c:ser>
        <c:ser>
          <c:idx val="2"/>
          <c:order val="2"/>
          <c:tx>
            <c:strRef>
              <c:f>'Trip_Share (2)'!$K$1</c:f>
              <c:strCache>
                <c:ptCount val="1"/>
                <c:pt idx="0">
                  <c:v>Ride Hailing</c:v>
                </c:pt>
              </c:strCache>
            </c:strRef>
          </c:tx>
          <c:spPr>
            <a:solidFill>
              <a:srgbClr val="002060"/>
            </a:solidFill>
            <a:ln>
              <a:noFill/>
            </a:ln>
            <a:effectLst/>
          </c:spPr>
          <c:invertIfNegative val="0"/>
          <c:cat>
            <c:strRef>
              <c:f>'Trip_Share (2)'!$H$2:$H$49</c:f>
              <c:strCache>
                <c:ptCount val="48"/>
                <c:pt idx="0">
                  <c:v>Jan'2015</c:v>
                </c:pt>
                <c:pt idx="6">
                  <c:v>July'2015</c:v>
                </c:pt>
                <c:pt idx="12">
                  <c:v>Jan'2016</c:v>
                </c:pt>
                <c:pt idx="18">
                  <c:v>July'2016</c:v>
                </c:pt>
                <c:pt idx="24">
                  <c:v>Jan'2017</c:v>
                </c:pt>
                <c:pt idx="30">
                  <c:v>July'2017</c:v>
                </c:pt>
                <c:pt idx="36">
                  <c:v>Jan'2018</c:v>
                </c:pt>
                <c:pt idx="42">
                  <c:v>July'2018</c:v>
                </c:pt>
                <c:pt idx="47">
                  <c:v>Dec'2018</c:v>
                </c:pt>
              </c:strCache>
            </c:strRef>
          </c:cat>
          <c:val>
            <c:numRef>
              <c:f>'Trip_Share (2)'!$K$2:$K$49</c:f>
              <c:numCache>
                <c:formatCode>General</c:formatCode>
                <c:ptCount val="48"/>
                <c:pt idx="0">
                  <c:v>2.1175000000000002</c:v>
                </c:pt>
                <c:pt idx="1">
                  <c:v>2.4984890000000002</c:v>
                </c:pt>
                <c:pt idx="2">
                  <c:v>2.508391</c:v>
                </c:pt>
                <c:pt idx="3">
                  <c:v>2.7128519999999998</c:v>
                </c:pt>
                <c:pt idx="4">
                  <c:v>3.160488</c:v>
                </c:pt>
                <c:pt idx="5">
                  <c:v>3.1936119999999999</c:v>
                </c:pt>
                <c:pt idx="6">
                  <c:v>3.5462729999999998</c:v>
                </c:pt>
                <c:pt idx="7">
                  <c:v>4.0368060000000003</c:v>
                </c:pt>
                <c:pt idx="8">
                  <c:v>4.5806079999999998</c:v>
                </c:pt>
                <c:pt idx="9">
                  <c:v>5.5640960000000002</c:v>
                </c:pt>
                <c:pt idx="10">
                  <c:v>5.3995499999999996</c:v>
                </c:pt>
                <c:pt idx="11">
                  <c:v>5.7757350000000001</c:v>
                </c:pt>
                <c:pt idx="12">
                  <c:v>5.6361350000000003</c:v>
                </c:pt>
                <c:pt idx="13">
                  <c:v>6.3237730000000001</c:v>
                </c:pt>
                <c:pt idx="14">
                  <c:v>6.4622339999999996</c:v>
                </c:pt>
                <c:pt idx="15">
                  <c:v>6.7671720000000004</c:v>
                </c:pt>
                <c:pt idx="16">
                  <c:v>7.2652060000000001</c:v>
                </c:pt>
                <c:pt idx="17">
                  <c:v>7.2580929999999997</c:v>
                </c:pt>
                <c:pt idx="18">
                  <c:v>7.6943979999999996</c:v>
                </c:pt>
                <c:pt idx="19">
                  <c:v>7.8063289999999999</c:v>
                </c:pt>
                <c:pt idx="20">
                  <c:v>8.4009339999999995</c:v>
                </c:pt>
                <c:pt idx="21">
                  <c:v>9.0073779999999992</c:v>
                </c:pt>
                <c:pt idx="22">
                  <c:v>8.8784290000000006</c:v>
                </c:pt>
                <c:pt idx="23">
                  <c:v>10.008509</c:v>
                </c:pt>
                <c:pt idx="24">
                  <c:v>9.9120709999999992</c:v>
                </c:pt>
                <c:pt idx="25">
                  <c:v>9.6748519999999996</c:v>
                </c:pt>
                <c:pt idx="26">
                  <c:v>11.48897</c:v>
                </c:pt>
                <c:pt idx="27">
                  <c:v>10.846271</c:v>
                </c:pt>
                <c:pt idx="28">
                  <c:v>11.748441</c:v>
                </c:pt>
                <c:pt idx="29">
                  <c:v>12.018335</c:v>
                </c:pt>
                <c:pt idx="30">
                  <c:v>12.483927</c:v>
                </c:pt>
                <c:pt idx="31">
                  <c:v>12.905953</c:v>
                </c:pt>
                <c:pt idx="32">
                  <c:v>13.327978999999999</c:v>
                </c:pt>
                <c:pt idx="33">
                  <c:v>14.435352</c:v>
                </c:pt>
                <c:pt idx="34">
                  <c:v>14.694243</c:v>
                </c:pt>
                <c:pt idx="35">
                  <c:v>16.226894999999999</c:v>
                </c:pt>
                <c:pt idx="36">
                  <c:v>16.179039</c:v>
                </c:pt>
                <c:pt idx="37">
                  <c:v>15.916829999999999</c:v>
                </c:pt>
                <c:pt idx="38">
                  <c:v>18.307226</c:v>
                </c:pt>
                <c:pt idx="39">
                  <c:v>17.911418999999999</c:v>
                </c:pt>
                <c:pt idx="40">
                  <c:v>18.333743999999999</c:v>
                </c:pt>
                <c:pt idx="41">
                  <c:v>18.015125000000001</c:v>
                </c:pt>
                <c:pt idx="42">
                  <c:v>18.857063</c:v>
                </c:pt>
                <c:pt idx="43">
                  <c:v>19.203709</c:v>
                </c:pt>
                <c:pt idx="44">
                  <c:v>19.241869000000001</c:v>
                </c:pt>
                <c:pt idx="45">
                  <c:v>20.335222000000002</c:v>
                </c:pt>
                <c:pt idx="46">
                  <c:v>20.040227000000002</c:v>
                </c:pt>
                <c:pt idx="47">
                  <c:v>20.929113000000001</c:v>
                </c:pt>
              </c:numCache>
            </c:numRef>
          </c:val>
          <c:extLst>
            <c:ext xmlns:c16="http://schemas.microsoft.com/office/drawing/2014/chart" uri="{C3380CC4-5D6E-409C-BE32-E72D297353CC}">
              <c16:uniqueId val="{00000002-6A87-43D5-831C-B478C31B6232}"/>
            </c:ext>
          </c:extLst>
        </c:ser>
        <c:dLbls>
          <c:showLegendKey val="0"/>
          <c:showVal val="0"/>
          <c:showCatName val="0"/>
          <c:showSerName val="0"/>
          <c:showPercent val="0"/>
          <c:showBubbleSize val="0"/>
        </c:dLbls>
        <c:gapWidth val="150"/>
        <c:overlap val="100"/>
        <c:axId val="522416040"/>
        <c:axId val="522415712"/>
      </c:barChart>
      <c:catAx>
        <c:axId val="522416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2415712"/>
        <c:crosses val="autoZero"/>
        <c:auto val="1"/>
        <c:lblAlgn val="ctr"/>
        <c:lblOffset val="100"/>
        <c:noMultiLvlLbl val="0"/>
      </c:catAx>
      <c:valAx>
        <c:axId val="52241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solidFill>
                      <a:sysClr val="windowText" lastClr="000000"/>
                    </a:solidFill>
                    <a:effectLst/>
                    <a:latin typeface="Times New Roman" panose="02020603050405020304" pitchFamily="18" charset="0"/>
                    <a:cs typeface="Times New Roman" panose="02020603050405020304" pitchFamily="18" charset="0"/>
                  </a:rPr>
                  <a:t>Trips (Millions)</a:t>
                </a:r>
                <a:endParaRPr lang="en-US" sz="1000" b="1">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416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'Trip_Share (2)'!$V$1</c:f>
              <c:strCache>
                <c:ptCount val="1"/>
                <c:pt idx="0">
                  <c:v>Yellow Taxi</c:v>
                </c:pt>
              </c:strCache>
            </c:strRef>
          </c:tx>
          <c:spPr>
            <a:ln w="28575" cap="rnd">
              <a:solidFill>
                <a:srgbClr val="FFFF00"/>
              </a:solidFill>
              <a:round/>
            </a:ln>
            <a:effectLst/>
          </c:spPr>
          <c:marker>
            <c:symbol val="none"/>
          </c:marker>
          <c:cat>
            <c:strRef>
              <c:f>'Trip_Share (2)'!$U$2:$U$49</c:f>
              <c:strCache>
                <c:ptCount val="48"/>
                <c:pt idx="0">
                  <c:v>Jan'15</c:v>
                </c:pt>
                <c:pt idx="6">
                  <c:v>July'15</c:v>
                </c:pt>
                <c:pt idx="12">
                  <c:v>Jan'16</c:v>
                </c:pt>
                <c:pt idx="18">
                  <c:v>July'16</c:v>
                </c:pt>
                <c:pt idx="24">
                  <c:v>Jan'17</c:v>
                </c:pt>
                <c:pt idx="30">
                  <c:v>July'17</c:v>
                </c:pt>
                <c:pt idx="36">
                  <c:v>Jan'18</c:v>
                </c:pt>
                <c:pt idx="42">
                  <c:v>July'18</c:v>
                </c:pt>
                <c:pt idx="47">
                  <c:v>Dec'18</c:v>
                </c:pt>
              </c:strCache>
            </c:strRef>
          </c:cat>
          <c:val>
            <c:numRef>
              <c:f>'Trip_Share (2)'!$V$2:$V$49</c:f>
              <c:numCache>
                <c:formatCode>General</c:formatCode>
                <c:ptCount val="48"/>
                <c:pt idx="0">
                  <c:v>0.77523295779458012</c:v>
                </c:pt>
                <c:pt idx="1">
                  <c:v>0.74975997884788614</c:v>
                </c:pt>
                <c:pt idx="2">
                  <c:v>0.75591416558040947</c:v>
                </c:pt>
                <c:pt idx="3">
                  <c:v>0.74597010934026198</c:v>
                </c:pt>
                <c:pt idx="4">
                  <c:v>0.72368020669445154</c:v>
                </c:pt>
                <c:pt idx="5">
                  <c:v>0.71535417617292185</c:v>
                </c:pt>
                <c:pt idx="6">
                  <c:v>0.69140520995788846</c:v>
                </c:pt>
                <c:pt idx="7">
                  <c:v>0.66335122423872928</c:v>
                </c:pt>
                <c:pt idx="8">
                  <c:v>0.6456618415761024</c:v>
                </c:pt>
                <c:pt idx="9">
                  <c:v>0.62784041141733615</c:v>
                </c:pt>
                <c:pt idx="10">
                  <c:v>0.61650657616656068</c:v>
                </c:pt>
                <c:pt idx="11">
                  <c:v>0.60457319046412772</c:v>
                </c:pt>
                <c:pt idx="12">
                  <c:v>0.60250274096727585</c:v>
                </c:pt>
                <c:pt idx="13">
                  <c:v>0.58845506584497165</c:v>
                </c:pt>
                <c:pt idx="14">
                  <c:v>0.59934886391247788</c:v>
                </c:pt>
                <c:pt idx="15">
                  <c:v>0.58587758747341045</c:v>
                </c:pt>
                <c:pt idx="16">
                  <c:v>0.57034760865779766</c:v>
                </c:pt>
                <c:pt idx="17">
                  <c:v>0.55925415366386888</c:v>
                </c:pt>
                <c:pt idx="18">
                  <c:v>0.52949511987938758</c:v>
                </c:pt>
                <c:pt idx="19">
                  <c:v>0.52001430746790966</c:v>
                </c:pt>
                <c:pt idx="20">
                  <c:v>0.5106860227247545</c:v>
                </c:pt>
                <c:pt idx="21">
                  <c:v>0.51050054733324235</c:v>
                </c:pt>
                <c:pt idx="22">
                  <c:v>0.49806225159759904</c:v>
                </c:pt>
                <c:pt idx="23">
                  <c:v>0.47716792128835678</c:v>
                </c:pt>
                <c:pt idx="24">
                  <c:v>0.46504480668846992</c:v>
                </c:pt>
                <c:pt idx="25">
                  <c:v>0.45742799360934577</c:v>
                </c:pt>
                <c:pt idx="26">
                  <c:v>0.44437833178670744</c:v>
                </c:pt>
                <c:pt idx="27">
                  <c:v>0.45372123727906838</c:v>
                </c:pt>
                <c:pt idx="28">
                  <c:v>0.43741689420816743</c:v>
                </c:pt>
                <c:pt idx="29">
                  <c:v>0.42286696126197848</c:v>
                </c:pt>
                <c:pt idx="30">
                  <c:v>0.38748405578408218</c:v>
                </c:pt>
                <c:pt idx="31">
                  <c:v>0.39296457287019532</c:v>
                </c:pt>
                <c:pt idx="32">
                  <c:v>0.39837345233561355</c:v>
                </c:pt>
                <c:pt idx="33">
                  <c:v>0.3853910861067914</c:v>
                </c:pt>
                <c:pt idx="34">
                  <c:v>0.36969539128724832</c:v>
                </c:pt>
                <c:pt idx="35">
                  <c:v>0.3526723721934546</c:v>
                </c:pt>
                <c:pt idx="36">
                  <c:v>0.33634524265789911</c:v>
                </c:pt>
                <c:pt idx="37">
                  <c:v>0.33365889759869033</c:v>
                </c:pt>
                <c:pt idx="38">
                  <c:v>0.32617877385336663</c:v>
                </c:pt>
                <c:pt idx="39">
                  <c:v>0.32854988325716633</c:v>
                </c:pt>
                <c:pt idx="40">
                  <c:v>0.32224416721617727</c:v>
                </c:pt>
                <c:pt idx="41">
                  <c:v>0.31408866820664366</c:v>
                </c:pt>
                <c:pt idx="42">
                  <c:v>0.28352354853893141</c:v>
                </c:pt>
                <c:pt idx="43">
                  <c:v>0.28037200322016553</c:v>
                </c:pt>
                <c:pt idx="44">
                  <c:v>0.28485813214818484</c:v>
                </c:pt>
                <c:pt idx="45">
                  <c:v>0.29181852276794118</c:v>
                </c:pt>
                <c:pt idx="46">
                  <c:v>0.27864317428071639</c:v>
                </c:pt>
                <c:pt idx="47">
                  <c:v>0.27038257648413827</c:v>
                </c:pt>
              </c:numCache>
            </c:numRef>
          </c:val>
          <c:smooth val="0"/>
          <c:extLst>
            <c:ext xmlns:c16="http://schemas.microsoft.com/office/drawing/2014/chart" uri="{C3380CC4-5D6E-409C-BE32-E72D297353CC}">
              <c16:uniqueId val="{00000000-FE5C-477C-8A4F-8F8EB1FB749B}"/>
            </c:ext>
          </c:extLst>
        </c:ser>
        <c:ser>
          <c:idx val="1"/>
          <c:order val="1"/>
          <c:tx>
            <c:strRef>
              <c:f>'Trip_Share (2)'!$W$1</c:f>
              <c:strCache>
                <c:ptCount val="1"/>
                <c:pt idx="0">
                  <c:v>Green taxi</c:v>
                </c:pt>
              </c:strCache>
            </c:strRef>
          </c:tx>
          <c:spPr>
            <a:ln w="28575" cap="rnd">
              <a:solidFill>
                <a:srgbClr val="00B050"/>
              </a:solidFill>
              <a:round/>
            </a:ln>
            <a:effectLst/>
          </c:spPr>
          <c:marker>
            <c:symbol val="none"/>
          </c:marker>
          <c:cat>
            <c:strRef>
              <c:f>'Trip_Share (2)'!$U$2:$U$49</c:f>
              <c:strCache>
                <c:ptCount val="48"/>
                <c:pt idx="0">
                  <c:v>Jan'15</c:v>
                </c:pt>
                <c:pt idx="6">
                  <c:v>July'15</c:v>
                </c:pt>
                <c:pt idx="12">
                  <c:v>Jan'16</c:v>
                </c:pt>
                <c:pt idx="18">
                  <c:v>July'16</c:v>
                </c:pt>
                <c:pt idx="24">
                  <c:v>Jan'17</c:v>
                </c:pt>
                <c:pt idx="30">
                  <c:v>July'17</c:v>
                </c:pt>
                <c:pt idx="36">
                  <c:v>Jan'18</c:v>
                </c:pt>
                <c:pt idx="42">
                  <c:v>July'18</c:v>
                </c:pt>
                <c:pt idx="47">
                  <c:v>Dec'18</c:v>
                </c:pt>
              </c:strCache>
            </c:strRef>
          </c:cat>
          <c:val>
            <c:numRef>
              <c:f>'Trip_Share (2)'!$W$2:$W$49</c:f>
              <c:numCache>
                <c:formatCode>General</c:formatCode>
                <c:ptCount val="48"/>
                <c:pt idx="0">
                  <c:v>9.3377704355561197E-2</c:v>
                </c:pt>
                <c:pt idx="1">
                  <c:v>9.6611173112219964E-2</c:v>
                </c:pt>
                <c:pt idx="2">
                  <c:v>9.9235386229883982E-2</c:v>
                </c:pt>
                <c:pt idx="3">
                  <c:v>9.6455705937170885E-2</c:v>
                </c:pt>
                <c:pt idx="4">
                  <c:v>9.9664989003259555E-2</c:v>
                </c:pt>
                <c:pt idx="5">
                  <c:v>9.6395475618883369E-2</c:v>
                </c:pt>
                <c:pt idx="6">
                  <c:v>9.3368449871204906E-2</c:v>
                </c:pt>
                <c:pt idx="7">
                  <c:v>9.249017451797982E-2</c:v>
                </c:pt>
                <c:pt idx="8">
                  <c:v>8.7050377175859714E-2</c:v>
                </c:pt>
                <c:pt idx="9">
                  <c:v>8.4205542854135312E-2</c:v>
                </c:pt>
                <c:pt idx="10">
                  <c:v>8.452869209857844E-2</c:v>
                </c:pt>
                <c:pt idx="11">
                  <c:v>8.5973929756116799E-2</c:v>
                </c:pt>
                <c:pt idx="12">
                  <c:v>8.0962854824826888E-2</c:v>
                </c:pt>
                <c:pt idx="13">
                  <c:v>7.9195755490067868E-2</c:v>
                </c:pt>
                <c:pt idx="14">
                  <c:v>7.8427179199945185E-2</c:v>
                </c:pt>
                <c:pt idx="15">
                  <c:v>7.6784193172491841E-2</c:v>
                </c:pt>
                <c:pt idx="16">
                  <c:v>7.4885806486834169E-2</c:v>
                </c:pt>
                <c:pt idx="17">
                  <c:v>7.1339929249850428E-2</c:v>
                </c:pt>
                <c:pt idx="18">
                  <c:v>6.9325471583013568E-2</c:v>
                </c:pt>
                <c:pt idx="19">
                  <c:v>6.6016820555026876E-2</c:v>
                </c:pt>
                <c:pt idx="20">
                  <c:v>5.936356295916094E-2</c:v>
                </c:pt>
                <c:pt idx="21">
                  <c:v>5.9660540291567157E-2</c:v>
                </c:pt>
                <c:pt idx="22">
                  <c:v>5.7380025161011698E-2</c:v>
                </c:pt>
                <c:pt idx="23">
                  <c:v>5.6876095345910031E-2</c:v>
                </c:pt>
                <c:pt idx="24">
                  <c:v>5.17777118726854E-2</c:v>
                </c:pt>
                <c:pt idx="25">
                  <c:v>5.1541208112592371E-2</c:v>
                </c:pt>
                <c:pt idx="26">
                  <c:v>5.0553543185899275E-2</c:v>
                </c:pt>
                <c:pt idx="27">
                  <c:v>4.9200365847158582E-2</c:v>
                </c:pt>
                <c:pt idx="28">
                  <c:v>4.6227718945496668E-2</c:v>
                </c:pt>
                <c:pt idx="29">
                  <c:v>4.3081942608482048E-2</c:v>
                </c:pt>
                <c:pt idx="30">
                  <c:v>4.1527913263465409E-2</c:v>
                </c:pt>
                <c:pt idx="31">
                  <c:v>4.1508707913930312E-2</c:v>
                </c:pt>
                <c:pt idx="32">
                  <c:v>4.1489753603763162E-2</c:v>
                </c:pt>
                <c:pt idx="33">
                  <c:v>3.6786891545431077E-2</c:v>
                </c:pt>
                <c:pt idx="34">
                  <c:v>3.5136111050918385E-2</c:v>
                </c:pt>
                <c:pt idx="35">
                  <c:v>3.3997609029310427E-2</c:v>
                </c:pt>
                <c:pt idx="36">
                  <c:v>3.0980996252886354E-2</c:v>
                </c:pt>
                <c:pt idx="37">
                  <c:v>3.0700868632402855E-2</c:v>
                </c:pt>
                <c:pt idx="38">
                  <c:v>2.94199837386349E-2</c:v>
                </c:pt>
                <c:pt idx="39">
                  <c:v>2.8669443192200023E-2</c:v>
                </c:pt>
                <c:pt idx="40">
                  <c:v>2.8201584716250592E-2</c:v>
                </c:pt>
                <c:pt idx="41">
                  <c:v>2.699820648127544E-2</c:v>
                </c:pt>
                <c:pt idx="42">
                  <c:v>2.5054705441643659E-2</c:v>
                </c:pt>
                <c:pt idx="43">
                  <c:v>2.4087423284830319E-2</c:v>
                </c:pt>
                <c:pt idx="44">
                  <c:v>2.390735023455505E-2</c:v>
                </c:pt>
                <c:pt idx="45">
                  <c:v>2.3873002348362211E-2</c:v>
                </c:pt>
                <c:pt idx="46">
                  <c:v>2.285541146164401E-2</c:v>
                </c:pt>
                <c:pt idx="47">
                  <c:v>2.3094097029309774E-2</c:v>
                </c:pt>
              </c:numCache>
            </c:numRef>
          </c:val>
          <c:smooth val="0"/>
          <c:extLst>
            <c:ext xmlns:c16="http://schemas.microsoft.com/office/drawing/2014/chart" uri="{C3380CC4-5D6E-409C-BE32-E72D297353CC}">
              <c16:uniqueId val="{00000001-FE5C-477C-8A4F-8F8EB1FB749B}"/>
            </c:ext>
          </c:extLst>
        </c:ser>
        <c:ser>
          <c:idx val="2"/>
          <c:order val="2"/>
          <c:tx>
            <c:strRef>
              <c:f>'Trip_Share (2)'!$X$1</c:f>
              <c:strCache>
                <c:ptCount val="1"/>
                <c:pt idx="0">
                  <c:v>Ride Hailing</c:v>
                </c:pt>
              </c:strCache>
            </c:strRef>
          </c:tx>
          <c:spPr>
            <a:ln w="28575" cap="rnd">
              <a:solidFill>
                <a:srgbClr val="002060"/>
              </a:solidFill>
              <a:round/>
            </a:ln>
            <a:effectLst/>
          </c:spPr>
          <c:marker>
            <c:symbol val="none"/>
          </c:marker>
          <c:cat>
            <c:strRef>
              <c:f>'Trip_Share (2)'!$U$2:$U$49</c:f>
              <c:strCache>
                <c:ptCount val="48"/>
                <c:pt idx="0">
                  <c:v>Jan'15</c:v>
                </c:pt>
                <c:pt idx="6">
                  <c:v>July'15</c:v>
                </c:pt>
                <c:pt idx="12">
                  <c:v>Jan'16</c:v>
                </c:pt>
                <c:pt idx="18">
                  <c:v>July'16</c:v>
                </c:pt>
                <c:pt idx="24">
                  <c:v>Jan'17</c:v>
                </c:pt>
                <c:pt idx="30">
                  <c:v>July'17</c:v>
                </c:pt>
                <c:pt idx="36">
                  <c:v>Jan'18</c:v>
                </c:pt>
                <c:pt idx="42">
                  <c:v>July'18</c:v>
                </c:pt>
                <c:pt idx="47">
                  <c:v>Dec'18</c:v>
                </c:pt>
              </c:strCache>
            </c:strRef>
          </c:cat>
          <c:val>
            <c:numRef>
              <c:f>'Trip_Share (2)'!$X$2:$X$49</c:f>
              <c:numCache>
                <c:formatCode>General</c:formatCode>
                <c:ptCount val="48"/>
                <c:pt idx="0">
                  <c:v>0.13138933784985862</c:v>
                </c:pt>
                <c:pt idx="1">
                  <c:v>0.15362884803989388</c:v>
                </c:pt>
                <c:pt idx="2">
                  <c:v>0.14485044818970649</c:v>
                </c:pt>
                <c:pt idx="3">
                  <c:v>0.15757418472256718</c:v>
                </c:pt>
                <c:pt idx="4">
                  <c:v>0.17665480430228886</c:v>
                </c:pt>
                <c:pt idx="5">
                  <c:v>0.18825034820819481</c:v>
                </c:pt>
                <c:pt idx="6">
                  <c:v>0.21522634017090667</c:v>
                </c:pt>
                <c:pt idx="7">
                  <c:v>0.24415860124329092</c:v>
                </c:pt>
                <c:pt idx="8">
                  <c:v>0.26728778124803793</c:v>
                </c:pt>
                <c:pt idx="9">
                  <c:v>0.28795404572852851</c:v>
                </c:pt>
                <c:pt idx="10">
                  <c:v>0.29896473173486088</c:v>
                </c:pt>
                <c:pt idx="11">
                  <c:v>0.30945287977975544</c:v>
                </c:pt>
                <c:pt idx="12">
                  <c:v>0.31653440420789725</c:v>
                </c:pt>
                <c:pt idx="13">
                  <c:v>0.3323491786649605</c:v>
                </c:pt>
                <c:pt idx="14">
                  <c:v>0.32222395688757688</c:v>
                </c:pt>
                <c:pt idx="15">
                  <c:v>0.33733821935409775</c:v>
                </c:pt>
                <c:pt idx="16">
                  <c:v>0.35476658485536822</c:v>
                </c:pt>
                <c:pt idx="17">
                  <c:v>0.36940591708628073</c:v>
                </c:pt>
                <c:pt idx="18">
                  <c:v>0.40117940853759892</c:v>
                </c:pt>
                <c:pt idx="19">
                  <c:v>0.4139688719770635</c:v>
                </c:pt>
                <c:pt idx="20">
                  <c:v>0.42995041431608455</c:v>
                </c:pt>
                <c:pt idx="21">
                  <c:v>0.42983891237519051</c:v>
                </c:pt>
                <c:pt idx="22">
                  <c:v>0.44455772324138926</c:v>
                </c:pt>
                <c:pt idx="23">
                  <c:v>0.46595598336573318</c:v>
                </c:pt>
                <c:pt idx="24">
                  <c:v>0.48317748143884465</c:v>
                </c:pt>
                <c:pt idx="25">
                  <c:v>0.4910307982780619</c:v>
                </c:pt>
                <c:pt idx="26">
                  <c:v>0.50506812502739329</c:v>
                </c:pt>
                <c:pt idx="27">
                  <c:v>0.49707839687377309</c:v>
                </c:pt>
                <c:pt idx="28">
                  <c:v>0.51635538684633586</c:v>
                </c:pt>
                <c:pt idx="29">
                  <c:v>0.53405109612953949</c:v>
                </c:pt>
                <c:pt idx="30">
                  <c:v>0.57098803095245243</c:v>
                </c:pt>
                <c:pt idx="31">
                  <c:v>0.58640727433012341</c:v>
                </c:pt>
                <c:pt idx="32">
                  <c:v>0.60162496776439778</c:v>
                </c:pt>
                <c:pt idx="33">
                  <c:v>0.57782202234777758</c:v>
                </c:pt>
                <c:pt idx="34">
                  <c:v>0.59516849766183333</c:v>
                </c:pt>
                <c:pt idx="35">
                  <c:v>0.61333001877723492</c:v>
                </c:pt>
                <c:pt idx="36">
                  <c:v>0.63267376108921458</c:v>
                </c:pt>
                <c:pt idx="37">
                  <c:v>0.63564023376890677</c:v>
                </c:pt>
                <c:pt idx="38">
                  <c:v>0.64440124240799845</c:v>
                </c:pt>
                <c:pt idx="39">
                  <c:v>0.64278067355063362</c:v>
                </c:pt>
                <c:pt idx="40">
                  <c:v>0.64955424806757212</c:v>
                </c:pt>
                <c:pt idx="41">
                  <c:v>0.65891312531208091</c:v>
                </c:pt>
                <c:pt idx="42">
                  <c:v>0.69142174601942497</c:v>
                </c:pt>
                <c:pt idx="43">
                  <c:v>0.6955405734950042</c:v>
                </c:pt>
                <c:pt idx="44">
                  <c:v>0.69123451761726007</c:v>
                </c:pt>
                <c:pt idx="45">
                  <c:v>0.68430847488369662</c:v>
                </c:pt>
                <c:pt idx="46">
                  <c:v>0.69850141425763956</c:v>
                </c:pt>
                <c:pt idx="47">
                  <c:v>0.70652332648655192</c:v>
                </c:pt>
              </c:numCache>
            </c:numRef>
          </c:val>
          <c:smooth val="0"/>
          <c:extLst>
            <c:ext xmlns:c16="http://schemas.microsoft.com/office/drawing/2014/chart" uri="{C3380CC4-5D6E-409C-BE32-E72D297353CC}">
              <c16:uniqueId val="{00000002-FE5C-477C-8A4F-8F8EB1FB749B}"/>
            </c:ext>
          </c:extLst>
        </c:ser>
        <c:dLbls>
          <c:showLegendKey val="0"/>
          <c:showVal val="0"/>
          <c:showCatName val="0"/>
          <c:showSerName val="0"/>
          <c:showPercent val="0"/>
          <c:showBubbleSize val="0"/>
        </c:dLbls>
        <c:smooth val="0"/>
        <c:axId val="510475768"/>
        <c:axId val="510482000"/>
      </c:lineChart>
      <c:catAx>
        <c:axId val="51047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0482000"/>
        <c:crosses val="autoZero"/>
        <c:auto val="1"/>
        <c:lblAlgn val="ctr"/>
        <c:lblOffset val="100"/>
        <c:noMultiLvlLbl val="0"/>
      </c:catAx>
      <c:valAx>
        <c:axId val="51048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Trips  Share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475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Count!$I$76</c:f>
              <c:strCache>
                <c:ptCount val="1"/>
                <c:pt idx="0">
                  <c:v>Estimation</c:v>
                </c:pt>
              </c:strCache>
            </c:strRef>
          </c:tx>
          <c:spPr>
            <a:solidFill>
              <a:schemeClr val="accent1"/>
            </a:solidFill>
            <a:ln>
              <a:noFill/>
            </a:ln>
            <a:effectLst/>
          </c:spPr>
          <c:invertIfNegative val="0"/>
          <c:cat>
            <c:strRef>
              <c:f>Count!$J$74:$L$75</c:f>
              <c:strCache>
                <c:ptCount val="3"/>
                <c:pt idx="0">
                  <c:v>Yellow Taxi</c:v>
                </c:pt>
                <c:pt idx="1">
                  <c:v>Green Taxi</c:v>
                </c:pt>
                <c:pt idx="2">
                  <c:v>TNC</c:v>
                </c:pt>
              </c:strCache>
            </c:strRef>
          </c:cat>
          <c:val>
            <c:numRef>
              <c:f>Count!$J$76:$L$76</c:f>
              <c:numCache>
                <c:formatCode>General</c:formatCode>
                <c:ptCount val="3"/>
                <c:pt idx="0">
                  <c:v>-4.3999999999999997E-2</c:v>
                </c:pt>
                <c:pt idx="1">
                  <c:v>-0.16</c:v>
                </c:pt>
                <c:pt idx="2">
                  <c:v>9.8000000000000004E-2</c:v>
                </c:pt>
              </c:numCache>
            </c:numRef>
          </c:val>
          <c:extLst>
            <c:ext xmlns:c16="http://schemas.microsoft.com/office/drawing/2014/chart" uri="{C3380CC4-5D6E-409C-BE32-E72D297353CC}">
              <c16:uniqueId val="{00000000-0AE2-4700-B4DE-AB66F777DE2F}"/>
            </c:ext>
          </c:extLst>
        </c:ser>
        <c:ser>
          <c:idx val="1"/>
          <c:order val="1"/>
          <c:tx>
            <c:strRef>
              <c:f>Count!$I$77</c:f>
              <c:strCache>
                <c:ptCount val="1"/>
                <c:pt idx="0">
                  <c:v>Validation</c:v>
                </c:pt>
              </c:strCache>
            </c:strRef>
          </c:tx>
          <c:spPr>
            <a:solidFill>
              <a:schemeClr val="accent2"/>
            </a:solidFill>
            <a:ln>
              <a:noFill/>
            </a:ln>
            <a:effectLst/>
          </c:spPr>
          <c:invertIfNegative val="0"/>
          <c:cat>
            <c:strRef>
              <c:f>Count!$J$74:$L$75</c:f>
              <c:strCache>
                <c:ptCount val="3"/>
                <c:pt idx="0">
                  <c:v>Yellow Taxi</c:v>
                </c:pt>
                <c:pt idx="1">
                  <c:v>Green Taxi</c:v>
                </c:pt>
                <c:pt idx="2">
                  <c:v>TNC</c:v>
                </c:pt>
              </c:strCache>
            </c:strRef>
          </c:cat>
          <c:val>
            <c:numRef>
              <c:f>Count!$J$77:$L$77</c:f>
              <c:numCache>
                <c:formatCode>General</c:formatCode>
                <c:ptCount val="3"/>
                <c:pt idx="0">
                  <c:v>-9.8000000000000004E-2</c:v>
                </c:pt>
                <c:pt idx="1">
                  <c:v>-0.186</c:v>
                </c:pt>
                <c:pt idx="2">
                  <c:v>-2.3E-2</c:v>
                </c:pt>
              </c:numCache>
            </c:numRef>
          </c:val>
          <c:extLst>
            <c:ext xmlns:c16="http://schemas.microsoft.com/office/drawing/2014/chart" uri="{C3380CC4-5D6E-409C-BE32-E72D297353CC}">
              <c16:uniqueId val="{00000001-0AE2-4700-B4DE-AB66F777DE2F}"/>
            </c:ext>
          </c:extLst>
        </c:ser>
        <c:dLbls>
          <c:showLegendKey val="0"/>
          <c:showVal val="0"/>
          <c:showCatName val="0"/>
          <c:showSerName val="0"/>
          <c:showPercent val="0"/>
          <c:showBubbleSize val="0"/>
        </c:dLbls>
        <c:gapWidth val="219"/>
        <c:overlap val="-27"/>
        <c:axId val="411640552"/>
        <c:axId val="411644160"/>
      </c:barChart>
      <c:catAx>
        <c:axId val="411640552"/>
        <c:scaling>
          <c:orientation val="minMax"/>
        </c:scaling>
        <c:delete val="1"/>
        <c:axPos val="b"/>
        <c:numFmt formatCode="General" sourceLinked="1"/>
        <c:majorTickMark val="none"/>
        <c:minorTickMark val="none"/>
        <c:tickLblPos val="nextTo"/>
        <c:crossAx val="411644160"/>
        <c:crosses val="autoZero"/>
        <c:auto val="1"/>
        <c:lblAlgn val="ctr"/>
        <c:lblOffset val="100"/>
        <c:noMultiLvlLbl val="0"/>
      </c:catAx>
      <c:valAx>
        <c:axId val="411644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MPE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64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Count!$I$82</c:f>
              <c:strCache>
                <c:ptCount val="1"/>
                <c:pt idx="0">
                  <c:v>Estimation</c:v>
                </c:pt>
              </c:strCache>
            </c:strRef>
          </c:tx>
          <c:spPr>
            <a:solidFill>
              <a:schemeClr val="accent1"/>
            </a:solidFill>
            <a:ln>
              <a:noFill/>
            </a:ln>
            <a:effectLst/>
          </c:spPr>
          <c:invertIfNegative val="0"/>
          <c:cat>
            <c:strRef>
              <c:f>Count!$J$80:$L$81</c:f>
              <c:strCache>
                <c:ptCount val="3"/>
                <c:pt idx="0">
                  <c:v>Yellow Taxi</c:v>
                </c:pt>
                <c:pt idx="1">
                  <c:v>Green Taxi</c:v>
                </c:pt>
                <c:pt idx="2">
                  <c:v>TNC</c:v>
                </c:pt>
              </c:strCache>
            </c:strRef>
          </c:cat>
          <c:val>
            <c:numRef>
              <c:f>Count!$J$82:$L$82</c:f>
              <c:numCache>
                <c:formatCode>General</c:formatCode>
                <c:ptCount val="3"/>
                <c:pt idx="0">
                  <c:v>0.23100000000000001</c:v>
                </c:pt>
                <c:pt idx="1">
                  <c:v>0.19</c:v>
                </c:pt>
                <c:pt idx="2">
                  <c:v>0.11799999999999999</c:v>
                </c:pt>
              </c:numCache>
            </c:numRef>
          </c:val>
          <c:extLst>
            <c:ext xmlns:c16="http://schemas.microsoft.com/office/drawing/2014/chart" uri="{C3380CC4-5D6E-409C-BE32-E72D297353CC}">
              <c16:uniqueId val="{00000000-C67E-4078-8921-835942C62F63}"/>
            </c:ext>
          </c:extLst>
        </c:ser>
        <c:ser>
          <c:idx val="1"/>
          <c:order val="1"/>
          <c:tx>
            <c:strRef>
              <c:f>Count!$I$83</c:f>
              <c:strCache>
                <c:ptCount val="1"/>
                <c:pt idx="0">
                  <c:v>Validation</c:v>
                </c:pt>
              </c:strCache>
            </c:strRef>
          </c:tx>
          <c:spPr>
            <a:solidFill>
              <a:schemeClr val="accent2"/>
            </a:solidFill>
            <a:ln>
              <a:noFill/>
            </a:ln>
            <a:effectLst/>
          </c:spPr>
          <c:invertIfNegative val="0"/>
          <c:cat>
            <c:strRef>
              <c:f>Count!$J$80:$L$81</c:f>
              <c:strCache>
                <c:ptCount val="3"/>
                <c:pt idx="0">
                  <c:v>Yellow Taxi</c:v>
                </c:pt>
                <c:pt idx="1">
                  <c:v>Green Taxi</c:v>
                </c:pt>
                <c:pt idx="2">
                  <c:v>TNC</c:v>
                </c:pt>
              </c:strCache>
            </c:strRef>
          </c:cat>
          <c:val>
            <c:numRef>
              <c:f>Count!$J$83:$L$83</c:f>
              <c:numCache>
                <c:formatCode>General</c:formatCode>
                <c:ptCount val="3"/>
                <c:pt idx="0">
                  <c:v>0.23200000000000001</c:v>
                </c:pt>
                <c:pt idx="1">
                  <c:v>0.22</c:v>
                </c:pt>
                <c:pt idx="2">
                  <c:v>2.5999999999999999E-2</c:v>
                </c:pt>
              </c:numCache>
            </c:numRef>
          </c:val>
          <c:extLst>
            <c:ext xmlns:c16="http://schemas.microsoft.com/office/drawing/2014/chart" uri="{C3380CC4-5D6E-409C-BE32-E72D297353CC}">
              <c16:uniqueId val="{00000001-C67E-4078-8921-835942C62F63}"/>
            </c:ext>
          </c:extLst>
        </c:ser>
        <c:dLbls>
          <c:showLegendKey val="0"/>
          <c:showVal val="0"/>
          <c:showCatName val="0"/>
          <c:showSerName val="0"/>
          <c:showPercent val="0"/>
          <c:showBubbleSize val="0"/>
        </c:dLbls>
        <c:gapWidth val="219"/>
        <c:overlap val="-27"/>
        <c:axId val="509738168"/>
        <c:axId val="509738496"/>
      </c:barChart>
      <c:catAx>
        <c:axId val="509738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9738496"/>
        <c:crosses val="autoZero"/>
        <c:auto val="1"/>
        <c:lblAlgn val="ctr"/>
        <c:lblOffset val="100"/>
        <c:noMultiLvlLbl val="0"/>
      </c:catAx>
      <c:valAx>
        <c:axId val="50973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MAPE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738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Count!$I$89</c:f>
              <c:strCache>
                <c:ptCount val="1"/>
                <c:pt idx="0">
                  <c:v>Estimation</c:v>
                </c:pt>
              </c:strCache>
            </c:strRef>
          </c:tx>
          <c:spPr>
            <a:solidFill>
              <a:schemeClr val="accent1"/>
            </a:solidFill>
            <a:ln>
              <a:noFill/>
            </a:ln>
            <a:effectLst/>
          </c:spPr>
          <c:invertIfNegative val="0"/>
          <c:cat>
            <c:strRef>
              <c:f>Count!$J$87:$L$88</c:f>
              <c:strCache>
                <c:ptCount val="3"/>
                <c:pt idx="0">
                  <c:v>Yellow Taxi</c:v>
                </c:pt>
                <c:pt idx="1">
                  <c:v>Green Taxi</c:v>
                </c:pt>
                <c:pt idx="2">
                  <c:v>TNC</c:v>
                </c:pt>
              </c:strCache>
            </c:strRef>
          </c:cat>
          <c:val>
            <c:numRef>
              <c:f>Count!$J$89:$L$89</c:f>
              <c:numCache>
                <c:formatCode>General</c:formatCode>
                <c:ptCount val="3"/>
                <c:pt idx="0">
                  <c:v>4.4210000000000003</c:v>
                </c:pt>
                <c:pt idx="1">
                  <c:v>0.99</c:v>
                </c:pt>
                <c:pt idx="2">
                  <c:v>4.431</c:v>
                </c:pt>
              </c:numCache>
            </c:numRef>
          </c:val>
          <c:extLst>
            <c:ext xmlns:c16="http://schemas.microsoft.com/office/drawing/2014/chart" uri="{C3380CC4-5D6E-409C-BE32-E72D297353CC}">
              <c16:uniqueId val="{00000000-7656-4314-817F-9D3B64C031D5}"/>
            </c:ext>
          </c:extLst>
        </c:ser>
        <c:ser>
          <c:idx val="1"/>
          <c:order val="1"/>
          <c:tx>
            <c:strRef>
              <c:f>Count!$I$90</c:f>
              <c:strCache>
                <c:ptCount val="1"/>
                <c:pt idx="0">
                  <c:v>Validation</c:v>
                </c:pt>
              </c:strCache>
            </c:strRef>
          </c:tx>
          <c:spPr>
            <a:solidFill>
              <a:schemeClr val="accent2"/>
            </a:solidFill>
            <a:ln>
              <a:noFill/>
            </a:ln>
            <a:effectLst/>
          </c:spPr>
          <c:invertIfNegative val="0"/>
          <c:cat>
            <c:strRef>
              <c:f>Count!$J$87:$L$88</c:f>
              <c:strCache>
                <c:ptCount val="3"/>
                <c:pt idx="0">
                  <c:v>Yellow Taxi</c:v>
                </c:pt>
                <c:pt idx="1">
                  <c:v>Green Taxi</c:v>
                </c:pt>
                <c:pt idx="2">
                  <c:v>TNC</c:v>
                </c:pt>
              </c:strCache>
            </c:strRef>
          </c:cat>
          <c:val>
            <c:numRef>
              <c:f>Count!$J$90:$L$90</c:f>
              <c:numCache>
                <c:formatCode>General</c:formatCode>
                <c:ptCount val="3"/>
                <c:pt idx="0">
                  <c:v>4.7629999999999999</c:v>
                </c:pt>
                <c:pt idx="1">
                  <c:v>0.97599999999999998</c:v>
                </c:pt>
                <c:pt idx="2">
                  <c:v>4.673</c:v>
                </c:pt>
              </c:numCache>
            </c:numRef>
          </c:val>
          <c:extLst>
            <c:ext xmlns:c16="http://schemas.microsoft.com/office/drawing/2014/chart" uri="{C3380CC4-5D6E-409C-BE32-E72D297353CC}">
              <c16:uniqueId val="{00000001-7656-4314-817F-9D3B64C031D5}"/>
            </c:ext>
          </c:extLst>
        </c:ser>
        <c:dLbls>
          <c:showLegendKey val="0"/>
          <c:showVal val="0"/>
          <c:showCatName val="0"/>
          <c:showSerName val="0"/>
          <c:showPercent val="0"/>
          <c:showBubbleSize val="0"/>
        </c:dLbls>
        <c:gapWidth val="219"/>
        <c:overlap val="-27"/>
        <c:axId val="509756536"/>
        <c:axId val="509752272"/>
      </c:barChart>
      <c:catAx>
        <c:axId val="50975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9752272"/>
        <c:crosses val="autoZero"/>
        <c:auto val="1"/>
        <c:lblAlgn val="ctr"/>
        <c:lblOffset val="100"/>
        <c:noMultiLvlLbl val="0"/>
      </c:catAx>
      <c:valAx>
        <c:axId val="509752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RMSE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756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Total No. of Trips (in Million)</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'2019_Pred_obs (2)'!$N$22</c:f>
              <c:strCache>
                <c:ptCount val="1"/>
                <c:pt idx="0">
                  <c:v>Observation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f>'2019_Pred_obs (2)'!$N$23:$N$28</c:f>
              <c:numCache>
                <c:formatCode>0.000</c:formatCode>
                <c:ptCount val="6"/>
                <c:pt idx="0">
                  <c:v>7.6678309999999996</c:v>
                </c:pt>
                <c:pt idx="1">
                  <c:v>7.0191889999999999</c:v>
                </c:pt>
                <c:pt idx="2">
                  <c:v>7.832325</c:v>
                </c:pt>
                <c:pt idx="3">
                  <c:v>7.4331519999999998</c:v>
                </c:pt>
                <c:pt idx="4">
                  <c:v>7.5653600000000001</c:v>
                </c:pt>
                <c:pt idx="5">
                  <c:v>6.9406290000000004</c:v>
                </c:pt>
              </c:numCache>
            </c:numRef>
          </c:val>
          <c:extLst>
            <c:ext xmlns:c16="http://schemas.microsoft.com/office/drawing/2014/chart" uri="{C3380CC4-5D6E-409C-BE32-E72D297353CC}">
              <c16:uniqueId val="{00000000-1678-4100-869C-F720DB8B1B91}"/>
            </c:ext>
          </c:extLst>
        </c:ser>
        <c:ser>
          <c:idx val="1"/>
          <c:order val="1"/>
          <c:tx>
            <c:strRef>
              <c:f>'2019_Pred_obs (2)'!$O$22</c:f>
              <c:strCache>
                <c:ptCount val="1"/>
                <c:pt idx="0">
                  <c:v>Prediction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f>'2019_Pred_obs (2)'!$O$23:$O$28</c:f>
              <c:numCache>
                <c:formatCode>0.000</c:formatCode>
                <c:ptCount val="6"/>
                <c:pt idx="0">
                  <c:v>7.40431303</c:v>
                </c:pt>
                <c:pt idx="1">
                  <c:v>7.2050238699999998</c:v>
                </c:pt>
                <c:pt idx="2">
                  <c:v>7.1223613800000001</c:v>
                </c:pt>
                <c:pt idx="3">
                  <c:v>7.0364666600000003</c:v>
                </c:pt>
                <c:pt idx="4">
                  <c:v>6.9475300300000002</c:v>
                </c:pt>
                <c:pt idx="5">
                  <c:v>6.6375300300000006</c:v>
                </c:pt>
              </c:numCache>
            </c:numRef>
          </c:val>
          <c:extLst>
            <c:ext xmlns:c16="http://schemas.microsoft.com/office/drawing/2014/chart" uri="{C3380CC4-5D6E-409C-BE32-E72D297353CC}">
              <c16:uniqueId val="{00000001-1678-4100-869C-F720DB8B1B91}"/>
            </c:ext>
          </c:extLst>
        </c:ser>
        <c:dLbls>
          <c:showLegendKey val="0"/>
          <c:showVal val="0"/>
          <c:showCatName val="0"/>
          <c:showSerName val="0"/>
          <c:showPercent val="0"/>
          <c:showBubbleSize val="0"/>
        </c:dLbls>
        <c:gapWidth val="100"/>
        <c:overlap val="-24"/>
        <c:axId val="513692424"/>
        <c:axId val="513693736"/>
      </c:barChart>
      <c:catAx>
        <c:axId val="513692424"/>
        <c:scaling>
          <c:orientation val="minMax"/>
        </c:scaling>
        <c:delete val="1"/>
        <c:axPos val="b"/>
        <c:numFmt formatCode="General" sourceLinked="1"/>
        <c:majorTickMark val="none"/>
        <c:minorTickMark val="none"/>
        <c:tickLblPos val="nextTo"/>
        <c:crossAx val="513693736"/>
        <c:crosses val="autoZero"/>
        <c:auto val="1"/>
        <c:lblAlgn val="ctr"/>
        <c:lblOffset val="100"/>
        <c:noMultiLvlLbl val="0"/>
      </c:catAx>
      <c:valAx>
        <c:axId val="513693736"/>
        <c:scaling>
          <c:orientation val="minMax"/>
          <c:max val="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Yellow Taxi</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3692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'2019_Pred_obs (2)'!$R$22</c:f>
              <c:strCache>
                <c:ptCount val="1"/>
                <c:pt idx="0">
                  <c:v>Observation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f>'2019_Pred_obs (2)'!$R$23:$R$28</c:f>
              <c:numCache>
                <c:formatCode>0.000</c:formatCode>
                <c:ptCount val="6"/>
                <c:pt idx="0">
                  <c:v>0.789018</c:v>
                </c:pt>
                <c:pt idx="1">
                  <c:v>0.57286999999999999</c:v>
                </c:pt>
                <c:pt idx="2">
                  <c:v>0.59821299999999999</c:v>
                </c:pt>
                <c:pt idx="3">
                  <c:v>0.51201700000000006</c:v>
                </c:pt>
                <c:pt idx="4">
                  <c:v>0.50254100000000002</c:v>
                </c:pt>
                <c:pt idx="5">
                  <c:v>0.46876400000000001</c:v>
                </c:pt>
              </c:numCache>
            </c:numRef>
          </c:val>
          <c:extLst>
            <c:ext xmlns:c16="http://schemas.microsoft.com/office/drawing/2014/chart" uri="{C3380CC4-5D6E-409C-BE32-E72D297353CC}">
              <c16:uniqueId val="{00000000-2D35-4CC4-BB6A-B6831DE836BE}"/>
            </c:ext>
          </c:extLst>
        </c:ser>
        <c:ser>
          <c:idx val="1"/>
          <c:order val="1"/>
          <c:tx>
            <c:strRef>
              <c:f>'2019_Pred_obs (2)'!$S$22</c:f>
              <c:strCache>
                <c:ptCount val="1"/>
                <c:pt idx="0">
                  <c:v>Prediction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f>'2019_Pred_obs (2)'!$S$23:$S$28</c:f>
              <c:numCache>
                <c:formatCode>0.000</c:formatCode>
                <c:ptCount val="6"/>
                <c:pt idx="0">
                  <c:v>0.45022612000000001</c:v>
                </c:pt>
                <c:pt idx="1">
                  <c:v>0.41919009000000002</c:v>
                </c:pt>
                <c:pt idx="2">
                  <c:v>0.39964388000000001</c:v>
                </c:pt>
                <c:pt idx="3">
                  <c:v>0.38083821000000001</c:v>
                </c:pt>
                <c:pt idx="4">
                  <c:v>0.36275742</c:v>
                </c:pt>
                <c:pt idx="5">
                  <c:v>0.33275741999999997</c:v>
                </c:pt>
              </c:numCache>
            </c:numRef>
          </c:val>
          <c:extLst>
            <c:ext xmlns:c16="http://schemas.microsoft.com/office/drawing/2014/chart" uri="{C3380CC4-5D6E-409C-BE32-E72D297353CC}">
              <c16:uniqueId val="{00000001-2D35-4CC4-BB6A-B6831DE836BE}"/>
            </c:ext>
          </c:extLst>
        </c:ser>
        <c:dLbls>
          <c:showLegendKey val="0"/>
          <c:showVal val="0"/>
          <c:showCatName val="0"/>
          <c:showSerName val="0"/>
          <c:showPercent val="0"/>
          <c:showBubbleSize val="0"/>
        </c:dLbls>
        <c:gapWidth val="100"/>
        <c:overlap val="-24"/>
        <c:axId val="523469488"/>
        <c:axId val="523468832"/>
      </c:barChart>
      <c:catAx>
        <c:axId val="523469488"/>
        <c:scaling>
          <c:orientation val="minMax"/>
        </c:scaling>
        <c:delete val="1"/>
        <c:axPos val="b"/>
        <c:numFmt formatCode="General" sourceLinked="1"/>
        <c:majorTickMark val="none"/>
        <c:minorTickMark val="none"/>
        <c:tickLblPos val="nextTo"/>
        <c:crossAx val="523468832"/>
        <c:crosses val="autoZero"/>
        <c:auto val="1"/>
        <c:lblAlgn val="ctr"/>
        <c:lblOffset val="100"/>
        <c:noMultiLvlLbl val="0"/>
      </c:catAx>
      <c:valAx>
        <c:axId val="52346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solidFill>
                      <a:sysClr val="windowText" lastClr="000000"/>
                    </a:solidFill>
                    <a:effectLst/>
                    <a:latin typeface="Times New Roman" panose="02020603050405020304" pitchFamily="18" charset="0"/>
                    <a:cs typeface="Times New Roman" panose="02020603050405020304" pitchFamily="18" charset="0"/>
                  </a:rPr>
                  <a:t>Green Taxi</a:t>
                </a:r>
                <a:endParaRPr lang="en-US" sz="10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469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'2019_Pred_obs (2)'!$U$22</c:f>
              <c:strCache>
                <c:ptCount val="1"/>
                <c:pt idx="0">
                  <c:v>Observation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f>'2019_Pred_obs (2)'!$U$23:$U$28</c:f>
              <c:numCache>
                <c:formatCode>0.000</c:formatCode>
                <c:ptCount val="6"/>
                <c:pt idx="0">
                  <c:v>21.311973999999999</c:v>
                </c:pt>
                <c:pt idx="1">
                  <c:v>21.865819999999999</c:v>
                </c:pt>
                <c:pt idx="2">
                  <c:v>25.193614</c:v>
                </c:pt>
                <c:pt idx="3">
                  <c:v>23.642841000000001</c:v>
                </c:pt>
                <c:pt idx="4">
                  <c:v>24.367498000000001</c:v>
                </c:pt>
                <c:pt idx="5">
                  <c:v>24.969771000000001</c:v>
                </c:pt>
              </c:numCache>
            </c:numRef>
          </c:val>
          <c:extLst>
            <c:ext xmlns:c16="http://schemas.microsoft.com/office/drawing/2014/chart" uri="{C3380CC4-5D6E-409C-BE32-E72D297353CC}">
              <c16:uniqueId val="{00000000-D2B1-4A95-B8AE-D476EDB83A31}"/>
            </c:ext>
          </c:extLst>
        </c:ser>
        <c:ser>
          <c:idx val="1"/>
          <c:order val="1"/>
          <c:tx>
            <c:strRef>
              <c:f>'2019_Pred_obs (2)'!$V$22</c:f>
              <c:strCache>
                <c:ptCount val="1"/>
                <c:pt idx="0">
                  <c:v>Prediction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f>'2019_Pred_obs (2)'!$V$23:$V$28</c:f>
              <c:numCache>
                <c:formatCode>0.000</c:formatCode>
                <c:ptCount val="6"/>
                <c:pt idx="0">
                  <c:v>22.02351621</c:v>
                </c:pt>
                <c:pt idx="1">
                  <c:v>22.109761579999997</c:v>
                </c:pt>
                <c:pt idx="2">
                  <c:v>22.871603579999999</c:v>
                </c:pt>
                <c:pt idx="3">
                  <c:v>23.65057084</c:v>
                </c:pt>
                <c:pt idx="4">
                  <c:v>24.446813469999999</c:v>
                </c:pt>
                <c:pt idx="5">
                  <c:v>24.836615760000001</c:v>
                </c:pt>
              </c:numCache>
            </c:numRef>
          </c:val>
          <c:extLst>
            <c:ext xmlns:c16="http://schemas.microsoft.com/office/drawing/2014/chart" uri="{C3380CC4-5D6E-409C-BE32-E72D297353CC}">
              <c16:uniqueId val="{00000001-D2B1-4A95-B8AE-D476EDB83A31}"/>
            </c:ext>
          </c:extLst>
        </c:ser>
        <c:dLbls>
          <c:showLegendKey val="0"/>
          <c:showVal val="0"/>
          <c:showCatName val="0"/>
          <c:showSerName val="0"/>
          <c:showPercent val="0"/>
          <c:showBubbleSize val="0"/>
        </c:dLbls>
        <c:gapWidth val="100"/>
        <c:overlap val="-24"/>
        <c:axId val="525807768"/>
        <c:axId val="525805472"/>
      </c:barChart>
      <c:catAx>
        <c:axId val="525807768"/>
        <c:scaling>
          <c:orientation val="minMax"/>
        </c:scaling>
        <c:delete val="1"/>
        <c:axPos val="b"/>
        <c:numFmt formatCode="General" sourceLinked="1"/>
        <c:majorTickMark val="none"/>
        <c:minorTickMark val="none"/>
        <c:tickLblPos val="nextTo"/>
        <c:crossAx val="525805472"/>
        <c:crosses val="autoZero"/>
        <c:auto val="1"/>
        <c:lblAlgn val="ctr"/>
        <c:lblOffset val="100"/>
        <c:noMultiLvlLbl val="0"/>
      </c:catAx>
      <c:valAx>
        <c:axId val="525805472"/>
        <c:scaling>
          <c:orientation val="minMax"/>
          <c:max val="2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TNC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5807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'2019_Pred_obs (2)'!$U$33</c:f>
              <c:strCache>
                <c:ptCount val="1"/>
                <c:pt idx="0">
                  <c:v>Observed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'2019_Pred_obs (2)'!$T$34:$T$39</c:f>
              <c:strCache>
                <c:ptCount val="6"/>
                <c:pt idx="0">
                  <c:v>Jan'19</c:v>
                </c:pt>
                <c:pt idx="1">
                  <c:v>Feb'19</c:v>
                </c:pt>
                <c:pt idx="2">
                  <c:v>March'19</c:v>
                </c:pt>
                <c:pt idx="3">
                  <c:v>April'19</c:v>
                </c:pt>
                <c:pt idx="4">
                  <c:v>May'19</c:v>
                </c:pt>
                <c:pt idx="5">
                  <c:v>June'19</c:v>
                </c:pt>
              </c:strCache>
            </c:strRef>
          </c:cat>
          <c:val>
            <c:numRef>
              <c:f>'2019_Pred_obs (2)'!$U$34:$U$39</c:f>
              <c:numCache>
                <c:formatCode>0.000</c:formatCode>
                <c:ptCount val="6"/>
                <c:pt idx="0">
                  <c:v>29.768823000000001</c:v>
                </c:pt>
                <c:pt idx="1">
                  <c:v>29.457878999999998</c:v>
                </c:pt>
                <c:pt idx="2">
                  <c:v>33.624152000000002</c:v>
                </c:pt>
                <c:pt idx="3">
                  <c:v>31.588010000000001</c:v>
                </c:pt>
                <c:pt idx="4">
                  <c:v>32.435398999999997</c:v>
                </c:pt>
                <c:pt idx="5">
                  <c:v>32.379164000000003</c:v>
                </c:pt>
              </c:numCache>
            </c:numRef>
          </c:val>
          <c:extLst>
            <c:ext xmlns:c16="http://schemas.microsoft.com/office/drawing/2014/chart" uri="{C3380CC4-5D6E-409C-BE32-E72D297353CC}">
              <c16:uniqueId val="{00000000-4E09-4C2C-A712-BFAC871DD166}"/>
            </c:ext>
          </c:extLst>
        </c:ser>
        <c:ser>
          <c:idx val="1"/>
          <c:order val="1"/>
          <c:tx>
            <c:strRef>
              <c:f>'2019_Pred_obs (2)'!$V$33</c:f>
              <c:strCache>
                <c:ptCount val="1"/>
                <c:pt idx="0">
                  <c:v>Predicted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'2019_Pred_obs (2)'!$T$34:$T$39</c:f>
              <c:strCache>
                <c:ptCount val="6"/>
                <c:pt idx="0">
                  <c:v>Jan'19</c:v>
                </c:pt>
                <c:pt idx="1">
                  <c:v>Feb'19</c:v>
                </c:pt>
                <c:pt idx="2">
                  <c:v>March'19</c:v>
                </c:pt>
                <c:pt idx="3">
                  <c:v>April'19</c:v>
                </c:pt>
                <c:pt idx="4">
                  <c:v>May'19</c:v>
                </c:pt>
                <c:pt idx="5">
                  <c:v>June'19</c:v>
                </c:pt>
              </c:strCache>
            </c:strRef>
          </c:cat>
          <c:val>
            <c:numRef>
              <c:f>'2019_Pred_obs (2)'!$V$34:$V$39</c:f>
              <c:numCache>
                <c:formatCode>0.000</c:formatCode>
                <c:ptCount val="6"/>
                <c:pt idx="0">
                  <c:v>29.878055360000001</c:v>
                </c:pt>
                <c:pt idx="1">
                  <c:v>29.733975539999999</c:v>
                </c:pt>
                <c:pt idx="2">
                  <c:v>30.393608839999995</c:v>
                </c:pt>
                <c:pt idx="3">
                  <c:v>31.067875709999999</c:v>
                </c:pt>
                <c:pt idx="4">
                  <c:v>31.757100919999999</c:v>
                </c:pt>
                <c:pt idx="5">
                  <c:v>31.806903210000002</c:v>
                </c:pt>
              </c:numCache>
            </c:numRef>
          </c:val>
          <c:extLst>
            <c:ext xmlns:c16="http://schemas.microsoft.com/office/drawing/2014/chart" uri="{C3380CC4-5D6E-409C-BE32-E72D297353CC}">
              <c16:uniqueId val="{00000001-4E09-4C2C-A712-BFAC871DD166}"/>
            </c:ext>
          </c:extLst>
        </c:ser>
        <c:dLbls>
          <c:showLegendKey val="0"/>
          <c:showVal val="0"/>
          <c:showCatName val="0"/>
          <c:showSerName val="0"/>
          <c:showPercent val="0"/>
          <c:showBubbleSize val="0"/>
        </c:dLbls>
        <c:gapWidth val="100"/>
        <c:overlap val="-24"/>
        <c:axId val="513654048"/>
        <c:axId val="513661920"/>
      </c:barChart>
      <c:catAx>
        <c:axId val="513654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3661920"/>
        <c:crosses val="autoZero"/>
        <c:auto val="1"/>
        <c:lblAlgn val="ctr"/>
        <c:lblOffset val="100"/>
        <c:noMultiLvlLbl val="0"/>
      </c:catAx>
      <c:valAx>
        <c:axId val="513661920"/>
        <c:scaling>
          <c:orientation val="minMax"/>
          <c:max val="3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Total Trips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365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0.192</cdr:x>
      <cdr:y>0.24612</cdr:y>
    </cdr:from>
    <cdr:to>
      <cdr:x>0.396</cdr:x>
      <cdr:y>0.3237</cdr:y>
    </cdr:to>
    <cdr:sp macro="" textlink="">
      <cdr:nvSpPr>
        <cdr:cNvPr id="2" name="Text Box 1"/>
        <cdr:cNvSpPr txBox="1"/>
      </cdr:nvSpPr>
      <cdr:spPr>
        <a:xfrm xmlns:a="http://schemas.openxmlformats.org/drawingml/2006/main">
          <a:off x="914400" y="584200"/>
          <a:ext cx="971550" cy="184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solidFill>
                <a:schemeClr val="tx1">
                  <a:lumMod val="65000"/>
                  <a:lumOff val="35000"/>
                </a:schemeClr>
              </a:solidFill>
              <a:latin typeface="Times New Roman" panose="02020603050405020304" pitchFamily="18" charset="0"/>
              <a:cs typeface="Times New Roman" panose="02020603050405020304" pitchFamily="18" charset="0"/>
            </a:rPr>
            <a:t>Yellow Taxi</a:t>
          </a:r>
        </a:p>
      </cdr:txBody>
    </cdr:sp>
  </cdr:relSizeAnchor>
  <cdr:relSizeAnchor xmlns:cdr="http://schemas.openxmlformats.org/drawingml/2006/chartDrawing">
    <cdr:from>
      <cdr:x>0.48533</cdr:x>
      <cdr:y>0.24612</cdr:y>
    </cdr:from>
    <cdr:to>
      <cdr:x>0.68933</cdr:x>
      <cdr:y>0.3237</cdr:y>
    </cdr:to>
    <cdr:sp macro="" textlink="">
      <cdr:nvSpPr>
        <cdr:cNvPr id="3" name="Text Box 1"/>
        <cdr:cNvSpPr txBox="1"/>
      </cdr:nvSpPr>
      <cdr:spPr>
        <a:xfrm xmlns:a="http://schemas.openxmlformats.org/drawingml/2006/main">
          <a:off x="2311400" y="584200"/>
          <a:ext cx="971550" cy="1841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chemeClr val="tx1">
                  <a:lumMod val="65000"/>
                  <a:lumOff val="35000"/>
                </a:schemeClr>
              </a:solidFill>
              <a:latin typeface="Times New Roman" panose="02020603050405020304" pitchFamily="18" charset="0"/>
              <a:cs typeface="Times New Roman" panose="02020603050405020304" pitchFamily="18" charset="0"/>
            </a:rPr>
            <a:t>Green Taxi</a:t>
          </a:r>
        </a:p>
      </cdr:txBody>
    </cdr:sp>
  </cdr:relSizeAnchor>
  <cdr:relSizeAnchor xmlns:cdr="http://schemas.openxmlformats.org/drawingml/2006/chartDrawing">
    <cdr:from>
      <cdr:x>0.828</cdr:x>
      <cdr:y>0.2488</cdr:y>
    </cdr:from>
    <cdr:to>
      <cdr:x>0.96</cdr:x>
      <cdr:y>0.31835</cdr:y>
    </cdr:to>
    <cdr:sp macro="" textlink="">
      <cdr:nvSpPr>
        <cdr:cNvPr id="4" name="Text Box 1"/>
        <cdr:cNvSpPr txBox="1"/>
      </cdr:nvSpPr>
      <cdr:spPr>
        <a:xfrm xmlns:a="http://schemas.openxmlformats.org/drawingml/2006/main">
          <a:off x="3943350" y="590550"/>
          <a:ext cx="628650" cy="1651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chemeClr val="tx1">
                  <a:lumMod val="65000"/>
                  <a:lumOff val="35000"/>
                </a:schemeClr>
              </a:solidFill>
              <a:latin typeface="Times New Roman" panose="02020603050405020304" pitchFamily="18" charset="0"/>
              <a:cs typeface="Times New Roman" panose="02020603050405020304" pitchFamily="18" charset="0"/>
            </a:rPr>
            <a:t>TNC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5340BA041CDC4F86C3DA159808B7F7" ma:contentTypeVersion="15" ma:contentTypeDescription="Create a new document." ma:contentTypeScope="" ma:versionID="c0b8c972fff9a74ed2c883d4cd38bfb6">
  <xsd:schema xmlns:xsd="http://www.w3.org/2001/XMLSchema" xmlns:xs="http://www.w3.org/2001/XMLSchema" xmlns:p="http://schemas.microsoft.com/office/2006/metadata/properties" xmlns:ns1="http://schemas.microsoft.com/sharepoint/v3" xmlns:ns3="656253ab-15a0-475c-a398-93b0d4fb031d" xmlns:ns4="2fce71c9-f178-4d0d-9606-05948308846e" targetNamespace="http://schemas.microsoft.com/office/2006/metadata/properties" ma:root="true" ma:fieldsID="e033c7431f6729f9217b90a17855d215" ns1:_="" ns3:_="" ns4:_="">
    <xsd:import namespace="http://schemas.microsoft.com/sharepoint/v3"/>
    <xsd:import namespace="656253ab-15a0-475c-a398-93b0d4fb031d"/>
    <xsd:import namespace="2fce71c9-f178-4d0d-9606-05948308846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1:_ip_UnifiedCompliancePolicyProperties" minOccurs="0"/>
                <xsd:element ref="ns1:_ip_UnifiedCompliancePolicyUIActio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253ab-15a0-475c-a398-93b0d4fb0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ce71c9-f178-4d0d-9606-0594830884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FBB29-3499-47E3-9A05-AB8353F68F3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AC350EF-A214-4098-AD79-7521A95CE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56253ab-15a0-475c-a398-93b0d4fb031d"/>
    <ds:schemaRef ds:uri="2fce71c9-f178-4d0d-9606-059483088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925C4C-F38F-48BD-A612-660647C93928}">
  <ds:schemaRefs>
    <ds:schemaRef ds:uri="http://schemas.microsoft.com/sharepoint/v3/contenttype/forms"/>
  </ds:schemaRefs>
</ds:datastoreItem>
</file>

<file path=customXml/itemProps4.xml><?xml version="1.0" encoding="utf-8"?>
<ds:datastoreItem xmlns:ds="http://schemas.openxmlformats.org/officeDocument/2006/customXml" ds:itemID="{C1747076-CB47-4345-8D16-35D4FE3D1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10249</Words>
  <Characters>58423</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Bibhas</dc:creator>
  <cp:keywords/>
  <dc:description/>
  <cp:lastModifiedBy>naveen eluru</cp:lastModifiedBy>
  <cp:revision>3</cp:revision>
  <cp:lastPrinted>2021-01-18T04:18:00Z</cp:lastPrinted>
  <dcterms:created xsi:type="dcterms:W3CDTF">2021-04-21T03:28:00Z</dcterms:created>
  <dcterms:modified xsi:type="dcterms:W3CDTF">2021-05-21T19:51:00Z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0x010100365340BA041CDC4F86C3DA159808B7F7</vt:lpwstr>
  </property>
</Properties>
</file>