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B4A52" w14:textId="77777777" w:rsidR="00511203" w:rsidRPr="00F33A42" w:rsidRDefault="003770AC" w:rsidP="00890789">
      <w:pPr>
        <w:spacing w:after="0" w:line="480" w:lineRule="auto"/>
      </w:pPr>
      <w:r w:rsidRPr="00F33A42">
        <w:rPr>
          <w:rFonts w:ascii="Times New Roman" w:hAnsi="Times New Roman" w:cs="Times New Roman"/>
          <w:b/>
          <w:sz w:val="24"/>
          <w:szCs w:val="24"/>
        </w:rPr>
        <w:t>E</w:t>
      </w:r>
      <w:r w:rsidR="00511203" w:rsidRPr="00F33A42">
        <w:rPr>
          <w:rFonts w:ascii="Times New Roman" w:hAnsi="Times New Roman" w:cs="Times New Roman"/>
          <w:b/>
          <w:sz w:val="24"/>
          <w:szCs w:val="24"/>
        </w:rPr>
        <w:t xml:space="preserve">nvironmental and health impacts of transportation and land use scenarios in 2061 </w:t>
      </w:r>
    </w:p>
    <w:p w14:paraId="18CF28CF" w14:textId="77777777" w:rsidR="004C3EED" w:rsidRDefault="004C3EED" w:rsidP="00890789">
      <w:pPr>
        <w:spacing w:after="0" w:line="480" w:lineRule="auto"/>
        <w:jc w:val="both"/>
        <w:rPr>
          <w:rFonts w:ascii="Times New Roman" w:hAnsi="Times New Roman" w:cs="Times New Roman"/>
          <w:sz w:val="24"/>
          <w:szCs w:val="24"/>
        </w:rPr>
      </w:pPr>
      <w:r w:rsidRPr="00F33A42">
        <w:rPr>
          <w:rFonts w:ascii="Times New Roman" w:hAnsi="Times New Roman" w:cs="Times New Roman"/>
          <w:sz w:val="24"/>
          <w:szCs w:val="24"/>
        </w:rPr>
        <w:t>Audrey Smargiassi</w:t>
      </w:r>
      <w:r w:rsidR="0041199D" w:rsidRPr="001B6E73">
        <w:rPr>
          <w:rFonts w:ascii="Times New Roman" w:hAnsi="Times New Roman" w:cs="Times New Roman"/>
          <w:sz w:val="24"/>
          <w:szCs w:val="24"/>
          <w:vertAlign w:val="superscript"/>
        </w:rPr>
        <w:t>1,2</w:t>
      </w:r>
      <w:r w:rsidR="00554B1C">
        <w:rPr>
          <w:rFonts w:ascii="Times New Roman" w:hAnsi="Times New Roman" w:cs="Times New Roman"/>
          <w:sz w:val="24"/>
          <w:szCs w:val="24"/>
          <w:vertAlign w:val="superscript"/>
        </w:rPr>
        <w:t>*</w:t>
      </w:r>
      <w:r w:rsidRPr="00F33A42">
        <w:rPr>
          <w:rFonts w:ascii="Times New Roman" w:hAnsi="Times New Roman" w:cs="Times New Roman"/>
          <w:sz w:val="24"/>
          <w:szCs w:val="24"/>
        </w:rPr>
        <w:t>, Céline Plante</w:t>
      </w:r>
      <w:r w:rsidR="0041199D" w:rsidRPr="001B6E73">
        <w:rPr>
          <w:rFonts w:ascii="Times New Roman" w:hAnsi="Times New Roman" w:cs="Times New Roman"/>
          <w:sz w:val="24"/>
          <w:szCs w:val="24"/>
          <w:vertAlign w:val="superscript"/>
        </w:rPr>
        <w:t>3</w:t>
      </w:r>
      <w:r w:rsidRPr="00F33A42">
        <w:rPr>
          <w:rFonts w:ascii="Times New Roman" w:hAnsi="Times New Roman" w:cs="Times New Roman"/>
          <w:sz w:val="24"/>
          <w:szCs w:val="24"/>
        </w:rPr>
        <w:t>, Patrick Morency</w:t>
      </w:r>
      <w:r w:rsidR="0041199D" w:rsidRPr="001B6E73">
        <w:rPr>
          <w:rFonts w:ascii="Times New Roman" w:hAnsi="Times New Roman" w:cs="Times New Roman"/>
          <w:sz w:val="24"/>
          <w:szCs w:val="24"/>
          <w:vertAlign w:val="superscript"/>
        </w:rPr>
        <w:t>1,3</w:t>
      </w:r>
      <w:r w:rsidRPr="00F33A42">
        <w:rPr>
          <w:rFonts w:ascii="Times New Roman" w:hAnsi="Times New Roman" w:cs="Times New Roman"/>
          <w:sz w:val="24"/>
          <w:szCs w:val="24"/>
        </w:rPr>
        <w:t>, Marianne Hatzopoulou</w:t>
      </w:r>
      <w:r w:rsidR="0041199D" w:rsidRPr="001B6E73">
        <w:rPr>
          <w:rFonts w:ascii="Times New Roman" w:hAnsi="Times New Roman" w:cs="Times New Roman"/>
          <w:sz w:val="24"/>
          <w:szCs w:val="24"/>
          <w:vertAlign w:val="superscript"/>
        </w:rPr>
        <w:t>4</w:t>
      </w:r>
      <w:r w:rsidRPr="00F33A42">
        <w:rPr>
          <w:rFonts w:ascii="Times New Roman" w:hAnsi="Times New Roman" w:cs="Times New Roman"/>
          <w:sz w:val="24"/>
          <w:szCs w:val="24"/>
        </w:rPr>
        <w:t>, Catherine Morency</w:t>
      </w:r>
      <w:r w:rsidR="0041199D" w:rsidRPr="001B6E73">
        <w:rPr>
          <w:rFonts w:ascii="Times New Roman" w:hAnsi="Times New Roman" w:cs="Times New Roman"/>
          <w:sz w:val="24"/>
          <w:szCs w:val="24"/>
          <w:vertAlign w:val="superscript"/>
        </w:rPr>
        <w:t>5</w:t>
      </w:r>
      <w:r w:rsidRPr="00F33A42">
        <w:rPr>
          <w:rFonts w:ascii="Times New Roman" w:hAnsi="Times New Roman" w:cs="Times New Roman"/>
          <w:sz w:val="24"/>
          <w:szCs w:val="24"/>
        </w:rPr>
        <w:t>, Naveen Eluru</w:t>
      </w:r>
      <w:r w:rsidR="0041199D" w:rsidRPr="001B6E73">
        <w:rPr>
          <w:rFonts w:ascii="Times New Roman" w:hAnsi="Times New Roman" w:cs="Times New Roman"/>
          <w:sz w:val="24"/>
          <w:szCs w:val="24"/>
          <w:vertAlign w:val="superscript"/>
        </w:rPr>
        <w:t>6</w:t>
      </w:r>
      <w:r w:rsidRPr="00F33A42">
        <w:rPr>
          <w:rFonts w:ascii="Times New Roman" w:hAnsi="Times New Roman" w:cs="Times New Roman"/>
          <w:sz w:val="24"/>
          <w:szCs w:val="24"/>
        </w:rPr>
        <w:t>, Louis-François Tétreault</w:t>
      </w:r>
      <w:r w:rsidR="0041199D" w:rsidRPr="001B6E73">
        <w:rPr>
          <w:rFonts w:ascii="Times New Roman" w:hAnsi="Times New Roman" w:cs="Times New Roman"/>
          <w:sz w:val="24"/>
          <w:szCs w:val="24"/>
          <w:vertAlign w:val="superscript"/>
        </w:rPr>
        <w:t>3</w:t>
      </w:r>
      <w:r w:rsidRPr="00F33A42">
        <w:rPr>
          <w:rFonts w:ascii="Times New Roman" w:hAnsi="Times New Roman" w:cs="Times New Roman"/>
          <w:sz w:val="24"/>
          <w:szCs w:val="24"/>
        </w:rPr>
        <w:t>, Sophie Goudreau</w:t>
      </w:r>
      <w:r w:rsidR="0041199D" w:rsidRPr="001B6E73">
        <w:rPr>
          <w:rFonts w:ascii="Times New Roman" w:hAnsi="Times New Roman" w:cs="Times New Roman"/>
          <w:sz w:val="24"/>
          <w:szCs w:val="24"/>
          <w:vertAlign w:val="superscript"/>
        </w:rPr>
        <w:t>3</w:t>
      </w:r>
      <w:r w:rsidRPr="00F33A42">
        <w:rPr>
          <w:rFonts w:ascii="Times New Roman" w:hAnsi="Times New Roman" w:cs="Times New Roman"/>
          <w:sz w:val="24"/>
          <w:szCs w:val="24"/>
        </w:rPr>
        <w:t>, Pierre Leo Bourbonnais</w:t>
      </w:r>
      <w:r w:rsidR="0041199D" w:rsidRPr="001B6E73">
        <w:rPr>
          <w:rFonts w:ascii="Times New Roman" w:hAnsi="Times New Roman" w:cs="Times New Roman"/>
          <w:sz w:val="24"/>
          <w:szCs w:val="24"/>
          <w:vertAlign w:val="superscript"/>
        </w:rPr>
        <w:t>5</w:t>
      </w:r>
      <w:r w:rsidRPr="00F33A42">
        <w:rPr>
          <w:rFonts w:ascii="Times New Roman" w:hAnsi="Times New Roman" w:cs="Times New Roman"/>
          <w:sz w:val="24"/>
          <w:szCs w:val="24"/>
        </w:rPr>
        <w:t>, Tanmoy Bhowmik</w:t>
      </w:r>
      <w:r w:rsidR="001B6E73" w:rsidRPr="001B6E73">
        <w:rPr>
          <w:rFonts w:ascii="Times New Roman" w:hAnsi="Times New Roman" w:cs="Times New Roman"/>
          <w:sz w:val="24"/>
          <w:szCs w:val="24"/>
          <w:vertAlign w:val="superscript"/>
        </w:rPr>
        <w:t>6</w:t>
      </w:r>
      <w:r w:rsidRPr="00F33A42">
        <w:rPr>
          <w:rFonts w:ascii="Times New Roman" w:hAnsi="Times New Roman" w:cs="Times New Roman"/>
          <w:sz w:val="24"/>
          <w:szCs w:val="24"/>
        </w:rPr>
        <w:t>, Maryam Shekarrizfard</w:t>
      </w:r>
      <w:r w:rsidR="001B6E73" w:rsidRPr="001B6E73">
        <w:rPr>
          <w:rFonts w:ascii="Times New Roman" w:hAnsi="Times New Roman" w:cs="Times New Roman"/>
          <w:sz w:val="24"/>
          <w:szCs w:val="24"/>
          <w:vertAlign w:val="superscript"/>
        </w:rPr>
        <w:t>4</w:t>
      </w:r>
      <w:r w:rsidRPr="00F33A42">
        <w:rPr>
          <w:rFonts w:ascii="Times New Roman" w:hAnsi="Times New Roman" w:cs="Times New Roman"/>
          <w:sz w:val="24"/>
          <w:szCs w:val="24"/>
        </w:rPr>
        <w:t>, Naveen Chandra Iraganaboina</w:t>
      </w:r>
      <w:r w:rsidR="001B6E73" w:rsidRPr="001B6E73">
        <w:rPr>
          <w:rFonts w:ascii="Times New Roman" w:hAnsi="Times New Roman" w:cs="Times New Roman"/>
          <w:sz w:val="24"/>
          <w:szCs w:val="24"/>
          <w:vertAlign w:val="superscript"/>
        </w:rPr>
        <w:t>6</w:t>
      </w:r>
      <w:r w:rsidRPr="00F33A42">
        <w:rPr>
          <w:rFonts w:ascii="Times New Roman" w:hAnsi="Times New Roman" w:cs="Times New Roman"/>
          <w:sz w:val="24"/>
          <w:szCs w:val="24"/>
        </w:rPr>
        <w:t>, Weeberb Requia</w:t>
      </w:r>
      <w:r w:rsidR="001B6E73" w:rsidRPr="001B6E73">
        <w:rPr>
          <w:rFonts w:ascii="Times New Roman" w:hAnsi="Times New Roman" w:cs="Times New Roman"/>
          <w:sz w:val="24"/>
          <w:szCs w:val="24"/>
          <w:vertAlign w:val="superscript"/>
        </w:rPr>
        <w:t>1</w:t>
      </w:r>
      <w:r w:rsidR="002720FC">
        <w:rPr>
          <w:rFonts w:ascii="Times New Roman" w:hAnsi="Times New Roman" w:cs="Times New Roman"/>
          <w:sz w:val="24"/>
          <w:szCs w:val="24"/>
        </w:rPr>
        <w:t>.</w:t>
      </w:r>
    </w:p>
    <w:p w14:paraId="5E5D568D" w14:textId="77777777" w:rsidR="005F53DB" w:rsidRPr="001B6E73" w:rsidRDefault="005F53DB" w:rsidP="00890789">
      <w:pPr>
        <w:spacing w:after="0" w:line="480" w:lineRule="auto"/>
        <w:jc w:val="both"/>
        <w:rPr>
          <w:rFonts w:ascii="Times New Roman" w:hAnsi="Times New Roman" w:cs="Times New Roman"/>
          <w:sz w:val="24"/>
          <w:szCs w:val="24"/>
        </w:rPr>
      </w:pPr>
    </w:p>
    <w:p w14:paraId="3DCE58C2" w14:textId="77777777" w:rsidR="005F53DB" w:rsidRPr="001B6E73" w:rsidRDefault="005F53DB" w:rsidP="005F53DB">
      <w:pPr>
        <w:spacing w:after="0" w:line="480" w:lineRule="auto"/>
        <w:jc w:val="both"/>
        <w:rPr>
          <w:rFonts w:ascii="Times New Roman" w:hAnsi="Times New Roman" w:cs="Times New Roman"/>
          <w:sz w:val="24"/>
          <w:szCs w:val="24"/>
        </w:rPr>
      </w:pPr>
      <w:r w:rsidRPr="00F300F3">
        <w:rPr>
          <w:rFonts w:ascii="Times New Roman" w:hAnsi="Times New Roman" w:cs="Times New Roman"/>
          <w:sz w:val="24"/>
          <w:szCs w:val="24"/>
        </w:rPr>
        <w:t xml:space="preserve">1. </w:t>
      </w:r>
      <w:r w:rsidR="00F300F3" w:rsidRPr="00F300F3">
        <w:rPr>
          <w:rFonts w:ascii="Times New Roman" w:hAnsi="Times New Roman" w:cs="Times New Roman"/>
          <w:sz w:val="24"/>
          <w:szCs w:val="24"/>
        </w:rPr>
        <w:t>School of Public Health, Centre of Public Health Research, University of Montreal and CIUSSS du Centre-Sud-de-l’Île-de-Montréal</w:t>
      </w:r>
      <w:r w:rsidR="0041199D" w:rsidRPr="00270D39">
        <w:rPr>
          <w:rFonts w:ascii="Times New Roman" w:hAnsi="Times New Roman" w:cs="Times New Roman"/>
          <w:sz w:val="24"/>
          <w:szCs w:val="24"/>
        </w:rPr>
        <w:t>, Quebec, H3T 1A8, Canada</w:t>
      </w:r>
    </w:p>
    <w:p w14:paraId="302FD5C8" w14:textId="77777777" w:rsidR="005F53DB" w:rsidRPr="001B6E73" w:rsidRDefault="005F53DB" w:rsidP="005F53DB">
      <w:pPr>
        <w:spacing w:after="0" w:line="480" w:lineRule="auto"/>
        <w:jc w:val="both"/>
        <w:rPr>
          <w:rFonts w:ascii="Times New Roman" w:hAnsi="Times New Roman" w:cs="Times New Roman"/>
          <w:sz w:val="24"/>
          <w:szCs w:val="24"/>
        </w:rPr>
      </w:pPr>
      <w:r w:rsidRPr="001B6E73">
        <w:rPr>
          <w:rFonts w:ascii="Times New Roman" w:hAnsi="Times New Roman" w:cs="Times New Roman"/>
          <w:sz w:val="24"/>
          <w:szCs w:val="24"/>
        </w:rPr>
        <w:t>2. Quebec Institute of Public Health</w:t>
      </w:r>
      <w:r w:rsidR="0041199D" w:rsidRPr="001B6E73">
        <w:rPr>
          <w:rFonts w:ascii="Times New Roman" w:hAnsi="Times New Roman" w:cs="Times New Roman"/>
          <w:sz w:val="24"/>
          <w:szCs w:val="24"/>
        </w:rPr>
        <w:t xml:space="preserve">, Quebec, </w:t>
      </w:r>
      <w:r w:rsidR="0041199D" w:rsidRPr="001B6E73">
        <w:rPr>
          <w:rFonts w:ascii="Times New Roman" w:hAnsi="Times New Roman" w:cs="Times New Roman"/>
          <w:bCs/>
          <w:sz w:val="24"/>
          <w:szCs w:val="24"/>
        </w:rPr>
        <w:t>H2P 1E2, Canada</w:t>
      </w:r>
    </w:p>
    <w:p w14:paraId="36292230" w14:textId="77777777" w:rsidR="005F53DB" w:rsidRPr="001B6E73" w:rsidRDefault="005F53DB" w:rsidP="005F53DB">
      <w:pPr>
        <w:spacing w:after="0" w:line="480" w:lineRule="auto"/>
        <w:jc w:val="both"/>
        <w:rPr>
          <w:rFonts w:ascii="Times New Roman" w:hAnsi="Times New Roman" w:cs="Times New Roman"/>
          <w:sz w:val="24"/>
          <w:szCs w:val="24"/>
        </w:rPr>
      </w:pPr>
      <w:r w:rsidRPr="001B6E73">
        <w:rPr>
          <w:rFonts w:ascii="Times New Roman" w:hAnsi="Times New Roman" w:cs="Times New Roman"/>
          <w:sz w:val="24"/>
          <w:szCs w:val="24"/>
        </w:rPr>
        <w:t>3. Montreal Department of Public Health</w:t>
      </w:r>
      <w:r w:rsidR="0041199D" w:rsidRPr="001B6E73">
        <w:rPr>
          <w:rFonts w:ascii="Times New Roman" w:hAnsi="Times New Roman" w:cs="Times New Roman"/>
          <w:sz w:val="24"/>
          <w:szCs w:val="24"/>
        </w:rPr>
        <w:t xml:space="preserve">, Quebec, H2L 1M3, Canada </w:t>
      </w:r>
    </w:p>
    <w:p w14:paraId="63115EAE" w14:textId="77777777" w:rsidR="005F53DB" w:rsidRPr="001B6E73" w:rsidRDefault="005F53DB" w:rsidP="005F53DB">
      <w:pPr>
        <w:spacing w:after="0" w:line="480" w:lineRule="auto"/>
        <w:jc w:val="both"/>
        <w:rPr>
          <w:rFonts w:ascii="Times New Roman" w:hAnsi="Times New Roman" w:cs="Times New Roman"/>
          <w:sz w:val="24"/>
          <w:szCs w:val="24"/>
        </w:rPr>
      </w:pPr>
      <w:r w:rsidRPr="001B6E73">
        <w:rPr>
          <w:rFonts w:ascii="Times New Roman" w:hAnsi="Times New Roman" w:cs="Times New Roman"/>
          <w:sz w:val="24"/>
          <w:szCs w:val="24"/>
        </w:rPr>
        <w:t xml:space="preserve">4. </w:t>
      </w:r>
      <w:r w:rsidR="0041199D" w:rsidRPr="001B6E73">
        <w:rPr>
          <w:rFonts w:ascii="Times New Roman" w:hAnsi="Times New Roman" w:cs="Times New Roman"/>
          <w:sz w:val="24"/>
          <w:szCs w:val="24"/>
        </w:rPr>
        <w:t>Department of Civil</w:t>
      </w:r>
      <w:r w:rsidRPr="001B6E73">
        <w:rPr>
          <w:rFonts w:ascii="Times New Roman" w:hAnsi="Times New Roman" w:cs="Times New Roman"/>
          <w:sz w:val="24"/>
          <w:szCs w:val="24"/>
        </w:rPr>
        <w:t>, University of Toronto</w:t>
      </w:r>
      <w:r w:rsidR="0041199D" w:rsidRPr="001B6E73">
        <w:rPr>
          <w:rFonts w:ascii="Times New Roman" w:hAnsi="Times New Roman" w:cs="Times New Roman"/>
          <w:sz w:val="24"/>
          <w:szCs w:val="24"/>
        </w:rPr>
        <w:t>, Ontario, M5S 1A4, Canada</w:t>
      </w:r>
    </w:p>
    <w:p w14:paraId="2C6A31D9" w14:textId="77777777" w:rsidR="0041199D" w:rsidRPr="001B6E73" w:rsidRDefault="005F53DB" w:rsidP="005F53DB">
      <w:pPr>
        <w:spacing w:after="0" w:line="480" w:lineRule="auto"/>
        <w:jc w:val="both"/>
        <w:rPr>
          <w:rFonts w:ascii="Times New Roman" w:hAnsi="Times New Roman" w:cs="Times New Roman"/>
          <w:sz w:val="24"/>
          <w:szCs w:val="24"/>
        </w:rPr>
      </w:pPr>
      <w:r w:rsidRPr="001B6E73">
        <w:rPr>
          <w:rFonts w:ascii="Times New Roman" w:hAnsi="Times New Roman" w:cs="Times New Roman"/>
          <w:sz w:val="24"/>
          <w:szCs w:val="24"/>
        </w:rPr>
        <w:t xml:space="preserve">5. </w:t>
      </w:r>
      <w:r w:rsidR="0041199D" w:rsidRPr="001B6E73">
        <w:rPr>
          <w:rFonts w:ascii="Times New Roman" w:hAnsi="Times New Roman" w:cs="Times New Roman"/>
          <w:sz w:val="24"/>
          <w:szCs w:val="24"/>
        </w:rPr>
        <w:t>Département des génies civil, géologique et des mines, École Polytechnique de Montréal,</w:t>
      </w:r>
      <w:r w:rsidR="001B6E73" w:rsidRPr="001B6E73">
        <w:rPr>
          <w:rFonts w:ascii="Times New Roman" w:hAnsi="Times New Roman" w:cs="Times New Roman"/>
          <w:sz w:val="24"/>
          <w:szCs w:val="24"/>
        </w:rPr>
        <w:t xml:space="preserve"> </w:t>
      </w:r>
      <w:r w:rsidR="0041199D" w:rsidRPr="001B6E73">
        <w:rPr>
          <w:rFonts w:ascii="Times New Roman" w:hAnsi="Times New Roman" w:cs="Times New Roman"/>
          <w:sz w:val="24"/>
          <w:szCs w:val="24"/>
        </w:rPr>
        <w:t xml:space="preserve">Quebec, </w:t>
      </w:r>
      <w:r w:rsidR="001B6E73" w:rsidRPr="001B6E73">
        <w:rPr>
          <w:rFonts w:ascii="Times New Roman" w:hAnsi="Times New Roman" w:cs="Times New Roman"/>
          <w:sz w:val="24"/>
          <w:szCs w:val="24"/>
        </w:rPr>
        <w:t xml:space="preserve">H3T 1J4, </w:t>
      </w:r>
      <w:r w:rsidR="0041199D" w:rsidRPr="001B6E73">
        <w:rPr>
          <w:rFonts w:ascii="Times New Roman" w:hAnsi="Times New Roman" w:cs="Times New Roman"/>
          <w:sz w:val="24"/>
          <w:szCs w:val="24"/>
        </w:rPr>
        <w:t xml:space="preserve">Canada </w:t>
      </w:r>
    </w:p>
    <w:p w14:paraId="0107163F" w14:textId="77777777" w:rsidR="005F53DB" w:rsidRPr="001B6E73" w:rsidRDefault="005F53DB" w:rsidP="005F53DB">
      <w:pPr>
        <w:spacing w:after="0" w:line="480" w:lineRule="auto"/>
        <w:jc w:val="both"/>
        <w:rPr>
          <w:rFonts w:ascii="Times New Roman" w:hAnsi="Times New Roman" w:cs="Times New Roman"/>
          <w:sz w:val="24"/>
          <w:szCs w:val="24"/>
        </w:rPr>
      </w:pPr>
      <w:r w:rsidRPr="001B6E73">
        <w:rPr>
          <w:rFonts w:ascii="Times New Roman" w:hAnsi="Times New Roman" w:cs="Times New Roman"/>
          <w:sz w:val="24"/>
          <w:szCs w:val="24"/>
        </w:rPr>
        <w:t xml:space="preserve">6. </w:t>
      </w:r>
      <w:r w:rsidR="0041199D" w:rsidRPr="001B6E73">
        <w:rPr>
          <w:rFonts w:ascii="Times New Roman" w:hAnsi="Times New Roman" w:cs="Times New Roman"/>
          <w:sz w:val="24"/>
          <w:szCs w:val="24"/>
        </w:rPr>
        <w:t>Department of Civil, Environmental and Construction Engineering, University of Central Florida, 32816, USA</w:t>
      </w:r>
    </w:p>
    <w:p w14:paraId="07ED1C26" w14:textId="77777777" w:rsidR="005F53DB" w:rsidRDefault="005F53DB" w:rsidP="00554B1C">
      <w:pPr>
        <w:spacing w:after="0" w:line="480" w:lineRule="auto"/>
        <w:jc w:val="both"/>
        <w:rPr>
          <w:rFonts w:ascii="Times New Roman" w:hAnsi="Times New Roman" w:cs="Times New Roman"/>
          <w:b/>
          <w:sz w:val="24"/>
          <w:szCs w:val="24"/>
        </w:rPr>
      </w:pPr>
    </w:p>
    <w:p w14:paraId="2E5D8632" w14:textId="77777777" w:rsidR="00554B1C" w:rsidRPr="00554B1C" w:rsidRDefault="00554B1C" w:rsidP="00554B1C">
      <w:pPr>
        <w:shd w:val="clear" w:color="auto" w:fill="FFFFFF"/>
        <w:spacing w:after="0" w:line="480" w:lineRule="auto"/>
        <w:textAlignment w:val="baseline"/>
        <w:rPr>
          <w:rFonts w:ascii="Times New Roman" w:hAnsi="Times New Roman" w:cs="Times New Roman"/>
          <w:sz w:val="24"/>
          <w:szCs w:val="24"/>
        </w:rPr>
      </w:pPr>
      <w:r>
        <w:rPr>
          <w:rFonts w:ascii="Times New Roman" w:hAnsi="Times New Roman" w:cs="Times New Roman"/>
          <w:sz w:val="24"/>
          <w:szCs w:val="24"/>
        </w:rPr>
        <w:t>*Corresponding Author: Audrey.smargiassi@umontreal.ca</w:t>
      </w:r>
    </w:p>
    <w:p w14:paraId="54F1E778" w14:textId="77777777" w:rsidR="00511203" w:rsidRDefault="00E82DBD" w:rsidP="0089078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br w:type="page"/>
      </w:r>
      <w:r w:rsidR="00511203" w:rsidRPr="00F33A42">
        <w:rPr>
          <w:rFonts w:ascii="Times New Roman" w:hAnsi="Times New Roman" w:cs="Times New Roman"/>
          <w:b/>
          <w:sz w:val="24"/>
          <w:szCs w:val="24"/>
        </w:rPr>
        <w:lastRenderedPageBreak/>
        <w:t>Abstract</w:t>
      </w:r>
    </w:p>
    <w:p w14:paraId="5F49CABC" w14:textId="77777777" w:rsidR="00855592" w:rsidRDefault="00AC3D45" w:rsidP="00890789">
      <w:pPr>
        <w:pStyle w:val="Default"/>
        <w:spacing w:line="480" w:lineRule="auto"/>
        <w:rPr>
          <w:rFonts w:ascii="Times New Roman" w:eastAsia="Calibri" w:hAnsi="Times New Roman" w:cs="Times New Roman"/>
          <w:color w:val="auto"/>
          <w:lang w:val="en-US" w:eastAsia="en-US"/>
        </w:rPr>
      </w:pPr>
      <w:r w:rsidRPr="00890789">
        <w:rPr>
          <w:rFonts w:ascii="Times New Roman" w:eastAsia="Calibri" w:hAnsi="Times New Roman" w:cs="Times New Roman"/>
          <w:color w:val="auto"/>
          <w:lang w:val="en-US" w:eastAsia="en-US"/>
        </w:rPr>
        <w:t xml:space="preserve">We compared numbers of trips and distances by transport mode, air pollution and health impacts of </w:t>
      </w:r>
      <w:r w:rsidR="00855592" w:rsidRPr="00890789">
        <w:rPr>
          <w:rFonts w:ascii="Times New Roman" w:eastAsia="Calibri" w:hAnsi="Times New Roman" w:cs="Times New Roman"/>
          <w:color w:val="auto"/>
          <w:lang w:val="en-US" w:eastAsia="en-US"/>
        </w:rPr>
        <w:t>a Business As Usual (BAU) and an Ideal scenario with urban densification and reductions in car share (76% to 62% in suburbs; 55% to 34% in urban areas)</w:t>
      </w:r>
      <w:r w:rsidR="00FD233A" w:rsidRPr="00890789">
        <w:rPr>
          <w:rFonts w:ascii="Times New Roman" w:eastAsia="Calibri" w:hAnsi="Times New Roman" w:cs="Times New Roman"/>
          <w:color w:val="auto"/>
          <w:lang w:val="en-US" w:eastAsia="en-US"/>
        </w:rPr>
        <w:t xml:space="preserve"> for the Greater Montreal (Canada) for 2061</w:t>
      </w:r>
      <w:r w:rsidR="00855592" w:rsidRPr="00890789">
        <w:rPr>
          <w:rFonts w:ascii="Times New Roman" w:eastAsia="Calibri" w:hAnsi="Times New Roman" w:cs="Times New Roman"/>
          <w:color w:val="auto"/>
          <w:lang w:val="en-US" w:eastAsia="en-US"/>
        </w:rPr>
        <w:t xml:space="preserve">. We estimated the population in 87 municipalities using </w:t>
      </w:r>
      <w:r w:rsidRPr="00890789">
        <w:rPr>
          <w:rFonts w:ascii="Times New Roman" w:eastAsia="Calibri" w:hAnsi="Times New Roman" w:cs="Times New Roman"/>
          <w:color w:val="auto"/>
          <w:lang w:val="en-US" w:eastAsia="en-US"/>
        </w:rPr>
        <w:t xml:space="preserve">a </w:t>
      </w:r>
      <w:r w:rsidR="00855592" w:rsidRPr="00890789">
        <w:rPr>
          <w:rFonts w:ascii="Times New Roman" w:eastAsia="Calibri" w:hAnsi="Times New Roman" w:cs="Times New Roman"/>
          <w:color w:val="auto"/>
          <w:lang w:val="en-US" w:eastAsia="en-US"/>
        </w:rPr>
        <w:t xml:space="preserve">demographic model and population projections. </w:t>
      </w:r>
      <w:r w:rsidR="00F46BD2">
        <w:rPr>
          <w:rFonts w:ascii="Times New Roman" w:eastAsia="Calibri" w:hAnsi="Times New Roman" w:cs="Times New Roman"/>
          <w:color w:val="auto"/>
          <w:lang w:val="en-US" w:eastAsia="en-US"/>
        </w:rPr>
        <w:t xml:space="preserve">Year </w:t>
      </w:r>
      <w:r w:rsidR="00855592" w:rsidRPr="00890789">
        <w:rPr>
          <w:rFonts w:ascii="Times New Roman" w:eastAsia="Calibri" w:hAnsi="Times New Roman" w:cs="Times New Roman"/>
          <w:color w:val="auto"/>
          <w:lang w:val="en-US" w:eastAsia="en-US"/>
        </w:rPr>
        <w:t xml:space="preserve">2031 </w:t>
      </w:r>
      <w:r w:rsidR="00F46BD2">
        <w:rPr>
          <w:rFonts w:ascii="Times New Roman" w:eastAsia="Calibri" w:hAnsi="Times New Roman" w:cs="Times New Roman"/>
          <w:color w:val="auto"/>
          <w:lang w:val="en-US" w:eastAsia="en-US"/>
        </w:rPr>
        <w:t xml:space="preserve">(Y2031) </w:t>
      </w:r>
      <w:r w:rsidR="00855592" w:rsidRPr="00890789">
        <w:rPr>
          <w:rFonts w:ascii="Times New Roman" w:eastAsia="Calibri" w:hAnsi="Times New Roman" w:cs="Times New Roman"/>
          <w:color w:val="auto"/>
          <w:lang w:val="en-US" w:eastAsia="en-US"/>
        </w:rPr>
        <w:t>trips (from mode choice model</w:t>
      </w:r>
      <w:r w:rsidR="00687056" w:rsidRPr="00890789">
        <w:rPr>
          <w:rFonts w:ascii="Times New Roman" w:eastAsia="Calibri" w:hAnsi="Times New Roman" w:cs="Times New Roman"/>
          <w:color w:val="auto"/>
          <w:lang w:val="en-US" w:eastAsia="en-US"/>
        </w:rPr>
        <w:t>ling</w:t>
      </w:r>
      <w:r w:rsidR="00855592" w:rsidRPr="00890789">
        <w:rPr>
          <w:rFonts w:ascii="Times New Roman" w:eastAsia="Calibri" w:hAnsi="Times New Roman" w:cs="Times New Roman"/>
          <w:color w:val="auto"/>
          <w:lang w:val="en-US" w:eastAsia="en-US"/>
        </w:rPr>
        <w:t xml:space="preserve">) and distances were used to estimate those of </w:t>
      </w:r>
      <w:r w:rsidR="00F46BD2">
        <w:rPr>
          <w:rFonts w:ascii="Times New Roman" w:eastAsia="Calibri" w:hAnsi="Times New Roman" w:cs="Times New Roman"/>
          <w:color w:val="auto"/>
          <w:lang w:val="en-US" w:eastAsia="en-US"/>
        </w:rPr>
        <w:t>Y</w:t>
      </w:r>
      <w:r w:rsidR="00855592" w:rsidRPr="00890789">
        <w:rPr>
          <w:rFonts w:ascii="Times New Roman" w:eastAsia="Calibri" w:hAnsi="Times New Roman" w:cs="Times New Roman"/>
          <w:color w:val="auto"/>
          <w:lang w:val="en-US" w:eastAsia="en-US"/>
        </w:rPr>
        <w:t xml:space="preserve">2061. </w:t>
      </w:r>
      <w:r w:rsidRPr="00890789">
        <w:rPr>
          <w:rFonts w:ascii="Times New Roman" w:eastAsia="Calibri" w:hAnsi="Times New Roman" w:cs="Times New Roman"/>
          <w:color w:val="auto"/>
          <w:lang w:val="en-US" w:eastAsia="en-US"/>
        </w:rPr>
        <w:t>E</w:t>
      </w:r>
      <w:r w:rsidR="00855592" w:rsidRPr="00890789">
        <w:rPr>
          <w:rFonts w:ascii="Times New Roman" w:eastAsia="Calibri" w:hAnsi="Times New Roman" w:cs="Times New Roman"/>
          <w:color w:val="auto"/>
          <w:lang w:val="en-US" w:eastAsia="en-US"/>
        </w:rPr>
        <w:t xml:space="preserve">missions of nitrogen dioxide (NO2) and carbon dioxide (CO2) were </w:t>
      </w:r>
      <w:r w:rsidRPr="00890789">
        <w:rPr>
          <w:rFonts w:ascii="Times New Roman" w:eastAsia="Calibri" w:hAnsi="Times New Roman" w:cs="Times New Roman"/>
          <w:color w:val="auto"/>
          <w:lang w:val="en-US" w:eastAsia="en-US"/>
        </w:rPr>
        <w:t>estimated and NO2 used with dispersion modelling to estimate</w:t>
      </w:r>
      <w:r w:rsidR="00855592" w:rsidRPr="00890789">
        <w:rPr>
          <w:rFonts w:ascii="Times New Roman" w:eastAsia="Calibri" w:hAnsi="Times New Roman" w:cs="Times New Roman"/>
          <w:color w:val="auto"/>
          <w:lang w:val="en-US" w:eastAsia="en-US"/>
        </w:rPr>
        <w:t xml:space="preserve"> </w:t>
      </w:r>
      <w:r w:rsidRPr="00890789">
        <w:rPr>
          <w:rFonts w:ascii="Times New Roman" w:eastAsia="Calibri" w:hAnsi="Times New Roman" w:cs="Times New Roman"/>
          <w:color w:val="auto"/>
          <w:lang w:val="en-US" w:eastAsia="en-US"/>
        </w:rPr>
        <w:t>concentrations</w:t>
      </w:r>
      <w:r w:rsidR="00855592" w:rsidRPr="00890789">
        <w:rPr>
          <w:rFonts w:ascii="Times New Roman" w:eastAsia="Calibri" w:hAnsi="Times New Roman" w:cs="Times New Roman"/>
          <w:color w:val="auto"/>
          <w:lang w:val="en-US" w:eastAsia="en-US"/>
        </w:rPr>
        <w:t xml:space="preserve">. Walking and Public Transit </w:t>
      </w:r>
      <w:r w:rsidR="00FD233A" w:rsidRPr="00890789">
        <w:rPr>
          <w:rFonts w:ascii="Times New Roman" w:eastAsia="Calibri" w:hAnsi="Times New Roman" w:cs="Times New Roman"/>
          <w:color w:val="auto"/>
          <w:lang w:val="en-US" w:eastAsia="en-US"/>
        </w:rPr>
        <w:t xml:space="preserve">(PT) </w:t>
      </w:r>
      <w:r w:rsidR="00855592" w:rsidRPr="00890789">
        <w:rPr>
          <w:rFonts w:ascii="Times New Roman" w:eastAsia="Calibri" w:hAnsi="Times New Roman" w:cs="Times New Roman"/>
          <w:color w:val="auto"/>
          <w:lang w:val="en-US" w:eastAsia="en-US"/>
        </w:rPr>
        <w:t xml:space="preserve">use and corresponding distances walked in </w:t>
      </w:r>
      <w:r w:rsidR="00F46BD2">
        <w:rPr>
          <w:rFonts w:ascii="Times New Roman" w:eastAsia="Calibri" w:hAnsi="Times New Roman" w:cs="Times New Roman"/>
          <w:color w:val="auto"/>
          <w:lang w:val="en-US" w:eastAsia="en-US"/>
        </w:rPr>
        <w:t>Y</w:t>
      </w:r>
      <w:r w:rsidR="00855592" w:rsidRPr="00890789">
        <w:rPr>
          <w:rFonts w:ascii="Times New Roman" w:eastAsia="Calibri" w:hAnsi="Times New Roman" w:cs="Times New Roman"/>
          <w:color w:val="auto"/>
          <w:lang w:val="en-US" w:eastAsia="en-US"/>
        </w:rPr>
        <w:t xml:space="preserve">2061 were &gt;70% higher for the Ideal scenario vs the BAU, while car share and distances were &lt;40% lower. NO2 levels were slightly lower in the Ideal scenario </w:t>
      </w:r>
      <w:r w:rsidRPr="00890789">
        <w:rPr>
          <w:rFonts w:ascii="Times New Roman" w:eastAsia="Calibri" w:hAnsi="Times New Roman" w:cs="Times New Roman"/>
          <w:color w:val="auto"/>
          <w:lang w:val="en-US" w:eastAsia="en-US"/>
        </w:rPr>
        <w:t>vs</w:t>
      </w:r>
      <w:r w:rsidR="00855592" w:rsidRPr="00890789">
        <w:rPr>
          <w:rFonts w:ascii="Times New Roman" w:eastAsia="Calibri" w:hAnsi="Times New Roman" w:cs="Times New Roman"/>
          <w:color w:val="auto"/>
          <w:lang w:val="en-US" w:eastAsia="en-US"/>
        </w:rPr>
        <w:t xml:space="preserve"> the BAU, but al</w:t>
      </w:r>
      <w:r w:rsidR="00FD233A" w:rsidRPr="00890789">
        <w:rPr>
          <w:rFonts w:ascii="Times New Roman" w:eastAsia="Calibri" w:hAnsi="Times New Roman" w:cs="Times New Roman"/>
          <w:color w:val="auto"/>
          <w:lang w:val="en-US" w:eastAsia="en-US"/>
        </w:rPr>
        <w:t>ways higher in the urban core. Health i</w:t>
      </w:r>
      <w:r w:rsidR="00855592" w:rsidRPr="00890789">
        <w:rPr>
          <w:rFonts w:ascii="Times New Roman" w:eastAsia="Calibri" w:hAnsi="Times New Roman" w:cs="Times New Roman"/>
          <w:color w:val="auto"/>
          <w:lang w:val="en-US" w:eastAsia="en-US"/>
        </w:rPr>
        <w:t>mpacts</w:t>
      </w:r>
      <w:r w:rsidR="00FD233A" w:rsidRPr="00890789">
        <w:rPr>
          <w:rFonts w:ascii="Times New Roman" w:eastAsia="Calibri" w:hAnsi="Times New Roman" w:cs="Times New Roman"/>
          <w:color w:val="auto"/>
          <w:lang w:val="en-US" w:eastAsia="en-US"/>
        </w:rPr>
        <w:t>,</w:t>
      </w:r>
      <w:r w:rsidR="00855592" w:rsidRPr="00890789">
        <w:rPr>
          <w:rFonts w:ascii="Times New Roman" w:eastAsia="Calibri" w:hAnsi="Times New Roman" w:cs="Times New Roman"/>
          <w:color w:val="auto"/>
          <w:lang w:val="en-US" w:eastAsia="en-US"/>
        </w:rPr>
        <w:t xml:space="preserve"> </w:t>
      </w:r>
      <w:r w:rsidR="00FD233A" w:rsidRPr="00890789">
        <w:rPr>
          <w:rFonts w:ascii="Times New Roman" w:eastAsia="Calibri" w:hAnsi="Times New Roman" w:cs="Times New Roman"/>
          <w:color w:val="auto"/>
          <w:lang w:val="en-US" w:eastAsia="en-US"/>
        </w:rPr>
        <w:t xml:space="preserve">summarized with disability adjusted life years (DALY), </w:t>
      </w:r>
      <w:r w:rsidR="00855592" w:rsidRPr="00890789">
        <w:rPr>
          <w:rFonts w:ascii="Times New Roman" w:eastAsia="Calibri" w:hAnsi="Times New Roman" w:cs="Times New Roman"/>
          <w:color w:val="auto"/>
          <w:lang w:val="en-US" w:eastAsia="en-US"/>
        </w:rPr>
        <w:t>differed between urban and suburb</w:t>
      </w:r>
      <w:r w:rsidR="00FD233A" w:rsidRPr="00890789">
        <w:rPr>
          <w:rFonts w:ascii="Times New Roman" w:eastAsia="Calibri" w:hAnsi="Times New Roman" w:cs="Times New Roman"/>
          <w:color w:val="auto"/>
          <w:lang w:val="en-US" w:eastAsia="en-US"/>
        </w:rPr>
        <w:t xml:space="preserve"> area</w:t>
      </w:r>
      <w:r w:rsidR="00855592" w:rsidRPr="00890789">
        <w:rPr>
          <w:rFonts w:ascii="Times New Roman" w:eastAsia="Calibri" w:hAnsi="Times New Roman" w:cs="Times New Roman"/>
          <w:color w:val="auto"/>
          <w:lang w:val="en-US" w:eastAsia="en-US"/>
        </w:rPr>
        <w:t xml:space="preserve">s but globally, the Ideal scenario reduced the impacts of the </w:t>
      </w:r>
      <w:r w:rsidR="00F46BD2">
        <w:rPr>
          <w:rFonts w:ascii="Times New Roman" w:eastAsia="Calibri" w:hAnsi="Times New Roman" w:cs="Times New Roman"/>
          <w:color w:val="auto"/>
          <w:lang w:val="en-US" w:eastAsia="en-US"/>
        </w:rPr>
        <w:t>Y2061</w:t>
      </w:r>
      <w:r w:rsidR="00855592" w:rsidRPr="00890789">
        <w:rPr>
          <w:rFonts w:ascii="Times New Roman" w:eastAsia="Calibri" w:hAnsi="Times New Roman" w:cs="Times New Roman"/>
          <w:color w:val="auto"/>
          <w:lang w:val="en-US" w:eastAsia="en-US"/>
        </w:rPr>
        <w:t xml:space="preserve"> BAU by 3</w:t>
      </w:r>
      <w:r w:rsidR="00687056" w:rsidRPr="00890789">
        <w:rPr>
          <w:rFonts w:ascii="Times New Roman" w:eastAsia="Calibri" w:hAnsi="Times New Roman" w:cs="Times New Roman"/>
          <w:color w:val="auto"/>
          <w:lang w:val="en-US" w:eastAsia="en-US"/>
        </w:rPr>
        <w:t>3</w:t>
      </w:r>
      <w:r w:rsidR="00855592" w:rsidRPr="00890789">
        <w:rPr>
          <w:rFonts w:ascii="Times New Roman" w:eastAsia="Calibri" w:hAnsi="Times New Roman" w:cs="Times New Roman"/>
          <w:color w:val="auto"/>
          <w:lang w:val="en-US" w:eastAsia="en-US"/>
        </w:rPr>
        <w:t xml:space="preserve">% DALY. </w:t>
      </w:r>
      <w:r w:rsidR="00D818AE">
        <w:rPr>
          <w:rFonts w:ascii="Times New Roman" w:eastAsia="Calibri" w:hAnsi="Times New Roman" w:cs="Times New Roman"/>
          <w:color w:val="auto"/>
          <w:lang w:val="en-US" w:eastAsia="en-US"/>
        </w:rPr>
        <w:t>Percentages</w:t>
      </w:r>
      <w:r w:rsidR="00D818AE" w:rsidRPr="00890789">
        <w:rPr>
          <w:rFonts w:ascii="Times New Roman" w:eastAsia="Calibri" w:hAnsi="Times New Roman" w:cs="Times New Roman"/>
          <w:color w:val="auto"/>
          <w:lang w:val="en-US" w:eastAsia="en-US"/>
        </w:rPr>
        <w:t xml:space="preserve"> </w:t>
      </w:r>
      <w:r w:rsidR="00855592" w:rsidRPr="00890789">
        <w:rPr>
          <w:rFonts w:ascii="Times New Roman" w:eastAsia="Calibri" w:hAnsi="Times New Roman" w:cs="Times New Roman"/>
          <w:color w:val="auto"/>
          <w:lang w:val="en-US" w:eastAsia="en-US"/>
        </w:rPr>
        <w:t xml:space="preserve">of car and PT trips were similar for the </w:t>
      </w:r>
      <w:r w:rsidR="00F46BD2">
        <w:rPr>
          <w:rFonts w:ascii="Times New Roman" w:eastAsia="Calibri" w:hAnsi="Times New Roman" w:cs="Times New Roman"/>
          <w:color w:val="auto"/>
          <w:lang w:val="en-US" w:eastAsia="en-US"/>
        </w:rPr>
        <w:t>Y</w:t>
      </w:r>
      <w:r w:rsidR="00855592" w:rsidRPr="00890789">
        <w:rPr>
          <w:rFonts w:ascii="Times New Roman" w:eastAsia="Calibri" w:hAnsi="Times New Roman" w:cs="Times New Roman"/>
          <w:color w:val="auto"/>
          <w:lang w:val="en-US" w:eastAsia="en-US"/>
        </w:rPr>
        <w:t xml:space="preserve">2031 and </w:t>
      </w:r>
      <w:r w:rsidR="00F46BD2">
        <w:rPr>
          <w:rFonts w:ascii="Times New Roman" w:eastAsia="Calibri" w:hAnsi="Times New Roman" w:cs="Times New Roman"/>
          <w:color w:val="auto"/>
          <w:lang w:val="en-US" w:eastAsia="en-US"/>
        </w:rPr>
        <w:t>Y</w:t>
      </w:r>
      <w:r w:rsidR="00855592" w:rsidRPr="00890789">
        <w:rPr>
          <w:rFonts w:ascii="Times New Roman" w:eastAsia="Calibri" w:hAnsi="Times New Roman" w:cs="Times New Roman"/>
          <w:color w:val="auto"/>
          <w:lang w:val="en-US" w:eastAsia="en-US"/>
        </w:rPr>
        <w:t>2061 BAU but kms travelled by car, CO2 and NO2 increased, due to increased populations. Drastic measures to decrease car share appear necessary to substantially reduce impacts of transportation.</w:t>
      </w:r>
    </w:p>
    <w:p w14:paraId="2CF37241" w14:textId="77777777" w:rsidR="00B07BE3" w:rsidRDefault="00B07BE3" w:rsidP="00E82DBD">
      <w:pPr>
        <w:spacing w:after="0" w:line="480" w:lineRule="auto"/>
        <w:rPr>
          <w:rFonts w:ascii="Times New Roman" w:hAnsi="Times New Roman" w:cs="Times New Roman"/>
          <w:b/>
          <w:sz w:val="24"/>
          <w:szCs w:val="24"/>
        </w:rPr>
      </w:pPr>
    </w:p>
    <w:p w14:paraId="1272E6EE" w14:textId="77777777" w:rsidR="00B07BE3" w:rsidRDefault="00E82DBD" w:rsidP="0084575D">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Keywords: </w:t>
      </w:r>
      <w:r w:rsidRPr="00E82DBD">
        <w:rPr>
          <w:rFonts w:ascii="Times New Roman" w:hAnsi="Times New Roman" w:cs="Times New Roman"/>
          <w:sz w:val="24"/>
          <w:szCs w:val="24"/>
        </w:rPr>
        <w:t xml:space="preserve">Transportation, </w:t>
      </w:r>
      <w:r>
        <w:rPr>
          <w:rFonts w:ascii="Times New Roman" w:hAnsi="Times New Roman" w:cs="Times New Roman"/>
          <w:sz w:val="24"/>
          <w:szCs w:val="24"/>
        </w:rPr>
        <w:t xml:space="preserve">Burden, </w:t>
      </w:r>
      <w:r w:rsidRPr="00E82DBD">
        <w:rPr>
          <w:rFonts w:ascii="Times New Roman" w:hAnsi="Times New Roman" w:cs="Times New Roman"/>
          <w:sz w:val="24"/>
          <w:szCs w:val="24"/>
        </w:rPr>
        <w:t xml:space="preserve">Comparative </w:t>
      </w:r>
      <w:r>
        <w:rPr>
          <w:rFonts w:ascii="Times New Roman" w:hAnsi="Times New Roman" w:cs="Times New Roman"/>
          <w:sz w:val="24"/>
          <w:szCs w:val="24"/>
        </w:rPr>
        <w:t>R</w:t>
      </w:r>
      <w:r w:rsidRPr="00E82DBD">
        <w:rPr>
          <w:rFonts w:ascii="Times New Roman" w:hAnsi="Times New Roman" w:cs="Times New Roman"/>
          <w:sz w:val="24"/>
          <w:szCs w:val="24"/>
        </w:rPr>
        <w:t xml:space="preserve">isk </w:t>
      </w:r>
      <w:r>
        <w:rPr>
          <w:rFonts w:ascii="Times New Roman" w:hAnsi="Times New Roman" w:cs="Times New Roman"/>
          <w:sz w:val="24"/>
          <w:szCs w:val="24"/>
        </w:rPr>
        <w:t>A</w:t>
      </w:r>
      <w:r w:rsidRPr="00E82DBD">
        <w:rPr>
          <w:rFonts w:ascii="Times New Roman" w:hAnsi="Times New Roman" w:cs="Times New Roman"/>
          <w:sz w:val="24"/>
          <w:szCs w:val="24"/>
        </w:rPr>
        <w:t xml:space="preserve">ssessment, </w:t>
      </w:r>
      <w:r>
        <w:rPr>
          <w:rFonts w:ascii="Times New Roman" w:hAnsi="Times New Roman" w:cs="Times New Roman"/>
          <w:sz w:val="24"/>
          <w:szCs w:val="24"/>
        </w:rPr>
        <w:t>Model</w:t>
      </w:r>
      <w:r w:rsidRPr="00E82DBD">
        <w:rPr>
          <w:rFonts w:ascii="Times New Roman" w:hAnsi="Times New Roman" w:cs="Times New Roman"/>
          <w:sz w:val="24"/>
          <w:szCs w:val="24"/>
        </w:rPr>
        <w:t>s</w:t>
      </w:r>
      <w:r>
        <w:rPr>
          <w:rFonts w:ascii="Times New Roman" w:hAnsi="Times New Roman" w:cs="Times New Roman"/>
          <w:sz w:val="24"/>
          <w:szCs w:val="24"/>
        </w:rPr>
        <w:t>, Air Pollution</w:t>
      </w:r>
    </w:p>
    <w:p w14:paraId="5D11FE98" w14:textId="77777777" w:rsidR="008E783B" w:rsidRDefault="008E783B" w:rsidP="0084575D">
      <w:pPr>
        <w:spacing w:after="0" w:line="480" w:lineRule="auto"/>
        <w:rPr>
          <w:rFonts w:ascii="Times New Roman" w:hAnsi="Times New Roman" w:cs="Times New Roman"/>
          <w:sz w:val="24"/>
          <w:szCs w:val="24"/>
        </w:rPr>
      </w:pPr>
      <w:r w:rsidRPr="008E783B">
        <w:rPr>
          <w:rFonts w:ascii="Times New Roman" w:hAnsi="Times New Roman" w:cs="Times New Roman"/>
          <w:b/>
          <w:sz w:val="24"/>
          <w:szCs w:val="24"/>
        </w:rPr>
        <w:t>FUNDING</w:t>
      </w:r>
      <w:r>
        <w:rPr>
          <w:rFonts w:ascii="Times New Roman" w:hAnsi="Times New Roman" w:cs="Times New Roman"/>
          <w:sz w:val="24"/>
          <w:szCs w:val="24"/>
        </w:rPr>
        <w:t xml:space="preserve">: </w:t>
      </w:r>
      <w:r w:rsidRPr="00DF24DF">
        <w:rPr>
          <w:rFonts w:ascii="Times New Roman" w:hAnsi="Times New Roman" w:cs="Times New Roman"/>
          <w:sz w:val="24"/>
          <w:szCs w:val="24"/>
        </w:rPr>
        <w:t>The project was funded by the Canadian Institutes of Health Research (CIHR) and the Natural Sciences and Engineering Research Council of Canada (NSERC) Collaborative Health Research Projects (grant number 337377). It also received funding from the Green Funds of the Quebec Climate Change Action Plan 2013-2020</w:t>
      </w:r>
      <w:r>
        <w:rPr>
          <w:rFonts w:ascii="Times New Roman" w:hAnsi="Times New Roman" w:cs="Times New Roman"/>
          <w:sz w:val="24"/>
          <w:szCs w:val="24"/>
        </w:rPr>
        <w:t>.</w:t>
      </w:r>
    </w:p>
    <w:p w14:paraId="1660E7A9" w14:textId="77777777" w:rsidR="00511203" w:rsidRPr="001F566E" w:rsidRDefault="001B6E73" w:rsidP="0084575D">
      <w:pPr>
        <w:spacing w:after="0" w:line="480" w:lineRule="auto"/>
      </w:pPr>
      <w:r>
        <w:rPr>
          <w:rFonts w:ascii="Times New Roman" w:hAnsi="Times New Roman" w:cs="Times New Roman"/>
          <w:b/>
          <w:sz w:val="24"/>
          <w:szCs w:val="24"/>
        </w:rPr>
        <w:br w:type="page"/>
      </w:r>
      <w:r w:rsidR="00511203" w:rsidRPr="001F566E">
        <w:rPr>
          <w:rFonts w:ascii="Times New Roman" w:hAnsi="Times New Roman" w:cs="Times New Roman"/>
          <w:b/>
          <w:sz w:val="24"/>
          <w:szCs w:val="24"/>
        </w:rPr>
        <w:lastRenderedPageBreak/>
        <w:t>1. INTRODUCTION</w:t>
      </w:r>
    </w:p>
    <w:p w14:paraId="1EA3FB17" w14:textId="77777777" w:rsidR="00511203" w:rsidRPr="00F33A42" w:rsidRDefault="00BC05AE" w:rsidP="00890789">
      <w:pPr>
        <w:spacing w:after="0" w:line="480" w:lineRule="auto"/>
        <w:jc w:val="both"/>
        <w:rPr>
          <w:rFonts w:ascii="Times New Roman" w:hAnsi="Times New Roman" w:cs="Times New Roman"/>
          <w:sz w:val="24"/>
          <w:szCs w:val="24"/>
        </w:rPr>
      </w:pPr>
      <w:r w:rsidRPr="001F566E">
        <w:rPr>
          <w:rFonts w:ascii="Times New Roman" w:eastAsia="Times New Roman" w:hAnsi="Times New Roman" w:cs="Times New Roman"/>
          <w:sz w:val="24"/>
          <w:szCs w:val="24"/>
          <w:lang w:eastAsia="pt-BR"/>
        </w:rPr>
        <w:t>A</w:t>
      </w:r>
      <w:r w:rsidR="00511203" w:rsidRPr="001F566E">
        <w:rPr>
          <w:rFonts w:ascii="Times New Roman" w:eastAsia="Times New Roman" w:hAnsi="Times New Roman" w:cs="Times New Roman"/>
          <w:sz w:val="24"/>
          <w:szCs w:val="24"/>
          <w:lang w:eastAsia="pt-BR"/>
        </w:rPr>
        <w:t xml:space="preserve"> large number of </w:t>
      </w:r>
      <w:r w:rsidR="00511203" w:rsidRPr="001F566E">
        <w:rPr>
          <w:rFonts w:ascii="Times New Roman" w:hAnsi="Times New Roman" w:cs="Times New Roman"/>
          <w:sz w:val="24"/>
          <w:szCs w:val="24"/>
        </w:rPr>
        <w:t>epidemiological studies show significant health impacts related to transport</w:t>
      </w:r>
      <w:r w:rsidR="00176054" w:rsidRPr="001F566E">
        <w:rPr>
          <w:rFonts w:ascii="Times New Roman" w:hAnsi="Times New Roman" w:cs="Times New Roman"/>
          <w:sz w:val="24"/>
          <w:szCs w:val="24"/>
        </w:rPr>
        <w:t xml:space="preserve"> and the built environment</w:t>
      </w:r>
      <w:r w:rsidR="00511203" w:rsidRPr="001F566E">
        <w:rPr>
          <w:rFonts w:ascii="Times New Roman" w:hAnsi="Times New Roman" w:cs="Times New Roman"/>
          <w:sz w:val="24"/>
          <w:szCs w:val="24"/>
        </w:rPr>
        <w:t>, including traffic-related air pollution and noise</w:t>
      </w:r>
      <w:r w:rsidR="00B6223C" w:rsidRPr="001F566E">
        <w:rPr>
          <w:rFonts w:ascii="Times New Roman" w:hAnsi="Times New Roman" w:cs="Times New Roman"/>
          <w:sz w:val="24"/>
          <w:szCs w:val="24"/>
        </w:rPr>
        <w:t xml:space="preserve"> and their </w:t>
      </w:r>
      <w:r w:rsidR="00DA4F70" w:rsidRPr="001F566E">
        <w:rPr>
          <w:rFonts w:ascii="Times New Roman" w:hAnsi="Times New Roman" w:cs="Times New Roman"/>
          <w:sz w:val="24"/>
          <w:szCs w:val="24"/>
        </w:rPr>
        <w:t>cardio–respiratory effects</w:t>
      </w:r>
      <w:r w:rsidR="005F23E4" w:rsidRPr="001F566E">
        <w:rPr>
          <w:rFonts w:ascii="Times New Roman" w:hAnsi="Times New Roman" w:cs="Times New Roman"/>
          <w:sz w:val="24"/>
          <w:szCs w:val="24"/>
        </w:rPr>
        <w:t xml:space="preserve"> and</w:t>
      </w:r>
      <w:r w:rsidR="00511203" w:rsidRPr="001F566E">
        <w:rPr>
          <w:rFonts w:ascii="Times New Roman" w:hAnsi="Times New Roman" w:cs="Times New Roman"/>
          <w:sz w:val="24"/>
          <w:szCs w:val="24"/>
        </w:rPr>
        <w:t xml:space="preserve"> pedestrian and cyclists injuries</w:t>
      </w:r>
      <w:r w:rsidR="008658A3" w:rsidRPr="001F566E">
        <w:rPr>
          <w:rFonts w:ascii="Times New Roman" w:hAnsi="Times New Roman" w:cs="Times New Roman"/>
          <w:sz w:val="24"/>
          <w:szCs w:val="24"/>
        </w:rPr>
        <w:t xml:space="preserve"> </w:t>
      </w:r>
      <w:r w:rsidR="00511203" w:rsidRPr="00F33A42">
        <w:fldChar w:fldCharType="begin"/>
      </w:r>
      <w:r w:rsidR="00511203" w:rsidRPr="001F566E">
        <w:instrText>ADDIN CSL_CITATION { "citationItems" : [ { "id" : "ITEM-1", "itemData" : { "DOI" : "10.1016/j.envint.2005.05.020", "ISBN" : "0160-4120", "ISSN" : "01604120", "PMID" : "16005066", "abstract" : "Exposure assessment studies in the developing world are important. Although recent years have seen an increasing number of traffic-related pollution exposure studies, exposure assessment data on this topic are still limited. Differences among measuring methods and a lack of strict quality control in carrying out exposure assessment make it difficult to generalize and compare findings between studies. In this article, exposure assessment studies carried out in the developing world on several traffic-related air pollutants are reviewed. These pollutants include particulate matter (PM), carbon monoxide (CO), nitrogen dioxide (NO\n                        2), volatile organic compounds (VOCs), and polycyclic aromatic hydrocarbons (PAHs). In addition, it discusses advantages and disadvantages of various monitoring methods (ambient fixed-site monitoring, microenvironment monitoring, and personal exposure assessment using portable samplers) for these pollutants in exposure assessment studies. Also included in this paper is a brief introduction of standards for these pollutants in ambient air or in occupational settings established by the United States Environmental Protection Agency (USEPA), the United States Occupational Safety and Health Administration (OSHA) and the World Health Organization (WHO). The review ends with a summary of the limitations and gaps in recent studies and suggestions for future research in the developing world. ?? 2005 Elsevier Ltd. All rights reserved.", "author" : [ { "dropping-particle" : "", "family" : "Han", "given" : "Xianglu", "non-dropping-particle" : "", "parse-names" : false, "suffix" : "" }, { "dropping-particle" : "", "family" : "Naeher", "given" : "Luke P.", "non-dropping-particle" : "", "parse-names" : false, "suffix" : "" } ], "container-title" : "Environment International", "id" : "ITEM-1", "issue" : "1", "issued" : { "date-parts" : [ [ "2006" ] ] }, "page" : "106-120", "title" : "A review of traffic-related air pollution exposure assessment studies in the developing world", "type" : "article-journal", "volume" : "32" }, "uris" : [ "http://www.mendeley.com/documents/?uuid=f87f883a-4ab5-472a-9eac-e046e1a2dfb2" ] }, { "id" : "ITEM-2", "itemData" : { "DOI" : "10.1016/j.jtrangeo.2015.10.020", "ISSN" : "09666923", "abstract" : "Road traffic noise is one of the most detrimental environmental nuisances for the population. Prolonged exposure to high road noise levels can lead to various problems in people's health and well-being. The objective of this article is to determine whether the groups most vulnerable to road noise, that is, children under 15. years old, people 65. years old and over, and the groups most likely to experience high nuisance levels, visible minorities and low-income individuals, are affected by an environmental inequity related to this nuisance. The method of estimating this nuisance employed in the study is based on a combination of several elements: that is, average traffic flows, road geometries, normal atmospheric conditions, and the characteristics of the urban environment. All of these parameters were considered for the 14 boroughs that make up the central portion of the Island of Montreal. Modelling was used to calculate the maximum daily road noise, based in part on the LimA software predictive model and according to the XPS 31-133 computation method. The results obtained from three different statistical tests and spatial regression analyses show that, on the one hand, the groups chosen on the basis of age are not affected by any environmental inequity related to the phenomenon of road traffic noise. On the other hand, low-income individuals and visible minorities live in city blocks marked by road traffic noise levels that are slightly higher than those experienced by the rest of the population.", "author" : [ { "dropping-particle" : "", "family" : "Carrier", "given" : "Mathieu", "non-dropping-particle" : "", "parse-names" : false, "suffix" : "" }, { "dropping-particle" : "", "family" : "Apparicio", "given" : "Philippe", "non-dropping-particle" : "", "parse-names" : false, "suffix" : "" }, { "dropping-particle" : "", "family" : "S\u00e9guin", "given" : "Anne Marie", "non-dropping-particle" : "", "parse-names" : false, "suffix" : "" } ], "container-title" : "Journal of Transport Geography", "id" : "ITEM-2", "issued" : { "date-parts" : [ [ "2016" ] ] }, "page" : "1-8", "publisher" : "Elsevier B.V.", "title" : "Road traffic noise in Montreal and environmental equity: What is the situation for the most vulnerable population groups?", "type" : "article-journal", "volume" : "51" }, "uris" : [ "http://www.mendeley.com/documents/?uuid=9a58e223-c9d1-4806-90e5-adb15b6a418a" ] }, { "id" : "ITEM-3", "itemData" : { "DOI" : "10.1155/2013/916460", "ISBN" : "1687-9813 (Electronic)\\n1687-9805 (Linking)", "ISSN" : "16879813", "PMID" : "23840236", "abstract" : "Transportation planning and public health have important historical roots. To address common challenges, including road traffic fatalities, integration of theories and methods from both disciplines is required. This paper presents an overview of Geoffrey Rose's strategy of preventive medicine applied to road traffic fatalities. One of the basic principles of Rose's strategy is that a large number of people exposed to a small risk can generate more cases than a small number exposed to a high risk. Thus, interventions should address the large number of people exposed to the fundamental causes of diseases. Exposure to moving vehicles could be considered a fundamental cause of road traffic deaths and injuries. A global reduction in the amount of kilometers driven would result in a reduction of the likelihood of collisions for all road users. Public health and transportation research must critically appraise their practice and engage in informed dialogue with the objective of improving mobility and productivity while simultaneously reducing the public health burden of road deaths and injuries.", "author" : [ { "dropping-particle" : "", "family" : "Fuller", "given" : "Daniel", "non-dropping-particle" : "", "parse-names" : false, "suffix" : "" }, { "dropping-particle" : "", "family" : "Morency", "given" : "Patrick", "non-dropping-particle" : "", "parse-names" : false, "suffix" : "" } ], "container-title" : "Journal of Environmental and Public Health", "id" : "ITEM-3", "issued" : { "date-parts" : [ [ "2013" ] ] }, "page" : "2-7", "title" : "A population approach to transportation planning: Reducing exposure to motor-vehicles", "type" : "article-journal", "volume" : "2013" }, "uris" : [ "http://www.mendeley.com/documents/?uuid=01b7758e-ef49-4fbb-8a6e-aa5315a35843" ] } ], "mendeley" : { "formattedCitation" : "(Carrier et al., 2016; Fuller and Morency, 2013; Han and Naeher, 2006)", "plainTextFormattedCitation" : "(Carrier et al., 2016; Fuller and Morency, 2013; Han and Naeher, 2006)", "previouslyFormattedCitation" : "(Carrier et al., 2016; Fuller and Morency, 2013; Han and Naeher, 2006)" }, "properties" : {  }, "schema" : "https://github.com/citation-style-language/schema/raw/master/csl-citation.json" }</w:instrText>
      </w:r>
      <w:r w:rsidR="00511203" w:rsidRPr="00F33A42">
        <w:fldChar w:fldCharType="separate"/>
      </w:r>
      <w:r w:rsidR="00511203" w:rsidRPr="00F33A42">
        <w:rPr>
          <w:rFonts w:ascii="Times New Roman" w:hAnsi="Times New Roman" w:cs="Times New Roman"/>
          <w:sz w:val="24"/>
          <w:szCs w:val="24"/>
        </w:rPr>
        <w:t>(</w:t>
      </w:r>
      <w:r w:rsidR="005F033D" w:rsidRPr="005F033D">
        <w:rPr>
          <w:rFonts w:ascii="Times New Roman" w:hAnsi="Times New Roman" w:cs="Times New Roman"/>
          <w:sz w:val="24"/>
          <w:szCs w:val="24"/>
          <w:lang w:val="en-CA"/>
        </w:rPr>
        <w:t>Van Kempen et al, 2018</w:t>
      </w:r>
      <w:r w:rsidR="00511203" w:rsidRPr="00F33A42">
        <w:rPr>
          <w:rFonts w:ascii="Times New Roman" w:hAnsi="Times New Roman" w:cs="Times New Roman"/>
          <w:sz w:val="24"/>
          <w:szCs w:val="24"/>
        </w:rPr>
        <w:t xml:space="preserve">; Fuller and Morency, 2013; </w:t>
      </w:r>
      <w:r w:rsidR="00372633">
        <w:rPr>
          <w:rFonts w:ascii="Times New Roman" w:hAnsi="Times New Roman" w:cs="Times New Roman"/>
          <w:sz w:val="24"/>
          <w:szCs w:val="24"/>
        </w:rPr>
        <w:t>de Nazelle et al, 2011</w:t>
      </w:r>
      <w:r w:rsidR="00224899">
        <w:rPr>
          <w:rFonts w:ascii="Times New Roman" w:hAnsi="Times New Roman" w:cs="Times New Roman"/>
          <w:sz w:val="24"/>
          <w:szCs w:val="24"/>
        </w:rPr>
        <w:t>; HEI, 2010</w:t>
      </w:r>
      <w:r w:rsidR="00511203" w:rsidRPr="001F566E">
        <w:rPr>
          <w:rFonts w:ascii="Times New Roman" w:hAnsi="Times New Roman" w:cs="Times New Roman"/>
          <w:sz w:val="24"/>
          <w:szCs w:val="24"/>
        </w:rPr>
        <w:t>)</w:t>
      </w:r>
      <w:r w:rsidR="00511203" w:rsidRPr="00F33A42">
        <w:fldChar w:fldCharType="end"/>
      </w:r>
      <w:r w:rsidR="00511203" w:rsidRPr="00F33A42">
        <w:rPr>
          <w:rFonts w:ascii="Times New Roman" w:eastAsia="Times New Roman" w:hAnsi="Times New Roman" w:cs="Times New Roman"/>
          <w:sz w:val="24"/>
          <w:szCs w:val="24"/>
          <w:lang w:eastAsia="pt-BR"/>
        </w:rPr>
        <w:t>.</w:t>
      </w:r>
      <w:r w:rsidR="00511203" w:rsidRPr="00F33A42">
        <w:rPr>
          <w:rFonts w:ascii="Times New Roman" w:hAnsi="Times New Roman" w:cs="Times New Roman"/>
          <w:sz w:val="24"/>
          <w:szCs w:val="24"/>
        </w:rPr>
        <w:t xml:space="preserve"> </w:t>
      </w:r>
      <w:r w:rsidR="00B43B21" w:rsidRPr="001F566E">
        <w:rPr>
          <w:rFonts w:ascii="Times New Roman" w:hAnsi="Times New Roman" w:cs="Times New Roman"/>
          <w:sz w:val="24"/>
          <w:szCs w:val="24"/>
        </w:rPr>
        <w:t>The t</w:t>
      </w:r>
      <w:r w:rsidR="00511203" w:rsidRPr="001F566E">
        <w:rPr>
          <w:rFonts w:ascii="Times New Roman" w:hAnsi="Times New Roman" w:cs="Times New Roman"/>
          <w:sz w:val="24"/>
          <w:szCs w:val="24"/>
        </w:rPr>
        <w:t xml:space="preserve">ransportation </w:t>
      </w:r>
      <w:r w:rsidR="00F305CB" w:rsidRPr="001F566E">
        <w:rPr>
          <w:rFonts w:ascii="Times New Roman" w:hAnsi="Times New Roman" w:cs="Times New Roman"/>
          <w:sz w:val="24"/>
          <w:szCs w:val="24"/>
        </w:rPr>
        <w:t xml:space="preserve">system </w:t>
      </w:r>
      <w:r w:rsidR="00511203" w:rsidRPr="001F566E">
        <w:rPr>
          <w:rFonts w:ascii="Times New Roman" w:hAnsi="Times New Roman" w:cs="Times New Roman"/>
          <w:sz w:val="24"/>
          <w:szCs w:val="24"/>
        </w:rPr>
        <w:t>can also be associated with positive impacts, contributing to increased walking and cycling which can result in health benefits</w:t>
      </w:r>
      <w:r w:rsidR="00511203" w:rsidRPr="00F33A42">
        <w:rPr>
          <w:rFonts w:ascii="Times New Roman" w:hAnsi="Times New Roman" w:cs="Times New Roman"/>
          <w:sz w:val="24"/>
          <w:szCs w:val="24"/>
        </w:rPr>
        <w:t xml:space="preserve"> of active transportation </w:t>
      </w:r>
      <w:r w:rsidR="005F23E4" w:rsidRPr="00F33A42">
        <w:rPr>
          <w:rFonts w:ascii="Times New Roman" w:hAnsi="Times New Roman" w:cs="Times New Roman"/>
          <w:sz w:val="24"/>
          <w:szCs w:val="24"/>
        </w:rPr>
        <w:t xml:space="preserve">such as </w:t>
      </w:r>
      <w:r w:rsidR="00511203" w:rsidRPr="001F566E">
        <w:rPr>
          <w:rFonts w:ascii="Times New Roman" w:hAnsi="Times New Roman" w:cs="Times New Roman"/>
          <w:sz w:val="24"/>
          <w:szCs w:val="24"/>
        </w:rPr>
        <w:t>reduced risk of diabetes, breast and colorectal cancers</w:t>
      </w:r>
      <w:r w:rsidR="008658A3" w:rsidRPr="001F566E">
        <w:rPr>
          <w:rFonts w:ascii="Times New Roman" w:hAnsi="Times New Roman" w:cs="Times New Roman"/>
          <w:sz w:val="24"/>
          <w:szCs w:val="24"/>
        </w:rPr>
        <w:t xml:space="preserve"> </w:t>
      </w:r>
      <w:r w:rsidR="00511203" w:rsidRPr="00F33A42">
        <w:rPr>
          <w:rFonts w:ascii="Times New Roman" w:hAnsi="Times New Roman" w:cs="Times New Roman"/>
          <w:sz w:val="24"/>
          <w:szCs w:val="24"/>
        </w:rPr>
        <w:fldChar w:fldCharType="begin"/>
      </w:r>
      <w:r w:rsidR="00511203" w:rsidRPr="001F566E">
        <w:rPr>
          <w:rFonts w:ascii="Times New Roman" w:hAnsi="Times New Roman" w:cs="Times New Roman"/>
          <w:sz w:val="24"/>
          <w:szCs w:val="24"/>
        </w:rPr>
        <w:instrText>ADDIN CSL_CITATION { "citationItems" : [ { "id" : "ITEM-1", "itemData" : { "author" : [ { "dropping-particle" : "", "family" : "Lee", "given" : "Dr I-Min", "non-dropping-particle" : "", "parse-names" : false, "suffix" : "" }, { "dropping-particle" : "", "family" : "Shiroma", "given" : "Eric J", "non-dropping-particle" : "", "parse-names" : false, "suffix" : "" }, { "dropping-particle" : "", "family" : "Lobelo", "given" : "Felipe", "non-dropping-particle" : "", "parse-names" : false, "suffix" : "" }, { "dropping-particle" : "", "family" : "Puska", "given" : "Pekka", "non-dropping-particle" : "", "parse-names" : false, "suffix" : "" }, { "dropping-particle" : "", "family" : "Blair", "given" : "Steven N", "non-dropping-particle" : "", "parse-names" : false, "suffix" : "" }, { "dropping-particle" : "", "family" : "Katzmarzyk", "given" : "Peter T", "non-dropping-particle" : "", "parse-names" : false, "suffix" : "" } ], "container-title" : "The Lancet", "id" : "ITEM-1", "issue" : "9838", "issued" : { "date-parts" : [ [ "2012" ] ] }, "page" : "219-229", "title" : "Effect of physical inactivity on major non-communicable diseases worldwide: an analysis of burden of disease and life expectancy", "type" : "article-journal", "volume" : "380" }, "uris" : [ "http://www.mendeley.com/documents/?uuid=c33f2cd7-d06a-4057-af2e-15a0853b7b54" ] } ], "mendeley" : { "formattedCitation" : "(Lee et al., 2012)", "plainTextFormattedCitation" : "(Lee et al., 2012)", "previouslyFormattedCitation" : "(Lee et al., 2012)" }, "properties" : {  }, "schema" : "https://github.com/citation-style-language/schema/raw/master/csl-citation.json" }</w:instrText>
      </w:r>
      <w:r w:rsidR="00511203" w:rsidRPr="00F33A42">
        <w:rPr>
          <w:rFonts w:ascii="Times New Roman" w:hAnsi="Times New Roman" w:cs="Times New Roman"/>
          <w:sz w:val="24"/>
          <w:szCs w:val="24"/>
        </w:rPr>
        <w:fldChar w:fldCharType="separate"/>
      </w:r>
      <w:r w:rsidR="00511203" w:rsidRPr="00F33A42">
        <w:rPr>
          <w:rFonts w:ascii="Times New Roman" w:hAnsi="Times New Roman" w:cs="Times New Roman"/>
          <w:sz w:val="24"/>
          <w:szCs w:val="24"/>
        </w:rPr>
        <w:t>(</w:t>
      </w:r>
      <w:r w:rsidR="00542B7F">
        <w:rPr>
          <w:rFonts w:ascii="Times New Roman" w:hAnsi="Times New Roman" w:cs="Times New Roman"/>
          <w:sz w:val="24"/>
          <w:szCs w:val="24"/>
        </w:rPr>
        <w:t>Wolin et al, 2013; Lee etal, 2012; Wu et al, 2009;</w:t>
      </w:r>
      <w:r w:rsidR="00224899" w:rsidRPr="00224899">
        <w:rPr>
          <w:rFonts w:ascii="Times New Roman" w:hAnsi="Times New Roman" w:cs="Times New Roman"/>
          <w:sz w:val="24"/>
          <w:szCs w:val="24"/>
        </w:rPr>
        <w:t xml:space="preserve"> </w:t>
      </w:r>
      <w:r w:rsidR="00224899">
        <w:rPr>
          <w:rFonts w:ascii="Times New Roman" w:hAnsi="Times New Roman" w:cs="Times New Roman"/>
          <w:sz w:val="24"/>
          <w:szCs w:val="24"/>
        </w:rPr>
        <w:t>Jeon et al, 2007</w:t>
      </w:r>
      <w:r w:rsidR="00511203" w:rsidRPr="00F33A42">
        <w:rPr>
          <w:rFonts w:ascii="Times New Roman" w:hAnsi="Times New Roman" w:cs="Times New Roman"/>
          <w:sz w:val="24"/>
          <w:szCs w:val="24"/>
        </w:rPr>
        <w:t>)</w:t>
      </w:r>
      <w:r w:rsidR="00511203" w:rsidRPr="00F33A42">
        <w:rPr>
          <w:rFonts w:ascii="Times New Roman" w:hAnsi="Times New Roman" w:cs="Times New Roman"/>
          <w:sz w:val="24"/>
          <w:szCs w:val="24"/>
        </w:rPr>
        <w:fldChar w:fldCharType="end"/>
      </w:r>
      <w:r w:rsidR="00511203" w:rsidRPr="00F33A42">
        <w:rPr>
          <w:rFonts w:ascii="Times New Roman" w:hAnsi="Times New Roman" w:cs="Times New Roman"/>
          <w:sz w:val="24"/>
          <w:szCs w:val="24"/>
        </w:rPr>
        <w:t xml:space="preserve">.  </w:t>
      </w:r>
    </w:p>
    <w:p w14:paraId="13E459C8" w14:textId="77777777" w:rsidR="00511203" w:rsidRPr="001F566E" w:rsidRDefault="00511203" w:rsidP="00890789">
      <w:pPr>
        <w:spacing w:after="0" w:line="480" w:lineRule="auto"/>
        <w:ind w:firstLine="720"/>
        <w:jc w:val="both"/>
        <w:rPr>
          <w:rFonts w:ascii="Times New Roman" w:hAnsi="Times New Roman" w:cs="Times New Roman"/>
          <w:sz w:val="24"/>
          <w:szCs w:val="24"/>
        </w:rPr>
      </w:pPr>
    </w:p>
    <w:p w14:paraId="3A54F884" w14:textId="77777777" w:rsidR="00511203" w:rsidRPr="00D17F92" w:rsidRDefault="00BC05AE" w:rsidP="00D17F92">
      <w:pPr>
        <w:spacing w:after="0" w:line="480" w:lineRule="auto"/>
        <w:jc w:val="both"/>
        <w:rPr>
          <w:rFonts w:ascii="Times New Roman" w:eastAsia="Times New Roman" w:hAnsi="Times New Roman" w:cs="Times New Roman"/>
          <w:sz w:val="24"/>
          <w:szCs w:val="24"/>
          <w:lang w:val="en-CA" w:eastAsia="pt-BR"/>
        </w:rPr>
      </w:pPr>
      <w:r w:rsidRPr="001F566E">
        <w:rPr>
          <w:rFonts w:ascii="Times New Roman" w:eastAsia="Times New Roman" w:hAnsi="Times New Roman" w:cs="Times New Roman"/>
          <w:sz w:val="24"/>
          <w:szCs w:val="24"/>
          <w:lang w:val="en-CA" w:eastAsia="pt-BR"/>
        </w:rPr>
        <w:t>Understanding future health risks due to transportation and land use is crucial for disease prevention and control. Ty</w:t>
      </w:r>
      <w:r w:rsidR="00511203" w:rsidRPr="001F566E">
        <w:rPr>
          <w:rFonts w:ascii="Times New Roman" w:eastAsia="Times New Roman" w:hAnsi="Times New Roman" w:cs="Times New Roman"/>
          <w:sz w:val="24"/>
          <w:szCs w:val="24"/>
          <w:lang w:val="en-CA" w:eastAsia="pt-BR"/>
        </w:rPr>
        <w:t xml:space="preserve">pically, </w:t>
      </w:r>
      <w:r w:rsidRPr="001F566E">
        <w:rPr>
          <w:rFonts w:ascii="Times New Roman" w:eastAsia="Times New Roman" w:hAnsi="Times New Roman" w:cs="Times New Roman"/>
          <w:sz w:val="24"/>
          <w:szCs w:val="24"/>
          <w:lang w:val="en-CA" w:eastAsia="pt-BR"/>
        </w:rPr>
        <w:t>future scenarios have</w:t>
      </w:r>
      <w:r w:rsidR="00511203" w:rsidRPr="001F566E">
        <w:rPr>
          <w:rFonts w:ascii="Times New Roman" w:eastAsia="Times New Roman" w:hAnsi="Times New Roman" w:cs="Times New Roman"/>
          <w:sz w:val="24"/>
          <w:szCs w:val="24"/>
          <w:lang w:val="en-CA" w:eastAsia="pt-BR"/>
        </w:rPr>
        <w:t xml:space="preserve"> account</w:t>
      </w:r>
      <w:r w:rsidRPr="001F566E">
        <w:rPr>
          <w:rFonts w:ascii="Times New Roman" w:eastAsia="Times New Roman" w:hAnsi="Times New Roman" w:cs="Times New Roman"/>
          <w:sz w:val="24"/>
          <w:szCs w:val="24"/>
          <w:lang w:val="en-CA" w:eastAsia="pt-BR"/>
        </w:rPr>
        <w:t>ed</w:t>
      </w:r>
      <w:r w:rsidR="00511203" w:rsidRPr="001F566E">
        <w:rPr>
          <w:rFonts w:ascii="Times New Roman" w:eastAsia="Times New Roman" w:hAnsi="Times New Roman" w:cs="Times New Roman"/>
          <w:sz w:val="24"/>
          <w:szCs w:val="24"/>
          <w:lang w:val="en-CA" w:eastAsia="pt-BR"/>
        </w:rPr>
        <w:t xml:space="preserve"> for </w:t>
      </w:r>
      <w:r w:rsidRPr="001F566E">
        <w:rPr>
          <w:rFonts w:ascii="Times New Roman" w:eastAsia="Times New Roman" w:hAnsi="Times New Roman" w:cs="Times New Roman"/>
          <w:sz w:val="24"/>
          <w:szCs w:val="24"/>
          <w:lang w:val="en-CA" w:eastAsia="pt-BR"/>
        </w:rPr>
        <w:t>future</w:t>
      </w:r>
      <w:r w:rsidR="00511203" w:rsidRPr="001F566E">
        <w:rPr>
          <w:rFonts w:ascii="Times New Roman" w:eastAsia="Times New Roman" w:hAnsi="Times New Roman" w:cs="Times New Roman"/>
          <w:sz w:val="24"/>
          <w:szCs w:val="24"/>
          <w:lang w:val="en-CA" w:eastAsia="pt-BR"/>
        </w:rPr>
        <w:t xml:space="preserve"> population distribution</w:t>
      </w:r>
      <w:r w:rsidR="008658A3" w:rsidRPr="001F566E">
        <w:rPr>
          <w:rFonts w:ascii="Times New Roman" w:eastAsia="Times New Roman" w:hAnsi="Times New Roman" w:cs="Times New Roman"/>
          <w:sz w:val="24"/>
          <w:szCs w:val="24"/>
          <w:lang w:val="en-CA" w:eastAsia="pt-BR"/>
        </w:rPr>
        <w:t xml:space="preserve"> </w:t>
      </w:r>
      <w:r w:rsidR="00511203" w:rsidRPr="00F33A42">
        <w:fldChar w:fldCharType="begin"/>
      </w:r>
      <w:r w:rsidR="00511203" w:rsidRPr="001F566E">
        <w:instrText>ADDIN CSL_CITATION { "citationItems" : [ { "id" : "ITEM-1", "itemData" : { "DOI" : "10.1016/j.landurbplan.2012.03.006", "ISBN" : "0169-2046", "ISSN" : "01692046", "abstract" : "Kampala, the capital of Uganda, is one of the fastest growing African cities with annual growth rates of 5.6%. The rapid urban growth causes major socio-economic and environmental problems that lower the quality of life of the urban dwellers. A better insight in the controlling factors of the urban growth pattern is necessary to develop and implement a sustainable urban planning. The recent urban growth of Kampala was mapped using LANDSAT images of 1989, 1995, 2003 and 2010. A spatially-explicit logistic regression model was developed for Kampala. Significant predictors in this model included: the presence of roads, the accessibility of the city centre and the distance to existing built-up area. These variables are used as steering handles to create future urban scenarios. Three alternative scenarios for future urban growth were developed: a business as usual, restrictive and stimulative scenario. Our model of growth was applied to these three scenarios to predict patterns of urban growth to 2030. The scenarios show that the alternative policy options result in contrasting future urban sprawl patterns with a significant impact on the local quality of life. \u00a9 2012 Elsevier B.V.", "author" : [ { "dropping-particle" : "", "family" : "Vermeiren", "given" : "Karolien", "non-dropping-particle" : "", "parse-names" : false, "suffix" : "" }, { "dropping-particle" : "", "family" : "Rompaey", "given" : "Anton", "non-dropping-particle" : "Van", "parse-names" : false, "suffix" : "" }, { "dropping-particle" : "", "family" : "Loopmans", "given" : "Maarten", "non-dropping-particle" : "", "parse-names" : false, "suffix" : "" }, { "dropping-particle" : "", "family" : "Serwajja", "given" : "Eria", "non-dropping-particle" : "", "parse-names" : false, "suffix" : "" }, { "dropping-particle" : "", "family" : "Mukwaya", "given" : "Paul", "non-dropping-particle" : "", "parse-names" : false, "suffix" : "" } ], "container-title" : "Landscape and Urban Planning", "id" : "ITEM-1", "issue" : "2", "issued" : { "date-parts" : [ [ "2012" ] ] }, "page" : "199-206", "publisher" : "Elsevier B.V.", "title" : "Urban growth of Kampala, Uganda: Pattern analysis and scenario development", "type" : "article-journal", "volume" : "106" }, "uris" : [ "http://www.mendeley.com/documents/?uuid=3ee0d246-ffd4-4b0c-9e1f-6a0798dbeb56" ] } ], "mendeley" : { "formattedCitation" : "(Vermeiren et al., 2012)", "plainTextFormattedCitation" : "(Vermeiren et al., 2012)", "previouslyFormattedCitation" : "(Vermeiren et al., 2012)" }, "properties" : {  }, "schema" : "https://github.com/citation-style-language/schema/raw/master/csl-citation.json" }</w:instrText>
      </w:r>
      <w:r w:rsidR="00511203" w:rsidRPr="00F33A42">
        <w:fldChar w:fldCharType="separate"/>
      </w:r>
      <w:r w:rsidR="00511203" w:rsidRPr="00F33A42">
        <w:rPr>
          <w:rFonts w:ascii="Times New Roman" w:eastAsia="Times New Roman" w:hAnsi="Times New Roman" w:cs="Times New Roman"/>
          <w:sz w:val="24"/>
          <w:szCs w:val="24"/>
          <w:lang w:val="en-CA" w:eastAsia="pt-BR"/>
        </w:rPr>
        <w:t>(</w:t>
      </w:r>
      <w:r w:rsidR="00542B7F" w:rsidRPr="006A2AAF">
        <w:rPr>
          <w:rFonts w:ascii="Times New Roman" w:eastAsia="Times New Roman" w:hAnsi="Times New Roman" w:cs="Times New Roman"/>
          <w:sz w:val="24"/>
          <w:szCs w:val="24"/>
          <w:lang w:val="en-CA" w:eastAsia="pt-BR"/>
        </w:rPr>
        <w:t xml:space="preserve">Samir </w:t>
      </w:r>
      <w:r w:rsidR="00542B7F">
        <w:rPr>
          <w:rFonts w:ascii="Times New Roman" w:eastAsia="Times New Roman" w:hAnsi="Times New Roman" w:cs="Times New Roman"/>
          <w:sz w:val="24"/>
          <w:szCs w:val="24"/>
          <w:lang w:val="en-CA" w:eastAsia="pt-BR"/>
        </w:rPr>
        <w:t>and</w:t>
      </w:r>
      <w:r w:rsidR="00542B7F" w:rsidRPr="006A2AAF">
        <w:rPr>
          <w:rFonts w:ascii="Times New Roman" w:eastAsia="Times New Roman" w:hAnsi="Times New Roman" w:cs="Times New Roman"/>
          <w:sz w:val="24"/>
          <w:szCs w:val="24"/>
          <w:lang w:val="en-CA" w:eastAsia="pt-BR"/>
        </w:rPr>
        <w:t xml:space="preserve"> Lutz, 2017</w:t>
      </w:r>
      <w:r w:rsidR="00542B7F">
        <w:rPr>
          <w:rFonts w:ascii="Times New Roman" w:eastAsia="Times New Roman" w:hAnsi="Times New Roman" w:cs="Times New Roman"/>
          <w:sz w:val="24"/>
          <w:szCs w:val="24"/>
          <w:lang w:val="en-CA" w:eastAsia="pt-BR"/>
        </w:rPr>
        <w:t xml:space="preserve">; </w:t>
      </w:r>
      <w:r w:rsidR="00511203" w:rsidRPr="00F33A42">
        <w:rPr>
          <w:rFonts w:ascii="Times New Roman" w:eastAsia="Times New Roman" w:hAnsi="Times New Roman" w:cs="Times New Roman"/>
          <w:sz w:val="24"/>
          <w:szCs w:val="24"/>
          <w:lang w:val="en-CA" w:eastAsia="pt-BR"/>
        </w:rPr>
        <w:t>Ve</w:t>
      </w:r>
      <w:r w:rsidR="00511203" w:rsidRPr="001F566E">
        <w:rPr>
          <w:rFonts w:ascii="Times New Roman" w:eastAsia="Times New Roman" w:hAnsi="Times New Roman" w:cs="Times New Roman"/>
          <w:sz w:val="24"/>
          <w:szCs w:val="24"/>
          <w:lang w:val="en-CA" w:eastAsia="pt-BR"/>
        </w:rPr>
        <w:t>rmeiren et al, 2012)</w:t>
      </w:r>
      <w:r w:rsidR="00511203" w:rsidRPr="00F33A42">
        <w:fldChar w:fldCharType="end"/>
      </w:r>
      <w:r w:rsidR="00511203" w:rsidRPr="00F33A42">
        <w:rPr>
          <w:rFonts w:ascii="Times New Roman" w:eastAsia="Times New Roman" w:hAnsi="Times New Roman" w:cs="Times New Roman"/>
          <w:sz w:val="24"/>
          <w:szCs w:val="24"/>
          <w:lang w:val="en-CA" w:eastAsia="pt-BR"/>
        </w:rPr>
        <w:t>, land use</w:t>
      </w:r>
      <w:r w:rsidR="008658A3" w:rsidRPr="00F33A42">
        <w:rPr>
          <w:rFonts w:ascii="Times New Roman" w:eastAsia="Times New Roman" w:hAnsi="Times New Roman" w:cs="Times New Roman"/>
          <w:sz w:val="24"/>
          <w:szCs w:val="24"/>
          <w:lang w:val="en-CA" w:eastAsia="pt-BR"/>
        </w:rPr>
        <w:t xml:space="preserve"> </w:t>
      </w:r>
      <w:r w:rsidR="00511203" w:rsidRPr="00F33A42">
        <w:fldChar w:fldCharType="begin"/>
      </w:r>
      <w:r w:rsidR="00511203" w:rsidRPr="001F566E">
        <w:instrText>ADDIN CSL_CITATION { "citationItems" : [ { "id" : "ITEM-1", "itemData" : { "DOI" : "10.14246/irspsd.5.2_80", "ISSN" : "21873666", "abstract" : "\u00a9 SPSD Press from 2017, SPSD Press, Kanazawa. In this paper, method of scenario planning is applied to the study of land use planning, putting forward a new approach to analyze future growth of city's built-up land in the context of future uncertainty. By introducing economic and policy factors into land use system, a calculation model of urban built-up land is built based on the correlation between industries and land use. And using Chongqing Municipality from China as an example, we establish 6 different scenarios and simulate future development of city's land use from 2015 to 2020 under each scenario. The results indicate that Chongqing will meet fast urban expansion according to current trend and is in urgent need to improve its land use efficiency which shows strongest effect in controlling city size.", "author" : [ { "dropping-particle" : "", "family" : "Han", "given" : "H.", "non-dropping-particle" : "", "parse-names" : false, "suffix" : "" }, { "dropping-particle" : "", "family" : "Lin", "given" : "L.", "non-dropping-particle" : "", "parse-names" : false, "suffix" : "" } ], "container-title" : "International Review for Spatial Planning and Sustainable Development", "id" : "ITEM-1", "issue" : "2", "issued" : { "date-parts" : [ [ "2017" ] ] }, "page" : "80-92", "title" : "Predicting growth of city's built-up land based on scenario planning", "type" : "article-journal", "volume" : "5" }, "uris" : [ "http://www.mendeley.com/documents/?uuid=2efe8774-4d79-46b6-bd91-d33f3548f597" ] } ], "mendeley" : { "formattedCitation" : "(Han and Lin, 2017)", "plainTextFormattedCitation" : "(Han and Lin, 2017)", "previouslyFormattedCitation" : "(Han and Lin, 2017)" }, "properties" : {  }, "schema" : "https://github.com/citation-style-language/schema/raw/master/csl-citation.json" }</w:instrText>
      </w:r>
      <w:r w:rsidR="00511203" w:rsidRPr="00F33A42">
        <w:fldChar w:fldCharType="separate"/>
      </w:r>
      <w:r w:rsidR="00511203" w:rsidRPr="00F33A42">
        <w:rPr>
          <w:rFonts w:ascii="Times New Roman" w:eastAsia="Times New Roman" w:hAnsi="Times New Roman" w:cs="Times New Roman"/>
          <w:sz w:val="24"/>
          <w:szCs w:val="24"/>
          <w:lang w:val="en-CA" w:eastAsia="pt-BR"/>
        </w:rPr>
        <w:t>(Han and Lin, 2017)</w:t>
      </w:r>
      <w:r w:rsidR="00511203" w:rsidRPr="00F33A42">
        <w:fldChar w:fldCharType="end"/>
      </w:r>
      <w:r w:rsidR="00511203" w:rsidRPr="00F33A42">
        <w:rPr>
          <w:rFonts w:ascii="Times New Roman" w:eastAsia="Times New Roman" w:hAnsi="Times New Roman" w:cs="Times New Roman"/>
          <w:sz w:val="24"/>
          <w:szCs w:val="24"/>
          <w:lang w:val="en-CA" w:eastAsia="pt-BR"/>
        </w:rPr>
        <w:t>, and transportation infrastructures</w:t>
      </w:r>
      <w:r w:rsidR="00DC1C65">
        <w:rPr>
          <w:rFonts w:ascii="Times New Roman" w:eastAsia="Times New Roman" w:hAnsi="Times New Roman" w:cs="Times New Roman"/>
          <w:sz w:val="24"/>
          <w:szCs w:val="24"/>
          <w:lang w:val="en-CA" w:eastAsia="pt-BR"/>
        </w:rPr>
        <w:t xml:space="preserve"> </w:t>
      </w:r>
      <w:r w:rsidR="002E7304">
        <w:rPr>
          <w:rFonts w:ascii="Times New Roman" w:eastAsia="Times New Roman" w:hAnsi="Times New Roman" w:cs="Times New Roman"/>
          <w:sz w:val="24"/>
          <w:szCs w:val="24"/>
          <w:lang w:val="en-CA" w:eastAsia="pt-BR"/>
        </w:rPr>
        <w:t xml:space="preserve">and services </w:t>
      </w:r>
      <w:r w:rsidR="00DC1C65">
        <w:rPr>
          <w:rFonts w:ascii="Times New Roman" w:eastAsia="Times New Roman" w:hAnsi="Times New Roman" w:cs="Times New Roman"/>
          <w:sz w:val="24"/>
          <w:szCs w:val="24"/>
          <w:lang w:val="en-CA" w:eastAsia="pt-BR"/>
        </w:rPr>
        <w:t>(</w:t>
      </w:r>
      <w:r w:rsidR="002E7304" w:rsidRPr="00270D39">
        <w:rPr>
          <w:rFonts w:ascii="Times New Roman" w:eastAsia="Times New Roman" w:hAnsi="Times New Roman" w:cs="Times New Roman"/>
          <w:sz w:val="24"/>
          <w:szCs w:val="24"/>
          <w:lang w:val="en-CA" w:eastAsia="pt-BR"/>
        </w:rPr>
        <w:t>Bešinović 2020</w:t>
      </w:r>
      <w:r w:rsidR="00DC1C65">
        <w:rPr>
          <w:rFonts w:ascii="Times New Roman" w:eastAsia="Times New Roman" w:hAnsi="Times New Roman" w:cs="Times New Roman"/>
          <w:sz w:val="24"/>
          <w:szCs w:val="24"/>
          <w:lang w:val="en-CA" w:eastAsia="pt-BR"/>
        </w:rPr>
        <w:t>)</w:t>
      </w:r>
      <w:r w:rsidR="00511203" w:rsidRPr="00F33A42">
        <w:rPr>
          <w:rFonts w:ascii="Times New Roman" w:eastAsia="Times New Roman" w:hAnsi="Times New Roman" w:cs="Times New Roman"/>
          <w:sz w:val="24"/>
          <w:szCs w:val="24"/>
          <w:lang w:val="en-CA" w:eastAsia="pt-BR"/>
        </w:rPr>
        <w:t>, which are associated with mode</w:t>
      </w:r>
      <w:r w:rsidR="00DC1C65">
        <w:rPr>
          <w:rFonts w:ascii="Times New Roman" w:eastAsia="Times New Roman" w:hAnsi="Times New Roman" w:cs="Times New Roman"/>
          <w:sz w:val="24"/>
          <w:szCs w:val="24"/>
          <w:lang w:val="en-CA" w:eastAsia="pt-BR"/>
        </w:rPr>
        <w:t>s</w:t>
      </w:r>
      <w:r w:rsidR="00511203" w:rsidRPr="00F33A42">
        <w:rPr>
          <w:rFonts w:ascii="Times New Roman" w:eastAsia="Times New Roman" w:hAnsi="Times New Roman" w:cs="Times New Roman"/>
          <w:sz w:val="24"/>
          <w:szCs w:val="24"/>
          <w:lang w:val="en-CA" w:eastAsia="pt-BR"/>
        </w:rPr>
        <w:t xml:space="preserve"> of transportation, kilometers travelled per vehicle, and vehicle speed</w:t>
      </w:r>
      <w:r w:rsidR="008658A3" w:rsidRPr="00F33A42">
        <w:rPr>
          <w:rFonts w:ascii="Times New Roman" w:eastAsia="Times New Roman" w:hAnsi="Times New Roman" w:cs="Times New Roman"/>
          <w:sz w:val="24"/>
          <w:szCs w:val="24"/>
          <w:lang w:val="en-CA" w:eastAsia="pt-BR"/>
        </w:rPr>
        <w:t xml:space="preserve"> </w:t>
      </w:r>
      <w:r w:rsidR="00511203" w:rsidRPr="00F33A42">
        <w:fldChar w:fldCharType="begin"/>
      </w:r>
      <w:r w:rsidR="00511203" w:rsidRPr="001F566E">
        <w:instrText>ADDIN CSL_CITATION { "citationItems" : [ { "id" : "ITEM-1", "itemData" : { "DOI" : "10.1016/j.enpol.2014.11.013", "ISBN" : "0301-4215", "ISSN" : "03014215", "abstract" : "With high reliance on light-duty vehicles in the present, the future of global transportation system is also geared towards private modes, which has significant energy and emission implications. Public transportation has been argued as an alternative strategy for meeting the rising transportation demands of the growing world, especially the poor, in a sustainable and energy efficient way. The present study analyzes an important yet under-researched question - what are the long-term energy and emission implications of an electric rail based passenger transportation system for meeting both long and short distance passenter transportation needs? We analyze a suite of electric rail share scenarios with and without climate policy. In the reference scenario, the transportation system will evolve towards dominance of fossil based light-duty vehicles. We find that an electric rail policy is more successful than an economy wide climate policy in reducing transport sector energy demand and emissions. Economy wide emissions however can only be reduced through a broader climate policy, the cost of which can be reduced by hundreds of billions of dollars across the century when implemented in combination with the transport sector focused electric rail policy. Moreover, higher share of electric rail enhances energy security for oil importing nations and reduces vehicular congestion and road infrastructure requirement as well.", "author" : [ { "dropping-particle" : "", "family" : "Chaturvedi", "given" : "Vaibhav", "non-dropping-particle" : "", "parse-names" : false, "suffix" : "" }, { "dropping-particle" : "", "family" : "Kim", "given" : "Son H.", "non-dropping-particle" : "", "parse-names" : false, "suffix" : "" } ], "container-title" : "Energy Policy", "id" : "ITEM-1", "issued" : { "date-parts" : [ [ "2015" ] ] }, "page" : "176-185", "publisher" : "Elsevier", "title" : "Long term energy and emission implications of a global shift to electricity-based public rail transportation system", "type" : "article-journal", "volume" : "81" }, "uris" : [ "http://www.mendeley.com/documents/?uuid=7252f25e-6cdf-41a7-8b0c-1762dfdee675" ] } ], "mendeley" : { "formattedCitation" : "(Chaturvedi and Kim, 2015)", "plainTextFormattedCitation" : "(Chaturvedi and Kim, 2015)", "previouslyFormattedCitation" : "(Chaturvedi and Kim, 2015)" }, "properties" : {  }, "schema" : "https://github.com/citation-style-language/schema/raw/master/csl-citation.json" }</w:instrText>
      </w:r>
      <w:r w:rsidR="00511203" w:rsidRPr="00F33A42">
        <w:fldChar w:fldCharType="separate"/>
      </w:r>
      <w:r w:rsidR="00511203" w:rsidRPr="001F566E">
        <w:rPr>
          <w:rFonts w:ascii="Times New Roman" w:eastAsia="Times New Roman" w:hAnsi="Times New Roman" w:cs="Times New Roman"/>
          <w:sz w:val="24"/>
          <w:szCs w:val="24"/>
          <w:lang w:val="en-CA" w:eastAsia="pt-BR"/>
        </w:rPr>
        <w:t>(Chaturvedi and Kim, 2015</w:t>
      </w:r>
      <w:r w:rsidR="00F74A91">
        <w:rPr>
          <w:rFonts w:ascii="Times New Roman" w:eastAsia="Times New Roman" w:hAnsi="Times New Roman" w:cs="Times New Roman"/>
          <w:sz w:val="24"/>
          <w:szCs w:val="24"/>
          <w:lang w:val="en-CA" w:eastAsia="pt-BR"/>
        </w:rPr>
        <w:t>; Schafer and Victor, 2000</w:t>
      </w:r>
      <w:r w:rsidR="00511203" w:rsidRPr="00F33A42">
        <w:rPr>
          <w:rFonts w:ascii="Times New Roman" w:eastAsia="Times New Roman" w:hAnsi="Times New Roman" w:cs="Times New Roman"/>
          <w:sz w:val="24"/>
          <w:szCs w:val="24"/>
          <w:lang w:val="en-CA" w:eastAsia="pt-BR"/>
        </w:rPr>
        <w:t>)</w:t>
      </w:r>
      <w:r w:rsidR="00511203" w:rsidRPr="00F33A42">
        <w:fldChar w:fldCharType="end"/>
      </w:r>
      <w:r w:rsidR="00511203" w:rsidRPr="00F33A42">
        <w:rPr>
          <w:rFonts w:ascii="Times New Roman" w:eastAsia="Times New Roman" w:hAnsi="Times New Roman" w:cs="Times New Roman"/>
          <w:sz w:val="24"/>
          <w:szCs w:val="24"/>
          <w:lang w:val="en-CA" w:eastAsia="pt-BR"/>
        </w:rPr>
        <w:t>. These models have been considered an essential part of situation analysis and long-range planning</w:t>
      </w:r>
      <w:r w:rsidR="008658A3" w:rsidRPr="001F566E">
        <w:rPr>
          <w:rFonts w:ascii="Times New Roman" w:eastAsia="Times New Roman" w:hAnsi="Times New Roman" w:cs="Times New Roman"/>
          <w:sz w:val="24"/>
          <w:szCs w:val="24"/>
          <w:lang w:val="en-CA" w:eastAsia="pt-BR"/>
        </w:rPr>
        <w:t xml:space="preserve"> </w:t>
      </w:r>
      <w:r w:rsidR="00511203" w:rsidRPr="001F566E">
        <w:fldChar w:fldCharType="begin"/>
      </w:r>
      <w:r w:rsidR="00511203" w:rsidRPr="001F566E">
        <w:instrText>ADDIN CSL_CITATION { "citationItems" : [ { "id" : "ITEM-1", "itemData" : { "DOI" : "10.1016/j.landusepol.2016.09.017", "abstract" : "a b s t r a c t Several studies have assessed air pollution risks to guide environmental and public health policies. How-ever, most studies have proposed risk management actions that address a specific situation. To our knowledge, no studies have investigated the spatial distribution of risks to evaluate alternatives for environmental public policies. Therefore, this study had two specific aims. The first was to map human exposures to emissions from air pollution sources in the Federal District, Brazil. The second was to create and map the alternatives for public policies related to human exposures. For this study, we used the fol-lowing approaches: techniques in Geographic Information System (GIS); multicriteria model \u2013 Analytic Hierarchy Process (AHP); and, Fuzzy logic. Our findings suggest that vehicle traffic control and public transportation development are the most effective alternatives with weights equal to 0.318 and 0.332, respectively. The estimated weights for land use management and new green areas are equal to 0.179 and 0.171, respectively. Vehicle traffic, population density, illegal urban settlements, economic activities and daily flux of people (origin and destination) were the main factors determining the spatial distribution of each alternative. This proposed analytical framework may be of interest to policy makers seeking to minimize costs for designing and evaluating effective public policies.", "author" : [ { "dropping-particle" : "", "family" : "Requia", "given" : "Weeberb J", "non-dropping-particle" : "", "parse-names" : false, "suffix" : "" }, { "dropping-particle" : "", "family" : "Roig", "given" : "Henrique Llacer", "non-dropping-particle" : "", "parse-names" : false, "suffix" : "" }, { "dropping-particle" : "", "family" : "Koutrakis", "given" : "Petros", "non-dropping-particle" : "", "parse-names" : false, "suffix" : "" }, { "dropping-particle" : "", "family" : "Rossi", "given" : "Maria Silvia", "non-dropping-particle" : "", "parse-names" : false, "suffix" : "" } ], "container-title" : "Land Use Policy", "id" : "ITEM-1", "issued" : { "date-parts" : [ [ "2016" ] ] }, "page" : "375-385", "title" : "Mapping alternatives for public policy decision making related to human exposures from air pollution sources in the Federal District, Brazil", "type" : "article-journal", "volume" : "59" }, "uris" : [ "http://www.mendeley.com/documents/?uuid=ee1a7b3c-e5bb-368f-9b92-765b4dc5560e" ] }, { "id" : "ITEM-2", "itemData" : { "DOI" : "10.1155/2013/916460", "ISBN" : "1687-9813 (Electronic)\\n1687-9805 (Linking)", "ISSN" : "16879813", "PMID" : "23840236", "abstract" : "Transportation planning and public health have important historical roots. To address common challenges, including road traffic fatalities, integration of theories and methods from both disciplines is required. This paper presents an overview of Geoffrey Rose's strategy of preventive medicine applied to road traffic fatalities. One of the basic principles of Rose's strategy is that a large number of people exposed to a small risk can generate more cases than a small number exposed to a high risk. Thus, interventions should address the large number of people exposed to the fundamental causes of diseases. Exposure to moving vehicles could be considered a fundamental cause of road traffic deaths and injuries. A global reduction in the amount of kilometers driven would result in a reduction of the likelihood of collisions for all road users. Public health and transportation research must critically appraise their practice and engage in informed dialogue with the objective of improving mobility and productivity while simultaneously reducing the public health burden of road deaths and injuries.", "author" : [ { "dropping-particle" : "", "family" : "Fuller", "given" : "Daniel", "non-dropping-particle" : "", "parse-names" : false, "suffix" : "" }, { "dropping-particle" : "", "family" : "Morency", "given" : "Patrick", "non-dropping-particle" : "", "parse-names" : false, "suffix" : "" } ], "container-title" : "Journal of Environmental and Public Health", "id" : "ITEM-2", "issued" : { "date-parts" : [ [ "2013" ] ] }, "page" : "2-7", "title" : "A population approach to transportation planning: Reducing exposure to motor-vehicles", "type" : "article-journal", "volume" : "2013" }, "uris" : [ "http://www.mendeley.com/documents/?uuid=01b7758e-ef49-4fbb-8a6e-aa5315a35843" ] }, { "id" : "ITEM-3", "itemData" : { "DOI" : "10.1073/pnas.1406853111", "ISBN" : "0027-8424", "ISSN" : "1091-6490", "PMID" : "25512510", "abstract" : "Commonly considered strategies for reducing the environmental impact of light-duty transportation include using alternative fuels and improving vehicle fuel economy. We evaluate the air quality-related human health impacts of 10 such options, including the use of liquid biofuels, diesel, and compressed natural gas (CNG) in internal combustion engines; the use of electricity from a range of conventional and renewable sources to power electric vehicles (EVs); and the use of hybrid EV technology. Our approach combines spatially, temporally, and chemically detailed life cycle emission inventories; comprehensive, fine-scale state-of-the-science chemical transport modeling; and exposure, concentration-response, and economic health impact modeling for ozone (O3) and fine particulate matter (PM2.5). We find that powering vehicles with corn ethanol or with coal-based or \"grid average\" electricity increases monetized environmental health impacts by 80% or more relative to using conventional gasoline. Conversely, EVs powered by low-emitting electricity from natural gas, wind, water, or solar power reduce environmental health impacts by 50% or more. Consideration of potential climate change impacts alongside the human health outcomes described here further reinforces the environmental preferability of EVs powered by low-emitting electricity relative to gasoline vehicles.", "author" : [ { "dropping-particle" : "", "family" : "Tessum", "given" : "Christopher W", "non-dropping-particle" : "", "parse-names" : false, "suffix" : "" }, { "dropping-particle" : "", "family" : "Hill", "given" : "Jason D", "non-dropping-particle" : "", "parse-names" : false, "suffix" : "" }, { "dropping-particle" : "", "family" : "Marshall", "given" : "Julian D", "non-dropping-particle" : "", "parse-names" : false, "suffix" : "" } ], "container-title" : "Proceedings of the National Academy of Sciences of the United States of America", "id" : "ITEM-3", "issue" : "52", "issued" : { "date-parts" : [ [ "2014" ] ] }, "page" : "18490-5", "title" : "Life cycle air quality impacts of conventional and alternative light-duty transportation in the United States.", "type" : "article-journal", "volume" : "111" }, "uris" : [ "http://www.mendeley.com/documents/?uuid=461c726e-67ae-44f2-85e3-a1a0a97ed880" ] } ], "mendeley" : { "formattedCitation" : "(Fuller and Morency, 2013; Requia et al., 2016; Tessum et al., 2014)", "plainTextFormattedCitation" : "(Fuller and Morency, 2013; Requia et al., 2016; Tessum et al., 2014)", "previouslyFormattedCitation" : "(Fuller and Morency, 2013; Requia et al., 2016; Tessum et al., 2014)" }, "properties" : {  }, "schema" : "https://github.com/citation-style-language/schema/raw/master/csl-citation.json" }</w:instrText>
      </w:r>
      <w:r w:rsidR="00511203" w:rsidRPr="001F566E">
        <w:fldChar w:fldCharType="separate"/>
      </w:r>
      <w:r w:rsidR="00511203" w:rsidRPr="001F566E">
        <w:rPr>
          <w:rFonts w:ascii="Times New Roman" w:eastAsia="Times New Roman" w:hAnsi="Times New Roman" w:cs="Times New Roman"/>
          <w:sz w:val="24"/>
          <w:szCs w:val="24"/>
          <w:lang w:val="en-CA" w:eastAsia="pt-BR"/>
        </w:rPr>
        <w:t>(Fuller and Morency, 2013; Tessum et al., 2014)</w:t>
      </w:r>
      <w:r w:rsidR="00511203" w:rsidRPr="001F566E">
        <w:fldChar w:fldCharType="end"/>
      </w:r>
      <w:r w:rsidR="00511203" w:rsidRPr="001F566E">
        <w:rPr>
          <w:rFonts w:ascii="Times New Roman" w:eastAsia="Times New Roman" w:hAnsi="Times New Roman" w:cs="Times New Roman"/>
          <w:sz w:val="24"/>
          <w:szCs w:val="24"/>
          <w:lang w:val="en-CA" w:eastAsia="pt-BR"/>
        </w:rPr>
        <w:t>.</w:t>
      </w:r>
      <w:r w:rsidR="00511203" w:rsidRPr="00F33A42">
        <w:rPr>
          <w:rFonts w:ascii="Times New Roman" w:eastAsia="Times New Roman" w:hAnsi="Times New Roman" w:cs="Times New Roman"/>
          <w:sz w:val="24"/>
          <w:szCs w:val="24"/>
          <w:lang w:val="en-CA" w:eastAsia="pt-BR"/>
        </w:rPr>
        <w:t xml:space="preserve"> However, these models apply better to relatively short – term periods thus a large body of the literature related to transportation and environmental </w:t>
      </w:r>
      <w:r w:rsidR="00511203" w:rsidRPr="00541C36">
        <w:rPr>
          <w:rFonts w:ascii="Times New Roman" w:eastAsia="Times New Roman" w:hAnsi="Times New Roman" w:cs="Times New Roman"/>
          <w:sz w:val="24"/>
          <w:szCs w:val="24"/>
          <w:lang w:val="en-CA" w:eastAsia="pt-BR"/>
        </w:rPr>
        <w:t>health</w:t>
      </w:r>
      <w:r w:rsidR="00511203" w:rsidRPr="00F33A42">
        <w:rPr>
          <w:rFonts w:ascii="Times New Roman" w:eastAsia="Times New Roman" w:hAnsi="Times New Roman" w:cs="Times New Roman"/>
          <w:sz w:val="24"/>
          <w:szCs w:val="24"/>
          <w:lang w:val="en-CA" w:eastAsia="pt-BR"/>
        </w:rPr>
        <w:t xml:space="preserve"> analyses has only reported estimated effec</w:t>
      </w:r>
      <w:r w:rsidR="007B084A" w:rsidRPr="001F566E">
        <w:rPr>
          <w:rFonts w:ascii="Times New Roman" w:eastAsia="Times New Roman" w:hAnsi="Times New Roman" w:cs="Times New Roman"/>
          <w:sz w:val="24"/>
          <w:szCs w:val="24"/>
          <w:lang w:val="en-CA" w:eastAsia="pt-BR"/>
        </w:rPr>
        <w:t>t</w:t>
      </w:r>
      <w:r w:rsidR="00511203" w:rsidRPr="001F566E">
        <w:rPr>
          <w:rFonts w:ascii="Times New Roman" w:eastAsia="Times New Roman" w:hAnsi="Times New Roman" w:cs="Times New Roman"/>
          <w:sz w:val="24"/>
          <w:szCs w:val="24"/>
          <w:lang w:val="en-CA" w:eastAsia="pt-BR"/>
        </w:rPr>
        <w:t>s for the next 5 – 20 years</w:t>
      </w:r>
      <w:r w:rsidR="00F74A91">
        <w:rPr>
          <w:rFonts w:ascii="Times New Roman" w:eastAsia="Times New Roman" w:hAnsi="Times New Roman" w:cs="Times New Roman"/>
          <w:sz w:val="24"/>
          <w:szCs w:val="24"/>
          <w:lang w:val="en-CA" w:eastAsia="pt-BR"/>
        </w:rPr>
        <w:t xml:space="preserve"> </w:t>
      </w:r>
      <w:r w:rsidR="00F74A91" w:rsidRPr="00F74A91">
        <w:rPr>
          <w:rFonts w:ascii="Times New Roman" w:eastAsia="Times New Roman" w:hAnsi="Times New Roman" w:cs="Times New Roman"/>
          <w:sz w:val="24"/>
          <w:szCs w:val="24"/>
          <w:lang w:val="en-CA" w:eastAsia="pt-BR"/>
        </w:rPr>
        <w:t>(Ma et al, 2015</w:t>
      </w:r>
      <w:r w:rsidR="00F26EF4">
        <w:rPr>
          <w:rFonts w:ascii="Times New Roman" w:eastAsia="Times New Roman" w:hAnsi="Times New Roman" w:cs="Times New Roman"/>
          <w:sz w:val="24"/>
          <w:szCs w:val="24"/>
          <w:lang w:val="en-CA" w:eastAsia="pt-BR"/>
        </w:rPr>
        <w:t>; Chatterjee and Gordon, 2006)</w:t>
      </w:r>
      <w:r w:rsidR="00511203" w:rsidRPr="00F33A42">
        <w:rPr>
          <w:rFonts w:ascii="Times New Roman" w:eastAsia="Times New Roman" w:hAnsi="Times New Roman" w:cs="Times New Roman"/>
          <w:sz w:val="24"/>
          <w:szCs w:val="24"/>
          <w:lang w:val="en-CA" w:eastAsia="pt-BR"/>
        </w:rPr>
        <w:t xml:space="preserve">. For example, </w:t>
      </w:r>
      <w:r w:rsidR="00511203" w:rsidRPr="00F33A42">
        <w:fldChar w:fldCharType="begin"/>
      </w:r>
      <w:r w:rsidR="00511203" w:rsidRPr="001F566E">
        <w:instrText>ADDIN CSL_CITATION { "citationItems" : [ { "id" : "ITEM-1", "itemData" : { "DOI" : "10.1016/j.trd.2014.11.011", "ISBN" : "1361-9209", "ISSN" : "13619209", "abstract" : "This study attempts to present an urban road transportation strategy focusing on the mitigation of both GHGs emission and public health damage, taking Xiamen City as a case study. We developed a Public Health and GHGs Emission model to estimate the impacts of direct energy-consumption-related GHGs emissions and public health damage in Xiamen's road transportation strategies from 2008 to 2025, considering the environmental benefits and economic costs. Two scenarios were designed to describe future transportation strategies for Xiamen City, and mitigation potentials for both GHGs emission and public health costs were estimated from 2008 to 2025 under a series of options. The results show that enacting controls on private vehicles would be most effective to GHGs mitigation, while enacting controls on government and rental vehicles would contribute the most to NO2and PM2.5 reductions. Compared with the Business as Usual scenario, the Integrated scenario would achieve about a 68% energy consumption reduction and save 0.23billionyuan (95% CI: 0.16, 0.32) in health costs in 2025. It is clear that integrated and advisable strategies need to mitigate the adverse impacts of urban road vehicles on GHGs emissions and public health and economic costs, particularly in regions of rapid urbanization.", "author" : [ { "dropping-particle" : "", "family" : "Xue", "given" : "Xiongzhi", "non-dropping-particle" : "", "parse-names" : false, "suffix" : "" }, { "dropping-particle" : "", "family" : "Ren", "given" : "Yan", "non-dropping-particle" : "", "parse-names" : false, "suffix" : "" }, { "dropping-particle" : "", "family" : "Cui", "given" : "Shenghui", "non-dropping-particle" : "", "parse-names" : false, "suffix" : "" }, { "dropping-particle" : "", "family" : "Lin", "given" : "Jianyi", "non-dropping-particle" : "", "parse-names" : false, "suffix" : "" }, { "dropping-particle" : "", "family" : "Huang", "given" : "Wei", "non-dropping-particle" : "", "parse-names" : false, "suffix" : "" }, { "dropping-particle" : "", "family" : "Zhou", "given" : "Jian", "non-dropping-particle" : "", "parse-names" : false, "suffix" : "" } ], "container-title" : "Transportation Research Part D: Transport and Environment", "id" : "ITEM-1", "issued" : { "date-parts" : [ [ "2015" ] ] }, "page" : "84-103", "publisher" : "Elsevier Ltd", "title" : "Integrated analysis of GHGs and public health damage mitigation for developing urban road transportation strategies", "type" : "article-journal", "volume" : "35" }, "uris" : [ "http://www.mendeley.com/documents/?uuid=865ceb0f-3eaf-473c-b63d-52c64378e6d1" ] } ], "mendeley" : { "formattedCitation" : "(Xue et al., 2015)", "manualFormatting" : "Xue et al. (2015)", "plainTextFormattedCitation" : "(Xue et al., 2015)", "previouslyFormattedCitation" : "(Xue et al., 2015)" }, "properties" : {  }, "schema" : "https://github.com/citation-style-language/schema/raw/master/csl-citation.json" }</w:instrText>
      </w:r>
      <w:r w:rsidR="00511203" w:rsidRPr="00F33A42">
        <w:fldChar w:fldCharType="separate"/>
      </w:r>
      <w:r w:rsidR="00511203" w:rsidRPr="00F33A42">
        <w:rPr>
          <w:rFonts w:ascii="Times New Roman" w:eastAsia="Times New Roman" w:hAnsi="Times New Roman" w:cs="Times New Roman"/>
          <w:sz w:val="24"/>
          <w:szCs w:val="24"/>
          <w:lang w:val="en-CA" w:eastAsia="pt-BR"/>
        </w:rPr>
        <w:t>Xue et al (2015)</w:t>
      </w:r>
      <w:r w:rsidR="00511203" w:rsidRPr="00F33A42">
        <w:fldChar w:fldCharType="end"/>
      </w:r>
      <w:r w:rsidR="00511203" w:rsidRPr="00F33A42">
        <w:rPr>
          <w:rFonts w:ascii="Times New Roman" w:eastAsia="Times New Roman" w:hAnsi="Times New Roman" w:cs="Times New Roman"/>
          <w:sz w:val="24"/>
          <w:szCs w:val="24"/>
          <w:lang w:val="en-CA" w:eastAsia="pt-BR"/>
        </w:rPr>
        <w:t xml:space="preserve"> assessed GHGs emission and public health impacts considering road transportation strategy scenarios from 2008 to 2025 in Xiamen, China.</w:t>
      </w:r>
      <w:r w:rsidR="007B084A" w:rsidRPr="00F33A42">
        <w:rPr>
          <w:rFonts w:ascii="Times New Roman" w:eastAsia="Times New Roman" w:hAnsi="Times New Roman" w:cs="Times New Roman"/>
          <w:sz w:val="24"/>
          <w:szCs w:val="24"/>
          <w:lang w:val="en-CA" w:eastAsia="pt-BR"/>
        </w:rPr>
        <w:t xml:space="preserve"> </w:t>
      </w:r>
      <w:r w:rsidR="008658A3" w:rsidRPr="001F566E">
        <w:rPr>
          <w:rFonts w:ascii="Times New Roman" w:eastAsia="Times New Roman" w:hAnsi="Times New Roman" w:cs="Times New Roman"/>
          <w:sz w:val="24"/>
          <w:szCs w:val="24"/>
          <w:lang w:val="en-CA" w:eastAsia="pt-BR"/>
        </w:rPr>
        <w:t xml:space="preserve">Woodcock et al </w:t>
      </w:r>
      <w:r w:rsidR="00F26EF4">
        <w:rPr>
          <w:rFonts w:ascii="Times New Roman" w:eastAsia="Times New Roman" w:hAnsi="Times New Roman" w:cs="Times New Roman"/>
          <w:sz w:val="24"/>
          <w:szCs w:val="24"/>
          <w:lang w:val="en-CA" w:eastAsia="pt-BR"/>
        </w:rPr>
        <w:t>(</w:t>
      </w:r>
      <w:r w:rsidR="008658A3" w:rsidRPr="001F566E">
        <w:rPr>
          <w:rFonts w:ascii="Times New Roman" w:eastAsia="Times New Roman" w:hAnsi="Times New Roman" w:cs="Times New Roman"/>
          <w:sz w:val="24"/>
          <w:szCs w:val="24"/>
          <w:lang w:val="en-CA" w:eastAsia="pt-BR"/>
        </w:rPr>
        <w:t>2009</w:t>
      </w:r>
      <w:r w:rsidR="00F26EF4">
        <w:rPr>
          <w:rFonts w:ascii="Times New Roman" w:eastAsia="Times New Roman" w:hAnsi="Times New Roman" w:cs="Times New Roman"/>
          <w:sz w:val="24"/>
          <w:szCs w:val="24"/>
          <w:lang w:val="en-CA" w:eastAsia="pt-BR"/>
        </w:rPr>
        <w:t>)</w:t>
      </w:r>
      <w:r w:rsidR="008658A3" w:rsidRPr="001F566E">
        <w:rPr>
          <w:rFonts w:ascii="Times New Roman" w:eastAsia="Times New Roman" w:hAnsi="Times New Roman" w:cs="Times New Roman"/>
          <w:sz w:val="24"/>
          <w:szCs w:val="24"/>
          <w:lang w:val="en-CA" w:eastAsia="pt-BR"/>
        </w:rPr>
        <w:t xml:space="preserve"> </w:t>
      </w:r>
      <w:r w:rsidR="00511203" w:rsidRPr="001F566E">
        <w:rPr>
          <w:rFonts w:ascii="Times New Roman" w:eastAsia="Times New Roman" w:hAnsi="Times New Roman" w:cs="Times New Roman"/>
          <w:sz w:val="24"/>
          <w:szCs w:val="24"/>
          <w:lang w:val="en-CA" w:eastAsia="pt-BR"/>
        </w:rPr>
        <w:t>estimated health effects of alternative urban land transportation scenarios for 2030 in London and Delhi.</w:t>
      </w:r>
      <w:r w:rsidR="00D17F92">
        <w:rPr>
          <w:rFonts w:ascii="Times New Roman" w:eastAsia="Times New Roman" w:hAnsi="Times New Roman" w:cs="Times New Roman"/>
          <w:sz w:val="24"/>
          <w:szCs w:val="24"/>
          <w:lang w:val="en-CA" w:eastAsia="pt-BR"/>
        </w:rPr>
        <w:t xml:space="preserve"> Nicholas et al (2019) estimated the </w:t>
      </w:r>
      <w:r w:rsidR="00D17F92" w:rsidRPr="00D17F92">
        <w:rPr>
          <w:rFonts w:ascii="Times New Roman" w:eastAsia="Times New Roman" w:hAnsi="Times New Roman" w:cs="Times New Roman"/>
          <w:sz w:val="24"/>
          <w:szCs w:val="24"/>
          <w:lang w:val="en-CA" w:eastAsia="pt-BR"/>
        </w:rPr>
        <w:t>health impacts of the Los Angeles Mobility Plan 2035</w:t>
      </w:r>
      <w:r w:rsidR="00D17F92">
        <w:rPr>
          <w:rFonts w:ascii="Times New Roman" w:eastAsia="Times New Roman" w:hAnsi="Times New Roman" w:cs="Times New Roman"/>
          <w:sz w:val="24"/>
          <w:szCs w:val="24"/>
          <w:lang w:val="en-CA" w:eastAsia="pt-BR"/>
        </w:rPr>
        <w:t>.</w:t>
      </w:r>
      <w:r w:rsidR="00511203" w:rsidRPr="00D17F92">
        <w:rPr>
          <w:rFonts w:ascii="Times New Roman" w:eastAsia="Times New Roman" w:hAnsi="Times New Roman" w:cs="Times New Roman"/>
          <w:sz w:val="24"/>
          <w:szCs w:val="24"/>
          <w:lang w:val="en-CA" w:eastAsia="pt-BR"/>
        </w:rPr>
        <w:t xml:space="preserve"> </w:t>
      </w:r>
    </w:p>
    <w:p w14:paraId="68CEB5E5" w14:textId="77777777" w:rsidR="00511203" w:rsidRPr="001F566E" w:rsidRDefault="00511203" w:rsidP="00890789">
      <w:pPr>
        <w:spacing w:after="0" w:line="480" w:lineRule="auto"/>
        <w:ind w:firstLine="720"/>
        <w:jc w:val="both"/>
        <w:rPr>
          <w:rFonts w:ascii="Times New Roman" w:eastAsia="Times New Roman" w:hAnsi="Times New Roman" w:cs="Times New Roman"/>
          <w:sz w:val="24"/>
          <w:szCs w:val="24"/>
          <w:lang w:val="en-CA" w:eastAsia="pt-BR"/>
        </w:rPr>
      </w:pPr>
    </w:p>
    <w:p w14:paraId="5D24F924" w14:textId="77777777" w:rsidR="00511203" w:rsidRPr="001F566E" w:rsidRDefault="00511203" w:rsidP="00890789">
      <w:pPr>
        <w:spacing w:after="0" w:line="480" w:lineRule="auto"/>
        <w:jc w:val="both"/>
      </w:pPr>
      <w:r w:rsidRPr="001F566E">
        <w:rPr>
          <w:rFonts w:ascii="Times New Roman" w:eastAsia="Times New Roman" w:hAnsi="Times New Roman" w:cs="Times New Roman"/>
          <w:sz w:val="24"/>
          <w:szCs w:val="24"/>
          <w:lang w:val="en-CA" w:eastAsia="pt-BR"/>
        </w:rPr>
        <w:t>To our knowledge,</w:t>
      </w:r>
      <w:r w:rsidRPr="001F566E">
        <w:rPr>
          <w:rFonts w:ascii="Times New Roman" w:hAnsi="Times New Roman" w:cs="Times New Roman"/>
          <w:sz w:val="24"/>
          <w:szCs w:val="24"/>
        </w:rPr>
        <w:t xml:space="preserve"> few investigations </w:t>
      </w:r>
      <w:r w:rsidRPr="001F566E">
        <w:rPr>
          <w:rFonts w:ascii="Times New Roman" w:eastAsia="Times New Roman" w:hAnsi="Times New Roman" w:cs="Times New Roman"/>
          <w:sz w:val="24"/>
          <w:szCs w:val="24"/>
          <w:lang w:eastAsia="pt-BR"/>
        </w:rPr>
        <w:t xml:space="preserve">have accounted for long-term </w:t>
      </w:r>
      <w:r w:rsidR="001D60A8" w:rsidRPr="001F566E">
        <w:rPr>
          <w:rFonts w:ascii="Times New Roman" w:eastAsia="Times New Roman" w:hAnsi="Times New Roman" w:cs="Times New Roman"/>
          <w:sz w:val="24"/>
          <w:szCs w:val="24"/>
          <w:lang w:eastAsia="pt-BR"/>
        </w:rPr>
        <w:t xml:space="preserve">land use and transportation </w:t>
      </w:r>
      <w:r w:rsidRPr="001F566E">
        <w:rPr>
          <w:rFonts w:ascii="Times New Roman" w:eastAsia="Times New Roman" w:hAnsi="Times New Roman" w:cs="Times New Roman"/>
          <w:sz w:val="24"/>
          <w:szCs w:val="24"/>
          <w:lang w:eastAsia="pt-BR"/>
        </w:rPr>
        <w:t>scenario</w:t>
      </w:r>
      <w:r w:rsidR="001D60A8" w:rsidRPr="001F566E">
        <w:rPr>
          <w:rFonts w:ascii="Times New Roman" w:eastAsia="Times New Roman" w:hAnsi="Times New Roman" w:cs="Times New Roman"/>
          <w:sz w:val="24"/>
          <w:szCs w:val="24"/>
          <w:lang w:eastAsia="pt-BR"/>
        </w:rPr>
        <w:t>s</w:t>
      </w:r>
      <w:r w:rsidRPr="001F566E">
        <w:rPr>
          <w:rFonts w:ascii="Times New Roman" w:eastAsia="Times New Roman" w:hAnsi="Times New Roman" w:cs="Times New Roman"/>
          <w:sz w:val="24"/>
          <w:szCs w:val="24"/>
          <w:lang w:eastAsia="pt-BR"/>
        </w:rPr>
        <w:t xml:space="preserve"> – estimates for more than 20 years</w:t>
      </w:r>
      <w:r w:rsidR="00D95773" w:rsidRPr="001F566E">
        <w:rPr>
          <w:rFonts w:ascii="Times New Roman" w:eastAsia="Times New Roman" w:hAnsi="Times New Roman" w:cs="Times New Roman"/>
          <w:sz w:val="24"/>
          <w:szCs w:val="24"/>
          <w:lang w:eastAsia="pt-BR"/>
        </w:rPr>
        <w:t>,</w:t>
      </w:r>
      <w:r w:rsidRPr="001F566E">
        <w:rPr>
          <w:rFonts w:ascii="Times New Roman" w:eastAsia="Times New Roman" w:hAnsi="Times New Roman" w:cs="Times New Roman"/>
          <w:sz w:val="24"/>
          <w:szCs w:val="24"/>
          <w:lang w:eastAsia="pt-BR"/>
        </w:rPr>
        <w:t xml:space="preserve"> </w:t>
      </w:r>
      <w:r w:rsidR="00D95773" w:rsidRPr="001F566E">
        <w:rPr>
          <w:rFonts w:ascii="Times New Roman" w:eastAsia="Times New Roman" w:hAnsi="Times New Roman" w:cs="Times New Roman"/>
          <w:sz w:val="24"/>
          <w:szCs w:val="24"/>
          <w:lang w:eastAsia="pt-BR"/>
        </w:rPr>
        <w:t xml:space="preserve">likely </w:t>
      </w:r>
      <w:r w:rsidRPr="001F566E">
        <w:rPr>
          <w:rFonts w:ascii="Times New Roman" w:hAnsi="Times New Roman" w:cs="Times New Roman"/>
          <w:sz w:val="24"/>
          <w:szCs w:val="24"/>
        </w:rPr>
        <w:t xml:space="preserve">due to the greater uncertainty related to such an exercise. Long-term forecasting necessarily relies on highly simplified assumptions (and increasing uncertainty with time) and only broad </w:t>
      </w:r>
      <w:r w:rsidR="00E67721" w:rsidRPr="001F566E">
        <w:rPr>
          <w:rFonts w:ascii="Times New Roman" w:hAnsi="Times New Roman" w:cs="Times New Roman"/>
          <w:sz w:val="24"/>
          <w:szCs w:val="24"/>
        </w:rPr>
        <w:t xml:space="preserve">trends </w:t>
      </w:r>
      <w:r w:rsidRPr="001F566E">
        <w:rPr>
          <w:rFonts w:ascii="Times New Roman" w:hAnsi="Times New Roman" w:cs="Times New Roman"/>
          <w:sz w:val="24"/>
          <w:szCs w:val="24"/>
        </w:rPr>
        <w:t xml:space="preserve">from such exercises can be expected. Nonetheless, </w:t>
      </w:r>
      <w:r w:rsidRPr="001F566E">
        <w:rPr>
          <w:rFonts w:ascii="Times New Roman" w:eastAsia="Times New Roman" w:hAnsi="Times New Roman" w:cs="Times New Roman"/>
          <w:sz w:val="24"/>
          <w:szCs w:val="24"/>
          <w:lang w:val="en-CA" w:eastAsia="pt-BR"/>
        </w:rPr>
        <w:t xml:space="preserve">modelling scenarios for a distant future offers the possibility of assessing the effects of societal </w:t>
      </w:r>
      <w:r w:rsidR="00E67721" w:rsidRPr="001F566E">
        <w:rPr>
          <w:rFonts w:ascii="Times New Roman" w:eastAsia="Times New Roman" w:hAnsi="Times New Roman" w:cs="Times New Roman"/>
          <w:sz w:val="24"/>
          <w:szCs w:val="24"/>
          <w:lang w:val="en-CA" w:eastAsia="pt-BR"/>
        </w:rPr>
        <w:t xml:space="preserve">transformations </w:t>
      </w:r>
      <w:r w:rsidRPr="001F566E">
        <w:rPr>
          <w:rFonts w:ascii="Times New Roman" w:eastAsia="Times New Roman" w:hAnsi="Times New Roman" w:cs="Times New Roman"/>
          <w:sz w:val="24"/>
          <w:szCs w:val="24"/>
          <w:lang w:val="en-CA" w:eastAsia="pt-BR"/>
        </w:rPr>
        <w:t>that may affect mobility</w:t>
      </w:r>
      <w:r w:rsidR="001D60A8" w:rsidRPr="001F566E">
        <w:rPr>
          <w:rFonts w:ascii="Times New Roman" w:eastAsia="Times New Roman" w:hAnsi="Times New Roman" w:cs="Times New Roman"/>
          <w:sz w:val="24"/>
          <w:szCs w:val="24"/>
          <w:lang w:val="en-CA" w:eastAsia="pt-BR"/>
        </w:rPr>
        <w:t xml:space="preserve"> and health</w:t>
      </w:r>
      <w:r w:rsidR="00CB60D6" w:rsidRPr="001F566E">
        <w:rPr>
          <w:rFonts w:ascii="Times New Roman" w:eastAsia="Times New Roman" w:hAnsi="Times New Roman" w:cs="Times New Roman"/>
          <w:sz w:val="24"/>
          <w:szCs w:val="24"/>
          <w:lang w:val="en-CA" w:eastAsia="pt-BR"/>
        </w:rPr>
        <w:t xml:space="preserve"> such as</w:t>
      </w:r>
      <w:r w:rsidRPr="001F566E">
        <w:rPr>
          <w:rFonts w:ascii="Times New Roman" w:eastAsia="Times New Roman" w:hAnsi="Times New Roman" w:cs="Times New Roman"/>
          <w:sz w:val="24"/>
          <w:szCs w:val="24"/>
          <w:lang w:val="en-CA" w:eastAsia="pt-BR"/>
        </w:rPr>
        <w:t xml:space="preserve"> the aging of the population</w:t>
      </w:r>
      <w:r w:rsidR="005F23E4" w:rsidRPr="001F566E">
        <w:rPr>
          <w:rFonts w:ascii="Times New Roman" w:eastAsia="Times New Roman" w:hAnsi="Times New Roman" w:cs="Times New Roman"/>
          <w:sz w:val="24"/>
          <w:szCs w:val="24"/>
          <w:lang w:val="en-CA" w:eastAsia="pt-BR"/>
        </w:rPr>
        <w:t xml:space="preserve"> and its growth</w:t>
      </w:r>
      <w:r w:rsidRPr="001F566E">
        <w:rPr>
          <w:rFonts w:ascii="Times New Roman" w:eastAsia="Times New Roman" w:hAnsi="Times New Roman" w:cs="Times New Roman"/>
          <w:sz w:val="24"/>
          <w:szCs w:val="24"/>
          <w:lang w:val="en-CA" w:eastAsia="pt-BR"/>
        </w:rPr>
        <w:t xml:space="preserve">, urban sprawl or densification, </w:t>
      </w:r>
      <w:r w:rsidR="001D60A8" w:rsidRPr="001F566E">
        <w:rPr>
          <w:rFonts w:ascii="Times New Roman" w:eastAsia="Times New Roman" w:hAnsi="Times New Roman" w:cs="Times New Roman"/>
          <w:sz w:val="24"/>
          <w:szCs w:val="24"/>
          <w:lang w:val="en-CA" w:eastAsia="pt-BR"/>
        </w:rPr>
        <w:t xml:space="preserve">technological (e.g., electrification or automated vehicles) and </w:t>
      </w:r>
      <w:r w:rsidR="005F23E4" w:rsidRPr="001F566E">
        <w:rPr>
          <w:rFonts w:ascii="Times New Roman" w:eastAsia="Times New Roman" w:hAnsi="Times New Roman" w:cs="Times New Roman"/>
          <w:sz w:val="24"/>
          <w:szCs w:val="24"/>
          <w:lang w:val="en-CA" w:eastAsia="pt-BR"/>
        </w:rPr>
        <w:t xml:space="preserve">behavioral </w:t>
      </w:r>
      <w:r w:rsidR="001D60A8" w:rsidRPr="001F566E">
        <w:rPr>
          <w:rFonts w:ascii="Times New Roman" w:eastAsia="Times New Roman" w:hAnsi="Times New Roman" w:cs="Times New Roman"/>
          <w:sz w:val="24"/>
          <w:szCs w:val="24"/>
          <w:lang w:val="en-CA" w:eastAsia="pt-BR"/>
        </w:rPr>
        <w:t xml:space="preserve">changes </w:t>
      </w:r>
      <w:r w:rsidR="005F23E4" w:rsidRPr="001F566E">
        <w:rPr>
          <w:rFonts w:ascii="Times New Roman" w:eastAsia="Times New Roman" w:hAnsi="Times New Roman" w:cs="Times New Roman"/>
          <w:sz w:val="24"/>
          <w:szCs w:val="24"/>
          <w:lang w:val="en-CA" w:eastAsia="pt-BR"/>
        </w:rPr>
        <w:t xml:space="preserve">(ex. </w:t>
      </w:r>
      <w:r w:rsidRPr="001F566E">
        <w:rPr>
          <w:rFonts w:ascii="Times New Roman" w:eastAsia="Times New Roman" w:hAnsi="Times New Roman" w:cs="Times New Roman"/>
          <w:sz w:val="24"/>
          <w:szCs w:val="24"/>
          <w:lang w:val="en-CA" w:eastAsia="pt-BR"/>
        </w:rPr>
        <w:t>increased working from home</w:t>
      </w:r>
      <w:r w:rsidR="005F23E4" w:rsidRPr="001F566E">
        <w:rPr>
          <w:rFonts w:ascii="Times New Roman" w:eastAsia="Times New Roman" w:hAnsi="Times New Roman" w:cs="Times New Roman"/>
          <w:sz w:val="24"/>
          <w:szCs w:val="24"/>
          <w:lang w:val="en-CA" w:eastAsia="pt-BR"/>
        </w:rPr>
        <w:t>)</w:t>
      </w:r>
      <w:r w:rsidRPr="001F566E">
        <w:rPr>
          <w:rFonts w:ascii="Times New Roman" w:eastAsia="Times New Roman" w:hAnsi="Times New Roman" w:cs="Times New Roman"/>
          <w:sz w:val="24"/>
          <w:szCs w:val="24"/>
          <w:lang w:val="en-CA" w:eastAsia="pt-BR"/>
        </w:rPr>
        <w:t xml:space="preserve">. </w:t>
      </w:r>
    </w:p>
    <w:p w14:paraId="6E76C9F2" w14:textId="77777777" w:rsidR="00511203" w:rsidRPr="001F566E" w:rsidRDefault="00511203" w:rsidP="00890789">
      <w:pPr>
        <w:spacing w:after="0" w:line="480" w:lineRule="auto"/>
        <w:ind w:firstLine="720"/>
        <w:jc w:val="both"/>
      </w:pPr>
    </w:p>
    <w:p w14:paraId="5E2E2A05" w14:textId="77777777" w:rsidR="00511203" w:rsidRPr="001F566E" w:rsidRDefault="00511203" w:rsidP="00890789">
      <w:pPr>
        <w:spacing w:after="0" w:line="480" w:lineRule="auto"/>
        <w:jc w:val="both"/>
      </w:pPr>
      <w:r w:rsidRPr="001F566E">
        <w:rPr>
          <w:rFonts w:ascii="Times New Roman" w:hAnsi="Times New Roman" w:cs="Times New Roman"/>
          <w:sz w:val="24"/>
          <w:szCs w:val="24"/>
        </w:rPr>
        <w:t xml:space="preserve">In this study, we assessed both the adverse impacts and the health benefits associated with transportation mode, land use and </w:t>
      </w:r>
      <w:r w:rsidR="00687729" w:rsidRPr="001F566E">
        <w:rPr>
          <w:rFonts w:ascii="Times New Roman" w:hAnsi="Times New Roman" w:cs="Times New Roman"/>
          <w:sz w:val="24"/>
          <w:szCs w:val="24"/>
        </w:rPr>
        <w:t xml:space="preserve">fleet </w:t>
      </w:r>
      <w:r w:rsidRPr="001F566E">
        <w:rPr>
          <w:rFonts w:ascii="Times New Roman" w:hAnsi="Times New Roman" w:cs="Times New Roman"/>
          <w:sz w:val="24"/>
          <w:szCs w:val="24"/>
        </w:rPr>
        <w:t xml:space="preserve">emission scenarios in the </w:t>
      </w:r>
      <w:r w:rsidR="00B43B21" w:rsidRPr="001F566E">
        <w:rPr>
          <w:rFonts w:ascii="Times New Roman" w:hAnsi="Times New Roman" w:cs="Times New Roman"/>
          <w:sz w:val="24"/>
          <w:szCs w:val="24"/>
        </w:rPr>
        <w:t>Greater Montreal Region (GMR)</w:t>
      </w:r>
      <w:r w:rsidR="003911A6" w:rsidRPr="001F566E">
        <w:rPr>
          <w:rFonts w:ascii="Times New Roman" w:hAnsi="Times New Roman" w:cs="Times New Roman"/>
          <w:sz w:val="24"/>
          <w:szCs w:val="24"/>
        </w:rPr>
        <w:t xml:space="preserve"> </w:t>
      </w:r>
      <w:r w:rsidRPr="001F566E">
        <w:rPr>
          <w:rFonts w:ascii="Times New Roman" w:hAnsi="Times New Roman" w:cs="Times New Roman"/>
          <w:sz w:val="24"/>
          <w:szCs w:val="24"/>
        </w:rPr>
        <w:t xml:space="preserve">in </w:t>
      </w:r>
      <w:r w:rsidR="00F46BD2">
        <w:rPr>
          <w:rFonts w:ascii="Times New Roman" w:hAnsi="Times New Roman" w:cs="Times New Roman"/>
          <w:sz w:val="24"/>
          <w:szCs w:val="24"/>
        </w:rPr>
        <w:t xml:space="preserve">year </w:t>
      </w:r>
      <w:r w:rsidRPr="001F566E">
        <w:rPr>
          <w:rFonts w:ascii="Times New Roman" w:hAnsi="Times New Roman" w:cs="Times New Roman"/>
          <w:sz w:val="24"/>
          <w:szCs w:val="24"/>
        </w:rPr>
        <w:t>2061</w:t>
      </w:r>
      <w:r w:rsidR="00F46BD2">
        <w:rPr>
          <w:rFonts w:ascii="Times New Roman" w:hAnsi="Times New Roman" w:cs="Times New Roman"/>
          <w:sz w:val="24"/>
          <w:szCs w:val="24"/>
        </w:rPr>
        <w:t xml:space="preserve"> (Y2061)</w:t>
      </w:r>
      <w:r w:rsidRPr="001F566E">
        <w:rPr>
          <w:rFonts w:ascii="Times New Roman" w:hAnsi="Times New Roman" w:cs="Times New Roman"/>
          <w:sz w:val="24"/>
          <w:szCs w:val="24"/>
        </w:rPr>
        <w:t xml:space="preserve">. Specifically, we considered negative impacts </w:t>
      </w:r>
      <w:r w:rsidR="001D60A8" w:rsidRPr="001F566E">
        <w:rPr>
          <w:rFonts w:ascii="Times New Roman" w:hAnsi="Times New Roman" w:cs="Times New Roman"/>
          <w:sz w:val="24"/>
          <w:szCs w:val="24"/>
        </w:rPr>
        <w:t xml:space="preserve">at the place of residence, </w:t>
      </w:r>
      <w:r w:rsidRPr="001F566E">
        <w:rPr>
          <w:rFonts w:ascii="Times New Roman" w:hAnsi="Times New Roman" w:cs="Times New Roman"/>
          <w:sz w:val="24"/>
          <w:szCs w:val="24"/>
        </w:rPr>
        <w:t xml:space="preserve">related to vehicle road trips on pedestrian/cyclists and vehicle occupant injuries, as well as morbidity and mortality impacts due to </w:t>
      </w:r>
      <w:r w:rsidR="001D60A8" w:rsidRPr="001F566E">
        <w:rPr>
          <w:rFonts w:ascii="Times New Roman" w:hAnsi="Times New Roman" w:cs="Times New Roman"/>
          <w:sz w:val="24"/>
          <w:szCs w:val="24"/>
        </w:rPr>
        <w:t xml:space="preserve">residential </w:t>
      </w:r>
      <w:r w:rsidRPr="001F566E">
        <w:rPr>
          <w:rFonts w:ascii="Times New Roman" w:hAnsi="Times New Roman" w:cs="Times New Roman"/>
          <w:sz w:val="24"/>
          <w:szCs w:val="24"/>
        </w:rPr>
        <w:t xml:space="preserve">air pollution, and the health benefits linked to active transportation. We also assessed changes in impacts from </w:t>
      </w:r>
      <w:r w:rsidR="00F46BD2">
        <w:rPr>
          <w:rFonts w:ascii="Times New Roman" w:hAnsi="Times New Roman" w:cs="Times New Roman"/>
          <w:sz w:val="24"/>
          <w:szCs w:val="24"/>
        </w:rPr>
        <w:t>Y</w:t>
      </w:r>
      <w:r w:rsidRPr="001F566E">
        <w:rPr>
          <w:rFonts w:ascii="Times New Roman" w:hAnsi="Times New Roman" w:cs="Times New Roman"/>
          <w:sz w:val="24"/>
          <w:szCs w:val="24"/>
        </w:rPr>
        <w:t xml:space="preserve">2031 to </w:t>
      </w:r>
      <w:r w:rsidR="00F46BD2">
        <w:rPr>
          <w:rFonts w:ascii="Times New Roman" w:hAnsi="Times New Roman" w:cs="Times New Roman"/>
          <w:sz w:val="24"/>
          <w:szCs w:val="24"/>
        </w:rPr>
        <w:t>Y</w:t>
      </w:r>
      <w:r w:rsidRPr="001F566E">
        <w:rPr>
          <w:rFonts w:ascii="Times New Roman" w:hAnsi="Times New Roman" w:cs="Times New Roman"/>
          <w:sz w:val="24"/>
          <w:szCs w:val="24"/>
        </w:rPr>
        <w:t>2061.</w:t>
      </w:r>
    </w:p>
    <w:p w14:paraId="2C0EEB3E" w14:textId="77777777" w:rsidR="003770AC" w:rsidRPr="001F566E" w:rsidRDefault="003770AC" w:rsidP="00890789">
      <w:pPr>
        <w:spacing w:after="0" w:line="480" w:lineRule="auto"/>
        <w:jc w:val="both"/>
        <w:rPr>
          <w:rFonts w:ascii="Times New Roman" w:hAnsi="Times New Roman" w:cs="Times New Roman"/>
          <w:sz w:val="24"/>
          <w:szCs w:val="24"/>
        </w:rPr>
      </w:pPr>
    </w:p>
    <w:p w14:paraId="536372CD" w14:textId="77777777" w:rsidR="00511203" w:rsidRPr="001F566E" w:rsidRDefault="00511203" w:rsidP="00890789">
      <w:pPr>
        <w:spacing w:after="0" w:line="480" w:lineRule="auto"/>
        <w:jc w:val="both"/>
      </w:pPr>
      <w:r w:rsidRPr="001F566E">
        <w:rPr>
          <w:rFonts w:ascii="Times New Roman" w:hAnsi="Times New Roman" w:cs="Times New Roman"/>
          <w:b/>
          <w:sz w:val="24"/>
          <w:szCs w:val="24"/>
        </w:rPr>
        <w:t>2. METHODS</w:t>
      </w:r>
    </w:p>
    <w:p w14:paraId="2938150A" w14:textId="77777777" w:rsidR="00511203" w:rsidRPr="001F566E" w:rsidRDefault="00511203" w:rsidP="00890789">
      <w:pPr>
        <w:spacing w:after="0" w:line="480" w:lineRule="auto"/>
        <w:jc w:val="both"/>
      </w:pPr>
      <w:r w:rsidRPr="001F566E">
        <w:rPr>
          <w:rFonts w:ascii="Times New Roman" w:hAnsi="Times New Roman" w:cs="Times New Roman"/>
          <w:b/>
          <w:sz w:val="24"/>
          <w:szCs w:val="24"/>
        </w:rPr>
        <w:t>2.1 Study area</w:t>
      </w:r>
    </w:p>
    <w:p w14:paraId="678BF00E" w14:textId="77777777" w:rsidR="00511203" w:rsidRPr="001F566E" w:rsidRDefault="00511203" w:rsidP="00890789">
      <w:pPr>
        <w:spacing w:after="0" w:line="480" w:lineRule="auto"/>
        <w:jc w:val="both"/>
      </w:pPr>
      <w:r w:rsidRPr="001F566E">
        <w:rPr>
          <w:rFonts w:ascii="Times New Roman" w:hAnsi="Times New Roman" w:cs="Times New Roman"/>
          <w:sz w:val="24"/>
          <w:szCs w:val="24"/>
        </w:rPr>
        <w:t>The study was carried out in the GMR, which is the second largest urban region in Canada</w:t>
      </w:r>
      <w:r w:rsidR="000B0FB1" w:rsidRPr="001F566E">
        <w:rPr>
          <w:rFonts w:ascii="Times New Roman" w:hAnsi="Times New Roman" w:cs="Times New Roman"/>
          <w:sz w:val="24"/>
          <w:szCs w:val="24"/>
        </w:rPr>
        <w:t>, after Toronto,</w:t>
      </w:r>
      <w:r w:rsidRPr="001F566E">
        <w:rPr>
          <w:rFonts w:ascii="Times New Roman" w:hAnsi="Times New Roman" w:cs="Times New Roman"/>
          <w:sz w:val="24"/>
          <w:szCs w:val="24"/>
        </w:rPr>
        <w:t xml:space="preserve"> and located in southern Quebec. </w:t>
      </w:r>
      <w:r w:rsidR="00B07BE3">
        <w:rPr>
          <w:rFonts w:ascii="Times New Roman" w:hAnsi="Times New Roman" w:cs="Times New Roman"/>
          <w:sz w:val="24"/>
          <w:szCs w:val="24"/>
        </w:rPr>
        <w:t xml:space="preserve">The </w:t>
      </w:r>
      <w:r w:rsidR="001B01AB">
        <w:rPr>
          <w:rFonts w:ascii="Times New Roman" w:hAnsi="Times New Roman" w:cs="Times New Roman"/>
          <w:sz w:val="24"/>
          <w:szCs w:val="24"/>
        </w:rPr>
        <w:t xml:space="preserve">GMR is defined for </w:t>
      </w:r>
      <w:r w:rsidR="00B07BE3" w:rsidRPr="00B07BE3">
        <w:rPr>
          <w:rFonts w:ascii="Times New Roman" w:hAnsi="Times New Roman" w:cs="Times New Roman"/>
          <w:sz w:val="24"/>
          <w:szCs w:val="24"/>
        </w:rPr>
        <w:t>transportation planning purposes</w:t>
      </w:r>
      <w:r w:rsidR="001B01AB">
        <w:rPr>
          <w:rFonts w:ascii="Times New Roman" w:hAnsi="Times New Roman" w:cs="Times New Roman"/>
          <w:sz w:val="24"/>
          <w:szCs w:val="24"/>
        </w:rPr>
        <w:t xml:space="preserve"> and covers </w:t>
      </w:r>
      <w:r w:rsidR="001B01AB" w:rsidRPr="00B07BE3">
        <w:rPr>
          <w:rFonts w:ascii="Times New Roman" w:hAnsi="Times New Roman" w:cs="Times New Roman"/>
          <w:sz w:val="24"/>
          <w:szCs w:val="24"/>
        </w:rPr>
        <w:t>8 327 km</w:t>
      </w:r>
      <w:r w:rsidR="001B01AB" w:rsidRPr="00270D39">
        <w:rPr>
          <w:rFonts w:ascii="Times New Roman" w:hAnsi="Times New Roman" w:cs="Times New Roman"/>
          <w:sz w:val="24"/>
          <w:szCs w:val="24"/>
          <w:vertAlign w:val="superscript"/>
        </w:rPr>
        <w:t>2</w:t>
      </w:r>
      <w:r w:rsidR="001B01AB" w:rsidRPr="00B07BE3">
        <w:rPr>
          <w:rFonts w:ascii="Times New Roman" w:hAnsi="Times New Roman" w:cs="Times New Roman"/>
          <w:sz w:val="24"/>
          <w:szCs w:val="24"/>
        </w:rPr>
        <w:t xml:space="preserve"> </w:t>
      </w:r>
      <w:r w:rsidR="001B01AB">
        <w:rPr>
          <w:rFonts w:ascii="Times New Roman" w:hAnsi="Times New Roman" w:cs="Times New Roman"/>
          <w:sz w:val="24"/>
          <w:szCs w:val="24"/>
        </w:rPr>
        <w:t xml:space="preserve">(AMT, 2010). </w:t>
      </w:r>
      <w:r w:rsidRPr="001F566E">
        <w:rPr>
          <w:rFonts w:ascii="Times New Roman" w:hAnsi="Times New Roman" w:cs="Times New Roman"/>
          <w:sz w:val="24"/>
          <w:szCs w:val="24"/>
        </w:rPr>
        <w:t>The population in the GMR is estimated to be over 4 million people in 2016, representing approximately 10% of the Canadian population</w:t>
      </w:r>
      <w:r w:rsidR="006D0551" w:rsidRPr="001F566E">
        <w:rPr>
          <w:rFonts w:ascii="Times New Roman" w:hAnsi="Times New Roman" w:cs="Times New Roman"/>
          <w:sz w:val="24"/>
          <w:szCs w:val="24"/>
        </w:rPr>
        <w:t xml:space="preserve"> </w:t>
      </w:r>
      <w:r w:rsidRPr="00F33A42">
        <w:fldChar w:fldCharType="begin"/>
      </w:r>
      <w:r w:rsidRPr="001F566E">
        <w:instrText>ADDIN CSL_CITATION { "citationItems" : [ { "id" : "ITEM-1", "itemData" : { "URL" : "http://www.statcan.gc.ca/eng/start", "accessed" : { "date-parts" : [ [ "2016", "8", "8" ] ] }, "author" : [ { "dropping-particle" : "", "family" : "SC", "given" : "", "non-dropping-particle" : "", "parse-names" : false, "suffix" : "" } ], "container-title" : "Statistics Canada", "id" : "ITEM-1", "issued" : { "date-parts" : [ [ "2016" ] ] }, "title" : "Statistics Canada", "type" : "webpage" }, "uris" : [ "http://www.mendeley.com/documents/?uuid=83942716-3510-43ac-a9e1-a681fe0a99d0", "http://www.mendeley.com/documents/?uuid=5e874239-3e6f-4a04-b0fe-6662f352d9d6" ] } ], "mendeley" : { "formattedCitation" : "(SC, 2016)", "plainTextFormattedCitation" : "(SC, 2016)", "previouslyFormattedCitation" : "(SC, 2016)" }, "properties" : {  }, "schema" : "https://github.com/citation-style-language/schema/raw/master/csl-citation.json" }</w:instrText>
      </w:r>
      <w:r w:rsidRPr="00F33A42">
        <w:fldChar w:fldCharType="separate"/>
      </w:r>
      <w:r w:rsidRPr="00F33A42">
        <w:rPr>
          <w:rFonts w:ascii="Times New Roman" w:hAnsi="Times New Roman" w:cs="Times New Roman"/>
          <w:sz w:val="24"/>
          <w:szCs w:val="24"/>
        </w:rPr>
        <w:t>(</w:t>
      </w:r>
      <w:r w:rsidRPr="001F566E">
        <w:rPr>
          <w:rFonts w:ascii="Times New Roman" w:hAnsi="Times New Roman" w:cs="Times New Roman"/>
          <w:sz w:val="24"/>
          <w:szCs w:val="24"/>
        </w:rPr>
        <w:t>S</w:t>
      </w:r>
      <w:r w:rsidR="00593A22">
        <w:rPr>
          <w:rFonts w:ascii="Times New Roman" w:hAnsi="Times New Roman" w:cs="Times New Roman"/>
          <w:sz w:val="24"/>
          <w:szCs w:val="24"/>
        </w:rPr>
        <w:t>tatistics Canada</w:t>
      </w:r>
      <w:r w:rsidRPr="00F33A42">
        <w:rPr>
          <w:rFonts w:ascii="Times New Roman" w:hAnsi="Times New Roman" w:cs="Times New Roman"/>
          <w:sz w:val="24"/>
          <w:szCs w:val="24"/>
        </w:rPr>
        <w:t>, 201</w:t>
      </w:r>
      <w:r w:rsidR="00593A22">
        <w:rPr>
          <w:rFonts w:ascii="Times New Roman" w:hAnsi="Times New Roman" w:cs="Times New Roman"/>
          <w:sz w:val="24"/>
          <w:szCs w:val="24"/>
        </w:rPr>
        <w:t>7</w:t>
      </w:r>
      <w:r w:rsidRPr="001F566E">
        <w:rPr>
          <w:rFonts w:ascii="Times New Roman" w:hAnsi="Times New Roman" w:cs="Times New Roman"/>
          <w:sz w:val="24"/>
          <w:szCs w:val="24"/>
        </w:rPr>
        <w:t>)</w:t>
      </w:r>
      <w:r w:rsidRPr="00F33A42">
        <w:fldChar w:fldCharType="end"/>
      </w:r>
      <w:r w:rsidR="001F5916" w:rsidRPr="00F33A42">
        <w:rPr>
          <w:rFonts w:ascii="Times New Roman" w:hAnsi="Times New Roman" w:cs="Times New Roman"/>
          <w:sz w:val="24"/>
          <w:szCs w:val="24"/>
        </w:rPr>
        <w:t>.</w:t>
      </w:r>
      <w:r w:rsidRPr="00F33A42">
        <w:rPr>
          <w:rFonts w:ascii="Times New Roman" w:hAnsi="Times New Roman" w:cs="Times New Roman"/>
          <w:sz w:val="24"/>
          <w:szCs w:val="24"/>
        </w:rPr>
        <w:t xml:space="preserve"> </w:t>
      </w:r>
      <w:r w:rsidR="001F5916" w:rsidRPr="001F566E">
        <w:rPr>
          <w:rFonts w:ascii="Times New Roman" w:hAnsi="Times New Roman" w:cs="Times New Roman"/>
          <w:sz w:val="24"/>
          <w:szCs w:val="24"/>
        </w:rPr>
        <w:t xml:space="preserve"> </w:t>
      </w:r>
    </w:p>
    <w:p w14:paraId="7E85379A" w14:textId="77777777" w:rsidR="00511203" w:rsidRDefault="00511203" w:rsidP="00890789">
      <w:pPr>
        <w:spacing w:after="0" w:line="480" w:lineRule="auto"/>
        <w:jc w:val="both"/>
        <w:rPr>
          <w:rFonts w:ascii="Times New Roman" w:hAnsi="Times New Roman" w:cs="Times New Roman"/>
          <w:b/>
          <w:sz w:val="24"/>
          <w:szCs w:val="24"/>
        </w:rPr>
      </w:pPr>
    </w:p>
    <w:p w14:paraId="57B30C13" w14:textId="77777777" w:rsidR="00890789" w:rsidRDefault="00890789" w:rsidP="00890789">
      <w:pPr>
        <w:spacing w:after="0" w:line="480" w:lineRule="auto"/>
        <w:jc w:val="both"/>
        <w:rPr>
          <w:rFonts w:ascii="Times New Roman" w:hAnsi="Times New Roman" w:cs="Times New Roman"/>
          <w:b/>
          <w:sz w:val="24"/>
          <w:szCs w:val="24"/>
        </w:rPr>
      </w:pPr>
    </w:p>
    <w:p w14:paraId="0AE31BEF" w14:textId="77777777" w:rsidR="00511203" w:rsidRPr="001F566E" w:rsidRDefault="00511203" w:rsidP="00890789">
      <w:pPr>
        <w:spacing w:after="0" w:line="480" w:lineRule="auto"/>
        <w:jc w:val="both"/>
      </w:pPr>
      <w:r w:rsidRPr="001F566E">
        <w:rPr>
          <w:rFonts w:ascii="Times New Roman" w:hAnsi="Times New Roman" w:cs="Times New Roman"/>
          <w:b/>
          <w:sz w:val="24"/>
          <w:szCs w:val="24"/>
        </w:rPr>
        <w:t xml:space="preserve">2.2 </w:t>
      </w:r>
      <w:r w:rsidR="00F46BD2">
        <w:rPr>
          <w:rFonts w:ascii="Times New Roman" w:hAnsi="Times New Roman" w:cs="Times New Roman"/>
          <w:b/>
          <w:sz w:val="24"/>
          <w:szCs w:val="24"/>
        </w:rPr>
        <w:t>Methodological approach</w:t>
      </w:r>
    </w:p>
    <w:p w14:paraId="45B349EF" w14:textId="77777777" w:rsidR="0059275B" w:rsidRPr="001F566E" w:rsidRDefault="00511203" w:rsidP="00890789">
      <w:pPr>
        <w:spacing w:after="0" w:line="480" w:lineRule="auto"/>
        <w:jc w:val="both"/>
        <w:rPr>
          <w:rFonts w:ascii="Times New Roman" w:hAnsi="Times New Roman" w:cs="Times New Roman"/>
          <w:sz w:val="24"/>
          <w:szCs w:val="24"/>
        </w:rPr>
      </w:pPr>
      <w:r w:rsidRPr="001F566E">
        <w:rPr>
          <w:rFonts w:ascii="Times New Roman" w:hAnsi="Times New Roman" w:cs="Times New Roman"/>
          <w:b/>
          <w:sz w:val="24"/>
          <w:szCs w:val="24"/>
        </w:rPr>
        <w:t xml:space="preserve">Figure </w:t>
      </w:r>
      <w:r w:rsidR="00707C1F">
        <w:rPr>
          <w:rFonts w:ascii="Times New Roman" w:hAnsi="Times New Roman" w:cs="Times New Roman"/>
          <w:b/>
          <w:sz w:val="24"/>
          <w:szCs w:val="24"/>
        </w:rPr>
        <w:t>S</w:t>
      </w:r>
      <w:r w:rsidR="002B0632" w:rsidRPr="001F566E">
        <w:rPr>
          <w:rFonts w:ascii="Times New Roman" w:hAnsi="Times New Roman" w:cs="Times New Roman"/>
          <w:b/>
          <w:sz w:val="24"/>
          <w:szCs w:val="24"/>
        </w:rPr>
        <w:t>1</w:t>
      </w:r>
      <w:r w:rsidRPr="001F566E">
        <w:rPr>
          <w:rFonts w:ascii="Times New Roman" w:hAnsi="Times New Roman" w:cs="Times New Roman"/>
          <w:sz w:val="24"/>
          <w:szCs w:val="24"/>
        </w:rPr>
        <w:t xml:space="preserve"> </w:t>
      </w:r>
      <w:r w:rsidR="00707C1F">
        <w:rPr>
          <w:rFonts w:ascii="Times New Roman" w:hAnsi="Times New Roman" w:cs="Times New Roman"/>
          <w:sz w:val="24"/>
          <w:szCs w:val="24"/>
        </w:rPr>
        <w:t xml:space="preserve">of the Supplemental Information (SI) </w:t>
      </w:r>
      <w:r w:rsidRPr="001F566E">
        <w:rPr>
          <w:rFonts w:ascii="Times New Roman" w:hAnsi="Times New Roman" w:cs="Times New Roman"/>
          <w:sz w:val="24"/>
          <w:szCs w:val="24"/>
        </w:rPr>
        <w:t>outlines the methods of the present study. We compared</w:t>
      </w:r>
      <w:r w:rsidR="009035D9" w:rsidRPr="001F566E">
        <w:rPr>
          <w:rFonts w:ascii="Times New Roman" w:hAnsi="Times New Roman" w:cs="Times New Roman"/>
          <w:sz w:val="24"/>
          <w:szCs w:val="24"/>
        </w:rPr>
        <w:t>, for a week day,</w:t>
      </w:r>
      <w:r w:rsidR="009035D9" w:rsidRPr="00F33A42">
        <w:rPr>
          <w:rFonts w:ascii="Times New Roman" w:hAnsi="Times New Roman" w:cs="Times New Roman"/>
          <w:sz w:val="24"/>
          <w:szCs w:val="24"/>
        </w:rPr>
        <w:t xml:space="preserve"> </w:t>
      </w:r>
      <w:r w:rsidRPr="00F33A42">
        <w:rPr>
          <w:rFonts w:ascii="Times New Roman" w:hAnsi="Times New Roman" w:cs="Times New Roman"/>
          <w:sz w:val="24"/>
          <w:szCs w:val="24"/>
        </w:rPr>
        <w:t>the number of trips and</w:t>
      </w:r>
      <w:r w:rsidRPr="001F566E">
        <w:rPr>
          <w:rFonts w:ascii="Times New Roman" w:hAnsi="Times New Roman" w:cs="Times New Roman"/>
          <w:sz w:val="24"/>
          <w:szCs w:val="24"/>
        </w:rPr>
        <w:t xml:space="preserve"> distances by mode, and environmental and health impacts in two regions of the </w:t>
      </w:r>
      <w:r w:rsidR="00BD6C7D" w:rsidRPr="001F566E">
        <w:rPr>
          <w:rFonts w:ascii="Times New Roman" w:hAnsi="Times New Roman" w:cs="Times New Roman"/>
          <w:sz w:val="24"/>
          <w:szCs w:val="24"/>
        </w:rPr>
        <w:t>GMR</w:t>
      </w:r>
      <w:r w:rsidRPr="001F566E">
        <w:rPr>
          <w:rFonts w:ascii="Times New Roman" w:hAnsi="Times New Roman" w:cs="Times New Roman"/>
          <w:sz w:val="24"/>
          <w:szCs w:val="24"/>
        </w:rPr>
        <w:t xml:space="preserve"> presented in </w:t>
      </w:r>
      <w:r w:rsidRPr="001F566E">
        <w:rPr>
          <w:rFonts w:ascii="Times New Roman" w:hAnsi="Times New Roman" w:cs="Times New Roman"/>
          <w:b/>
          <w:sz w:val="24"/>
          <w:szCs w:val="24"/>
        </w:rPr>
        <w:t xml:space="preserve">Figure </w:t>
      </w:r>
      <w:r w:rsidR="00707C1F">
        <w:rPr>
          <w:rFonts w:ascii="Times New Roman" w:hAnsi="Times New Roman" w:cs="Times New Roman"/>
          <w:b/>
          <w:sz w:val="24"/>
          <w:szCs w:val="24"/>
        </w:rPr>
        <w:t>S</w:t>
      </w:r>
      <w:r w:rsidR="00F2154A" w:rsidRPr="001F566E">
        <w:rPr>
          <w:rFonts w:ascii="Times New Roman" w:hAnsi="Times New Roman" w:cs="Times New Roman"/>
          <w:b/>
          <w:sz w:val="24"/>
          <w:szCs w:val="24"/>
        </w:rPr>
        <w:t>2</w:t>
      </w:r>
      <w:r w:rsidRPr="001F566E">
        <w:rPr>
          <w:rFonts w:ascii="Times New Roman" w:hAnsi="Times New Roman" w:cs="Times New Roman"/>
          <w:sz w:val="24"/>
          <w:szCs w:val="24"/>
        </w:rPr>
        <w:t xml:space="preserve"> (urban core and suburb), for three scenarios for the year 2061: a </w:t>
      </w:r>
      <w:r w:rsidR="00F46BD2">
        <w:rPr>
          <w:rFonts w:ascii="Times New Roman" w:hAnsi="Times New Roman" w:cs="Times New Roman"/>
          <w:sz w:val="24"/>
          <w:szCs w:val="24"/>
        </w:rPr>
        <w:t>Y</w:t>
      </w:r>
      <w:r w:rsidRPr="001F566E">
        <w:rPr>
          <w:rFonts w:ascii="Times New Roman" w:hAnsi="Times New Roman" w:cs="Times New Roman"/>
          <w:sz w:val="24"/>
          <w:szCs w:val="24"/>
        </w:rPr>
        <w:t xml:space="preserve">2061 business as usual (BAU), and </w:t>
      </w:r>
      <w:r w:rsidR="006570D9" w:rsidRPr="001F566E">
        <w:rPr>
          <w:rFonts w:ascii="Times New Roman" w:hAnsi="Times New Roman" w:cs="Times New Roman"/>
          <w:sz w:val="24"/>
          <w:szCs w:val="24"/>
        </w:rPr>
        <w:t>Optimal</w:t>
      </w:r>
      <w:r w:rsidR="00290499" w:rsidRPr="001F566E">
        <w:rPr>
          <w:rFonts w:ascii="Times New Roman" w:hAnsi="Times New Roman" w:cs="Times New Roman"/>
          <w:sz w:val="24"/>
          <w:szCs w:val="24"/>
        </w:rPr>
        <w:t xml:space="preserve"> </w:t>
      </w:r>
      <w:r w:rsidRPr="001F566E">
        <w:rPr>
          <w:rFonts w:ascii="Times New Roman" w:hAnsi="Times New Roman" w:cs="Times New Roman"/>
          <w:sz w:val="24"/>
          <w:szCs w:val="24"/>
        </w:rPr>
        <w:t>scenario</w:t>
      </w:r>
      <w:r w:rsidR="00290499" w:rsidRPr="001F566E">
        <w:rPr>
          <w:rFonts w:ascii="Times New Roman" w:hAnsi="Times New Roman" w:cs="Times New Roman"/>
          <w:sz w:val="24"/>
          <w:szCs w:val="24"/>
        </w:rPr>
        <w:t>s</w:t>
      </w:r>
      <w:r w:rsidRPr="001F566E">
        <w:rPr>
          <w:rFonts w:ascii="Times New Roman" w:hAnsi="Times New Roman" w:cs="Times New Roman"/>
          <w:sz w:val="24"/>
          <w:szCs w:val="24"/>
        </w:rPr>
        <w:t xml:space="preserve"> with, and without tele-working/schooling (i.e. those </w:t>
      </w:r>
      <w:r w:rsidR="000B0FB1" w:rsidRPr="001F566E">
        <w:rPr>
          <w:rFonts w:ascii="Times New Roman" w:hAnsi="Times New Roman" w:cs="Times New Roman"/>
          <w:sz w:val="24"/>
          <w:szCs w:val="24"/>
        </w:rPr>
        <w:t xml:space="preserve">conducting their activities at home and hence </w:t>
      </w:r>
      <w:r w:rsidRPr="001F566E">
        <w:rPr>
          <w:rFonts w:ascii="Times New Roman" w:hAnsi="Times New Roman" w:cs="Times New Roman"/>
          <w:sz w:val="24"/>
          <w:szCs w:val="24"/>
        </w:rPr>
        <w:t xml:space="preserve">not performing a trip). We also compared results of </w:t>
      </w:r>
      <w:r w:rsidR="00F46BD2">
        <w:rPr>
          <w:rFonts w:ascii="Times New Roman" w:hAnsi="Times New Roman" w:cs="Times New Roman"/>
          <w:sz w:val="24"/>
          <w:szCs w:val="24"/>
        </w:rPr>
        <w:t>Y2061</w:t>
      </w:r>
      <w:r w:rsidRPr="001F566E">
        <w:rPr>
          <w:rFonts w:ascii="Times New Roman" w:hAnsi="Times New Roman" w:cs="Times New Roman"/>
          <w:sz w:val="24"/>
          <w:szCs w:val="24"/>
        </w:rPr>
        <w:t xml:space="preserve"> and </w:t>
      </w:r>
      <w:r w:rsidR="00F46BD2">
        <w:rPr>
          <w:rFonts w:ascii="Times New Roman" w:hAnsi="Times New Roman" w:cs="Times New Roman"/>
          <w:sz w:val="24"/>
          <w:szCs w:val="24"/>
        </w:rPr>
        <w:t>Y2031</w:t>
      </w:r>
      <w:r w:rsidRPr="001F566E">
        <w:rPr>
          <w:rFonts w:ascii="Times New Roman" w:hAnsi="Times New Roman" w:cs="Times New Roman"/>
          <w:sz w:val="24"/>
          <w:szCs w:val="24"/>
        </w:rPr>
        <w:t xml:space="preserve"> scenarios. The </w:t>
      </w:r>
      <w:r w:rsidR="00F46BD2">
        <w:rPr>
          <w:rFonts w:ascii="Times New Roman" w:hAnsi="Times New Roman" w:cs="Times New Roman"/>
          <w:sz w:val="24"/>
          <w:szCs w:val="24"/>
        </w:rPr>
        <w:t>Y2061</w:t>
      </w:r>
      <w:r w:rsidRPr="001F566E">
        <w:rPr>
          <w:rFonts w:ascii="Times New Roman" w:hAnsi="Times New Roman" w:cs="Times New Roman"/>
          <w:sz w:val="24"/>
          <w:szCs w:val="24"/>
        </w:rPr>
        <w:t xml:space="preserve"> scenarios were based on </w:t>
      </w:r>
      <w:r w:rsidR="00F46BD2">
        <w:rPr>
          <w:rFonts w:ascii="Times New Roman" w:hAnsi="Times New Roman" w:cs="Times New Roman"/>
          <w:sz w:val="24"/>
          <w:szCs w:val="24"/>
        </w:rPr>
        <w:t>Y2031</w:t>
      </w:r>
      <w:r w:rsidRPr="001F566E">
        <w:rPr>
          <w:rFonts w:ascii="Times New Roman" w:hAnsi="Times New Roman" w:cs="Times New Roman"/>
          <w:sz w:val="24"/>
          <w:szCs w:val="24"/>
        </w:rPr>
        <w:t xml:space="preserve"> projections for 87 municipalities (</w:t>
      </w:r>
      <w:r w:rsidR="000B0FB1" w:rsidRPr="001F566E">
        <w:rPr>
          <w:rFonts w:ascii="Times New Roman" w:hAnsi="Times New Roman" w:cs="Times New Roman"/>
          <w:sz w:val="24"/>
          <w:szCs w:val="24"/>
        </w:rPr>
        <w:t xml:space="preserve">from </w:t>
      </w:r>
      <w:r w:rsidRPr="001F566E">
        <w:rPr>
          <w:rFonts w:ascii="Times New Roman" w:hAnsi="Times New Roman" w:cs="Times New Roman"/>
          <w:sz w:val="24"/>
          <w:szCs w:val="24"/>
        </w:rPr>
        <w:t>108 municipalities that were grouped to obtain at least 15,000 individuals per municipality).</w:t>
      </w:r>
      <w:r w:rsidR="009035D9" w:rsidRPr="001F566E">
        <w:rPr>
          <w:rFonts w:ascii="Times New Roman" w:hAnsi="Times New Roman" w:cs="Times New Roman"/>
          <w:sz w:val="24"/>
          <w:szCs w:val="24"/>
        </w:rPr>
        <w:t xml:space="preserve"> T</w:t>
      </w:r>
      <w:r w:rsidR="00641D22" w:rsidRPr="001F566E">
        <w:rPr>
          <w:rFonts w:ascii="Times New Roman" w:hAnsi="Times New Roman" w:cs="Times New Roman"/>
          <w:sz w:val="24"/>
          <w:szCs w:val="24"/>
        </w:rPr>
        <w:t xml:space="preserve">he </w:t>
      </w:r>
      <w:r w:rsidR="008E1475" w:rsidRPr="001F566E">
        <w:rPr>
          <w:rFonts w:ascii="Times New Roman" w:hAnsi="Times New Roman" w:cs="Times New Roman"/>
          <w:sz w:val="24"/>
          <w:szCs w:val="24"/>
        </w:rPr>
        <w:t xml:space="preserve">second </w:t>
      </w:r>
      <w:r w:rsidR="00641D22" w:rsidRPr="001F566E">
        <w:rPr>
          <w:rFonts w:ascii="Times New Roman" w:hAnsi="Times New Roman" w:cs="Times New Roman"/>
          <w:sz w:val="24"/>
          <w:szCs w:val="24"/>
        </w:rPr>
        <w:t xml:space="preserve">section of </w:t>
      </w:r>
      <w:r w:rsidR="005F0352" w:rsidRPr="001F566E">
        <w:rPr>
          <w:rFonts w:ascii="Times New Roman" w:hAnsi="Times New Roman" w:cs="Times New Roman"/>
          <w:sz w:val="24"/>
          <w:szCs w:val="24"/>
        </w:rPr>
        <w:t>t</w:t>
      </w:r>
      <w:r w:rsidR="00A06F36" w:rsidRPr="001F566E">
        <w:rPr>
          <w:rFonts w:ascii="Times New Roman" w:hAnsi="Times New Roman" w:cs="Times New Roman"/>
          <w:sz w:val="24"/>
          <w:szCs w:val="24"/>
        </w:rPr>
        <w:t xml:space="preserve">he </w:t>
      </w:r>
      <w:r w:rsidR="00707C1F">
        <w:rPr>
          <w:rFonts w:ascii="Times New Roman" w:hAnsi="Times New Roman" w:cs="Times New Roman"/>
          <w:b/>
          <w:sz w:val="24"/>
          <w:szCs w:val="24"/>
        </w:rPr>
        <w:t>SI</w:t>
      </w:r>
      <w:r w:rsidR="00707C1F" w:rsidRPr="001F566E">
        <w:rPr>
          <w:rFonts w:ascii="Times New Roman" w:hAnsi="Times New Roman" w:cs="Times New Roman"/>
          <w:sz w:val="24"/>
          <w:szCs w:val="24"/>
        </w:rPr>
        <w:t xml:space="preserve"> </w:t>
      </w:r>
      <w:r w:rsidR="00A06F36" w:rsidRPr="001F566E">
        <w:rPr>
          <w:rFonts w:ascii="Times New Roman" w:hAnsi="Times New Roman" w:cs="Times New Roman"/>
          <w:sz w:val="24"/>
          <w:szCs w:val="24"/>
        </w:rPr>
        <w:t>describe</w:t>
      </w:r>
      <w:r w:rsidR="00641D22" w:rsidRPr="001F566E">
        <w:rPr>
          <w:rFonts w:ascii="Times New Roman" w:hAnsi="Times New Roman" w:cs="Times New Roman"/>
          <w:sz w:val="24"/>
          <w:szCs w:val="24"/>
        </w:rPr>
        <w:t>s</w:t>
      </w:r>
      <w:r w:rsidR="00A06F36" w:rsidRPr="001F566E">
        <w:rPr>
          <w:rFonts w:ascii="Times New Roman" w:hAnsi="Times New Roman" w:cs="Times New Roman"/>
          <w:sz w:val="24"/>
          <w:szCs w:val="24"/>
        </w:rPr>
        <w:t xml:space="preserve"> the </w:t>
      </w:r>
      <w:r w:rsidR="00F46BD2">
        <w:rPr>
          <w:rFonts w:ascii="Times New Roman" w:hAnsi="Times New Roman" w:cs="Times New Roman"/>
          <w:sz w:val="24"/>
          <w:szCs w:val="24"/>
        </w:rPr>
        <w:t>Y2031</w:t>
      </w:r>
      <w:r w:rsidR="00A06F36" w:rsidRPr="001F566E">
        <w:rPr>
          <w:rFonts w:ascii="Times New Roman" w:hAnsi="Times New Roman" w:cs="Times New Roman"/>
          <w:sz w:val="24"/>
          <w:szCs w:val="24"/>
        </w:rPr>
        <w:t xml:space="preserve"> scenarios</w:t>
      </w:r>
      <w:r w:rsidR="009035D9" w:rsidRPr="001F566E">
        <w:rPr>
          <w:rFonts w:ascii="Times New Roman" w:hAnsi="Times New Roman" w:cs="Times New Roman"/>
          <w:sz w:val="24"/>
          <w:szCs w:val="24"/>
        </w:rPr>
        <w:t xml:space="preserve"> </w:t>
      </w:r>
      <w:r w:rsidR="00AA3586" w:rsidRPr="001F566E">
        <w:rPr>
          <w:rFonts w:ascii="Times New Roman" w:hAnsi="Times New Roman" w:cs="Times New Roman"/>
          <w:sz w:val="24"/>
          <w:szCs w:val="24"/>
        </w:rPr>
        <w:t>and</w:t>
      </w:r>
      <w:r w:rsidR="002B0632" w:rsidRPr="001F566E">
        <w:rPr>
          <w:rFonts w:ascii="Times New Roman" w:hAnsi="Times New Roman" w:cs="Times New Roman"/>
          <w:sz w:val="24"/>
          <w:szCs w:val="24"/>
        </w:rPr>
        <w:t xml:space="preserve"> </w:t>
      </w:r>
      <w:r w:rsidR="00707C1F">
        <w:rPr>
          <w:rFonts w:ascii="Times New Roman" w:hAnsi="Times New Roman" w:cs="Times New Roman"/>
          <w:sz w:val="24"/>
          <w:szCs w:val="24"/>
        </w:rPr>
        <w:t xml:space="preserve">its </w:t>
      </w:r>
      <w:r w:rsidR="006D0551" w:rsidRPr="001F566E">
        <w:rPr>
          <w:rFonts w:ascii="Times New Roman" w:hAnsi="Times New Roman" w:cs="Times New Roman"/>
          <w:b/>
          <w:sz w:val="24"/>
          <w:szCs w:val="24"/>
        </w:rPr>
        <w:t xml:space="preserve">section </w:t>
      </w:r>
      <w:r w:rsidR="008E1475" w:rsidRPr="001F566E">
        <w:rPr>
          <w:rFonts w:ascii="Times New Roman" w:hAnsi="Times New Roman" w:cs="Times New Roman"/>
          <w:b/>
          <w:sz w:val="24"/>
          <w:szCs w:val="24"/>
        </w:rPr>
        <w:t>3</w:t>
      </w:r>
      <w:r w:rsidR="00AA3586" w:rsidRPr="001F566E">
        <w:rPr>
          <w:rFonts w:ascii="Times New Roman" w:hAnsi="Times New Roman" w:cs="Times New Roman"/>
          <w:sz w:val="24"/>
          <w:szCs w:val="24"/>
        </w:rPr>
        <w:t xml:space="preserve">, </w:t>
      </w:r>
      <w:r w:rsidR="00A06F36" w:rsidRPr="001F566E">
        <w:rPr>
          <w:rFonts w:ascii="Times New Roman" w:hAnsi="Times New Roman" w:cs="Times New Roman"/>
          <w:sz w:val="24"/>
          <w:szCs w:val="24"/>
        </w:rPr>
        <w:t xml:space="preserve">the </w:t>
      </w:r>
      <w:r w:rsidR="00F46BD2">
        <w:rPr>
          <w:rFonts w:ascii="Times New Roman" w:hAnsi="Times New Roman" w:cs="Times New Roman"/>
          <w:sz w:val="24"/>
          <w:szCs w:val="24"/>
        </w:rPr>
        <w:t>Y2031</w:t>
      </w:r>
      <w:r w:rsidR="00A06F36" w:rsidRPr="001F566E">
        <w:rPr>
          <w:rFonts w:ascii="Times New Roman" w:hAnsi="Times New Roman" w:cs="Times New Roman"/>
          <w:sz w:val="24"/>
          <w:szCs w:val="24"/>
        </w:rPr>
        <w:t xml:space="preserve"> modeling of the population and trips by mode</w:t>
      </w:r>
      <w:r w:rsidR="00DF7A37">
        <w:rPr>
          <w:rFonts w:ascii="Times New Roman" w:hAnsi="Times New Roman" w:cs="Times New Roman"/>
          <w:sz w:val="24"/>
          <w:szCs w:val="24"/>
        </w:rPr>
        <w:t xml:space="preserve">; the </w:t>
      </w:r>
      <w:r w:rsidR="00F46BD2">
        <w:rPr>
          <w:rFonts w:ascii="Times New Roman" w:hAnsi="Times New Roman" w:cs="Times New Roman"/>
          <w:sz w:val="24"/>
          <w:szCs w:val="24"/>
        </w:rPr>
        <w:t>Y2031</w:t>
      </w:r>
      <w:r w:rsidR="00DF7A37">
        <w:rPr>
          <w:rFonts w:ascii="Times New Roman" w:hAnsi="Times New Roman" w:cs="Times New Roman"/>
          <w:sz w:val="24"/>
          <w:szCs w:val="24"/>
        </w:rPr>
        <w:t xml:space="preserve"> data is based on the 2008 Origin-Destination </w:t>
      </w:r>
      <w:r w:rsidR="00961277">
        <w:rPr>
          <w:rFonts w:ascii="Times New Roman" w:hAnsi="Times New Roman" w:cs="Times New Roman"/>
          <w:sz w:val="24"/>
          <w:szCs w:val="24"/>
        </w:rPr>
        <w:t xml:space="preserve">(O-D) </w:t>
      </w:r>
      <w:r w:rsidR="00DF7A37">
        <w:rPr>
          <w:rFonts w:ascii="Times New Roman" w:hAnsi="Times New Roman" w:cs="Times New Roman"/>
          <w:sz w:val="24"/>
          <w:szCs w:val="24"/>
        </w:rPr>
        <w:t>survey</w:t>
      </w:r>
      <w:r w:rsidR="00A06F36" w:rsidRPr="001F566E">
        <w:rPr>
          <w:rFonts w:ascii="Times New Roman" w:hAnsi="Times New Roman" w:cs="Times New Roman"/>
          <w:sz w:val="24"/>
          <w:szCs w:val="24"/>
        </w:rPr>
        <w:t>.</w:t>
      </w:r>
      <w:r w:rsidRPr="001F566E">
        <w:rPr>
          <w:rFonts w:ascii="Times New Roman" w:hAnsi="Times New Roman" w:cs="Times New Roman"/>
          <w:sz w:val="24"/>
          <w:szCs w:val="24"/>
        </w:rPr>
        <w:t xml:space="preserve"> </w:t>
      </w:r>
      <w:r w:rsidR="0059275B" w:rsidRPr="001F566E">
        <w:rPr>
          <w:rFonts w:ascii="Times New Roman" w:hAnsi="Times New Roman" w:cs="Times New Roman"/>
          <w:sz w:val="24"/>
          <w:szCs w:val="24"/>
        </w:rPr>
        <w:t xml:space="preserve"> </w:t>
      </w:r>
    </w:p>
    <w:p w14:paraId="0A2832D0" w14:textId="77777777" w:rsidR="0059275B" w:rsidRPr="001F566E" w:rsidRDefault="0059275B" w:rsidP="00890789">
      <w:pPr>
        <w:spacing w:after="0" w:line="480" w:lineRule="auto"/>
        <w:jc w:val="both"/>
        <w:rPr>
          <w:rFonts w:ascii="Times New Roman" w:hAnsi="Times New Roman" w:cs="Times New Roman"/>
          <w:sz w:val="24"/>
          <w:szCs w:val="24"/>
        </w:rPr>
      </w:pPr>
    </w:p>
    <w:p w14:paraId="43321900" w14:textId="77777777" w:rsidR="00241153" w:rsidRPr="001F566E" w:rsidRDefault="00434F8F" w:rsidP="00890789">
      <w:pPr>
        <w:spacing w:after="0" w:line="480" w:lineRule="auto"/>
        <w:jc w:val="both"/>
        <w:rPr>
          <w:rFonts w:ascii="Times New Roman" w:hAnsi="Times New Roman" w:cs="Times New Roman"/>
          <w:sz w:val="24"/>
          <w:szCs w:val="24"/>
        </w:rPr>
      </w:pPr>
      <w:r w:rsidRPr="001F566E">
        <w:rPr>
          <w:rFonts w:ascii="Times New Roman" w:hAnsi="Times New Roman" w:cs="Times New Roman"/>
          <w:sz w:val="24"/>
          <w:szCs w:val="24"/>
        </w:rPr>
        <w:t xml:space="preserve">To summarize the methods described below for </w:t>
      </w:r>
      <w:r w:rsidR="00F46BD2">
        <w:rPr>
          <w:rFonts w:ascii="Times New Roman" w:hAnsi="Times New Roman" w:cs="Times New Roman"/>
          <w:sz w:val="24"/>
          <w:szCs w:val="24"/>
        </w:rPr>
        <w:t>Y2061</w:t>
      </w:r>
      <w:r w:rsidRPr="001F566E">
        <w:rPr>
          <w:rFonts w:ascii="Times New Roman" w:hAnsi="Times New Roman" w:cs="Times New Roman"/>
          <w:sz w:val="24"/>
          <w:szCs w:val="24"/>
        </w:rPr>
        <w:t xml:space="preserve">, </w:t>
      </w:r>
      <w:r w:rsidR="00241153" w:rsidRPr="001F566E">
        <w:rPr>
          <w:rFonts w:ascii="Times New Roman" w:hAnsi="Times New Roman" w:cs="Times New Roman"/>
          <w:sz w:val="24"/>
          <w:szCs w:val="24"/>
        </w:rPr>
        <w:t xml:space="preserve">the </w:t>
      </w:r>
      <w:r w:rsidR="00F46BD2">
        <w:rPr>
          <w:rFonts w:ascii="Times New Roman" w:hAnsi="Times New Roman" w:cs="Times New Roman"/>
          <w:sz w:val="24"/>
          <w:szCs w:val="24"/>
        </w:rPr>
        <w:t>Y2061</w:t>
      </w:r>
      <w:r w:rsidR="00241153" w:rsidRPr="001F566E">
        <w:rPr>
          <w:rFonts w:ascii="Times New Roman" w:hAnsi="Times New Roman" w:cs="Times New Roman"/>
          <w:sz w:val="24"/>
          <w:szCs w:val="24"/>
        </w:rPr>
        <w:t xml:space="preserve"> BAU was based on the BAU </w:t>
      </w:r>
      <w:r w:rsidR="00F46BD2">
        <w:rPr>
          <w:rFonts w:ascii="Times New Roman" w:hAnsi="Times New Roman" w:cs="Times New Roman"/>
          <w:sz w:val="24"/>
          <w:szCs w:val="24"/>
        </w:rPr>
        <w:t>Y2031</w:t>
      </w:r>
      <w:r w:rsidR="00241153" w:rsidRPr="001F566E">
        <w:rPr>
          <w:rFonts w:ascii="Times New Roman" w:hAnsi="Times New Roman" w:cs="Times New Roman"/>
          <w:sz w:val="24"/>
          <w:szCs w:val="24"/>
        </w:rPr>
        <w:t xml:space="preserve"> modelled trips by mode, and the </w:t>
      </w:r>
      <w:r w:rsidR="00F46BD2">
        <w:rPr>
          <w:rFonts w:ascii="Times New Roman" w:hAnsi="Times New Roman" w:cs="Times New Roman"/>
          <w:sz w:val="24"/>
          <w:szCs w:val="24"/>
        </w:rPr>
        <w:t>Y2031</w:t>
      </w:r>
      <w:r w:rsidR="00241153" w:rsidRPr="001F566E">
        <w:rPr>
          <w:rFonts w:ascii="Times New Roman" w:hAnsi="Times New Roman" w:cs="Times New Roman"/>
          <w:sz w:val="24"/>
          <w:szCs w:val="24"/>
        </w:rPr>
        <w:t xml:space="preserve"> BAU population; there was no additional public transit infrastructure for this scenario in </w:t>
      </w:r>
      <w:r w:rsidR="00F46BD2">
        <w:rPr>
          <w:rFonts w:ascii="Times New Roman" w:hAnsi="Times New Roman" w:cs="Times New Roman"/>
          <w:sz w:val="24"/>
          <w:szCs w:val="24"/>
        </w:rPr>
        <w:t>Y2031</w:t>
      </w:r>
      <w:r w:rsidR="00241153" w:rsidRPr="001F566E">
        <w:rPr>
          <w:rFonts w:ascii="Times New Roman" w:hAnsi="Times New Roman" w:cs="Times New Roman"/>
          <w:sz w:val="24"/>
          <w:szCs w:val="24"/>
        </w:rPr>
        <w:t xml:space="preserve"> (i.e. the same infrastructure as available in 2013) and the location of the population followed past trends (reaching suburbs). The Optimal </w:t>
      </w:r>
      <w:r w:rsidR="00F46BD2">
        <w:rPr>
          <w:rFonts w:ascii="Times New Roman" w:hAnsi="Times New Roman" w:cs="Times New Roman"/>
          <w:sz w:val="24"/>
          <w:szCs w:val="24"/>
        </w:rPr>
        <w:t>Y2061</w:t>
      </w:r>
      <w:r w:rsidR="00241153" w:rsidRPr="001F566E">
        <w:rPr>
          <w:rFonts w:ascii="Times New Roman" w:hAnsi="Times New Roman" w:cs="Times New Roman"/>
          <w:sz w:val="24"/>
          <w:szCs w:val="24"/>
        </w:rPr>
        <w:t xml:space="preserve"> scenarios were based on a </w:t>
      </w:r>
      <w:r w:rsidR="00F46BD2">
        <w:rPr>
          <w:rFonts w:ascii="Times New Roman" w:hAnsi="Times New Roman" w:cs="Times New Roman"/>
          <w:sz w:val="24"/>
          <w:szCs w:val="24"/>
        </w:rPr>
        <w:t>Y2031</w:t>
      </w:r>
      <w:r w:rsidR="00241153" w:rsidRPr="001F566E">
        <w:rPr>
          <w:rFonts w:ascii="Times New Roman" w:hAnsi="Times New Roman" w:cs="Times New Roman"/>
          <w:sz w:val="24"/>
          <w:szCs w:val="24"/>
        </w:rPr>
        <w:t xml:space="preserve"> scenario with urban core densification (</w:t>
      </w:r>
      <w:r w:rsidR="00F46BD2">
        <w:rPr>
          <w:rFonts w:ascii="Times New Roman" w:hAnsi="Times New Roman" w:cs="Times New Roman"/>
          <w:sz w:val="24"/>
          <w:szCs w:val="24"/>
        </w:rPr>
        <w:t>Y2031</w:t>
      </w:r>
      <w:r w:rsidR="00241153" w:rsidRPr="001F566E">
        <w:rPr>
          <w:rFonts w:ascii="Times New Roman" w:hAnsi="Times New Roman" w:cs="Times New Roman"/>
          <w:sz w:val="24"/>
          <w:szCs w:val="24"/>
        </w:rPr>
        <w:t xml:space="preserve"> Central scenario); all subway, tramway and train stations discussed in public documents were also included to predict the </w:t>
      </w:r>
      <w:r w:rsidR="00F46BD2">
        <w:rPr>
          <w:rFonts w:ascii="Times New Roman" w:hAnsi="Times New Roman" w:cs="Times New Roman"/>
          <w:sz w:val="24"/>
          <w:szCs w:val="24"/>
        </w:rPr>
        <w:t>Y2031</w:t>
      </w:r>
      <w:r w:rsidR="00241153" w:rsidRPr="001F566E">
        <w:rPr>
          <w:rFonts w:ascii="Times New Roman" w:hAnsi="Times New Roman" w:cs="Times New Roman"/>
          <w:sz w:val="24"/>
          <w:szCs w:val="24"/>
        </w:rPr>
        <w:t xml:space="preserve"> modes of these scenarios (see </w:t>
      </w:r>
      <w:r w:rsidR="00241153" w:rsidRPr="001F566E">
        <w:rPr>
          <w:rFonts w:ascii="Times New Roman" w:hAnsi="Times New Roman" w:cs="Times New Roman"/>
          <w:b/>
          <w:sz w:val="24"/>
          <w:szCs w:val="24"/>
        </w:rPr>
        <w:t xml:space="preserve">section 2 </w:t>
      </w:r>
      <w:r w:rsidR="00241153" w:rsidRPr="001F566E">
        <w:rPr>
          <w:rFonts w:ascii="Times New Roman" w:hAnsi="Times New Roman" w:cs="Times New Roman"/>
          <w:sz w:val="24"/>
          <w:szCs w:val="24"/>
        </w:rPr>
        <w:t>of the</w:t>
      </w:r>
      <w:r w:rsidR="00241153" w:rsidRPr="001F566E">
        <w:rPr>
          <w:rFonts w:ascii="Times New Roman" w:hAnsi="Times New Roman" w:cs="Times New Roman"/>
          <w:b/>
          <w:sz w:val="24"/>
          <w:szCs w:val="24"/>
        </w:rPr>
        <w:t xml:space="preserve"> </w:t>
      </w:r>
      <w:r w:rsidR="00707C1F">
        <w:rPr>
          <w:rFonts w:ascii="Times New Roman" w:hAnsi="Times New Roman" w:cs="Times New Roman"/>
          <w:b/>
          <w:sz w:val="24"/>
          <w:szCs w:val="24"/>
        </w:rPr>
        <w:t>SI</w:t>
      </w:r>
      <w:r w:rsidR="00241153" w:rsidRPr="001F566E">
        <w:rPr>
          <w:rFonts w:ascii="Times New Roman" w:hAnsi="Times New Roman" w:cs="Times New Roman"/>
          <w:b/>
          <w:sz w:val="24"/>
          <w:szCs w:val="24"/>
        </w:rPr>
        <w:t>)</w:t>
      </w:r>
      <w:r w:rsidR="00241153" w:rsidRPr="001F566E">
        <w:rPr>
          <w:rFonts w:ascii="Times New Roman" w:hAnsi="Times New Roman" w:cs="Times New Roman"/>
          <w:sz w:val="24"/>
          <w:szCs w:val="24"/>
        </w:rPr>
        <w:t xml:space="preserve">. </w:t>
      </w:r>
    </w:p>
    <w:p w14:paraId="73F5DAC1" w14:textId="77777777" w:rsidR="00241153" w:rsidRPr="001F566E" w:rsidRDefault="00241153" w:rsidP="00890789">
      <w:pPr>
        <w:spacing w:after="0" w:line="480" w:lineRule="auto"/>
        <w:jc w:val="both"/>
        <w:rPr>
          <w:rFonts w:ascii="Times New Roman" w:hAnsi="Times New Roman" w:cs="Times New Roman"/>
          <w:sz w:val="24"/>
          <w:szCs w:val="24"/>
        </w:rPr>
      </w:pPr>
    </w:p>
    <w:p w14:paraId="39D62270" w14:textId="77777777" w:rsidR="00F17D9F" w:rsidRPr="001F566E" w:rsidRDefault="00241153" w:rsidP="00890789">
      <w:pPr>
        <w:spacing w:after="0" w:line="480" w:lineRule="auto"/>
        <w:jc w:val="both"/>
        <w:rPr>
          <w:rFonts w:ascii="Times New Roman" w:hAnsi="Times New Roman" w:cs="Times New Roman"/>
          <w:strike/>
          <w:sz w:val="24"/>
          <w:szCs w:val="24"/>
        </w:rPr>
      </w:pPr>
      <w:r w:rsidRPr="001F566E">
        <w:rPr>
          <w:rFonts w:ascii="Times New Roman" w:hAnsi="Times New Roman" w:cs="Times New Roman"/>
          <w:sz w:val="24"/>
          <w:szCs w:val="24"/>
        </w:rPr>
        <w:lastRenderedPageBreak/>
        <w:t>W</w:t>
      </w:r>
      <w:r w:rsidR="00511203" w:rsidRPr="001F566E">
        <w:rPr>
          <w:rFonts w:ascii="Times New Roman" w:hAnsi="Times New Roman" w:cs="Times New Roman"/>
          <w:sz w:val="24"/>
          <w:szCs w:val="24"/>
        </w:rPr>
        <w:t xml:space="preserve">e developed the </w:t>
      </w:r>
      <w:r w:rsidR="00F46BD2">
        <w:rPr>
          <w:rFonts w:ascii="Times New Roman" w:hAnsi="Times New Roman" w:cs="Times New Roman"/>
          <w:sz w:val="24"/>
          <w:szCs w:val="24"/>
        </w:rPr>
        <w:t>Y2061</w:t>
      </w:r>
      <w:r w:rsidR="00511203" w:rsidRPr="001F566E">
        <w:rPr>
          <w:rFonts w:ascii="Times New Roman" w:hAnsi="Times New Roman" w:cs="Times New Roman"/>
          <w:sz w:val="24"/>
          <w:szCs w:val="24"/>
        </w:rPr>
        <w:t xml:space="preserve"> trips by age</w:t>
      </w:r>
      <w:r w:rsidR="00AA1610" w:rsidRPr="001F566E">
        <w:rPr>
          <w:rFonts w:ascii="Times New Roman" w:hAnsi="Times New Roman" w:cs="Times New Roman"/>
          <w:sz w:val="24"/>
          <w:szCs w:val="24"/>
        </w:rPr>
        <w:t>, sex</w:t>
      </w:r>
      <w:r w:rsidR="00511203" w:rsidRPr="001F566E">
        <w:rPr>
          <w:rFonts w:ascii="Times New Roman" w:hAnsi="Times New Roman" w:cs="Times New Roman"/>
          <w:sz w:val="24"/>
          <w:szCs w:val="24"/>
        </w:rPr>
        <w:t xml:space="preserve"> and municipality based on the increase of the population between </w:t>
      </w:r>
      <w:r w:rsidR="00F46BD2">
        <w:rPr>
          <w:rFonts w:ascii="Times New Roman" w:hAnsi="Times New Roman" w:cs="Times New Roman"/>
          <w:sz w:val="24"/>
          <w:szCs w:val="24"/>
        </w:rPr>
        <w:t>Y2061</w:t>
      </w:r>
      <w:r w:rsidR="00511203" w:rsidRPr="001F566E">
        <w:rPr>
          <w:rFonts w:ascii="Times New Roman" w:hAnsi="Times New Roman" w:cs="Times New Roman"/>
          <w:sz w:val="24"/>
          <w:szCs w:val="24"/>
        </w:rPr>
        <w:t xml:space="preserve"> and </w:t>
      </w:r>
      <w:r w:rsidR="00F46BD2">
        <w:rPr>
          <w:rFonts w:ascii="Times New Roman" w:hAnsi="Times New Roman" w:cs="Times New Roman"/>
          <w:sz w:val="24"/>
          <w:szCs w:val="24"/>
        </w:rPr>
        <w:t>Y2031</w:t>
      </w:r>
      <w:r w:rsidR="00511203" w:rsidRPr="001F566E">
        <w:rPr>
          <w:rFonts w:ascii="Times New Roman" w:hAnsi="Times New Roman" w:cs="Times New Roman"/>
          <w:sz w:val="24"/>
          <w:szCs w:val="24"/>
        </w:rPr>
        <w:t xml:space="preserve"> </w:t>
      </w:r>
      <w:r w:rsidR="00FF4B23" w:rsidRPr="001F566E">
        <w:rPr>
          <w:rFonts w:ascii="Times New Roman" w:hAnsi="Times New Roman" w:cs="Times New Roman"/>
          <w:sz w:val="24"/>
          <w:szCs w:val="24"/>
        </w:rPr>
        <w:t xml:space="preserve">(growth factor) </w:t>
      </w:r>
      <w:r w:rsidR="00511203" w:rsidRPr="001F566E">
        <w:rPr>
          <w:rFonts w:ascii="Times New Roman" w:hAnsi="Times New Roman" w:cs="Times New Roman"/>
          <w:sz w:val="24"/>
          <w:szCs w:val="24"/>
        </w:rPr>
        <w:t xml:space="preserve">per municipality, age and sex (see </w:t>
      </w:r>
      <w:r w:rsidR="00F2717C" w:rsidRPr="001F566E">
        <w:rPr>
          <w:rFonts w:ascii="Times New Roman" w:hAnsi="Times New Roman" w:cs="Times New Roman"/>
          <w:b/>
          <w:sz w:val="24"/>
          <w:szCs w:val="24"/>
        </w:rPr>
        <w:t>sections 2.</w:t>
      </w:r>
      <w:r w:rsidR="00AA3586" w:rsidRPr="001F566E">
        <w:rPr>
          <w:rFonts w:ascii="Times New Roman" w:hAnsi="Times New Roman" w:cs="Times New Roman"/>
          <w:b/>
          <w:sz w:val="24"/>
          <w:szCs w:val="24"/>
        </w:rPr>
        <w:t>4</w:t>
      </w:r>
      <w:r w:rsidR="00F2717C" w:rsidRPr="001F566E">
        <w:rPr>
          <w:rFonts w:ascii="Times New Roman" w:hAnsi="Times New Roman" w:cs="Times New Roman"/>
          <w:b/>
          <w:sz w:val="24"/>
          <w:szCs w:val="24"/>
        </w:rPr>
        <w:t xml:space="preserve"> and 2.</w:t>
      </w:r>
      <w:r w:rsidR="00AA3586" w:rsidRPr="001F566E">
        <w:rPr>
          <w:rFonts w:ascii="Times New Roman" w:hAnsi="Times New Roman" w:cs="Times New Roman"/>
          <w:b/>
          <w:sz w:val="24"/>
          <w:szCs w:val="24"/>
        </w:rPr>
        <w:t>5</w:t>
      </w:r>
      <w:r w:rsidR="00F2717C" w:rsidRPr="001F566E">
        <w:rPr>
          <w:rFonts w:ascii="Times New Roman" w:hAnsi="Times New Roman" w:cs="Times New Roman"/>
          <w:sz w:val="24"/>
          <w:szCs w:val="24"/>
        </w:rPr>
        <w:t xml:space="preserve"> </w:t>
      </w:r>
      <w:r w:rsidR="00511203" w:rsidRPr="001F566E">
        <w:rPr>
          <w:rFonts w:ascii="Times New Roman" w:hAnsi="Times New Roman" w:cs="Times New Roman"/>
          <w:sz w:val="24"/>
          <w:szCs w:val="24"/>
        </w:rPr>
        <w:t xml:space="preserve">for detail). Trips were then distributed by mode according to the mode share/shift of the </w:t>
      </w:r>
      <w:r w:rsidR="00F46BD2">
        <w:rPr>
          <w:rFonts w:ascii="Times New Roman" w:hAnsi="Times New Roman" w:cs="Times New Roman"/>
          <w:sz w:val="24"/>
          <w:szCs w:val="24"/>
        </w:rPr>
        <w:t>Y2061</w:t>
      </w:r>
      <w:r w:rsidR="00AA3586" w:rsidRPr="001F566E">
        <w:rPr>
          <w:rFonts w:ascii="Times New Roman" w:hAnsi="Times New Roman" w:cs="Times New Roman"/>
          <w:sz w:val="24"/>
          <w:szCs w:val="24"/>
        </w:rPr>
        <w:t xml:space="preserve"> </w:t>
      </w:r>
      <w:r w:rsidR="00511203" w:rsidRPr="001F566E">
        <w:rPr>
          <w:rFonts w:ascii="Times New Roman" w:hAnsi="Times New Roman" w:cs="Times New Roman"/>
          <w:sz w:val="24"/>
          <w:szCs w:val="24"/>
        </w:rPr>
        <w:t xml:space="preserve">scenarios, and distances </w:t>
      </w:r>
      <w:r w:rsidR="00D83AAC" w:rsidRPr="001F566E">
        <w:rPr>
          <w:rFonts w:ascii="Times New Roman" w:hAnsi="Times New Roman" w:cs="Times New Roman"/>
          <w:sz w:val="24"/>
          <w:szCs w:val="24"/>
        </w:rPr>
        <w:t xml:space="preserve">travelled were </w:t>
      </w:r>
      <w:r w:rsidR="00511203" w:rsidRPr="001F566E">
        <w:rPr>
          <w:rFonts w:ascii="Times New Roman" w:hAnsi="Times New Roman" w:cs="Times New Roman"/>
          <w:sz w:val="24"/>
          <w:szCs w:val="24"/>
        </w:rPr>
        <w:t xml:space="preserve">estimated, summing distances </w:t>
      </w:r>
      <w:r w:rsidR="000B0FB1" w:rsidRPr="001F566E">
        <w:rPr>
          <w:rFonts w:ascii="Times New Roman" w:hAnsi="Times New Roman" w:cs="Times New Roman"/>
          <w:sz w:val="24"/>
          <w:szCs w:val="24"/>
        </w:rPr>
        <w:t xml:space="preserve">travelled </w:t>
      </w:r>
      <w:r w:rsidR="00511203" w:rsidRPr="001F566E">
        <w:rPr>
          <w:rFonts w:ascii="Times New Roman" w:hAnsi="Times New Roman" w:cs="Times New Roman"/>
          <w:sz w:val="24"/>
          <w:szCs w:val="24"/>
        </w:rPr>
        <w:t>in various municipalities.</w:t>
      </w:r>
    </w:p>
    <w:p w14:paraId="66F3F422" w14:textId="77777777" w:rsidR="00F17D9F" w:rsidRPr="001F566E" w:rsidRDefault="00F17D9F" w:rsidP="00890789">
      <w:pPr>
        <w:spacing w:after="0" w:line="480" w:lineRule="auto"/>
        <w:jc w:val="both"/>
        <w:rPr>
          <w:rFonts w:ascii="Times New Roman" w:hAnsi="Times New Roman" w:cs="Times New Roman"/>
          <w:strike/>
          <w:sz w:val="24"/>
          <w:szCs w:val="24"/>
        </w:rPr>
      </w:pPr>
    </w:p>
    <w:p w14:paraId="37E9A733" w14:textId="77777777" w:rsidR="00511203" w:rsidRPr="00F33A42" w:rsidRDefault="003A2BC4" w:rsidP="00890789">
      <w:pPr>
        <w:spacing w:after="0" w:line="480" w:lineRule="auto"/>
        <w:jc w:val="both"/>
      </w:pPr>
      <w:r w:rsidRPr="001F566E">
        <w:rPr>
          <w:rFonts w:ascii="Times New Roman" w:hAnsi="Times New Roman" w:cs="Times New Roman"/>
          <w:sz w:val="24"/>
          <w:szCs w:val="24"/>
        </w:rPr>
        <w:t>All impacts were summarized by residential location (although risks of traumas encountered and physical activity performed occurred at other locations).</w:t>
      </w:r>
    </w:p>
    <w:p w14:paraId="19C02A1E" w14:textId="77777777" w:rsidR="00511203" w:rsidRPr="001F566E" w:rsidRDefault="00511203" w:rsidP="00890789">
      <w:pPr>
        <w:spacing w:after="0" w:line="480" w:lineRule="auto"/>
        <w:jc w:val="both"/>
        <w:rPr>
          <w:rFonts w:ascii="Times New Roman" w:hAnsi="Times New Roman" w:cs="Times New Roman"/>
          <w:b/>
          <w:sz w:val="24"/>
          <w:szCs w:val="24"/>
        </w:rPr>
      </w:pPr>
    </w:p>
    <w:p w14:paraId="7C1C8B86" w14:textId="77777777" w:rsidR="00511203" w:rsidRPr="001F566E" w:rsidRDefault="00511203" w:rsidP="00890789">
      <w:pPr>
        <w:spacing w:after="0" w:line="480" w:lineRule="auto"/>
        <w:jc w:val="both"/>
      </w:pPr>
      <w:r w:rsidRPr="001F566E">
        <w:rPr>
          <w:rFonts w:ascii="Times New Roman" w:hAnsi="Times New Roman" w:cs="Times New Roman"/>
          <w:b/>
          <w:sz w:val="24"/>
          <w:szCs w:val="24"/>
        </w:rPr>
        <w:t xml:space="preserve">2.3 Scenarios </w:t>
      </w:r>
      <w:r w:rsidR="00F03B06">
        <w:rPr>
          <w:rFonts w:ascii="Times New Roman" w:hAnsi="Times New Roman" w:cs="Times New Roman"/>
          <w:b/>
          <w:sz w:val="24"/>
          <w:szCs w:val="24"/>
        </w:rPr>
        <w:t>for year 2061</w:t>
      </w:r>
    </w:p>
    <w:p w14:paraId="6E219095" w14:textId="77777777" w:rsidR="00BD6C7D" w:rsidRPr="001F566E" w:rsidRDefault="00511203" w:rsidP="00890789">
      <w:pPr>
        <w:spacing w:after="0" w:line="480" w:lineRule="auto"/>
        <w:jc w:val="both"/>
        <w:rPr>
          <w:rFonts w:ascii="Times New Roman" w:hAnsi="Times New Roman" w:cs="Times New Roman"/>
          <w:sz w:val="24"/>
          <w:szCs w:val="24"/>
        </w:rPr>
      </w:pPr>
      <w:r w:rsidRPr="001F566E">
        <w:rPr>
          <w:rFonts w:ascii="Times New Roman" w:hAnsi="Times New Roman" w:cs="Times New Roman"/>
          <w:sz w:val="24"/>
          <w:szCs w:val="24"/>
        </w:rPr>
        <w:t xml:space="preserve">As mentioned above, the three scenarios for </w:t>
      </w:r>
      <w:r w:rsidR="00F46BD2">
        <w:rPr>
          <w:rFonts w:ascii="Times New Roman" w:hAnsi="Times New Roman" w:cs="Times New Roman"/>
          <w:sz w:val="24"/>
          <w:szCs w:val="24"/>
        </w:rPr>
        <w:t>Y2061</w:t>
      </w:r>
      <w:r w:rsidRPr="001F566E">
        <w:rPr>
          <w:rFonts w:ascii="Times New Roman" w:hAnsi="Times New Roman" w:cs="Times New Roman"/>
          <w:sz w:val="24"/>
          <w:szCs w:val="24"/>
        </w:rPr>
        <w:t xml:space="preserve"> are based on </w:t>
      </w:r>
      <w:r w:rsidR="00F46BD2">
        <w:rPr>
          <w:rFonts w:ascii="Times New Roman" w:hAnsi="Times New Roman" w:cs="Times New Roman"/>
          <w:sz w:val="24"/>
          <w:szCs w:val="24"/>
        </w:rPr>
        <w:t>Y2031</w:t>
      </w:r>
      <w:r w:rsidRPr="001F566E">
        <w:rPr>
          <w:rFonts w:ascii="Times New Roman" w:hAnsi="Times New Roman" w:cs="Times New Roman"/>
          <w:sz w:val="24"/>
          <w:szCs w:val="24"/>
        </w:rPr>
        <w:t xml:space="preserve"> scenarios that are described in </w:t>
      </w:r>
      <w:r w:rsidR="00707C1F">
        <w:rPr>
          <w:rFonts w:ascii="Times New Roman" w:hAnsi="Times New Roman" w:cs="Times New Roman"/>
          <w:b/>
          <w:sz w:val="24"/>
          <w:szCs w:val="24"/>
        </w:rPr>
        <w:t>the SI</w:t>
      </w:r>
      <w:r w:rsidRPr="001F566E">
        <w:rPr>
          <w:rFonts w:ascii="Times New Roman" w:hAnsi="Times New Roman" w:cs="Times New Roman"/>
          <w:sz w:val="24"/>
          <w:szCs w:val="24"/>
        </w:rPr>
        <w:t xml:space="preserve">. The scenarios were built based on two elements – population location and transportation modes. </w:t>
      </w:r>
    </w:p>
    <w:p w14:paraId="18B49C8B" w14:textId="77777777" w:rsidR="005F0352" w:rsidRPr="001F566E" w:rsidRDefault="005F0352" w:rsidP="00890789">
      <w:pPr>
        <w:spacing w:after="0" w:line="480" w:lineRule="auto"/>
        <w:jc w:val="both"/>
        <w:rPr>
          <w:rFonts w:ascii="Times New Roman" w:hAnsi="Times New Roman" w:cs="Times New Roman"/>
          <w:sz w:val="24"/>
          <w:szCs w:val="24"/>
        </w:rPr>
      </w:pPr>
    </w:p>
    <w:p w14:paraId="63E63013" w14:textId="77777777" w:rsidR="00511203" w:rsidRPr="001F566E" w:rsidRDefault="00511203" w:rsidP="00890789">
      <w:pPr>
        <w:spacing w:after="0" w:line="480" w:lineRule="auto"/>
        <w:jc w:val="both"/>
      </w:pPr>
      <w:r w:rsidRPr="001F566E">
        <w:rPr>
          <w:rFonts w:ascii="Times New Roman" w:hAnsi="Times New Roman" w:cs="Times New Roman"/>
          <w:sz w:val="24"/>
          <w:szCs w:val="24"/>
        </w:rPr>
        <w:t xml:space="preserve">We divided the population element into two parts – location of residence (urban core and suburb), and place of work/school (home, other location). Four transportation modes were considered – </w:t>
      </w:r>
      <w:r w:rsidR="00F2717C" w:rsidRPr="001F566E">
        <w:rPr>
          <w:rFonts w:ascii="Times New Roman" w:hAnsi="Times New Roman" w:cs="Times New Roman"/>
          <w:sz w:val="24"/>
          <w:szCs w:val="24"/>
        </w:rPr>
        <w:t xml:space="preserve">car mode (by private </w:t>
      </w:r>
      <w:r w:rsidRPr="001F566E">
        <w:rPr>
          <w:rFonts w:ascii="Times New Roman" w:hAnsi="Times New Roman" w:cs="Times New Roman"/>
          <w:sz w:val="24"/>
          <w:szCs w:val="24"/>
        </w:rPr>
        <w:t>vehicle</w:t>
      </w:r>
      <w:r w:rsidR="00F2717C" w:rsidRPr="001F566E">
        <w:rPr>
          <w:rFonts w:ascii="Times New Roman" w:hAnsi="Times New Roman" w:cs="Times New Roman"/>
          <w:sz w:val="24"/>
          <w:szCs w:val="24"/>
        </w:rPr>
        <w:t>)</w:t>
      </w:r>
      <w:r w:rsidRPr="001F566E">
        <w:rPr>
          <w:rFonts w:ascii="Times New Roman" w:hAnsi="Times New Roman" w:cs="Times New Roman"/>
          <w:sz w:val="24"/>
          <w:szCs w:val="24"/>
        </w:rPr>
        <w:t xml:space="preserve">, public transit, walking or cycling, others (e.g. bi-modes and school buses). The </w:t>
      </w:r>
      <w:r w:rsidR="00F46BD2">
        <w:rPr>
          <w:rFonts w:ascii="Times New Roman" w:hAnsi="Times New Roman" w:cs="Times New Roman"/>
          <w:sz w:val="24"/>
          <w:szCs w:val="24"/>
        </w:rPr>
        <w:t>Y2061</w:t>
      </w:r>
      <w:r w:rsidR="002B0632" w:rsidRPr="001F566E">
        <w:rPr>
          <w:rFonts w:ascii="Times New Roman" w:hAnsi="Times New Roman" w:cs="Times New Roman"/>
          <w:sz w:val="24"/>
          <w:szCs w:val="24"/>
        </w:rPr>
        <w:t xml:space="preserve"> </w:t>
      </w:r>
      <w:r w:rsidRPr="001F566E">
        <w:rPr>
          <w:rFonts w:ascii="Times New Roman" w:hAnsi="Times New Roman" w:cs="Times New Roman"/>
          <w:sz w:val="24"/>
          <w:szCs w:val="24"/>
        </w:rPr>
        <w:t xml:space="preserve">scenarios are described in </w:t>
      </w:r>
      <w:r w:rsidRPr="001F566E">
        <w:rPr>
          <w:rFonts w:ascii="Times New Roman" w:hAnsi="Times New Roman" w:cs="Times New Roman"/>
          <w:b/>
          <w:sz w:val="24"/>
          <w:szCs w:val="24"/>
        </w:rPr>
        <w:t xml:space="preserve">Table </w:t>
      </w:r>
      <w:r w:rsidR="00707C1F">
        <w:rPr>
          <w:rFonts w:ascii="Times New Roman" w:hAnsi="Times New Roman" w:cs="Times New Roman"/>
          <w:b/>
          <w:sz w:val="24"/>
          <w:szCs w:val="24"/>
        </w:rPr>
        <w:t>S</w:t>
      </w:r>
      <w:r w:rsidRPr="001F566E">
        <w:rPr>
          <w:rFonts w:ascii="Times New Roman" w:hAnsi="Times New Roman" w:cs="Times New Roman"/>
          <w:b/>
          <w:sz w:val="24"/>
          <w:szCs w:val="24"/>
        </w:rPr>
        <w:t>1</w:t>
      </w:r>
      <w:r w:rsidRPr="001F566E">
        <w:rPr>
          <w:rFonts w:ascii="Times New Roman" w:hAnsi="Times New Roman" w:cs="Times New Roman"/>
          <w:sz w:val="24"/>
          <w:szCs w:val="24"/>
        </w:rPr>
        <w:t xml:space="preserve">. </w:t>
      </w:r>
    </w:p>
    <w:p w14:paraId="10CF2FDB" w14:textId="77777777" w:rsidR="00511203" w:rsidRPr="001F566E" w:rsidRDefault="00511203" w:rsidP="00890789">
      <w:pPr>
        <w:spacing w:after="0" w:line="480" w:lineRule="auto"/>
        <w:jc w:val="both"/>
        <w:rPr>
          <w:rFonts w:ascii="Times New Roman" w:hAnsi="Times New Roman" w:cs="Times New Roman"/>
          <w:sz w:val="24"/>
          <w:szCs w:val="24"/>
        </w:rPr>
      </w:pPr>
    </w:p>
    <w:p w14:paraId="776BAE0F" w14:textId="77777777" w:rsidR="00511203" w:rsidRPr="001F566E" w:rsidRDefault="00511203" w:rsidP="00890789">
      <w:pPr>
        <w:spacing w:after="0" w:line="480" w:lineRule="auto"/>
        <w:jc w:val="both"/>
      </w:pPr>
      <w:r w:rsidRPr="001F566E">
        <w:rPr>
          <w:rFonts w:ascii="Times New Roman" w:hAnsi="Times New Roman" w:cs="Times New Roman"/>
          <w:i/>
          <w:sz w:val="24"/>
          <w:szCs w:val="24"/>
        </w:rPr>
        <w:t xml:space="preserve">BAU scenario </w:t>
      </w:r>
    </w:p>
    <w:p w14:paraId="79017CEB" w14:textId="77777777" w:rsidR="00511203" w:rsidRPr="001F566E" w:rsidRDefault="00511203" w:rsidP="00890789">
      <w:pPr>
        <w:spacing w:after="0" w:line="480" w:lineRule="auto"/>
        <w:jc w:val="both"/>
        <w:rPr>
          <w:i/>
          <w:lang w:val="en-CA"/>
        </w:rPr>
      </w:pPr>
      <w:r w:rsidRPr="001F566E">
        <w:rPr>
          <w:rFonts w:ascii="Times New Roman" w:hAnsi="Times New Roman" w:cs="Times New Roman"/>
          <w:sz w:val="24"/>
          <w:szCs w:val="24"/>
        </w:rPr>
        <w:t xml:space="preserve">This scenario extends past trends for the increase in population that reaches a total of </w:t>
      </w:r>
      <w:r w:rsidRPr="001F566E">
        <w:rPr>
          <w:rFonts w:ascii="Times New Roman" w:eastAsia="Times New Roman" w:hAnsi="Times New Roman" w:cs="Times New Roman"/>
          <w:sz w:val="24"/>
          <w:szCs w:val="24"/>
          <w:lang w:val="en-CA" w:eastAsia="fr-CA"/>
        </w:rPr>
        <w:t xml:space="preserve">1,986,089 </w:t>
      </w:r>
      <w:r w:rsidR="00F305CB" w:rsidRPr="001F566E">
        <w:rPr>
          <w:rFonts w:ascii="Times New Roman" w:eastAsia="Times New Roman" w:hAnsi="Times New Roman" w:cs="Times New Roman"/>
          <w:sz w:val="24"/>
          <w:szCs w:val="24"/>
          <w:lang w:val="en-CA" w:eastAsia="fr-CA"/>
        </w:rPr>
        <w:t xml:space="preserve">and </w:t>
      </w:r>
      <w:r w:rsidRPr="001F566E">
        <w:rPr>
          <w:rFonts w:ascii="Times New Roman" w:eastAsia="Times New Roman" w:hAnsi="Times New Roman" w:cs="Times New Roman"/>
          <w:sz w:val="24"/>
          <w:szCs w:val="24"/>
          <w:lang w:val="en-CA" w:eastAsia="fr-CA"/>
        </w:rPr>
        <w:t xml:space="preserve">3,286,524 individuals in </w:t>
      </w:r>
      <w:r w:rsidR="00F46BD2">
        <w:rPr>
          <w:rFonts w:ascii="Times New Roman" w:eastAsia="Times New Roman" w:hAnsi="Times New Roman" w:cs="Times New Roman"/>
          <w:sz w:val="24"/>
          <w:szCs w:val="24"/>
          <w:lang w:val="en-CA" w:eastAsia="fr-CA"/>
        </w:rPr>
        <w:t>Y2061</w:t>
      </w:r>
      <w:r w:rsidRPr="001F566E">
        <w:rPr>
          <w:rFonts w:ascii="Times New Roman" w:eastAsia="Times New Roman" w:hAnsi="Times New Roman" w:cs="Times New Roman"/>
          <w:sz w:val="24"/>
          <w:szCs w:val="24"/>
          <w:lang w:val="en-CA" w:eastAsia="fr-CA"/>
        </w:rPr>
        <w:t xml:space="preserve"> for the urban core and the suburbs respectively; the combined population first increased from 3,947,210 to 4,810,886 individuals from 2008 to </w:t>
      </w:r>
      <w:r w:rsidR="00F46BD2">
        <w:rPr>
          <w:rFonts w:ascii="Times New Roman" w:eastAsia="Times New Roman" w:hAnsi="Times New Roman" w:cs="Times New Roman"/>
          <w:sz w:val="24"/>
          <w:szCs w:val="24"/>
          <w:lang w:val="en-CA" w:eastAsia="fr-CA"/>
        </w:rPr>
        <w:t>Y2031</w:t>
      </w:r>
      <w:r w:rsidRPr="001F566E">
        <w:rPr>
          <w:rFonts w:ascii="Times New Roman" w:eastAsia="Times New Roman" w:hAnsi="Times New Roman" w:cs="Times New Roman"/>
          <w:sz w:val="24"/>
          <w:szCs w:val="24"/>
          <w:lang w:val="en-CA" w:eastAsia="fr-CA"/>
        </w:rPr>
        <w:t xml:space="preserve">, with an </w:t>
      </w:r>
      <w:r w:rsidRPr="001F566E">
        <w:rPr>
          <w:rFonts w:ascii="Times New Roman" w:eastAsia="Times New Roman" w:hAnsi="Times New Roman" w:cs="Times New Roman"/>
          <w:sz w:val="24"/>
          <w:szCs w:val="24"/>
          <w:lang w:val="en-CA" w:eastAsia="fr-CA"/>
        </w:rPr>
        <w:lastRenderedPageBreak/>
        <w:t xml:space="preserve">additional increase to 5,272,613 in </w:t>
      </w:r>
      <w:r w:rsidR="00F46BD2">
        <w:rPr>
          <w:rFonts w:ascii="Times New Roman" w:eastAsia="Times New Roman" w:hAnsi="Times New Roman" w:cs="Times New Roman"/>
          <w:sz w:val="24"/>
          <w:szCs w:val="24"/>
          <w:lang w:val="en-CA" w:eastAsia="fr-CA"/>
        </w:rPr>
        <w:t>Y2061</w:t>
      </w:r>
      <w:r w:rsidRPr="001F566E">
        <w:rPr>
          <w:rFonts w:ascii="Times New Roman" w:hAnsi="Times New Roman" w:cs="Times New Roman"/>
          <w:sz w:val="24"/>
          <w:szCs w:val="24"/>
        </w:rPr>
        <w:t xml:space="preserve">. The population increase in the suburbs and the urban core, from </w:t>
      </w:r>
      <w:r w:rsidR="00F46BD2">
        <w:rPr>
          <w:rFonts w:ascii="Times New Roman" w:hAnsi="Times New Roman" w:cs="Times New Roman"/>
          <w:sz w:val="24"/>
          <w:szCs w:val="24"/>
        </w:rPr>
        <w:t>Y2031</w:t>
      </w:r>
      <w:r w:rsidRPr="001F566E">
        <w:rPr>
          <w:rFonts w:ascii="Times New Roman" w:hAnsi="Times New Roman" w:cs="Times New Roman"/>
          <w:sz w:val="24"/>
          <w:szCs w:val="24"/>
        </w:rPr>
        <w:t xml:space="preserve"> to </w:t>
      </w:r>
      <w:r w:rsidR="00F46BD2">
        <w:rPr>
          <w:rFonts w:ascii="Times New Roman" w:hAnsi="Times New Roman" w:cs="Times New Roman"/>
          <w:sz w:val="24"/>
          <w:szCs w:val="24"/>
        </w:rPr>
        <w:t>Y2061</w:t>
      </w:r>
      <w:r w:rsidRPr="001F566E">
        <w:rPr>
          <w:rFonts w:ascii="Times New Roman" w:hAnsi="Times New Roman" w:cs="Times New Roman"/>
          <w:sz w:val="24"/>
          <w:szCs w:val="24"/>
        </w:rPr>
        <w:t xml:space="preserve"> (about 400,000), was calculated using demographic perspectives in Quebec between 2006 and 2061 as described below</w:t>
      </w:r>
      <w:r w:rsidR="00F2717C" w:rsidRPr="001F566E">
        <w:rPr>
          <w:rFonts w:ascii="Times New Roman" w:hAnsi="Times New Roman" w:cs="Times New Roman"/>
          <w:sz w:val="24"/>
          <w:szCs w:val="24"/>
        </w:rPr>
        <w:t xml:space="preserve"> </w:t>
      </w:r>
      <w:r w:rsidR="00336C41" w:rsidRPr="001F566E">
        <w:rPr>
          <w:rFonts w:ascii="Times New Roman" w:hAnsi="Times New Roman" w:cs="Times New Roman"/>
          <w:sz w:val="24"/>
          <w:szCs w:val="24"/>
        </w:rPr>
        <w:t xml:space="preserve">in </w:t>
      </w:r>
      <w:r w:rsidR="00336C41" w:rsidRPr="001F566E">
        <w:rPr>
          <w:rFonts w:ascii="Times New Roman" w:hAnsi="Times New Roman" w:cs="Times New Roman"/>
          <w:b/>
          <w:sz w:val="24"/>
          <w:szCs w:val="24"/>
        </w:rPr>
        <w:t xml:space="preserve">section </w:t>
      </w:r>
      <w:r w:rsidR="00F2717C" w:rsidRPr="001F566E">
        <w:rPr>
          <w:rFonts w:ascii="Times New Roman" w:hAnsi="Times New Roman" w:cs="Times New Roman"/>
          <w:b/>
          <w:sz w:val="24"/>
          <w:szCs w:val="24"/>
        </w:rPr>
        <w:t>2.4</w:t>
      </w:r>
      <w:r w:rsidR="00ED4FCC" w:rsidRPr="001F566E">
        <w:rPr>
          <w:rFonts w:ascii="Times New Roman" w:hAnsi="Times New Roman" w:cs="Times New Roman"/>
          <w:sz w:val="24"/>
          <w:szCs w:val="24"/>
        </w:rPr>
        <w:t xml:space="preserve"> </w:t>
      </w:r>
      <w:r w:rsidRPr="00F33A42">
        <w:fldChar w:fldCharType="begin"/>
      </w:r>
      <w:r w:rsidRPr="001F566E">
        <w:instrText>ADDIN CSL_CITATION { "citationItems" : [ { "id" : "ITEM-1", "itemData" : { "author" : [ { "dropping-particle" : "", "family" : "ISQ", "given" : "", "non-dropping-particle" : "", "parse-names" : false, "suffix" : "" } ], "id" : "ITEM-1", "issued" : { "date-parts" : [ [ "2014" ] ] }, "page" : "123", "title" : "Perspectives demographiques du Quebec et des regions", "type" : "article" }, "uris" : [ "http://www.mendeley.com/documents/?uuid=17277c57-b557-486f-95a6-edac51e0e7af" ] } ], "mendeley" : { "formattedCitation" : "(ISQ, 2014)", "plainTextFormattedCitation" : "(ISQ, 2014)", "previouslyFormattedCitation" : "(ISQ, 2014)" }, "properties" : {  }, "schema" : "https://github.com/citation-style-language/schema/raw/master/csl-citation.json" }</w:instrText>
      </w:r>
      <w:r w:rsidRPr="00F33A42">
        <w:fldChar w:fldCharType="separate"/>
      </w:r>
      <w:r w:rsidRPr="00F33A42">
        <w:rPr>
          <w:rFonts w:ascii="Times New Roman" w:hAnsi="Times New Roman" w:cs="Times New Roman"/>
          <w:sz w:val="24"/>
          <w:szCs w:val="24"/>
        </w:rPr>
        <w:t>(</w:t>
      </w:r>
      <w:r w:rsidR="00A76786">
        <w:rPr>
          <w:rFonts w:ascii="Times New Roman" w:hAnsi="Times New Roman" w:cs="Times New Roman"/>
          <w:sz w:val="24"/>
          <w:szCs w:val="24"/>
        </w:rPr>
        <w:t>ISQ,</w:t>
      </w:r>
      <w:r w:rsidRPr="00F33A42">
        <w:rPr>
          <w:rFonts w:ascii="Times New Roman" w:hAnsi="Times New Roman" w:cs="Times New Roman"/>
          <w:sz w:val="24"/>
          <w:szCs w:val="24"/>
        </w:rPr>
        <w:t xml:space="preserve"> 2014)</w:t>
      </w:r>
      <w:r w:rsidRPr="00F33A42">
        <w:fldChar w:fldCharType="end"/>
      </w:r>
      <w:r w:rsidRPr="00F33A42">
        <w:rPr>
          <w:rFonts w:ascii="Times New Roman" w:hAnsi="Times New Roman" w:cs="Times New Roman"/>
          <w:sz w:val="24"/>
          <w:szCs w:val="24"/>
        </w:rPr>
        <w:t xml:space="preserve">. In the </w:t>
      </w:r>
      <w:r w:rsidR="00F46BD2">
        <w:rPr>
          <w:rFonts w:ascii="Times New Roman" w:hAnsi="Times New Roman" w:cs="Times New Roman"/>
          <w:sz w:val="24"/>
          <w:szCs w:val="24"/>
        </w:rPr>
        <w:t>Y2061</w:t>
      </w:r>
      <w:r w:rsidRPr="00F33A42">
        <w:rPr>
          <w:rFonts w:ascii="Times New Roman" w:hAnsi="Times New Roman" w:cs="Times New Roman"/>
          <w:sz w:val="24"/>
          <w:szCs w:val="24"/>
        </w:rPr>
        <w:t xml:space="preserve"> BAU scenario, the </w:t>
      </w:r>
      <w:r w:rsidR="00F46BD2">
        <w:rPr>
          <w:rFonts w:ascii="Times New Roman" w:hAnsi="Times New Roman" w:cs="Times New Roman"/>
          <w:sz w:val="24"/>
          <w:szCs w:val="24"/>
        </w:rPr>
        <w:t>Y2031</w:t>
      </w:r>
      <w:r w:rsidRPr="00F33A42">
        <w:rPr>
          <w:rFonts w:ascii="Times New Roman" w:hAnsi="Times New Roman" w:cs="Times New Roman"/>
          <w:sz w:val="24"/>
          <w:szCs w:val="24"/>
        </w:rPr>
        <w:t xml:space="preserve"> mode shares, as well as the non-mobile proportion, are conserved in </w:t>
      </w:r>
      <w:r w:rsidR="00F46BD2">
        <w:rPr>
          <w:rFonts w:ascii="Times New Roman" w:hAnsi="Times New Roman" w:cs="Times New Roman"/>
          <w:sz w:val="24"/>
          <w:szCs w:val="24"/>
        </w:rPr>
        <w:t>Y2061</w:t>
      </w:r>
      <w:r w:rsidRPr="00F33A42">
        <w:rPr>
          <w:rFonts w:ascii="Times New Roman" w:hAnsi="Times New Roman" w:cs="Times New Roman"/>
          <w:sz w:val="24"/>
          <w:szCs w:val="24"/>
        </w:rPr>
        <w:t xml:space="preserve"> for the 87 municipalities (</w:t>
      </w:r>
      <w:r w:rsidRPr="00F33A42">
        <w:rPr>
          <w:rFonts w:ascii="Times New Roman" w:hAnsi="Times New Roman" w:cs="Times New Roman"/>
          <w:b/>
          <w:sz w:val="24"/>
          <w:szCs w:val="24"/>
        </w:rPr>
        <w:t xml:space="preserve">Table </w:t>
      </w:r>
      <w:r w:rsidR="00707C1F">
        <w:rPr>
          <w:rFonts w:ascii="Times New Roman" w:hAnsi="Times New Roman" w:cs="Times New Roman"/>
          <w:b/>
          <w:sz w:val="24"/>
          <w:szCs w:val="24"/>
        </w:rPr>
        <w:t>S</w:t>
      </w:r>
      <w:r w:rsidRPr="001F566E">
        <w:rPr>
          <w:rFonts w:ascii="Times New Roman" w:hAnsi="Times New Roman" w:cs="Times New Roman"/>
          <w:b/>
          <w:sz w:val="24"/>
          <w:szCs w:val="24"/>
        </w:rPr>
        <w:t>1</w:t>
      </w:r>
      <w:r w:rsidRPr="001F566E">
        <w:rPr>
          <w:rFonts w:ascii="Times New Roman" w:hAnsi="Times New Roman" w:cs="Times New Roman"/>
          <w:sz w:val="24"/>
          <w:szCs w:val="24"/>
        </w:rPr>
        <w:t xml:space="preserve">). </w:t>
      </w:r>
    </w:p>
    <w:p w14:paraId="49222CCC" w14:textId="77777777" w:rsidR="00511203" w:rsidRPr="001F566E" w:rsidRDefault="00511203" w:rsidP="00890789">
      <w:pPr>
        <w:spacing w:after="0" w:line="480" w:lineRule="auto"/>
        <w:rPr>
          <w:rFonts w:ascii="Times New Roman" w:hAnsi="Times New Roman" w:cs="Times New Roman"/>
          <w:sz w:val="24"/>
          <w:szCs w:val="24"/>
          <w:lang w:val="en-CA"/>
        </w:rPr>
      </w:pPr>
    </w:p>
    <w:p w14:paraId="3F1D5777" w14:textId="77777777" w:rsidR="00511203" w:rsidRPr="001F566E" w:rsidRDefault="006570D9" w:rsidP="00890789">
      <w:pPr>
        <w:spacing w:after="0" w:line="480" w:lineRule="auto"/>
      </w:pPr>
      <w:r w:rsidRPr="001F566E">
        <w:rPr>
          <w:rFonts w:ascii="Times New Roman" w:hAnsi="Times New Roman" w:cs="Times New Roman"/>
          <w:i/>
          <w:sz w:val="24"/>
          <w:szCs w:val="24"/>
        </w:rPr>
        <w:t>Optimal</w:t>
      </w:r>
      <w:r w:rsidR="003E5878" w:rsidRPr="001F566E">
        <w:rPr>
          <w:rFonts w:ascii="Times New Roman" w:hAnsi="Times New Roman" w:cs="Times New Roman"/>
          <w:i/>
          <w:sz w:val="24"/>
          <w:szCs w:val="24"/>
        </w:rPr>
        <w:t xml:space="preserve"> </w:t>
      </w:r>
      <w:r w:rsidR="00511203" w:rsidRPr="001F566E">
        <w:rPr>
          <w:rFonts w:ascii="Times New Roman" w:hAnsi="Times New Roman" w:cs="Times New Roman"/>
          <w:i/>
          <w:sz w:val="24"/>
          <w:szCs w:val="24"/>
        </w:rPr>
        <w:t xml:space="preserve">scenarios with and without teleworking/schooling </w:t>
      </w:r>
    </w:p>
    <w:p w14:paraId="63B14366" w14:textId="77777777" w:rsidR="008035CA" w:rsidRPr="00F33A42" w:rsidRDefault="008035CA" w:rsidP="00890789">
      <w:pPr>
        <w:spacing w:after="0" w:line="480" w:lineRule="auto"/>
        <w:jc w:val="both"/>
        <w:rPr>
          <w:rFonts w:ascii="Times New Roman" w:hAnsi="Times New Roman" w:cs="Times New Roman"/>
          <w:sz w:val="24"/>
          <w:szCs w:val="24"/>
        </w:rPr>
      </w:pPr>
      <w:r w:rsidRPr="001F566E">
        <w:rPr>
          <w:rFonts w:ascii="Times New Roman" w:hAnsi="Times New Roman" w:cs="Times New Roman"/>
          <w:sz w:val="24"/>
          <w:szCs w:val="24"/>
        </w:rPr>
        <w:t xml:space="preserve">In the </w:t>
      </w:r>
      <w:r w:rsidR="00F46BD2">
        <w:rPr>
          <w:rFonts w:ascii="Times New Roman" w:hAnsi="Times New Roman" w:cs="Times New Roman"/>
          <w:sz w:val="24"/>
          <w:szCs w:val="24"/>
        </w:rPr>
        <w:t>Y2061</w:t>
      </w:r>
      <w:r w:rsidRPr="001F566E">
        <w:rPr>
          <w:rFonts w:ascii="Times New Roman" w:hAnsi="Times New Roman" w:cs="Times New Roman"/>
          <w:sz w:val="24"/>
          <w:szCs w:val="24"/>
        </w:rPr>
        <w:t xml:space="preserve"> </w:t>
      </w:r>
      <w:r w:rsidR="006570D9" w:rsidRPr="001F566E">
        <w:rPr>
          <w:rFonts w:ascii="Times New Roman" w:hAnsi="Times New Roman" w:cs="Times New Roman"/>
          <w:sz w:val="24"/>
          <w:szCs w:val="24"/>
        </w:rPr>
        <w:t>Optimal</w:t>
      </w:r>
      <w:r w:rsidR="003E5878" w:rsidRPr="001F566E">
        <w:rPr>
          <w:rFonts w:ascii="Times New Roman" w:hAnsi="Times New Roman" w:cs="Times New Roman"/>
          <w:sz w:val="24"/>
          <w:szCs w:val="24"/>
        </w:rPr>
        <w:t xml:space="preserve"> </w:t>
      </w:r>
      <w:r w:rsidRPr="001F566E">
        <w:rPr>
          <w:rFonts w:ascii="Times New Roman" w:hAnsi="Times New Roman" w:cs="Times New Roman"/>
          <w:sz w:val="24"/>
          <w:szCs w:val="24"/>
        </w:rPr>
        <w:t xml:space="preserve">scenario without change in teleworking/schooling, we maintained the same proportion of non-mobile individuals by municipality as in </w:t>
      </w:r>
      <w:r w:rsidR="00F46BD2">
        <w:rPr>
          <w:rFonts w:ascii="Times New Roman" w:hAnsi="Times New Roman" w:cs="Times New Roman"/>
          <w:sz w:val="24"/>
          <w:szCs w:val="24"/>
        </w:rPr>
        <w:t>Y2031</w:t>
      </w:r>
      <w:r w:rsidRPr="001F566E">
        <w:rPr>
          <w:rFonts w:ascii="Times New Roman" w:hAnsi="Times New Roman" w:cs="Times New Roman"/>
          <w:sz w:val="24"/>
          <w:szCs w:val="24"/>
        </w:rPr>
        <w:t xml:space="preserve">. In the </w:t>
      </w:r>
      <w:r w:rsidR="006570D9" w:rsidRPr="001F566E">
        <w:rPr>
          <w:rFonts w:ascii="Times New Roman" w:hAnsi="Times New Roman" w:cs="Times New Roman"/>
          <w:sz w:val="24"/>
          <w:szCs w:val="24"/>
        </w:rPr>
        <w:t>Optimal</w:t>
      </w:r>
      <w:r w:rsidR="003E5878" w:rsidRPr="001F566E">
        <w:rPr>
          <w:rFonts w:ascii="Times New Roman" w:hAnsi="Times New Roman" w:cs="Times New Roman"/>
          <w:sz w:val="24"/>
          <w:szCs w:val="24"/>
        </w:rPr>
        <w:t xml:space="preserve"> </w:t>
      </w:r>
      <w:r w:rsidRPr="001F566E">
        <w:rPr>
          <w:rFonts w:ascii="Times New Roman" w:hAnsi="Times New Roman" w:cs="Times New Roman"/>
          <w:sz w:val="24"/>
          <w:szCs w:val="24"/>
        </w:rPr>
        <w:t xml:space="preserve">scenario with teleworking/schooling, the non-mobile population increased from 27% to 45%. Those proportions were obtained </w:t>
      </w:r>
      <w:r w:rsidR="00680EB5">
        <w:rPr>
          <w:rFonts w:ascii="Times New Roman" w:hAnsi="Times New Roman" w:cs="Times New Roman"/>
          <w:sz w:val="24"/>
          <w:szCs w:val="24"/>
        </w:rPr>
        <w:t>by</w:t>
      </w:r>
      <w:r w:rsidR="00680EB5" w:rsidRPr="001F566E">
        <w:rPr>
          <w:rFonts w:ascii="Times New Roman" w:hAnsi="Times New Roman" w:cs="Times New Roman"/>
          <w:sz w:val="24"/>
          <w:szCs w:val="24"/>
        </w:rPr>
        <w:t xml:space="preserve"> </w:t>
      </w:r>
      <w:r w:rsidRPr="001F566E">
        <w:rPr>
          <w:rFonts w:ascii="Times New Roman" w:hAnsi="Times New Roman" w:cs="Times New Roman"/>
          <w:sz w:val="24"/>
          <w:szCs w:val="24"/>
        </w:rPr>
        <w:t xml:space="preserve">reducing by half the </w:t>
      </w:r>
      <w:r w:rsidR="00F46BD2">
        <w:rPr>
          <w:rFonts w:ascii="Times New Roman" w:hAnsi="Times New Roman" w:cs="Times New Roman"/>
          <w:sz w:val="24"/>
          <w:szCs w:val="24"/>
        </w:rPr>
        <w:t>Y2031</w:t>
      </w:r>
      <w:r w:rsidRPr="001F566E">
        <w:rPr>
          <w:rFonts w:ascii="Times New Roman" w:hAnsi="Times New Roman" w:cs="Times New Roman"/>
          <w:sz w:val="24"/>
          <w:szCs w:val="24"/>
        </w:rPr>
        <w:t xml:space="preserve"> trips of individuals </w:t>
      </w:r>
      <w:r w:rsidR="0094205B" w:rsidRPr="001F566E">
        <w:rPr>
          <w:rFonts w:ascii="Times New Roman" w:hAnsi="Times New Roman" w:cs="Times New Roman"/>
          <w:sz w:val="24"/>
          <w:szCs w:val="24"/>
        </w:rPr>
        <w:t xml:space="preserve">who </w:t>
      </w:r>
      <w:r w:rsidRPr="001F566E">
        <w:rPr>
          <w:rFonts w:ascii="Times New Roman" w:hAnsi="Times New Roman" w:cs="Times New Roman"/>
          <w:sz w:val="24"/>
          <w:szCs w:val="24"/>
        </w:rPr>
        <w:t>had moved for work or school. Such a high percentage of non mobile individual has been observed elsewhere (</w:t>
      </w:r>
      <w:r w:rsidR="00593A22" w:rsidRPr="007F0AFA">
        <w:rPr>
          <w:rFonts w:ascii="Times New Roman" w:hAnsi="Times New Roman" w:cs="Times New Roman"/>
          <w:sz w:val="24"/>
          <w:szCs w:val="24"/>
        </w:rPr>
        <w:t xml:space="preserve">Tanguay </w:t>
      </w:r>
      <w:r w:rsidR="00593A22">
        <w:rPr>
          <w:rFonts w:ascii="Times New Roman" w:hAnsi="Times New Roman" w:cs="Times New Roman"/>
          <w:sz w:val="24"/>
          <w:szCs w:val="24"/>
        </w:rPr>
        <w:t>and</w:t>
      </w:r>
      <w:r w:rsidR="00593A22" w:rsidRPr="007F0AFA">
        <w:rPr>
          <w:rFonts w:ascii="Times New Roman" w:hAnsi="Times New Roman" w:cs="Times New Roman"/>
          <w:sz w:val="24"/>
          <w:szCs w:val="24"/>
        </w:rPr>
        <w:t xml:space="preserve"> Lachapelle</w:t>
      </w:r>
      <w:r w:rsidR="001047F5">
        <w:rPr>
          <w:rFonts w:ascii="Times New Roman" w:hAnsi="Times New Roman" w:cs="Times New Roman"/>
          <w:sz w:val="24"/>
          <w:szCs w:val="24"/>
        </w:rPr>
        <w:t>,</w:t>
      </w:r>
      <w:r w:rsidR="00593A22" w:rsidRPr="007F0AFA">
        <w:rPr>
          <w:rFonts w:ascii="Times New Roman" w:hAnsi="Times New Roman" w:cs="Times New Roman"/>
          <w:sz w:val="24"/>
          <w:szCs w:val="24"/>
        </w:rPr>
        <w:t xml:space="preserve"> 2018</w:t>
      </w:r>
      <w:r w:rsidRPr="00F33A42">
        <w:rPr>
          <w:rFonts w:ascii="Times New Roman" w:hAnsi="Times New Roman" w:cs="Times New Roman"/>
          <w:sz w:val="24"/>
          <w:szCs w:val="24"/>
        </w:rPr>
        <w:t xml:space="preserve">); it also corresponds roughly to members of the active (mobile) population who work/school at home approximately half of the time. </w:t>
      </w:r>
    </w:p>
    <w:p w14:paraId="227391B9" w14:textId="77777777" w:rsidR="008035CA" w:rsidRPr="001F566E" w:rsidRDefault="008035CA" w:rsidP="00890789">
      <w:pPr>
        <w:spacing w:after="0" w:line="480" w:lineRule="auto"/>
        <w:jc w:val="both"/>
      </w:pPr>
    </w:p>
    <w:p w14:paraId="46AA2EBD" w14:textId="77777777" w:rsidR="00511203" w:rsidRPr="001F566E" w:rsidRDefault="00511203" w:rsidP="00890789">
      <w:pPr>
        <w:spacing w:after="0" w:line="480" w:lineRule="auto"/>
        <w:jc w:val="both"/>
      </w:pPr>
      <w:r w:rsidRPr="001F566E">
        <w:rPr>
          <w:rFonts w:ascii="Times New Roman" w:hAnsi="Times New Roman" w:cs="Times New Roman"/>
          <w:sz w:val="24"/>
          <w:szCs w:val="24"/>
        </w:rPr>
        <w:t xml:space="preserve">In the </w:t>
      </w:r>
      <w:r w:rsidR="006570D9" w:rsidRPr="001F566E">
        <w:rPr>
          <w:rFonts w:ascii="Times New Roman" w:hAnsi="Times New Roman" w:cs="Times New Roman"/>
          <w:sz w:val="24"/>
          <w:szCs w:val="24"/>
        </w:rPr>
        <w:t>Optimal</w:t>
      </w:r>
      <w:r w:rsidR="003E5878" w:rsidRPr="001F566E">
        <w:rPr>
          <w:rFonts w:ascii="Times New Roman" w:hAnsi="Times New Roman" w:cs="Times New Roman"/>
          <w:sz w:val="24"/>
          <w:szCs w:val="24"/>
        </w:rPr>
        <w:t xml:space="preserve"> </w:t>
      </w:r>
      <w:r w:rsidRPr="001F566E">
        <w:rPr>
          <w:rFonts w:ascii="Times New Roman" w:hAnsi="Times New Roman" w:cs="Times New Roman"/>
          <w:sz w:val="24"/>
          <w:szCs w:val="24"/>
        </w:rPr>
        <w:t xml:space="preserve">scenarios, the new </w:t>
      </w:r>
      <w:r w:rsidR="00F46BD2">
        <w:rPr>
          <w:rFonts w:ascii="Times New Roman" w:hAnsi="Times New Roman" w:cs="Times New Roman"/>
          <w:sz w:val="24"/>
          <w:szCs w:val="24"/>
        </w:rPr>
        <w:t>Y2061</w:t>
      </w:r>
      <w:r w:rsidRPr="001F566E">
        <w:rPr>
          <w:rFonts w:ascii="Times New Roman" w:hAnsi="Times New Roman" w:cs="Times New Roman"/>
          <w:sz w:val="24"/>
          <w:szCs w:val="24"/>
        </w:rPr>
        <w:t xml:space="preserve"> population i.e. the additional people since </w:t>
      </w:r>
      <w:r w:rsidR="00F46BD2">
        <w:rPr>
          <w:rFonts w:ascii="Times New Roman" w:hAnsi="Times New Roman" w:cs="Times New Roman"/>
          <w:sz w:val="24"/>
          <w:szCs w:val="24"/>
        </w:rPr>
        <w:t>Y2031</w:t>
      </w:r>
      <w:r w:rsidRPr="001F566E">
        <w:rPr>
          <w:rFonts w:ascii="Times New Roman" w:hAnsi="Times New Roman" w:cs="Times New Roman"/>
          <w:sz w:val="24"/>
          <w:szCs w:val="24"/>
        </w:rPr>
        <w:t>, is located in the urban core</w:t>
      </w:r>
      <w:r w:rsidR="00E43BE0" w:rsidRPr="001F566E">
        <w:rPr>
          <w:rFonts w:ascii="Times New Roman" w:hAnsi="Times New Roman" w:cs="Times New Roman"/>
          <w:sz w:val="24"/>
          <w:szCs w:val="24"/>
        </w:rPr>
        <w:t xml:space="preserve">, </w:t>
      </w:r>
      <w:r w:rsidR="00415EAF" w:rsidRPr="001F566E">
        <w:rPr>
          <w:rFonts w:ascii="Times New Roman" w:hAnsi="Times New Roman" w:cs="Times New Roman"/>
          <w:sz w:val="24"/>
          <w:szCs w:val="24"/>
        </w:rPr>
        <w:t xml:space="preserve">and age and sex </w:t>
      </w:r>
      <w:r w:rsidR="00E43BE0" w:rsidRPr="001F566E">
        <w:rPr>
          <w:rFonts w:ascii="Times New Roman" w:hAnsi="Times New Roman" w:cs="Times New Roman"/>
          <w:sz w:val="24"/>
          <w:szCs w:val="24"/>
        </w:rPr>
        <w:t>d</w:t>
      </w:r>
      <w:r w:rsidRPr="001F566E">
        <w:rPr>
          <w:rFonts w:ascii="Times New Roman" w:hAnsi="Times New Roman" w:cs="Times New Roman"/>
          <w:sz w:val="24"/>
          <w:szCs w:val="24"/>
        </w:rPr>
        <w:t>istribut</w:t>
      </w:r>
      <w:r w:rsidR="00415EAF" w:rsidRPr="001F566E">
        <w:rPr>
          <w:rFonts w:ascii="Times New Roman" w:hAnsi="Times New Roman" w:cs="Times New Roman"/>
          <w:sz w:val="24"/>
          <w:szCs w:val="24"/>
        </w:rPr>
        <w:t>ions</w:t>
      </w:r>
      <w:r w:rsidRPr="001F566E">
        <w:rPr>
          <w:rFonts w:ascii="Times New Roman" w:hAnsi="Times New Roman" w:cs="Times New Roman"/>
          <w:sz w:val="24"/>
          <w:szCs w:val="24"/>
        </w:rPr>
        <w:t xml:space="preserve"> across municipal sectors</w:t>
      </w:r>
      <w:r w:rsidR="00415EAF" w:rsidRPr="001F566E">
        <w:rPr>
          <w:rFonts w:ascii="Times New Roman" w:hAnsi="Times New Roman" w:cs="Times New Roman"/>
          <w:sz w:val="24"/>
          <w:szCs w:val="24"/>
        </w:rPr>
        <w:t xml:space="preserve"> are</w:t>
      </w:r>
      <w:r w:rsidRPr="001F566E">
        <w:rPr>
          <w:rFonts w:ascii="Times New Roman" w:hAnsi="Times New Roman" w:cs="Times New Roman"/>
          <w:sz w:val="24"/>
          <w:szCs w:val="24"/>
        </w:rPr>
        <w:t xml:space="preserve"> according to the </w:t>
      </w:r>
      <w:r w:rsidR="00F305CB" w:rsidRPr="001F566E">
        <w:rPr>
          <w:rFonts w:ascii="Times New Roman" w:hAnsi="Times New Roman" w:cs="Times New Roman"/>
          <w:sz w:val="24"/>
          <w:szCs w:val="24"/>
        </w:rPr>
        <w:t xml:space="preserve">population </w:t>
      </w:r>
      <w:r w:rsidRPr="001F566E">
        <w:rPr>
          <w:rFonts w:ascii="Times New Roman" w:hAnsi="Times New Roman" w:cs="Times New Roman"/>
          <w:sz w:val="24"/>
          <w:szCs w:val="24"/>
        </w:rPr>
        <w:t xml:space="preserve">distribution of the </w:t>
      </w:r>
      <w:r w:rsidR="00F46BD2">
        <w:rPr>
          <w:rFonts w:ascii="Times New Roman" w:hAnsi="Times New Roman" w:cs="Times New Roman"/>
          <w:sz w:val="24"/>
          <w:szCs w:val="24"/>
        </w:rPr>
        <w:t>Y2061</w:t>
      </w:r>
      <w:r w:rsidRPr="001F566E">
        <w:rPr>
          <w:rFonts w:ascii="Times New Roman" w:hAnsi="Times New Roman" w:cs="Times New Roman"/>
          <w:sz w:val="24"/>
          <w:szCs w:val="24"/>
        </w:rPr>
        <w:t xml:space="preserve"> Central scenario</w:t>
      </w:r>
      <w:r w:rsidRPr="00F33A42">
        <w:rPr>
          <w:rFonts w:ascii="Times New Roman" w:hAnsi="Times New Roman" w:cs="Times New Roman"/>
          <w:sz w:val="24"/>
          <w:szCs w:val="24"/>
        </w:rPr>
        <w:t xml:space="preserve"> (urban core densification; see </w:t>
      </w:r>
      <w:r w:rsidR="00641D22" w:rsidRPr="001F566E">
        <w:rPr>
          <w:rFonts w:ascii="Times New Roman" w:hAnsi="Times New Roman" w:cs="Times New Roman"/>
          <w:b/>
          <w:sz w:val="24"/>
          <w:szCs w:val="24"/>
        </w:rPr>
        <w:t xml:space="preserve">section </w:t>
      </w:r>
      <w:r w:rsidR="008E1475" w:rsidRPr="001F566E">
        <w:rPr>
          <w:rFonts w:ascii="Times New Roman" w:hAnsi="Times New Roman" w:cs="Times New Roman"/>
          <w:b/>
          <w:sz w:val="24"/>
          <w:szCs w:val="24"/>
        </w:rPr>
        <w:t>2</w:t>
      </w:r>
      <w:r w:rsidR="00641D22" w:rsidRPr="001F566E">
        <w:rPr>
          <w:rFonts w:ascii="Times New Roman" w:hAnsi="Times New Roman" w:cs="Times New Roman"/>
          <w:b/>
          <w:sz w:val="24"/>
          <w:szCs w:val="24"/>
        </w:rPr>
        <w:t xml:space="preserve"> </w:t>
      </w:r>
      <w:r w:rsidR="00641D22" w:rsidRPr="001F566E">
        <w:rPr>
          <w:rFonts w:ascii="Times New Roman" w:hAnsi="Times New Roman" w:cs="Times New Roman"/>
          <w:sz w:val="24"/>
          <w:szCs w:val="24"/>
        </w:rPr>
        <w:t>of</w:t>
      </w:r>
      <w:r w:rsidR="006D0551" w:rsidRPr="001F566E">
        <w:rPr>
          <w:rFonts w:ascii="Times New Roman" w:hAnsi="Times New Roman" w:cs="Times New Roman"/>
          <w:sz w:val="24"/>
          <w:szCs w:val="24"/>
        </w:rPr>
        <w:t xml:space="preserve"> the</w:t>
      </w:r>
      <w:r w:rsidR="0094205B" w:rsidRPr="001F566E">
        <w:rPr>
          <w:rFonts w:ascii="Times New Roman" w:hAnsi="Times New Roman" w:cs="Times New Roman"/>
          <w:b/>
          <w:sz w:val="24"/>
          <w:szCs w:val="24"/>
        </w:rPr>
        <w:t xml:space="preserve"> </w:t>
      </w:r>
      <w:r w:rsidR="00707C1F">
        <w:rPr>
          <w:rFonts w:ascii="Times New Roman" w:hAnsi="Times New Roman" w:cs="Times New Roman"/>
          <w:b/>
          <w:sz w:val="24"/>
          <w:szCs w:val="24"/>
        </w:rPr>
        <w:t>SI</w:t>
      </w:r>
      <w:r w:rsidRPr="001F566E">
        <w:rPr>
          <w:rFonts w:ascii="Times New Roman" w:hAnsi="Times New Roman" w:cs="Times New Roman"/>
          <w:sz w:val="24"/>
          <w:szCs w:val="24"/>
        </w:rPr>
        <w:t xml:space="preserve">). As described in </w:t>
      </w:r>
      <w:r w:rsidRPr="001F566E">
        <w:rPr>
          <w:rFonts w:ascii="Times New Roman" w:hAnsi="Times New Roman" w:cs="Times New Roman"/>
          <w:b/>
          <w:sz w:val="24"/>
          <w:szCs w:val="24"/>
        </w:rPr>
        <w:t xml:space="preserve">Table </w:t>
      </w:r>
      <w:r w:rsidR="00707C1F">
        <w:rPr>
          <w:rFonts w:ascii="Times New Roman" w:hAnsi="Times New Roman" w:cs="Times New Roman"/>
          <w:b/>
          <w:sz w:val="24"/>
          <w:szCs w:val="24"/>
        </w:rPr>
        <w:t>S</w:t>
      </w:r>
      <w:r w:rsidRPr="001F566E">
        <w:rPr>
          <w:rFonts w:ascii="Times New Roman" w:hAnsi="Times New Roman" w:cs="Times New Roman"/>
          <w:b/>
          <w:sz w:val="24"/>
          <w:szCs w:val="24"/>
        </w:rPr>
        <w:t>1</w:t>
      </w:r>
      <w:r w:rsidRPr="001F566E">
        <w:rPr>
          <w:rFonts w:ascii="Times New Roman" w:hAnsi="Times New Roman" w:cs="Times New Roman"/>
          <w:sz w:val="24"/>
          <w:szCs w:val="24"/>
        </w:rPr>
        <w:t xml:space="preserve">, the car mode share for the </w:t>
      </w:r>
      <w:r w:rsidR="00F46BD2">
        <w:rPr>
          <w:rFonts w:ascii="Times New Roman" w:hAnsi="Times New Roman" w:cs="Times New Roman"/>
          <w:sz w:val="24"/>
          <w:szCs w:val="24"/>
        </w:rPr>
        <w:t>Y2061</w:t>
      </w:r>
      <w:r w:rsidRPr="001F566E">
        <w:rPr>
          <w:rFonts w:ascii="Times New Roman" w:hAnsi="Times New Roman" w:cs="Times New Roman"/>
          <w:sz w:val="24"/>
          <w:szCs w:val="24"/>
        </w:rPr>
        <w:t xml:space="preserve"> </w:t>
      </w:r>
      <w:r w:rsidR="006570D9" w:rsidRPr="001F566E">
        <w:rPr>
          <w:rFonts w:ascii="Times New Roman" w:hAnsi="Times New Roman" w:cs="Times New Roman"/>
          <w:sz w:val="24"/>
          <w:szCs w:val="24"/>
        </w:rPr>
        <w:t>optimal</w:t>
      </w:r>
      <w:r w:rsidR="00E43BE0" w:rsidRPr="001F566E">
        <w:rPr>
          <w:rFonts w:ascii="Times New Roman" w:hAnsi="Times New Roman" w:cs="Times New Roman"/>
          <w:sz w:val="24"/>
          <w:szCs w:val="24"/>
        </w:rPr>
        <w:t xml:space="preserve"> </w:t>
      </w:r>
      <w:r w:rsidRPr="001F566E">
        <w:rPr>
          <w:rFonts w:ascii="Times New Roman" w:hAnsi="Times New Roman" w:cs="Times New Roman"/>
          <w:sz w:val="24"/>
          <w:szCs w:val="24"/>
        </w:rPr>
        <w:t xml:space="preserve">scenarios is set to a lower value in the two regions (urban core and suburbs) compared to the </w:t>
      </w:r>
      <w:r w:rsidR="00F46BD2">
        <w:rPr>
          <w:rFonts w:ascii="Times New Roman" w:hAnsi="Times New Roman" w:cs="Times New Roman"/>
          <w:sz w:val="24"/>
          <w:szCs w:val="24"/>
        </w:rPr>
        <w:t>Y2061</w:t>
      </w:r>
      <w:r w:rsidRPr="001F566E">
        <w:rPr>
          <w:rFonts w:ascii="Times New Roman" w:hAnsi="Times New Roman" w:cs="Times New Roman"/>
          <w:sz w:val="24"/>
          <w:szCs w:val="24"/>
        </w:rPr>
        <w:t xml:space="preserve"> BAU for which it was unchanged from </w:t>
      </w:r>
      <w:r w:rsidR="00F46BD2">
        <w:rPr>
          <w:rFonts w:ascii="Times New Roman" w:hAnsi="Times New Roman" w:cs="Times New Roman"/>
          <w:sz w:val="24"/>
          <w:szCs w:val="24"/>
        </w:rPr>
        <w:t>Y2031</w:t>
      </w:r>
      <w:r w:rsidRPr="001F566E">
        <w:rPr>
          <w:rFonts w:ascii="Times New Roman" w:hAnsi="Times New Roman" w:cs="Times New Roman"/>
          <w:sz w:val="24"/>
          <w:szCs w:val="24"/>
        </w:rPr>
        <w:t xml:space="preserve">. These values are set to low car mode shares of the </w:t>
      </w:r>
      <w:r w:rsidR="00F46BD2">
        <w:rPr>
          <w:rFonts w:ascii="Times New Roman" w:hAnsi="Times New Roman" w:cs="Times New Roman"/>
          <w:sz w:val="24"/>
          <w:szCs w:val="24"/>
        </w:rPr>
        <w:t>Y2031</w:t>
      </w:r>
      <w:r w:rsidRPr="001F566E">
        <w:rPr>
          <w:rFonts w:ascii="Times New Roman" w:hAnsi="Times New Roman" w:cs="Times New Roman"/>
          <w:sz w:val="24"/>
          <w:szCs w:val="24"/>
        </w:rPr>
        <w:t xml:space="preserve"> Central scenario of municipal sectors in each sub-region (i.e. </w:t>
      </w:r>
      <w:r w:rsidR="00E43BE0" w:rsidRPr="001F566E">
        <w:rPr>
          <w:rFonts w:ascii="Times New Roman" w:hAnsi="Times New Roman" w:cs="Times New Roman"/>
          <w:sz w:val="24"/>
          <w:szCs w:val="24"/>
        </w:rPr>
        <w:t xml:space="preserve">34% in </w:t>
      </w:r>
      <w:r w:rsidRPr="001F566E">
        <w:rPr>
          <w:rFonts w:ascii="Times New Roman" w:hAnsi="Times New Roman" w:cs="Times New Roman"/>
          <w:sz w:val="24"/>
          <w:szCs w:val="24"/>
        </w:rPr>
        <w:t xml:space="preserve">urban core and </w:t>
      </w:r>
      <w:r w:rsidR="00E43BE0" w:rsidRPr="001F566E">
        <w:rPr>
          <w:rFonts w:ascii="Times New Roman" w:hAnsi="Times New Roman" w:cs="Times New Roman"/>
          <w:sz w:val="24"/>
          <w:szCs w:val="24"/>
        </w:rPr>
        <w:t xml:space="preserve">62% in </w:t>
      </w:r>
      <w:r w:rsidRPr="001F566E">
        <w:rPr>
          <w:rFonts w:ascii="Times New Roman" w:hAnsi="Times New Roman" w:cs="Times New Roman"/>
          <w:sz w:val="24"/>
          <w:szCs w:val="24"/>
        </w:rPr>
        <w:t xml:space="preserve">suburbs). In </w:t>
      </w:r>
      <w:r w:rsidR="00F46BD2">
        <w:rPr>
          <w:rFonts w:ascii="Times New Roman" w:hAnsi="Times New Roman" w:cs="Times New Roman"/>
          <w:sz w:val="24"/>
          <w:szCs w:val="24"/>
        </w:rPr>
        <w:t>Y2061</w:t>
      </w:r>
      <w:r w:rsidRPr="001F566E">
        <w:rPr>
          <w:rFonts w:ascii="Times New Roman" w:hAnsi="Times New Roman" w:cs="Times New Roman"/>
          <w:sz w:val="24"/>
          <w:szCs w:val="24"/>
        </w:rPr>
        <w:t xml:space="preserve">, the “removed” </w:t>
      </w:r>
      <w:r w:rsidR="00E61085" w:rsidRPr="001F566E">
        <w:rPr>
          <w:rFonts w:ascii="Times New Roman" w:hAnsi="Times New Roman" w:cs="Times New Roman"/>
          <w:sz w:val="24"/>
          <w:szCs w:val="24"/>
        </w:rPr>
        <w:t xml:space="preserve">car trips </w:t>
      </w:r>
      <w:r w:rsidRPr="001F566E">
        <w:rPr>
          <w:rFonts w:ascii="Times New Roman" w:hAnsi="Times New Roman" w:cs="Times New Roman"/>
          <w:sz w:val="24"/>
          <w:szCs w:val="24"/>
        </w:rPr>
        <w:t>are replaced by non</w:t>
      </w:r>
      <w:r w:rsidR="00443769" w:rsidRPr="001F566E">
        <w:rPr>
          <w:rFonts w:ascii="Times New Roman" w:hAnsi="Times New Roman" w:cs="Times New Roman"/>
          <w:sz w:val="24"/>
          <w:szCs w:val="24"/>
        </w:rPr>
        <w:t>-</w:t>
      </w:r>
      <w:r w:rsidRPr="001F566E">
        <w:rPr>
          <w:rFonts w:ascii="Times New Roman" w:hAnsi="Times New Roman" w:cs="Times New Roman"/>
          <w:sz w:val="24"/>
          <w:szCs w:val="24"/>
        </w:rPr>
        <w:t xml:space="preserve">car trips (i.e. public transit, walk and bike, others), distributed in </w:t>
      </w:r>
      <w:r w:rsidR="00152000" w:rsidRPr="001F566E">
        <w:rPr>
          <w:rFonts w:ascii="Times New Roman" w:hAnsi="Times New Roman" w:cs="Times New Roman"/>
          <w:sz w:val="24"/>
          <w:szCs w:val="24"/>
        </w:rPr>
        <w:t xml:space="preserve">the </w:t>
      </w:r>
      <w:r w:rsidRPr="001F566E">
        <w:rPr>
          <w:rFonts w:ascii="Times New Roman" w:hAnsi="Times New Roman" w:cs="Times New Roman"/>
          <w:sz w:val="24"/>
          <w:szCs w:val="24"/>
        </w:rPr>
        <w:t xml:space="preserve">proportions </w:t>
      </w:r>
      <w:r w:rsidR="00152000" w:rsidRPr="001F566E">
        <w:rPr>
          <w:rFonts w:ascii="Times New Roman" w:hAnsi="Times New Roman" w:cs="Times New Roman"/>
          <w:sz w:val="24"/>
          <w:szCs w:val="24"/>
        </w:rPr>
        <w:t>of</w:t>
      </w:r>
      <w:r w:rsidRPr="001F566E">
        <w:rPr>
          <w:rFonts w:ascii="Times New Roman" w:hAnsi="Times New Roman" w:cs="Times New Roman"/>
          <w:sz w:val="24"/>
          <w:szCs w:val="24"/>
        </w:rPr>
        <w:t xml:space="preserve"> the Central </w:t>
      </w:r>
      <w:r w:rsidR="00F46BD2">
        <w:rPr>
          <w:rFonts w:ascii="Times New Roman" w:hAnsi="Times New Roman" w:cs="Times New Roman"/>
          <w:sz w:val="24"/>
          <w:szCs w:val="24"/>
        </w:rPr>
        <w:t>Y2031</w:t>
      </w:r>
      <w:r w:rsidRPr="001F566E">
        <w:rPr>
          <w:rFonts w:ascii="Times New Roman" w:hAnsi="Times New Roman" w:cs="Times New Roman"/>
          <w:sz w:val="24"/>
          <w:szCs w:val="24"/>
        </w:rPr>
        <w:t xml:space="preserve"> scenario by municipality.</w:t>
      </w:r>
    </w:p>
    <w:p w14:paraId="09CFDBE9" w14:textId="77777777" w:rsidR="00511203" w:rsidRPr="001F566E" w:rsidRDefault="00511203" w:rsidP="00890789">
      <w:pPr>
        <w:spacing w:after="0" w:line="480" w:lineRule="auto"/>
        <w:jc w:val="both"/>
      </w:pPr>
      <w:r w:rsidRPr="001F566E">
        <w:rPr>
          <w:rFonts w:ascii="Times New Roman" w:hAnsi="Times New Roman" w:cs="Times New Roman"/>
          <w:sz w:val="24"/>
          <w:szCs w:val="24"/>
        </w:rPr>
        <w:lastRenderedPageBreak/>
        <w:t xml:space="preserve">  </w:t>
      </w:r>
    </w:p>
    <w:p w14:paraId="0634258E" w14:textId="77777777" w:rsidR="00511203" w:rsidRPr="00F33A42" w:rsidRDefault="00E61085" w:rsidP="00890789">
      <w:pPr>
        <w:spacing w:after="0" w:line="480" w:lineRule="auto"/>
        <w:jc w:val="both"/>
      </w:pPr>
      <w:r w:rsidRPr="001F566E">
        <w:rPr>
          <w:rFonts w:ascii="Times New Roman" w:hAnsi="Times New Roman" w:cs="Times New Roman"/>
          <w:sz w:val="24"/>
          <w:szCs w:val="24"/>
        </w:rPr>
        <w:t>For sensitivity analyses, we</w:t>
      </w:r>
      <w:r w:rsidR="00511203" w:rsidRPr="001F566E">
        <w:rPr>
          <w:rFonts w:ascii="Times New Roman" w:hAnsi="Times New Roman" w:cs="Times New Roman"/>
          <w:sz w:val="24"/>
          <w:szCs w:val="24"/>
        </w:rPr>
        <w:t xml:space="preserve"> included a scenario </w:t>
      </w:r>
      <w:r w:rsidR="00B818F8" w:rsidRPr="001F566E">
        <w:rPr>
          <w:rFonts w:ascii="Times New Roman" w:hAnsi="Times New Roman" w:cs="Times New Roman"/>
          <w:sz w:val="24"/>
          <w:szCs w:val="24"/>
        </w:rPr>
        <w:t xml:space="preserve">i) </w:t>
      </w:r>
      <w:r w:rsidR="00511203" w:rsidRPr="001F566E">
        <w:rPr>
          <w:rFonts w:ascii="Times New Roman" w:hAnsi="Times New Roman" w:cs="Times New Roman"/>
          <w:sz w:val="24"/>
          <w:szCs w:val="24"/>
        </w:rPr>
        <w:t xml:space="preserve">with the distribution of the BAU population (i.e. no densification in the urban core) but with the mode shares of the </w:t>
      </w:r>
      <w:r w:rsidR="006570D9" w:rsidRPr="001F566E">
        <w:rPr>
          <w:rFonts w:ascii="Times New Roman" w:hAnsi="Times New Roman" w:cs="Times New Roman"/>
          <w:sz w:val="24"/>
          <w:szCs w:val="24"/>
        </w:rPr>
        <w:t>Optimal</w:t>
      </w:r>
      <w:r w:rsidR="007A162D" w:rsidRPr="001F566E">
        <w:rPr>
          <w:rFonts w:ascii="Times New Roman" w:hAnsi="Times New Roman" w:cs="Times New Roman"/>
          <w:sz w:val="24"/>
          <w:szCs w:val="24"/>
        </w:rPr>
        <w:t xml:space="preserve"> </w:t>
      </w:r>
      <w:r w:rsidR="00511203" w:rsidRPr="001F566E">
        <w:rPr>
          <w:rFonts w:ascii="Times New Roman" w:hAnsi="Times New Roman" w:cs="Times New Roman"/>
          <w:sz w:val="24"/>
          <w:szCs w:val="24"/>
        </w:rPr>
        <w:t>scenarios</w:t>
      </w:r>
      <w:r w:rsidR="001E22D2" w:rsidRPr="001F566E">
        <w:rPr>
          <w:rFonts w:ascii="Times New Roman" w:hAnsi="Times New Roman" w:cs="Times New Roman"/>
          <w:sz w:val="24"/>
          <w:szCs w:val="24"/>
        </w:rPr>
        <w:t xml:space="preserve"> (i.e. mode shift to 34% and </w:t>
      </w:r>
      <w:r w:rsidR="00415EAF" w:rsidRPr="001F566E">
        <w:rPr>
          <w:rFonts w:ascii="Times New Roman" w:hAnsi="Times New Roman" w:cs="Times New Roman"/>
          <w:sz w:val="24"/>
          <w:szCs w:val="24"/>
        </w:rPr>
        <w:t>6</w:t>
      </w:r>
      <w:r w:rsidR="001E22D2" w:rsidRPr="001F566E">
        <w:rPr>
          <w:rFonts w:ascii="Times New Roman" w:hAnsi="Times New Roman" w:cs="Times New Roman"/>
          <w:sz w:val="24"/>
          <w:szCs w:val="24"/>
        </w:rPr>
        <w:t>2% car mode shares in urban and suburb areas)</w:t>
      </w:r>
      <w:r w:rsidR="00B818F8" w:rsidRPr="001F566E">
        <w:rPr>
          <w:rFonts w:ascii="Times New Roman" w:hAnsi="Times New Roman" w:cs="Times New Roman"/>
          <w:sz w:val="24"/>
          <w:szCs w:val="24"/>
        </w:rPr>
        <w:t xml:space="preserve">,  and </w:t>
      </w:r>
      <w:r w:rsidR="003D704D" w:rsidRPr="001F566E">
        <w:rPr>
          <w:rFonts w:ascii="Times New Roman" w:hAnsi="Times New Roman" w:cs="Times New Roman"/>
          <w:sz w:val="24"/>
          <w:szCs w:val="24"/>
        </w:rPr>
        <w:t>ii)</w:t>
      </w:r>
      <w:r w:rsidR="00B818F8" w:rsidRPr="001F566E">
        <w:rPr>
          <w:rFonts w:ascii="Times New Roman" w:hAnsi="Times New Roman" w:cs="Times New Roman"/>
          <w:sz w:val="24"/>
          <w:szCs w:val="24"/>
        </w:rPr>
        <w:t xml:space="preserve"> with only the central population</w:t>
      </w:r>
      <w:r w:rsidR="001E22D2" w:rsidRPr="001F566E">
        <w:rPr>
          <w:rFonts w:ascii="Times New Roman" w:hAnsi="Times New Roman" w:cs="Times New Roman"/>
          <w:sz w:val="24"/>
          <w:szCs w:val="24"/>
        </w:rPr>
        <w:t xml:space="preserve"> distribution</w:t>
      </w:r>
      <w:r w:rsidR="00B818F8" w:rsidRPr="001F566E">
        <w:rPr>
          <w:rFonts w:ascii="Times New Roman" w:hAnsi="Times New Roman" w:cs="Times New Roman"/>
          <w:sz w:val="24"/>
          <w:szCs w:val="24"/>
        </w:rPr>
        <w:t>,</w:t>
      </w:r>
      <w:r w:rsidR="001E22D2" w:rsidRPr="001F566E">
        <w:rPr>
          <w:rFonts w:ascii="Times New Roman" w:hAnsi="Times New Roman" w:cs="Times New Roman"/>
          <w:sz w:val="24"/>
          <w:szCs w:val="24"/>
        </w:rPr>
        <w:t xml:space="preserve"> but</w:t>
      </w:r>
      <w:r w:rsidR="00B818F8" w:rsidRPr="001F566E">
        <w:rPr>
          <w:rFonts w:ascii="Times New Roman" w:hAnsi="Times New Roman" w:cs="Times New Roman"/>
          <w:sz w:val="24"/>
          <w:szCs w:val="24"/>
        </w:rPr>
        <w:t xml:space="preserve"> not the mode </w:t>
      </w:r>
      <w:r w:rsidR="001E22D2" w:rsidRPr="001F566E">
        <w:rPr>
          <w:rFonts w:ascii="Times New Roman" w:hAnsi="Times New Roman" w:cs="Times New Roman"/>
          <w:sz w:val="24"/>
          <w:szCs w:val="24"/>
        </w:rPr>
        <w:t>share of the Optimal scenario</w:t>
      </w:r>
      <w:r w:rsidR="00511203" w:rsidRPr="001F566E">
        <w:rPr>
          <w:rFonts w:ascii="Times New Roman" w:hAnsi="Times New Roman" w:cs="Times New Roman"/>
          <w:sz w:val="24"/>
          <w:szCs w:val="24"/>
        </w:rPr>
        <w:t>. Air pollutant levels and health impacts were not calculated for this scenario; only trips and distances are presented</w:t>
      </w:r>
      <w:r w:rsidR="00B818F8" w:rsidRPr="001F566E">
        <w:rPr>
          <w:rFonts w:ascii="Times New Roman" w:hAnsi="Times New Roman" w:cs="Times New Roman"/>
          <w:sz w:val="24"/>
          <w:szCs w:val="24"/>
        </w:rPr>
        <w:t xml:space="preserve"> in </w:t>
      </w:r>
      <w:r w:rsidR="00707C1F">
        <w:rPr>
          <w:rFonts w:ascii="Times New Roman" w:hAnsi="Times New Roman" w:cs="Times New Roman"/>
          <w:b/>
          <w:sz w:val="24"/>
          <w:szCs w:val="24"/>
        </w:rPr>
        <w:t>SI</w:t>
      </w:r>
      <w:r w:rsidR="00707C1F" w:rsidRPr="001F566E">
        <w:rPr>
          <w:rFonts w:ascii="Times New Roman" w:hAnsi="Times New Roman" w:cs="Times New Roman"/>
          <w:sz w:val="24"/>
          <w:szCs w:val="24"/>
        </w:rPr>
        <w:t xml:space="preserve"> </w:t>
      </w:r>
      <w:r w:rsidR="00B818F8" w:rsidRPr="001F566E">
        <w:rPr>
          <w:rFonts w:ascii="Times New Roman" w:hAnsi="Times New Roman" w:cs="Times New Roman"/>
          <w:sz w:val="24"/>
          <w:szCs w:val="24"/>
        </w:rPr>
        <w:t>(last section)</w:t>
      </w:r>
      <w:r w:rsidR="00511203" w:rsidRPr="001F566E">
        <w:rPr>
          <w:rFonts w:ascii="Times New Roman" w:hAnsi="Times New Roman" w:cs="Times New Roman"/>
          <w:sz w:val="24"/>
          <w:szCs w:val="24"/>
        </w:rPr>
        <w:t>.</w:t>
      </w:r>
    </w:p>
    <w:p w14:paraId="19917D00" w14:textId="77777777" w:rsidR="00511203" w:rsidRPr="001F566E" w:rsidRDefault="00511203" w:rsidP="00890789">
      <w:pPr>
        <w:spacing w:after="0" w:line="480" w:lineRule="auto"/>
        <w:jc w:val="both"/>
        <w:rPr>
          <w:rFonts w:ascii="Times New Roman" w:hAnsi="Times New Roman" w:cs="Times New Roman"/>
          <w:b/>
          <w:sz w:val="24"/>
          <w:szCs w:val="24"/>
        </w:rPr>
      </w:pPr>
    </w:p>
    <w:p w14:paraId="7D751641" w14:textId="77777777" w:rsidR="00511203" w:rsidRPr="001F566E" w:rsidRDefault="00511203" w:rsidP="00890789">
      <w:pPr>
        <w:spacing w:after="0" w:line="480" w:lineRule="auto"/>
        <w:jc w:val="both"/>
      </w:pPr>
      <w:r w:rsidRPr="001F566E">
        <w:rPr>
          <w:rFonts w:ascii="Times New Roman" w:hAnsi="Times New Roman" w:cs="Times New Roman"/>
          <w:b/>
          <w:sz w:val="24"/>
          <w:szCs w:val="24"/>
        </w:rPr>
        <w:t xml:space="preserve">2.4 </w:t>
      </w:r>
      <w:r w:rsidR="00F46BD2">
        <w:rPr>
          <w:rFonts w:ascii="Times New Roman" w:hAnsi="Times New Roman" w:cs="Times New Roman"/>
          <w:b/>
          <w:sz w:val="24"/>
          <w:szCs w:val="24"/>
        </w:rPr>
        <w:t>Y2061</w:t>
      </w:r>
      <w:r w:rsidR="00671E1F" w:rsidRPr="001F566E">
        <w:rPr>
          <w:rFonts w:ascii="Times New Roman" w:hAnsi="Times New Roman" w:cs="Times New Roman"/>
          <w:b/>
          <w:sz w:val="24"/>
          <w:szCs w:val="24"/>
        </w:rPr>
        <w:t xml:space="preserve"> p</w:t>
      </w:r>
      <w:r w:rsidRPr="001F566E">
        <w:rPr>
          <w:rFonts w:ascii="Times New Roman" w:hAnsi="Times New Roman" w:cs="Times New Roman"/>
          <w:b/>
          <w:sz w:val="24"/>
          <w:szCs w:val="24"/>
        </w:rPr>
        <w:t xml:space="preserve">opulation </w:t>
      </w:r>
      <w:r w:rsidR="008B739D" w:rsidRPr="001F566E">
        <w:rPr>
          <w:rFonts w:ascii="Times New Roman" w:hAnsi="Times New Roman" w:cs="Times New Roman"/>
          <w:b/>
          <w:sz w:val="24"/>
          <w:szCs w:val="24"/>
        </w:rPr>
        <w:t>“growth factor</w:t>
      </w:r>
      <w:r w:rsidR="008B739D" w:rsidRPr="00F33A42">
        <w:rPr>
          <w:rFonts w:ascii="Times New Roman" w:hAnsi="Times New Roman" w:cs="Times New Roman"/>
          <w:b/>
          <w:sz w:val="24"/>
          <w:szCs w:val="24"/>
        </w:rPr>
        <w:t>”</w:t>
      </w:r>
      <w:r w:rsidR="000F0096" w:rsidRPr="00F33A42">
        <w:rPr>
          <w:rFonts w:ascii="Times New Roman" w:hAnsi="Times New Roman" w:cs="Times New Roman"/>
          <w:b/>
          <w:sz w:val="24"/>
          <w:szCs w:val="24"/>
        </w:rPr>
        <w:t xml:space="preserve"> </w:t>
      </w:r>
    </w:p>
    <w:p w14:paraId="0FE3B0BB" w14:textId="77777777" w:rsidR="00511203" w:rsidRPr="001F566E" w:rsidRDefault="00511203" w:rsidP="00890789">
      <w:pPr>
        <w:spacing w:after="0" w:line="480" w:lineRule="auto"/>
        <w:jc w:val="both"/>
      </w:pPr>
      <w:r w:rsidRPr="001F566E">
        <w:rPr>
          <w:rFonts w:ascii="Times New Roman" w:hAnsi="Times New Roman" w:cs="Times New Roman"/>
          <w:sz w:val="24"/>
          <w:szCs w:val="24"/>
        </w:rPr>
        <w:t xml:space="preserve">The prediction of the </w:t>
      </w:r>
      <w:r w:rsidR="00F46BD2">
        <w:rPr>
          <w:rFonts w:ascii="Times New Roman" w:hAnsi="Times New Roman" w:cs="Times New Roman"/>
          <w:sz w:val="24"/>
          <w:szCs w:val="24"/>
        </w:rPr>
        <w:t>Y2061</w:t>
      </w:r>
      <w:r w:rsidRPr="001F566E">
        <w:rPr>
          <w:rFonts w:ascii="Times New Roman" w:hAnsi="Times New Roman" w:cs="Times New Roman"/>
          <w:sz w:val="24"/>
          <w:szCs w:val="24"/>
        </w:rPr>
        <w:t xml:space="preserve"> population was done to create weights</w:t>
      </w:r>
      <w:r w:rsidR="00415EAF" w:rsidRPr="001F566E">
        <w:rPr>
          <w:rFonts w:ascii="Times New Roman" w:hAnsi="Times New Roman" w:cs="Times New Roman"/>
          <w:sz w:val="24"/>
          <w:szCs w:val="24"/>
        </w:rPr>
        <w:t xml:space="preserve"> by municipality</w:t>
      </w:r>
      <w:r w:rsidRPr="001F566E">
        <w:rPr>
          <w:rFonts w:ascii="Times New Roman" w:hAnsi="Times New Roman" w:cs="Times New Roman"/>
          <w:sz w:val="24"/>
          <w:szCs w:val="24"/>
        </w:rPr>
        <w:t xml:space="preserve"> </w:t>
      </w:r>
      <w:r w:rsidR="00443769" w:rsidRPr="001F566E">
        <w:rPr>
          <w:rFonts w:ascii="Times New Roman" w:hAnsi="Times New Roman" w:cs="Times New Roman"/>
          <w:sz w:val="24"/>
          <w:szCs w:val="24"/>
        </w:rPr>
        <w:t xml:space="preserve">(“growth factor”) </w:t>
      </w:r>
      <w:r w:rsidRPr="001F566E">
        <w:rPr>
          <w:rFonts w:ascii="Times New Roman" w:hAnsi="Times New Roman" w:cs="Times New Roman"/>
          <w:sz w:val="24"/>
          <w:szCs w:val="24"/>
        </w:rPr>
        <w:t xml:space="preserve">to apply to the </w:t>
      </w:r>
      <w:r w:rsidR="00F46BD2">
        <w:rPr>
          <w:rFonts w:ascii="Times New Roman" w:hAnsi="Times New Roman" w:cs="Times New Roman"/>
          <w:sz w:val="24"/>
          <w:szCs w:val="24"/>
        </w:rPr>
        <w:t>Y2031</w:t>
      </w:r>
      <w:r w:rsidR="00415EAF" w:rsidRPr="001F566E">
        <w:rPr>
          <w:rFonts w:ascii="Times New Roman" w:hAnsi="Times New Roman" w:cs="Times New Roman"/>
          <w:sz w:val="24"/>
          <w:szCs w:val="24"/>
        </w:rPr>
        <w:t xml:space="preserve"> aggregated</w:t>
      </w:r>
      <w:r w:rsidRPr="001F566E">
        <w:rPr>
          <w:rFonts w:ascii="Times New Roman" w:hAnsi="Times New Roman" w:cs="Times New Roman"/>
          <w:sz w:val="24"/>
          <w:szCs w:val="24"/>
        </w:rPr>
        <w:t xml:space="preserve"> “individual weights”</w:t>
      </w:r>
      <w:r w:rsidR="00415EAF" w:rsidRPr="00F33A42">
        <w:rPr>
          <w:rFonts w:ascii="Times New Roman" w:hAnsi="Times New Roman" w:cs="Times New Roman"/>
          <w:sz w:val="24"/>
          <w:szCs w:val="24"/>
        </w:rPr>
        <w:t xml:space="preserve"> by municipality</w:t>
      </w:r>
      <w:r w:rsidRPr="00F33A42">
        <w:rPr>
          <w:rFonts w:ascii="Times New Roman" w:hAnsi="Times New Roman" w:cs="Times New Roman"/>
          <w:sz w:val="24"/>
          <w:szCs w:val="24"/>
        </w:rPr>
        <w:t xml:space="preserve">, and to </w:t>
      </w:r>
      <w:r w:rsidR="00415EAF" w:rsidRPr="001F566E">
        <w:rPr>
          <w:rFonts w:ascii="Times New Roman" w:hAnsi="Times New Roman" w:cs="Times New Roman"/>
          <w:sz w:val="24"/>
          <w:szCs w:val="24"/>
        </w:rPr>
        <w:t xml:space="preserve">aggregated </w:t>
      </w:r>
      <w:r w:rsidR="00F46BD2">
        <w:rPr>
          <w:rFonts w:ascii="Times New Roman" w:hAnsi="Times New Roman" w:cs="Times New Roman"/>
          <w:sz w:val="24"/>
          <w:szCs w:val="24"/>
        </w:rPr>
        <w:t>Y2031</w:t>
      </w:r>
      <w:r w:rsidRPr="001F566E">
        <w:rPr>
          <w:rFonts w:ascii="Times New Roman" w:hAnsi="Times New Roman" w:cs="Times New Roman"/>
          <w:sz w:val="24"/>
          <w:szCs w:val="24"/>
        </w:rPr>
        <w:t xml:space="preserve"> trips. </w:t>
      </w:r>
      <w:r w:rsidR="0094205B" w:rsidRPr="001F566E">
        <w:rPr>
          <w:rFonts w:ascii="Times New Roman" w:hAnsi="Times New Roman" w:cs="Times New Roman"/>
          <w:sz w:val="24"/>
          <w:szCs w:val="24"/>
        </w:rPr>
        <w:t xml:space="preserve">More specifically, </w:t>
      </w:r>
      <w:r w:rsidRPr="001F566E">
        <w:rPr>
          <w:rFonts w:ascii="Times New Roman" w:hAnsi="Times New Roman" w:cs="Times New Roman"/>
          <w:sz w:val="24"/>
          <w:szCs w:val="24"/>
        </w:rPr>
        <w:t xml:space="preserve">to estimate the </w:t>
      </w:r>
      <w:r w:rsidR="00F46BD2">
        <w:rPr>
          <w:rFonts w:ascii="Times New Roman" w:hAnsi="Times New Roman" w:cs="Times New Roman"/>
          <w:sz w:val="24"/>
          <w:szCs w:val="24"/>
        </w:rPr>
        <w:t>Y2061</w:t>
      </w:r>
      <w:r w:rsidRPr="001F566E">
        <w:rPr>
          <w:rFonts w:ascii="Times New Roman" w:hAnsi="Times New Roman" w:cs="Times New Roman"/>
          <w:sz w:val="24"/>
          <w:szCs w:val="24"/>
        </w:rPr>
        <w:t xml:space="preserve"> population and its geographic distribution by municipality, we used the projection A from the </w:t>
      </w:r>
      <w:r w:rsidRPr="001F566E">
        <w:rPr>
          <w:rFonts w:ascii="Times New Roman" w:hAnsi="Times New Roman" w:cs="Times New Roman"/>
          <w:i/>
          <w:sz w:val="24"/>
          <w:szCs w:val="24"/>
        </w:rPr>
        <w:t>Institut de la Statistique du Québec</w:t>
      </w:r>
      <w:r w:rsidRPr="001F566E">
        <w:rPr>
          <w:rFonts w:ascii="Times New Roman" w:hAnsi="Times New Roman" w:cs="Times New Roman"/>
          <w:sz w:val="24"/>
          <w:szCs w:val="24"/>
        </w:rPr>
        <w:t xml:space="preserve"> (ISQ 2014). Th</w:t>
      </w:r>
      <w:r w:rsidR="004573D1" w:rsidRPr="001F566E">
        <w:rPr>
          <w:rFonts w:ascii="Times New Roman" w:hAnsi="Times New Roman" w:cs="Times New Roman"/>
          <w:sz w:val="24"/>
          <w:szCs w:val="24"/>
        </w:rPr>
        <w:t xml:space="preserve">is </w:t>
      </w:r>
      <w:r w:rsidRPr="001F566E">
        <w:rPr>
          <w:rFonts w:ascii="Times New Roman" w:hAnsi="Times New Roman" w:cs="Times New Roman"/>
          <w:sz w:val="24"/>
          <w:szCs w:val="24"/>
        </w:rPr>
        <w:t xml:space="preserve">projection is only available for the entire province of Quebec. Thus, to obtain the </w:t>
      </w:r>
      <w:r w:rsidR="00F46BD2">
        <w:rPr>
          <w:rFonts w:ascii="Times New Roman" w:hAnsi="Times New Roman" w:cs="Times New Roman"/>
          <w:sz w:val="24"/>
          <w:szCs w:val="24"/>
        </w:rPr>
        <w:t>Y2061</w:t>
      </w:r>
      <w:r w:rsidRPr="001F566E">
        <w:rPr>
          <w:rFonts w:ascii="Times New Roman" w:hAnsi="Times New Roman" w:cs="Times New Roman"/>
          <w:sz w:val="24"/>
          <w:szCs w:val="24"/>
        </w:rPr>
        <w:t xml:space="preserve"> geographic distribution, we first created expansion ratios of the total population of the province of Quebec </w:t>
      </w:r>
      <w:r w:rsidR="005C5549" w:rsidRPr="001F566E">
        <w:rPr>
          <w:rFonts w:ascii="Times New Roman" w:hAnsi="Times New Roman" w:cs="Times New Roman"/>
          <w:sz w:val="24"/>
          <w:szCs w:val="24"/>
        </w:rPr>
        <w:t xml:space="preserve">between </w:t>
      </w:r>
      <w:r w:rsidR="00F46BD2">
        <w:rPr>
          <w:rFonts w:ascii="Times New Roman" w:hAnsi="Times New Roman" w:cs="Times New Roman"/>
          <w:sz w:val="24"/>
          <w:szCs w:val="24"/>
        </w:rPr>
        <w:t>Y2061</w:t>
      </w:r>
      <w:r w:rsidRPr="001F566E">
        <w:rPr>
          <w:rFonts w:ascii="Times New Roman" w:hAnsi="Times New Roman" w:cs="Times New Roman"/>
          <w:sz w:val="24"/>
          <w:szCs w:val="24"/>
        </w:rPr>
        <w:t xml:space="preserve"> and </w:t>
      </w:r>
      <w:r w:rsidR="00F46BD2">
        <w:rPr>
          <w:rFonts w:ascii="Times New Roman" w:hAnsi="Times New Roman" w:cs="Times New Roman"/>
          <w:sz w:val="24"/>
          <w:szCs w:val="24"/>
        </w:rPr>
        <w:t>Y2031</w:t>
      </w:r>
      <w:r w:rsidRPr="001F566E">
        <w:rPr>
          <w:rFonts w:ascii="Times New Roman" w:hAnsi="Times New Roman" w:cs="Times New Roman"/>
          <w:sz w:val="24"/>
          <w:szCs w:val="24"/>
        </w:rPr>
        <w:t xml:space="preserve"> by sex and 5</w:t>
      </w:r>
      <w:r w:rsidR="00A76786">
        <w:rPr>
          <w:rFonts w:ascii="Times New Roman" w:hAnsi="Times New Roman" w:cs="Times New Roman"/>
          <w:sz w:val="24"/>
          <w:szCs w:val="24"/>
        </w:rPr>
        <w:t>-</w:t>
      </w:r>
      <w:r w:rsidRPr="001F566E">
        <w:rPr>
          <w:rFonts w:ascii="Times New Roman" w:hAnsi="Times New Roman" w:cs="Times New Roman"/>
          <w:sz w:val="24"/>
          <w:szCs w:val="24"/>
        </w:rPr>
        <w:t xml:space="preserve">year age intervals. We then created a global additional adjustment factor to account for the proportional increase in the population of the Montreal region compared to the entire province of Quebec. This </w:t>
      </w:r>
      <w:r w:rsidR="005C5549" w:rsidRPr="001F566E">
        <w:rPr>
          <w:rFonts w:ascii="Times New Roman" w:hAnsi="Times New Roman" w:cs="Times New Roman"/>
          <w:sz w:val="24"/>
          <w:szCs w:val="24"/>
        </w:rPr>
        <w:t xml:space="preserve">yearly </w:t>
      </w:r>
      <w:r w:rsidRPr="001F566E">
        <w:rPr>
          <w:rFonts w:ascii="Times New Roman" w:hAnsi="Times New Roman" w:cs="Times New Roman"/>
          <w:sz w:val="24"/>
          <w:szCs w:val="24"/>
        </w:rPr>
        <w:t>adjustment factor was based on the difference between the ratio of the population in Montreal vs Quebec</w:t>
      </w:r>
      <w:r w:rsidR="00671E1F" w:rsidRPr="001F566E">
        <w:rPr>
          <w:rFonts w:ascii="Times New Roman" w:hAnsi="Times New Roman" w:cs="Times New Roman"/>
          <w:sz w:val="24"/>
          <w:szCs w:val="24"/>
        </w:rPr>
        <w:t xml:space="preserve"> </w:t>
      </w:r>
      <w:r w:rsidRPr="001F566E">
        <w:rPr>
          <w:rFonts w:ascii="Times New Roman" w:hAnsi="Times New Roman" w:cs="Times New Roman"/>
          <w:sz w:val="24"/>
          <w:szCs w:val="24"/>
        </w:rPr>
        <w:t xml:space="preserve">in </w:t>
      </w:r>
      <w:r w:rsidR="00F46BD2">
        <w:rPr>
          <w:rFonts w:ascii="Times New Roman" w:hAnsi="Times New Roman" w:cs="Times New Roman"/>
          <w:sz w:val="24"/>
          <w:szCs w:val="24"/>
        </w:rPr>
        <w:t>Y2031</w:t>
      </w:r>
      <w:r w:rsidRPr="001F566E">
        <w:rPr>
          <w:rFonts w:ascii="Times New Roman" w:hAnsi="Times New Roman" w:cs="Times New Roman"/>
          <w:sz w:val="24"/>
          <w:szCs w:val="24"/>
        </w:rPr>
        <w:t xml:space="preserve"> and 2006, and extended to a 30</w:t>
      </w:r>
      <w:r w:rsidR="00443769" w:rsidRPr="001F566E">
        <w:rPr>
          <w:rFonts w:ascii="Times New Roman" w:hAnsi="Times New Roman" w:cs="Times New Roman"/>
          <w:sz w:val="24"/>
          <w:szCs w:val="24"/>
        </w:rPr>
        <w:t>-</w:t>
      </w:r>
      <w:r w:rsidRPr="001F566E">
        <w:rPr>
          <w:rFonts w:ascii="Times New Roman" w:hAnsi="Times New Roman" w:cs="Times New Roman"/>
          <w:sz w:val="24"/>
          <w:szCs w:val="24"/>
        </w:rPr>
        <w:t xml:space="preserve">year increase. </w:t>
      </w:r>
      <w:r w:rsidR="005C5549" w:rsidRPr="001F566E">
        <w:rPr>
          <w:rFonts w:ascii="Times New Roman" w:hAnsi="Times New Roman" w:cs="Times New Roman"/>
          <w:sz w:val="24"/>
          <w:szCs w:val="24"/>
        </w:rPr>
        <w:t xml:space="preserve">Both factors were the applied uniformly to the </w:t>
      </w:r>
      <w:r w:rsidR="00F46BD2">
        <w:rPr>
          <w:rFonts w:ascii="Times New Roman" w:hAnsi="Times New Roman" w:cs="Times New Roman"/>
          <w:sz w:val="24"/>
          <w:szCs w:val="24"/>
        </w:rPr>
        <w:t>Y2031</w:t>
      </w:r>
      <w:r w:rsidR="005C5549" w:rsidRPr="001F566E">
        <w:rPr>
          <w:rFonts w:ascii="Times New Roman" w:hAnsi="Times New Roman" w:cs="Times New Roman"/>
          <w:sz w:val="24"/>
          <w:szCs w:val="24"/>
        </w:rPr>
        <w:t xml:space="preserve"> population of the GMR.</w:t>
      </w:r>
      <w:r w:rsidR="005C5549" w:rsidRPr="001F566E" w:rsidDel="005C5549">
        <w:rPr>
          <w:rFonts w:ascii="Times New Roman" w:hAnsi="Times New Roman" w:cs="Times New Roman"/>
          <w:sz w:val="24"/>
          <w:szCs w:val="24"/>
        </w:rPr>
        <w:t xml:space="preserve"> </w:t>
      </w:r>
    </w:p>
    <w:p w14:paraId="2CFFA5D0" w14:textId="77777777" w:rsidR="00511203" w:rsidRPr="001F566E" w:rsidRDefault="00511203" w:rsidP="00890789">
      <w:pPr>
        <w:spacing w:after="0" w:line="480" w:lineRule="auto"/>
        <w:jc w:val="both"/>
        <w:rPr>
          <w:rFonts w:ascii="Times New Roman" w:hAnsi="Times New Roman" w:cs="Times New Roman"/>
          <w:sz w:val="24"/>
          <w:szCs w:val="24"/>
        </w:rPr>
      </w:pPr>
    </w:p>
    <w:p w14:paraId="6688F906" w14:textId="77777777" w:rsidR="00511203" w:rsidRPr="00F33A42" w:rsidRDefault="002428E2" w:rsidP="00890789">
      <w:pPr>
        <w:spacing w:after="0" w:line="480" w:lineRule="auto"/>
        <w:jc w:val="both"/>
      </w:pPr>
      <w:r w:rsidRPr="001F566E">
        <w:rPr>
          <w:rFonts w:ascii="Times New Roman" w:hAnsi="Times New Roman" w:cs="Times New Roman"/>
          <w:sz w:val="24"/>
          <w:szCs w:val="24"/>
        </w:rPr>
        <w:t>I</w:t>
      </w:r>
      <w:r w:rsidR="00CC4F3C" w:rsidRPr="001F566E">
        <w:rPr>
          <w:rFonts w:ascii="Times New Roman" w:hAnsi="Times New Roman" w:cs="Times New Roman"/>
          <w:sz w:val="24"/>
          <w:szCs w:val="24"/>
        </w:rPr>
        <w:t xml:space="preserve">n </w:t>
      </w:r>
      <w:r w:rsidR="00F46BD2">
        <w:rPr>
          <w:rFonts w:ascii="Times New Roman" w:hAnsi="Times New Roman" w:cs="Times New Roman"/>
          <w:sz w:val="24"/>
          <w:szCs w:val="24"/>
        </w:rPr>
        <w:t>Y2031</w:t>
      </w:r>
      <w:r w:rsidR="00CC4F3C" w:rsidRPr="001F566E">
        <w:rPr>
          <w:rFonts w:ascii="Times New Roman" w:hAnsi="Times New Roman" w:cs="Times New Roman"/>
          <w:sz w:val="24"/>
          <w:szCs w:val="24"/>
        </w:rPr>
        <w:t xml:space="preserve">, </w:t>
      </w:r>
      <w:r w:rsidRPr="001F566E">
        <w:rPr>
          <w:rFonts w:ascii="Times New Roman" w:hAnsi="Times New Roman" w:cs="Times New Roman"/>
          <w:sz w:val="24"/>
          <w:szCs w:val="24"/>
        </w:rPr>
        <w:t xml:space="preserve">there was </w:t>
      </w:r>
      <w:r w:rsidR="00CC4F3C" w:rsidRPr="001F566E">
        <w:rPr>
          <w:rFonts w:ascii="Times New Roman" w:hAnsi="Times New Roman" w:cs="Times New Roman"/>
          <w:sz w:val="24"/>
          <w:szCs w:val="24"/>
        </w:rPr>
        <w:t xml:space="preserve">significant variations </w:t>
      </w:r>
      <w:r w:rsidR="004573D1" w:rsidRPr="001F566E">
        <w:rPr>
          <w:rFonts w:ascii="Times New Roman" w:hAnsi="Times New Roman" w:cs="Times New Roman"/>
          <w:sz w:val="24"/>
          <w:szCs w:val="24"/>
        </w:rPr>
        <w:t>in the demographic characteristics of the population residing in the suburbs and the urban core (i.e. a younger population lived in the urban core)</w:t>
      </w:r>
      <w:r w:rsidRPr="001F566E">
        <w:rPr>
          <w:rFonts w:ascii="Times New Roman" w:hAnsi="Times New Roman" w:cs="Times New Roman"/>
          <w:sz w:val="24"/>
          <w:szCs w:val="24"/>
        </w:rPr>
        <w:t xml:space="preserve">. </w:t>
      </w:r>
      <w:r w:rsidRPr="001F566E">
        <w:rPr>
          <w:rFonts w:ascii="Times New Roman" w:hAnsi="Times New Roman" w:cs="Times New Roman"/>
          <w:sz w:val="24"/>
          <w:szCs w:val="24"/>
        </w:rPr>
        <w:lastRenderedPageBreak/>
        <w:t>Therefore,</w:t>
      </w:r>
      <w:r w:rsidR="004573D1" w:rsidRPr="001F566E">
        <w:rPr>
          <w:rFonts w:ascii="Times New Roman" w:hAnsi="Times New Roman" w:cs="Times New Roman"/>
          <w:sz w:val="24"/>
          <w:szCs w:val="24"/>
        </w:rPr>
        <w:t xml:space="preserve"> an additional step was necessary to obtain population distributions that w</w:t>
      </w:r>
      <w:r w:rsidRPr="001F566E">
        <w:rPr>
          <w:rFonts w:ascii="Times New Roman" w:hAnsi="Times New Roman" w:cs="Times New Roman"/>
          <w:sz w:val="24"/>
          <w:szCs w:val="24"/>
        </w:rPr>
        <w:t>ere</w:t>
      </w:r>
      <w:r w:rsidR="004573D1" w:rsidRPr="001F566E">
        <w:rPr>
          <w:rFonts w:ascii="Times New Roman" w:hAnsi="Times New Roman" w:cs="Times New Roman"/>
          <w:sz w:val="24"/>
          <w:szCs w:val="24"/>
        </w:rPr>
        <w:t xml:space="preserve"> coherent with the </w:t>
      </w:r>
      <w:r w:rsidR="00F46BD2">
        <w:rPr>
          <w:rFonts w:ascii="Times New Roman" w:hAnsi="Times New Roman" w:cs="Times New Roman"/>
          <w:sz w:val="24"/>
          <w:szCs w:val="24"/>
        </w:rPr>
        <w:t>Y2061</w:t>
      </w:r>
      <w:r w:rsidR="004573D1" w:rsidRPr="001F566E">
        <w:rPr>
          <w:rFonts w:ascii="Times New Roman" w:hAnsi="Times New Roman" w:cs="Times New Roman"/>
          <w:sz w:val="24"/>
          <w:szCs w:val="24"/>
        </w:rPr>
        <w:t xml:space="preserve"> scenarios (i.e. allocation of the population between sub-regions) but </w:t>
      </w:r>
      <w:r w:rsidRPr="001F566E">
        <w:rPr>
          <w:rFonts w:ascii="Times New Roman" w:hAnsi="Times New Roman" w:cs="Times New Roman"/>
          <w:sz w:val="24"/>
          <w:szCs w:val="24"/>
        </w:rPr>
        <w:t xml:space="preserve">that </w:t>
      </w:r>
      <w:r w:rsidR="004573D1" w:rsidRPr="001F566E">
        <w:rPr>
          <w:rFonts w:ascii="Times New Roman" w:hAnsi="Times New Roman" w:cs="Times New Roman"/>
          <w:sz w:val="24"/>
          <w:szCs w:val="24"/>
        </w:rPr>
        <w:t>maintained</w:t>
      </w:r>
      <w:r w:rsidR="00152000" w:rsidRPr="001F566E">
        <w:rPr>
          <w:rFonts w:ascii="Times New Roman" w:hAnsi="Times New Roman" w:cs="Times New Roman"/>
          <w:sz w:val="24"/>
          <w:szCs w:val="24"/>
        </w:rPr>
        <w:t xml:space="preserve"> similar</w:t>
      </w:r>
      <w:r w:rsidR="004573D1" w:rsidRPr="001F566E">
        <w:rPr>
          <w:rFonts w:ascii="Times New Roman" w:hAnsi="Times New Roman" w:cs="Times New Roman"/>
          <w:sz w:val="24"/>
          <w:szCs w:val="24"/>
        </w:rPr>
        <w:t xml:space="preserve"> demographic characteristics (population number, age and sex) at the GMR level. </w:t>
      </w:r>
      <w:r w:rsidRPr="001F566E">
        <w:rPr>
          <w:rFonts w:ascii="Times New Roman" w:hAnsi="Times New Roman" w:cs="Times New Roman"/>
          <w:color w:val="000000"/>
          <w:sz w:val="24"/>
          <w:szCs w:val="24"/>
        </w:rPr>
        <w:t>Thus</w:t>
      </w:r>
      <w:r w:rsidR="00511203" w:rsidRPr="001F566E">
        <w:rPr>
          <w:rFonts w:ascii="Times New Roman" w:hAnsi="Times New Roman" w:cs="Times New Roman"/>
          <w:color w:val="000000"/>
          <w:sz w:val="24"/>
          <w:szCs w:val="24"/>
        </w:rPr>
        <w:t xml:space="preserve">, final adjustments of the </w:t>
      </w:r>
      <w:r w:rsidR="00F46BD2">
        <w:rPr>
          <w:rFonts w:ascii="Times New Roman" w:hAnsi="Times New Roman" w:cs="Times New Roman"/>
          <w:color w:val="000000"/>
          <w:sz w:val="24"/>
          <w:szCs w:val="24"/>
        </w:rPr>
        <w:t>Y2061</w:t>
      </w:r>
      <w:r w:rsidR="00511203" w:rsidRPr="001F566E">
        <w:rPr>
          <w:rFonts w:ascii="Times New Roman" w:hAnsi="Times New Roman" w:cs="Times New Roman"/>
          <w:color w:val="000000"/>
          <w:sz w:val="24"/>
          <w:szCs w:val="24"/>
        </w:rPr>
        <w:t xml:space="preserve"> BAU and </w:t>
      </w:r>
      <w:r w:rsidR="006570D9" w:rsidRPr="001F566E">
        <w:rPr>
          <w:rFonts w:ascii="Times New Roman" w:hAnsi="Times New Roman" w:cs="Times New Roman"/>
          <w:color w:val="000000"/>
          <w:sz w:val="24"/>
          <w:szCs w:val="24"/>
        </w:rPr>
        <w:t>Optimal</w:t>
      </w:r>
      <w:r w:rsidR="00160A8B" w:rsidRPr="001F566E">
        <w:rPr>
          <w:rFonts w:ascii="Times New Roman" w:hAnsi="Times New Roman" w:cs="Times New Roman"/>
          <w:color w:val="000000"/>
          <w:sz w:val="24"/>
          <w:szCs w:val="24"/>
        </w:rPr>
        <w:t xml:space="preserve"> </w:t>
      </w:r>
      <w:r w:rsidR="00511203" w:rsidRPr="001F566E">
        <w:rPr>
          <w:rFonts w:ascii="Times New Roman" w:hAnsi="Times New Roman" w:cs="Times New Roman"/>
          <w:color w:val="000000"/>
          <w:sz w:val="24"/>
          <w:szCs w:val="24"/>
        </w:rPr>
        <w:t xml:space="preserve">“individual weights” were done with raking (Stata 13 function ipfweight) on the following variables: </w:t>
      </w:r>
      <w:r w:rsidR="00511203" w:rsidRPr="001F566E">
        <w:rPr>
          <w:rFonts w:ascii="Times New Roman" w:hAnsi="Times New Roman" w:cs="Times New Roman"/>
          <w:i/>
          <w:color w:val="FF0000"/>
          <w:sz w:val="24"/>
          <w:szCs w:val="24"/>
        </w:rPr>
        <w:t xml:space="preserve"> </w:t>
      </w:r>
      <w:r w:rsidR="00511203" w:rsidRPr="001F566E">
        <w:rPr>
          <w:rFonts w:ascii="Times New Roman" w:hAnsi="Times New Roman" w:cs="Times New Roman"/>
          <w:sz w:val="24"/>
          <w:szCs w:val="24"/>
        </w:rPr>
        <w:t xml:space="preserve">1) the age-sex distribution of the </w:t>
      </w:r>
      <w:r w:rsidR="00F46BD2">
        <w:rPr>
          <w:rFonts w:ascii="Times New Roman" w:hAnsi="Times New Roman" w:cs="Times New Roman"/>
          <w:sz w:val="24"/>
          <w:szCs w:val="24"/>
        </w:rPr>
        <w:t>Y2031</w:t>
      </w:r>
      <w:r w:rsidR="00511203" w:rsidRPr="001F566E">
        <w:rPr>
          <w:rFonts w:ascii="Times New Roman" w:hAnsi="Times New Roman" w:cs="Times New Roman"/>
          <w:sz w:val="24"/>
          <w:szCs w:val="24"/>
        </w:rPr>
        <w:t xml:space="preserve"> BAU scenario, to ensure the comparability between the two </w:t>
      </w:r>
      <w:r w:rsidR="00F46BD2">
        <w:rPr>
          <w:rFonts w:ascii="Times New Roman" w:hAnsi="Times New Roman" w:cs="Times New Roman"/>
          <w:sz w:val="24"/>
          <w:szCs w:val="24"/>
        </w:rPr>
        <w:t>Y2061</w:t>
      </w:r>
      <w:r w:rsidR="00511203" w:rsidRPr="001F566E">
        <w:rPr>
          <w:rFonts w:ascii="Times New Roman" w:hAnsi="Times New Roman" w:cs="Times New Roman"/>
          <w:sz w:val="24"/>
          <w:szCs w:val="24"/>
        </w:rPr>
        <w:t xml:space="preserve"> scenarios</w:t>
      </w:r>
      <w:r w:rsidRPr="001F566E">
        <w:rPr>
          <w:rFonts w:ascii="Times New Roman" w:hAnsi="Times New Roman" w:cs="Times New Roman"/>
          <w:sz w:val="24"/>
          <w:szCs w:val="24"/>
        </w:rPr>
        <w:t>;</w:t>
      </w:r>
      <w:r w:rsidR="00511203" w:rsidRPr="001F566E">
        <w:rPr>
          <w:rFonts w:ascii="Times New Roman" w:hAnsi="Times New Roman" w:cs="Times New Roman"/>
          <w:sz w:val="24"/>
          <w:szCs w:val="24"/>
        </w:rPr>
        <w:t xml:space="preserve"> and 2) the center/suburb ratios (one for each scenario) of the </w:t>
      </w:r>
      <w:r w:rsidR="00F46BD2">
        <w:rPr>
          <w:rFonts w:ascii="Times New Roman" w:hAnsi="Times New Roman" w:cs="Times New Roman"/>
          <w:sz w:val="24"/>
          <w:szCs w:val="24"/>
        </w:rPr>
        <w:t>Y2031</w:t>
      </w:r>
      <w:r w:rsidR="00511203" w:rsidRPr="001F566E">
        <w:rPr>
          <w:rFonts w:ascii="Times New Roman" w:hAnsi="Times New Roman" w:cs="Times New Roman"/>
          <w:sz w:val="24"/>
          <w:szCs w:val="24"/>
        </w:rPr>
        <w:t xml:space="preserve"> BAU and Central scenarios (on which the </w:t>
      </w:r>
      <w:r w:rsidR="00F46BD2">
        <w:rPr>
          <w:rFonts w:ascii="Times New Roman" w:hAnsi="Times New Roman" w:cs="Times New Roman"/>
          <w:sz w:val="24"/>
          <w:szCs w:val="24"/>
        </w:rPr>
        <w:t>Y2061</w:t>
      </w:r>
      <w:r w:rsidR="00511203" w:rsidRPr="001F566E">
        <w:rPr>
          <w:rFonts w:ascii="Times New Roman" w:hAnsi="Times New Roman" w:cs="Times New Roman"/>
          <w:sz w:val="24"/>
          <w:szCs w:val="24"/>
        </w:rPr>
        <w:t xml:space="preserve"> BAU and </w:t>
      </w:r>
      <w:r w:rsidR="006570D9" w:rsidRPr="001F566E">
        <w:rPr>
          <w:rFonts w:ascii="Times New Roman" w:hAnsi="Times New Roman" w:cs="Times New Roman"/>
          <w:sz w:val="24"/>
          <w:szCs w:val="24"/>
        </w:rPr>
        <w:t>Optimal</w:t>
      </w:r>
      <w:r w:rsidR="00160A8B" w:rsidRPr="001F566E">
        <w:rPr>
          <w:rFonts w:ascii="Times New Roman" w:hAnsi="Times New Roman" w:cs="Times New Roman"/>
          <w:sz w:val="24"/>
          <w:szCs w:val="24"/>
        </w:rPr>
        <w:t xml:space="preserve"> </w:t>
      </w:r>
      <w:r w:rsidR="00511203" w:rsidRPr="001F566E">
        <w:rPr>
          <w:rFonts w:ascii="Times New Roman" w:hAnsi="Times New Roman" w:cs="Times New Roman"/>
          <w:sz w:val="24"/>
          <w:szCs w:val="24"/>
        </w:rPr>
        <w:t xml:space="preserve">scenarios were respectively based – see </w:t>
      </w:r>
      <w:r w:rsidR="00511203" w:rsidRPr="001F566E">
        <w:rPr>
          <w:rFonts w:ascii="Times New Roman" w:hAnsi="Times New Roman" w:cs="Times New Roman"/>
          <w:b/>
          <w:sz w:val="24"/>
          <w:szCs w:val="24"/>
        </w:rPr>
        <w:t>outline</w:t>
      </w:r>
      <w:r w:rsidR="00511203" w:rsidRPr="001F566E">
        <w:rPr>
          <w:rFonts w:ascii="Times New Roman" w:hAnsi="Times New Roman" w:cs="Times New Roman"/>
          <w:sz w:val="24"/>
          <w:szCs w:val="24"/>
        </w:rPr>
        <w:t xml:space="preserve"> above)</w:t>
      </w:r>
      <w:r w:rsidRPr="001F566E">
        <w:rPr>
          <w:rFonts w:ascii="Times New Roman" w:hAnsi="Times New Roman" w:cs="Times New Roman"/>
          <w:sz w:val="24"/>
          <w:szCs w:val="24"/>
        </w:rPr>
        <w:t>,</w:t>
      </w:r>
      <w:r w:rsidR="00511203" w:rsidRPr="001F566E">
        <w:rPr>
          <w:rFonts w:ascii="Times New Roman" w:hAnsi="Times New Roman" w:cs="Times New Roman"/>
          <w:sz w:val="24"/>
          <w:szCs w:val="24"/>
        </w:rPr>
        <w:t xml:space="preserve"> to ensure the targeted location of the new population from </w:t>
      </w:r>
      <w:r w:rsidR="00F46BD2">
        <w:rPr>
          <w:rFonts w:ascii="Times New Roman" w:hAnsi="Times New Roman" w:cs="Times New Roman"/>
          <w:sz w:val="24"/>
          <w:szCs w:val="24"/>
        </w:rPr>
        <w:t>Y2031</w:t>
      </w:r>
      <w:r w:rsidR="00511203" w:rsidRPr="001F566E">
        <w:rPr>
          <w:rFonts w:ascii="Times New Roman" w:hAnsi="Times New Roman" w:cs="Times New Roman"/>
          <w:sz w:val="24"/>
          <w:szCs w:val="24"/>
        </w:rPr>
        <w:t xml:space="preserve"> to </w:t>
      </w:r>
      <w:r w:rsidR="00F46BD2">
        <w:rPr>
          <w:rFonts w:ascii="Times New Roman" w:hAnsi="Times New Roman" w:cs="Times New Roman"/>
          <w:sz w:val="24"/>
          <w:szCs w:val="24"/>
        </w:rPr>
        <w:t>Y2061</w:t>
      </w:r>
      <w:r w:rsidR="00511203" w:rsidRPr="001F566E">
        <w:rPr>
          <w:rFonts w:ascii="Times New Roman" w:hAnsi="Times New Roman" w:cs="Times New Roman"/>
          <w:sz w:val="24"/>
          <w:szCs w:val="24"/>
        </w:rPr>
        <w:t xml:space="preserve"> (see </w:t>
      </w:r>
      <w:r w:rsidR="00511203" w:rsidRPr="001F566E">
        <w:rPr>
          <w:rFonts w:ascii="Times New Roman" w:hAnsi="Times New Roman" w:cs="Times New Roman"/>
          <w:b/>
          <w:sz w:val="24"/>
          <w:szCs w:val="24"/>
        </w:rPr>
        <w:t xml:space="preserve">Table </w:t>
      </w:r>
      <w:r w:rsidR="00707C1F">
        <w:rPr>
          <w:rFonts w:ascii="Times New Roman" w:hAnsi="Times New Roman" w:cs="Times New Roman"/>
          <w:b/>
          <w:sz w:val="24"/>
          <w:szCs w:val="24"/>
        </w:rPr>
        <w:t>S</w:t>
      </w:r>
      <w:r w:rsidR="00511203" w:rsidRPr="001F566E">
        <w:rPr>
          <w:rFonts w:ascii="Times New Roman" w:hAnsi="Times New Roman" w:cs="Times New Roman"/>
          <w:b/>
          <w:sz w:val="24"/>
          <w:szCs w:val="24"/>
        </w:rPr>
        <w:t>1</w:t>
      </w:r>
      <w:r w:rsidR="00511203" w:rsidRPr="001F566E">
        <w:rPr>
          <w:rFonts w:ascii="Times New Roman" w:hAnsi="Times New Roman" w:cs="Times New Roman"/>
          <w:sz w:val="24"/>
          <w:szCs w:val="24"/>
        </w:rPr>
        <w:t>)</w:t>
      </w:r>
      <w:r w:rsidR="00A76786">
        <w:rPr>
          <w:rFonts w:ascii="Times New Roman" w:hAnsi="Times New Roman" w:cs="Times New Roman"/>
          <w:sz w:val="24"/>
          <w:szCs w:val="24"/>
        </w:rPr>
        <w:t>. Finall</w:t>
      </w:r>
      <w:r w:rsidR="00511203" w:rsidRPr="001F566E">
        <w:rPr>
          <w:rFonts w:ascii="Times New Roman" w:hAnsi="Times New Roman" w:cs="Times New Roman"/>
          <w:sz w:val="24"/>
          <w:szCs w:val="24"/>
        </w:rPr>
        <w:t>y</w:t>
      </w:r>
      <w:r w:rsidR="00A76786">
        <w:rPr>
          <w:rFonts w:ascii="Times New Roman" w:hAnsi="Times New Roman" w:cs="Times New Roman"/>
          <w:sz w:val="24"/>
          <w:szCs w:val="24"/>
        </w:rPr>
        <w:t>,</w:t>
      </w:r>
      <w:r w:rsidR="00511203" w:rsidRPr="001F566E">
        <w:rPr>
          <w:rFonts w:ascii="Times New Roman" w:hAnsi="Times New Roman" w:cs="Times New Roman"/>
          <w:sz w:val="24"/>
          <w:szCs w:val="24"/>
        </w:rPr>
        <w:t xml:space="preserve"> all these re-weighed </w:t>
      </w:r>
      <w:r w:rsidR="00F46BD2">
        <w:rPr>
          <w:rFonts w:ascii="Times New Roman" w:hAnsi="Times New Roman" w:cs="Times New Roman"/>
          <w:sz w:val="24"/>
          <w:szCs w:val="24"/>
        </w:rPr>
        <w:t>Y2061</w:t>
      </w:r>
      <w:r w:rsidR="00511203" w:rsidRPr="001F566E">
        <w:rPr>
          <w:rFonts w:ascii="Times New Roman" w:hAnsi="Times New Roman" w:cs="Times New Roman"/>
          <w:sz w:val="24"/>
          <w:szCs w:val="24"/>
        </w:rPr>
        <w:t xml:space="preserve"> individuals were aggregated by municipality (n=87)</w:t>
      </w:r>
      <w:r w:rsidR="000F0096" w:rsidRPr="001F566E">
        <w:rPr>
          <w:rFonts w:ascii="Times New Roman" w:hAnsi="Times New Roman" w:cs="Times New Roman"/>
          <w:sz w:val="24"/>
          <w:szCs w:val="24"/>
        </w:rPr>
        <w:t xml:space="preserve"> </w:t>
      </w:r>
      <w:r w:rsidR="00160A8B" w:rsidRPr="001F566E">
        <w:rPr>
          <w:rFonts w:ascii="Times New Roman" w:hAnsi="Times New Roman" w:cs="Times New Roman"/>
          <w:sz w:val="24"/>
          <w:szCs w:val="24"/>
        </w:rPr>
        <w:t xml:space="preserve">and used to obtain the growth factor, i.e. the ratio between the </w:t>
      </w:r>
      <w:r w:rsidR="00F46BD2">
        <w:rPr>
          <w:rFonts w:ascii="Times New Roman" w:hAnsi="Times New Roman" w:cs="Times New Roman"/>
          <w:sz w:val="24"/>
          <w:szCs w:val="24"/>
        </w:rPr>
        <w:t>Y2061</w:t>
      </w:r>
      <w:r w:rsidR="00160A8B" w:rsidRPr="001F566E">
        <w:rPr>
          <w:rFonts w:ascii="Times New Roman" w:hAnsi="Times New Roman" w:cs="Times New Roman"/>
          <w:sz w:val="24"/>
          <w:szCs w:val="24"/>
        </w:rPr>
        <w:t xml:space="preserve"> and the </w:t>
      </w:r>
      <w:r w:rsidR="00F46BD2">
        <w:rPr>
          <w:rFonts w:ascii="Times New Roman" w:hAnsi="Times New Roman" w:cs="Times New Roman"/>
          <w:sz w:val="24"/>
          <w:szCs w:val="24"/>
        </w:rPr>
        <w:t>Y2031</w:t>
      </w:r>
      <w:r w:rsidR="00160A8B" w:rsidRPr="001F566E">
        <w:rPr>
          <w:rFonts w:ascii="Times New Roman" w:hAnsi="Times New Roman" w:cs="Times New Roman"/>
          <w:sz w:val="24"/>
          <w:szCs w:val="24"/>
        </w:rPr>
        <w:t xml:space="preserve"> populations</w:t>
      </w:r>
      <w:r w:rsidR="0049270D" w:rsidRPr="001F566E">
        <w:rPr>
          <w:rFonts w:ascii="Times New Roman" w:hAnsi="Times New Roman" w:cs="Times New Roman"/>
          <w:sz w:val="24"/>
          <w:szCs w:val="24"/>
        </w:rPr>
        <w:t>, by age and sex</w:t>
      </w:r>
      <w:r w:rsidR="00511203" w:rsidRPr="001F566E">
        <w:rPr>
          <w:rFonts w:ascii="Times New Roman" w:hAnsi="Times New Roman" w:cs="Times New Roman"/>
          <w:sz w:val="24"/>
          <w:szCs w:val="24"/>
        </w:rPr>
        <w:t>.</w:t>
      </w:r>
    </w:p>
    <w:p w14:paraId="2FC63A91" w14:textId="77777777" w:rsidR="00511203" w:rsidRPr="001F566E" w:rsidRDefault="00511203" w:rsidP="00890789">
      <w:pPr>
        <w:spacing w:after="0" w:line="480" w:lineRule="auto"/>
        <w:jc w:val="both"/>
        <w:rPr>
          <w:rFonts w:ascii="Times New Roman" w:hAnsi="Times New Roman" w:cs="Times New Roman"/>
          <w:sz w:val="24"/>
          <w:szCs w:val="24"/>
        </w:rPr>
      </w:pPr>
    </w:p>
    <w:p w14:paraId="62C188EB" w14:textId="77777777" w:rsidR="00511203" w:rsidRPr="001F566E" w:rsidRDefault="00511203" w:rsidP="00890789">
      <w:pPr>
        <w:spacing w:after="0" w:line="480" w:lineRule="auto"/>
        <w:jc w:val="both"/>
      </w:pPr>
      <w:r w:rsidRPr="001F566E">
        <w:rPr>
          <w:rFonts w:ascii="Times New Roman" w:hAnsi="Times New Roman" w:cs="Times New Roman"/>
          <w:color w:val="000000"/>
          <w:sz w:val="24"/>
          <w:szCs w:val="24"/>
        </w:rPr>
        <w:t xml:space="preserve">For the estimation of the health impacts of NO2, the </w:t>
      </w:r>
      <w:r w:rsidR="00F46BD2">
        <w:rPr>
          <w:rFonts w:ascii="Times New Roman" w:hAnsi="Times New Roman" w:cs="Times New Roman"/>
          <w:color w:val="000000"/>
          <w:sz w:val="24"/>
          <w:szCs w:val="24"/>
        </w:rPr>
        <w:t>Y2061</w:t>
      </w:r>
      <w:r w:rsidRPr="001F566E">
        <w:rPr>
          <w:rFonts w:ascii="Times New Roman" w:hAnsi="Times New Roman" w:cs="Times New Roman"/>
          <w:color w:val="000000"/>
          <w:sz w:val="24"/>
          <w:szCs w:val="24"/>
        </w:rPr>
        <w:t xml:space="preserve"> population was also needed by traffic analysis zone (TAZ) (see </w:t>
      </w:r>
      <w:r w:rsidRPr="001F566E">
        <w:rPr>
          <w:rFonts w:ascii="Times New Roman" w:hAnsi="Times New Roman" w:cs="Times New Roman"/>
          <w:b/>
          <w:color w:val="000000"/>
          <w:sz w:val="24"/>
          <w:szCs w:val="24"/>
        </w:rPr>
        <w:t>section 2.6</w:t>
      </w:r>
      <w:r w:rsidRPr="001F566E">
        <w:rPr>
          <w:rFonts w:ascii="Times New Roman" w:hAnsi="Times New Roman" w:cs="Times New Roman"/>
          <w:color w:val="000000"/>
          <w:sz w:val="24"/>
          <w:szCs w:val="24"/>
        </w:rPr>
        <w:t xml:space="preserve"> on air pollution modeling). It was obtained by multiplying the </w:t>
      </w:r>
      <w:r w:rsidR="00F46BD2">
        <w:rPr>
          <w:rFonts w:ascii="Times New Roman" w:hAnsi="Times New Roman" w:cs="Times New Roman"/>
          <w:color w:val="000000"/>
          <w:sz w:val="24"/>
          <w:szCs w:val="24"/>
        </w:rPr>
        <w:t>Y2031</w:t>
      </w:r>
      <w:r w:rsidRPr="001F566E">
        <w:rPr>
          <w:rFonts w:ascii="Times New Roman" w:hAnsi="Times New Roman" w:cs="Times New Roman"/>
          <w:color w:val="000000"/>
          <w:sz w:val="24"/>
          <w:szCs w:val="24"/>
        </w:rPr>
        <w:t xml:space="preserve"> population per TAZ (</w:t>
      </w:r>
      <w:r w:rsidR="00F46BD2">
        <w:rPr>
          <w:rFonts w:ascii="Times New Roman" w:hAnsi="Times New Roman" w:cs="Times New Roman"/>
          <w:color w:val="000000"/>
          <w:sz w:val="24"/>
          <w:szCs w:val="24"/>
        </w:rPr>
        <w:t>Y2031</w:t>
      </w:r>
      <w:r w:rsidRPr="001F566E">
        <w:rPr>
          <w:rFonts w:ascii="Times New Roman" w:hAnsi="Times New Roman" w:cs="Times New Roman"/>
          <w:color w:val="000000"/>
          <w:sz w:val="24"/>
          <w:szCs w:val="24"/>
        </w:rPr>
        <w:t xml:space="preserve"> BAU or Central scenarios) by the ratio of the population </w:t>
      </w:r>
      <w:r w:rsidR="00E90A6B" w:rsidRPr="001F566E">
        <w:rPr>
          <w:rFonts w:ascii="Times New Roman" w:hAnsi="Times New Roman" w:cs="Times New Roman"/>
          <w:color w:val="000000"/>
          <w:sz w:val="24"/>
          <w:szCs w:val="24"/>
        </w:rPr>
        <w:t xml:space="preserve">increase between </w:t>
      </w:r>
      <w:r w:rsidR="00F46BD2">
        <w:rPr>
          <w:rFonts w:ascii="Times New Roman" w:hAnsi="Times New Roman" w:cs="Times New Roman"/>
          <w:color w:val="000000"/>
          <w:sz w:val="24"/>
          <w:szCs w:val="24"/>
        </w:rPr>
        <w:t>Y2061</w:t>
      </w:r>
      <w:r w:rsidRPr="001F566E">
        <w:rPr>
          <w:rFonts w:ascii="Times New Roman" w:hAnsi="Times New Roman" w:cs="Times New Roman"/>
          <w:color w:val="000000"/>
          <w:sz w:val="24"/>
          <w:szCs w:val="24"/>
        </w:rPr>
        <w:t xml:space="preserve"> and </w:t>
      </w:r>
      <w:r w:rsidR="00F46BD2">
        <w:rPr>
          <w:rFonts w:ascii="Times New Roman" w:hAnsi="Times New Roman" w:cs="Times New Roman"/>
          <w:color w:val="000000"/>
          <w:sz w:val="24"/>
          <w:szCs w:val="24"/>
        </w:rPr>
        <w:t>Y2031</w:t>
      </w:r>
      <w:r w:rsidRPr="001F566E">
        <w:rPr>
          <w:rFonts w:ascii="Times New Roman" w:hAnsi="Times New Roman" w:cs="Times New Roman"/>
          <w:color w:val="000000"/>
          <w:sz w:val="24"/>
          <w:szCs w:val="24"/>
        </w:rPr>
        <w:t xml:space="preserve"> by municipality, age category and sex</w:t>
      </w:r>
      <w:r w:rsidR="00415EAF" w:rsidRPr="001F566E">
        <w:rPr>
          <w:rFonts w:ascii="Times New Roman" w:hAnsi="Times New Roman" w:cs="Times New Roman"/>
          <w:color w:val="000000"/>
          <w:sz w:val="24"/>
          <w:szCs w:val="24"/>
        </w:rPr>
        <w:t xml:space="preserve"> and municipality</w:t>
      </w:r>
      <w:r w:rsidR="00B6223C" w:rsidRPr="001F566E">
        <w:rPr>
          <w:rFonts w:ascii="Times New Roman" w:hAnsi="Times New Roman" w:cs="Times New Roman"/>
          <w:color w:val="000000"/>
          <w:sz w:val="24"/>
          <w:szCs w:val="24"/>
        </w:rPr>
        <w:t xml:space="preserve"> (i.e. the growth factor)</w:t>
      </w:r>
      <w:r w:rsidRPr="001F566E">
        <w:rPr>
          <w:rFonts w:ascii="Times New Roman" w:hAnsi="Times New Roman" w:cs="Times New Roman"/>
          <w:color w:val="000000"/>
          <w:sz w:val="24"/>
          <w:szCs w:val="24"/>
        </w:rPr>
        <w:t xml:space="preserve">. </w:t>
      </w:r>
    </w:p>
    <w:p w14:paraId="35AE7AB6" w14:textId="77777777" w:rsidR="00D73478" w:rsidRPr="001F566E" w:rsidRDefault="008E1475" w:rsidP="00890789">
      <w:pPr>
        <w:tabs>
          <w:tab w:val="left" w:pos="3450"/>
        </w:tabs>
        <w:spacing w:after="0" w:line="480" w:lineRule="auto"/>
        <w:jc w:val="both"/>
        <w:rPr>
          <w:rFonts w:ascii="Times New Roman" w:hAnsi="Times New Roman" w:cs="Times New Roman"/>
          <w:b/>
          <w:sz w:val="24"/>
          <w:szCs w:val="24"/>
        </w:rPr>
      </w:pPr>
      <w:r w:rsidRPr="001F566E">
        <w:rPr>
          <w:rFonts w:ascii="Times New Roman" w:hAnsi="Times New Roman" w:cs="Times New Roman"/>
          <w:sz w:val="24"/>
          <w:szCs w:val="24"/>
        </w:rPr>
        <w:tab/>
      </w:r>
    </w:p>
    <w:p w14:paraId="01A65BB5" w14:textId="77777777" w:rsidR="00511203" w:rsidRPr="001F566E" w:rsidRDefault="00511203" w:rsidP="00890789">
      <w:pPr>
        <w:spacing w:after="0" w:line="480" w:lineRule="auto"/>
        <w:jc w:val="both"/>
      </w:pPr>
      <w:r w:rsidRPr="001F566E">
        <w:rPr>
          <w:rFonts w:ascii="Times New Roman" w:hAnsi="Times New Roman" w:cs="Times New Roman"/>
          <w:b/>
          <w:sz w:val="24"/>
          <w:szCs w:val="24"/>
        </w:rPr>
        <w:t xml:space="preserve">2.5 Projection of trips, paths and distances for the </w:t>
      </w:r>
      <w:r w:rsidR="00F46BD2">
        <w:rPr>
          <w:rFonts w:ascii="Times New Roman" w:hAnsi="Times New Roman" w:cs="Times New Roman"/>
          <w:b/>
          <w:sz w:val="24"/>
          <w:szCs w:val="24"/>
        </w:rPr>
        <w:t>Y2061</w:t>
      </w:r>
      <w:r w:rsidRPr="001F566E">
        <w:rPr>
          <w:rFonts w:ascii="Times New Roman" w:hAnsi="Times New Roman" w:cs="Times New Roman"/>
          <w:b/>
          <w:color w:val="000000"/>
          <w:sz w:val="24"/>
          <w:szCs w:val="24"/>
        </w:rPr>
        <w:t xml:space="preserve"> scenarios</w:t>
      </w:r>
    </w:p>
    <w:p w14:paraId="6618DC15" w14:textId="77777777" w:rsidR="00511203" w:rsidRPr="001F566E" w:rsidRDefault="00511203" w:rsidP="00890789">
      <w:pPr>
        <w:spacing w:after="0" w:line="480" w:lineRule="auto"/>
        <w:jc w:val="both"/>
      </w:pPr>
      <w:r w:rsidRPr="001F566E">
        <w:rPr>
          <w:rFonts w:ascii="Times New Roman" w:hAnsi="Times New Roman" w:cs="Times New Roman"/>
          <w:i/>
          <w:color w:val="000000"/>
          <w:sz w:val="24"/>
          <w:szCs w:val="24"/>
        </w:rPr>
        <w:t>Number of trips by mode</w:t>
      </w:r>
      <w:r w:rsidR="00B818F8" w:rsidRPr="001F566E">
        <w:rPr>
          <w:rFonts w:ascii="Times New Roman" w:hAnsi="Times New Roman" w:cs="Times New Roman"/>
          <w:i/>
          <w:color w:val="000000"/>
          <w:sz w:val="24"/>
          <w:szCs w:val="24"/>
        </w:rPr>
        <w:t xml:space="preserve"> in </w:t>
      </w:r>
      <w:r w:rsidR="00F46BD2">
        <w:rPr>
          <w:rFonts w:ascii="Times New Roman" w:hAnsi="Times New Roman" w:cs="Times New Roman"/>
          <w:i/>
          <w:color w:val="000000"/>
          <w:sz w:val="24"/>
          <w:szCs w:val="24"/>
        </w:rPr>
        <w:t>Y2061</w:t>
      </w:r>
    </w:p>
    <w:p w14:paraId="62C00DB6" w14:textId="77777777" w:rsidR="00511203" w:rsidRPr="00F33A42" w:rsidRDefault="00511203" w:rsidP="00890789">
      <w:pPr>
        <w:spacing w:after="0" w:line="480" w:lineRule="auto"/>
        <w:jc w:val="both"/>
      </w:pPr>
      <w:r w:rsidRPr="001F566E">
        <w:rPr>
          <w:rFonts w:ascii="Times New Roman" w:hAnsi="Times New Roman" w:cs="Times New Roman"/>
          <w:color w:val="000000"/>
          <w:sz w:val="24"/>
          <w:szCs w:val="24"/>
        </w:rPr>
        <w:t xml:space="preserve">As a first step, the </w:t>
      </w:r>
      <w:r w:rsidR="00F46BD2">
        <w:rPr>
          <w:rFonts w:ascii="Times New Roman" w:hAnsi="Times New Roman" w:cs="Times New Roman"/>
          <w:color w:val="000000"/>
          <w:sz w:val="24"/>
          <w:szCs w:val="24"/>
        </w:rPr>
        <w:t>Y2061</w:t>
      </w:r>
      <w:r w:rsidRPr="001F566E">
        <w:rPr>
          <w:rFonts w:ascii="Times New Roman" w:hAnsi="Times New Roman" w:cs="Times New Roman"/>
          <w:color w:val="000000"/>
          <w:sz w:val="24"/>
          <w:szCs w:val="24"/>
        </w:rPr>
        <w:t xml:space="preserve"> total number of trips (all modes included) per municipality were obtained as follows: The </w:t>
      </w:r>
      <w:r w:rsidR="00F46BD2">
        <w:rPr>
          <w:rFonts w:ascii="Times New Roman" w:hAnsi="Times New Roman" w:cs="Times New Roman"/>
          <w:color w:val="000000"/>
          <w:sz w:val="24"/>
          <w:szCs w:val="24"/>
        </w:rPr>
        <w:t>Y2031</w:t>
      </w:r>
      <w:r w:rsidRPr="001F566E">
        <w:rPr>
          <w:rFonts w:ascii="Times New Roman" w:hAnsi="Times New Roman" w:cs="Times New Roman"/>
          <w:color w:val="000000"/>
          <w:sz w:val="24"/>
          <w:szCs w:val="24"/>
        </w:rPr>
        <w:t xml:space="preserve"> total number of trips per municipality, age and sex, for each scenario, were multiplied </w:t>
      </w:r>
      <w:r w:rsidR="00F13C8A" w:rsidRPr="001F566E">
        <w:rPr>
          <w:rFonts w:ascii="Times New Roman" w:hAnsi="Times New Roman" w:cs="Times New Roman"/>
          <w:color w:val="000000"/>
          <w:sz w:val="24"/>
          <w:szCs w:val="24"/>
        </w:rPr>
        <w:t>by</w:t>
      </w:r>
      <w:r w:rsidR="00BD6C7D" w:rsidRPr="001F566E">
        <w:rPr>
          <w:rFonts w:ascii="Times New Roman" w:hAnsi="Times New Roman" w:cs="Times New Roman"/>
          <w:color w:val="000000"/>
          <w:sz w:val="24"/>
          <w:szCs w:val="24"/>
        </w:rPr>
        <w:t xml:space="preserve"> the</w:t>
      </w:r>
      <w:r w:rsidR="00160A8B" w:rsidRPr="001F566E">
        <w:rPr>
          <w:rFonts w:ascii="Times New Roman" w:hAnsi="Times New Roman" w:cs="Times New Roman"/>
          <w:color w:val="000000"/>
          <w:sz w:val="24"/>
          <w:szCs w:val="24"/>
        </w:rPr>
        <w:t xml:space="preserve"> population </w:t>
      </w:r>
      <w:r w:rsidR="00B818F8" w:rsidRPr="001F566E">
        <w:rPr>
          <w:rFonts w:ascii="Times New Roman" w:hAnsi="Times New Roman" w:cs="Times New Roman"/>
          <w:color w:val="000000"/>
          <w:sz w:val="24"/>
          <w:szCs w:val="24"/>
        </w:rPr>
        <w:t>“</w:t>
      </w:r>
      <w:r w:rsidR="00160A8B" w:rsidRPr="001F566E">
        <w:rPr>
          <w:rFonts w:ascii="Times New Roman" w:hAnsi="Times New Roman" w:cs="Times New Roman"/>
          <w:color w:val="000000"/>
          <w:sz w:val="24"/>
          <w:szCs w:val="24"/>
        </w:rPr>
        <w:t>growth factor</w:t>
      </w:r>
      <w:r w:rsidR="00B818F8" w:rsidRPr="001F566E">
        <w:rPr>
          <w:rFonts w:ascii="Times New Roman" w:hAnsi="Times New Roman" w:cs="Times New Roman"/>
          <w:color w:val="000000"/>
          <w:sz w:val="24"/>
          <w:szCs w:val="24"/>
        </w:rPr>
        <w:t>”</w:t>
      </w:r>
      <w:r w:rsidR="00160A8B" w:rsidRPr="001F566E">
        <w:rPr>
          <w:rFonts w:ascii="Times New Roman" w:hAnsi="Times New Roman" w:cs="Times New Roman"/>
          <w:color w:val="000000"/>
          <w:sz w:val="24"/>
          <w:szCs w:val="24"/>
        </w:rPr>
        <w:t xml:space="preserve"> (i.e. </w:t>
      </w:r>
      <w:r w:rsidRPr="001F566E">
        <w:rPr>
          <w:rFonts w:ascii="Times New Roman" w:hAnsi="Times New Roman" w:cs="Times New Roman"/>
          <w:color w:val="000000"/>
          <w:sz w:val="24"/>
          <w:szCs w:val="24"/>
        </w:rPr>
        <w:t xml:space="preserve">ratio of the </w:t>
      </w:r>
      <w:r w:rsidR="00F46BD2">
        <w:rPr>
          <w:rFonts w:ascii="Times New Roman" w:hAnsi="Times New Roman" w:cs="Times New Roman"/>
          <w:color w:val="000000"/>
          <w:sz w:val="24"/>
          <w:szCs w:val="24"/>
        </w:rPr>
        <w:t>Y2061</w:t>
      </w:r>
      <w:r w:rsidRPr="001F566E">
        <w:rPr>
          <w:rFonts w:ascii="Times New Roman" w:hAnsi="Times New Roman" w:cs="Times New Roman"/>
          <w:color w:val="000000"/>
          <w:sz w:val="24"/>
          <w:szCs w:val="24"/>
        </w:rPr>
        <w:t>/</w:t>
      </w:r>
      <w:r w:rsidR="00F46BD2">
        <w:rPr>
          <w:rFonts w:ascii="Times New Roman" w:hAnsi="Times New Roman" w:cs="Times New Roman"/>
          <w:color w:val="000000"/>
          <w:sz w:val="24"/>
          <w:szCs w:val="24"/>
        </w:rPr>
        <w:t>Y2031</w:t>
      </w:r>
      <w:r w:rsidRPr="001F566E">
        <w:rPr>
          <w:rFonts w:ascii="Times New Roman" w:hAnsi="Times New Roman" w:cs="Times New Roman"/>
          <w:color w:val="000000"/>
          <w:sz w:val="24"/>
          <w:szCs w:val="24"/>
        </w:rPr>
        <w:t xml:space="preserve"> populations by </w:t>
      </w:r>
      <w:r w:rsidRPr="001F566E">
        <w:rPr>
          <w:rFonts w:ascii="Times New Roman" w:hAnsi="Times New Roman" w:cs="Times New Roman"/>
          <w:color w:val="000000"/>
          <w:sz w:val="24"/>
          <w:szCs w:val="24"/>
        </w:rPr>
        <w:lastRenderedPageBreak/>
        <w:t>municipality</w:t>
      </w:r>
      <w:r w:rsidRPr="00F33A42">
        <w:rPr>
          <w:rFonts w:ascii="Times New Roman" w:hAnsi="Times New Roman" w:cs="Times New Roman"/>
          <w:color w:val="000000"/>
          <w:sz w:val="24"/>
          <w:szCs w:val="24"/>
        </w:rPr>
        <w:t>, age and sex</w:t>
      </w:r>
      <w:r w:rsidR="00160A8B" w:rsidRPr="00F33A42">
        <w:rPr>
          <w:rFonts w:ascii="Times New Roman" w:hAnsi="Times New Roman" w:cs="Times New Roman"/>
          <w:color w:val="000000"/>
          <w:sz w:val="24"/>
          <w:szCs w:val="24"/>
        </w:rPr>
        <w:t>)</w:t>
      </w:r>
      <w:r w:rsidRPr="001F566E">
        <w:rPr>
          <w:rFonts w:ascii="Times New Roman" w:hAnsi="Times New Roman" w:cs="Times New Roman"/>
          <w:color w:val="000000"/>
          <w:sz w:val="24"/>
          <w:szCs w:val="24"/>
        </w:rPr>
        <w:t xml:space="preserve">. The age groups used were : 0-14, 15-29, 30-44, 45-59, 60-69 and 70+ yrs old. </w:t>
      </w:r>
      <w:r w:rsidR="00375768" w:rsidRPr="001F566E">
        <w:rPr>
          <w:rFonts w:ascii="Times New Roman" w:hAnsi="Times New Roman" w:cs="Times New Roman"/>
          <w:color w:val="000000"/>
          <w:sz w:val="24"/>
          <w:szCs w:val="24"/>
        </w:rPr>
        <w:t>T</w:t>
      </w:r>
      <w:r w:rsidRPr="001F566E">
        <w:rPr>
          <w:rFonts w:ascii="Times New Roman" w:hAnsi="Times New Roman" w:cs="Times New Roman"/>
          <w:color w:val="000000"/>
          <w:sz w:val="24"/>
          <w:szCs w:val="24"/>
        </w:rPr>
        <w:t xml:space="preserve">he estimation of the </w:t>
      </w:r>
      <w:r w:rsidR="00F46BD2">
        <w:rPr>
          <w:rFonts w:ascii="Times New Roman" w:hAnsi="Times New Roman" w:cs="Times New Roman"/>
          <w:color w:val="000000"/>
          <w:sz w:val="24"/>
          <w:szCs w:val="24"/>
        </w:rPr>
        <w:t>Y2031</w:t>
      </w:r>
      <w:r w:rsidRPr="001F566E">
        <w:rPr>
          <w:rFonts w:ascii="Times New Roman" w:hAnsi="Times New Roman" w:cs="Times New Roman"/>
          <w:color w:val="000000"/>
          <w:sz w:val="24"/>
          <w:szCs w:val="24"/>
        </w:rPr>
        <w:t xml:space="preserve"> trips per mode is described in </w:t>
      </w:r>
      <w:r w:rsidR="00707C1F" w:rsidRPr="00890789">
        <w:rPr>
          <w:rFonts w:ascii="Times New Roman" w:hAnsi="Times New Roman" w:cs="Times New Roman"/>
          <w:color w:val="000000"/>
          <w:sz w:val="24"/>
          <w:szCs w:val="24"/>
        </w:rPr>
        <w:t>the</w:t>
      </w:r>
      <w:r w:rsidR="00707C1F">
        <w:rPr>
          <w:rFonts w:ascii="Times New Roman" w:hAnsi="Times New Roman" w:cs="Times New Roman"/>
          <w:b/>
          <w:color w:val="000000"/>
          <w:sz w:val="24"/>
          <w:szCs w:val="24"/>
        </w:rPr>
        <w:t xml:space="preserve"> SI</w:t>
      </w:r>
      <w:r w:rsidR="00707C1F" w:rsidRPr="001F566E">
        <w:rPr>
          <w:rFonts w:ascii="Times New Roman" w:hAnsi="Times New Roman" w:cs="Times New Roman"/>
          <w:b/>
          <w:color w:val="000000"/>
          <w:sz w:val="24"/>
          <w:szCs w:val="24"/>
        </w:rPr>
        <w:t xml:space="preserve"> </w:t>
      </w:r>
      <w:r w:rsidR="00641D22" w:rsidRPr="001F566E">
        <w:rPr>
          <w:rFonts w:ascii="Times New Roman" w:hAnsi="Times New Roman" w:cs="Times New Roman"/>
          <w:b/>
          <w:color w:val="000000"/>
          <w:sz w:val="24"/>
          <w:szCs w:val="24"/>
        </w:rPr>
        <w:t xml:space="preserve">(section </w:t>
      </w:r>
      <w:r w:rsidR="004A4469" w:rsidRPr="001F566E">
        <w:rPr>
          <w:rFonts w:ascii="Times New Roman" w:hAnsi="Times New Roman" w:cs="Times New Roman"/>
          <w:b/>
          <w:color w:val="000000"/>
          <w:sz w:val="24"/>
          <w:szCs w:val="24"/>
        </w:rPr>
        <w:t>3</w:t>
      </w:r>
      <w:r w:rsidR="00641D22" w:rsidRPr="001F566E">
        <w:rPr>
          <w:rFonts w:ascii="Times New Roman" w:hAnsi="Times New Roman" w:cs="Times New Roman"/>
          <w:b/>
          <w:color w:val="000000"/>
          <w:sz w:val="24"/>
          <w:szCs w:val="24"/>
        </w:rPr>
        <w:t>)</w:t>
      </w:r>
      <w:r w:rsidRPr="001F566E">
        <w:rPr>
          <w:rFonts w:ascii="Times New Roman" w:hAnsi="Times New Roman" w:cs="Times New Roman"/>
          <w:color w:val="000000"/>
          <w:sz w:val="24"/>
          <w:szCs w:val="24"/>
        </w:rPr>
        <w:t xml:space="preserve">. </w:t>
      </w:r>
      <w:r w:rsidR="00F13C8A" w:rsidRPr="001F566E">
        <w:rPr>
          <w:rFonts w:ascii="Times New Roman" w:hAnsi="Times New Roman" w:cs="Times New Roman"/>
          <w:color w:val="000000"/>
          <w:sz w:val="24"/>
          <w:szCs w:val="24"/>
        </w:rPr>
        <w:t xml:space="preserve">The </w:t>
      </w:r>
      <w:r w:rsidR="00F46BD2">
        <w:rPr>
          <w:rFonts w:ascii="Times New Roman" w:hAnsi="Times New Roman" w:cs="Times New Roman"/>
          <w:color w:val="000000"/>
          <w:sz w:val="24"/>
          <w:szCs w:val="24"/>
        </w:rPr>
        <w:t>Y2061</w:t>
      </w:r>
      <w:r w:rsidR="00F13C8A" w:rsidRPr="001F566E">
        <w:rPr>
          <w:rFonts w:ascii="Times New Roman" w:hAnsi="Times New Roman" w:cs="Times New Roman"/>
          <w:color w:val="000000"/>
          <w:sz w:val="24"/>
          <w:szCs w:val="24"/>
        </w:rPr>
        <w:t>/</w:t>
      </w:r>
      <w:r w:rsidR="00F46BD2">
        <w:rPr>
          <w:rFonts w:ascii="Times New Roman" w:hAnsi="Times New Roman" w:cs="Times New Roman"/>
          <w:color w:val="000000"/>
          <w:sz w:val="24"/>
          <w:szCs w:val="24"/>
        </w:rPr>
        <w:t>Y2031</w:t>
      </w:r>
      <w:r w:rsidR="00F13C8A" w:rsidRPr="001F566E">
        <w:rPr>
          <w:rFonts w:ascii="Times New Roman" w:hAnsi="Times New Roman" w:cs="Times New Roman"/>
          <w:color w:val="000000"/>
          <w:sz w:val="24"/>
          <w:szCs w:val="24"/>
        </w:rPr>
        <w:t xml:space="preserve"> population ratio</w:t>
      </w:r>
      <w:r w:rsidR="00F13C8A" w:rsidRPr="00F33A42">
        <w:rPr>
          <w:rFonts w:ascii="Times New Roman" w:hAnsi="Times New Roman" w:cs="Times New Roman"/>
          <w:color w:val="000000"/>
          <w:sz w:val="24"/>
          <w:szCs w:val="24"/>
        </w:rPr>
        <w:t>s differed</w:t>
      </w:r>
      <w:r w:rsidR="00525BEE" w:rsidRPr="00F33A42">
        <w:rPr>
          <w:rFonts w:ascii="Times New Roman" w:hAnsi="Times New Roman" w:cs="Times New Roman"/>
          <w:color w:val="000000"/>
          <w:sz w:val="24"/>
          <w:szCs w:val="24"/>
        </w:rPr>
        <w:t xml:space="preserve"> between the urban core and the suburbs for the </w:t>
      </w:r>
      <w:r w:rsidR="006570D9" w:rsidRPr="001F566E">
        <w:rPr>
          <w:rFonts w:ascii="Times New Roman" w:hAnsi="Times New Roman" w:cs="Times New Roman"/>
          <w:color w:val="000000"/>
          <w:sz w:val="24"/>
          <w:szCs w:val="24"/>
        </w:rPr>
        <w:t>Optimal</w:t>
      </w:r>
      <w:r w:rsidR="00B6223C" w:rsidRPr="001F566E">
        <w:rPr>
          <w:rFonts w:ascii="Times New Roman" w:hAnsi="Times New Roman" w:cs="Times New Roman"/>
          <w:color w:val="000000"/>
          <w:sz w:val="24"/>
          <w:szCs w:val="24"/>
        </w:rPr>
        <w:t xml:space="preserve"> </w:t>
      </w:r>
      <w:r w:rsidR="00525BEE" w:rsidRPr="001F566E">
        <w:rPr>
          <w:rFonts w:ascii="Times New Roman" w:hAnsi="Times New Roman" w:cs="Times New Roman"/>
          <w:color w:val="000000"/>
          <w:sz w:val="24"/>
          <w:szCs w:val="24"/>
        </w:rPr>
        <w:t xml:space="preserve">scenarios (mean ratios </w:t>
      </w:r>
      <w:r w:rsidR="007D3031" w:rsidRPr="001F566E">
        <w:rPr>
          <w:rFonts w:ascii="Times New Roman" w:hAnsi="Times New Roman" w:cs="Times New Roman"/>
          <w:color w:val="000000"/>
          <w:sz w:val="24"/>
          <w:szCs w:val="24"/>
        </w:rPr>
        <w:t>1.17 vs 1.0</w:t>
      </w:r>
      <w:r w:rsidR="00415EAF" w:rsidRPr="001F566E">
        <w:rPr>
          <w:rFonts w:ascii="Times New Roman" w:hAnsi="Times New Roman" w:cs="Times New Roman"/>
          <w:color w:val="000000"/>
          <w:sz w:val="24"/>
          <w:szCs w:val="24"/>
        </w:rPr>
        <w:t>1</w:t>
      </w:r>
      <w:r w:rsidR="007D3031" w:rsidRPr="001F566E">
        <w:rPr>
          <w:rFonts w:ascii="Times New Roman" w:hAnsi="Times New Roman" w:cs="Times New Roman"/>
          <w:color w:val="000000"/>
          <w:sz w:val="24"/>
          <w:szCs w:val="24"/>
        </w:rPr>
        <w:t>); the ratios</w:t>
      </w:r>
      <w:r w:rsidR="007D3031" w:rsidRPr="00F33A42">
        <w:rPr>
          <w:rFonts w:ascii="Times New Roman" w:hAnsi="Times New Roman" w:cs="Times New Roman"/>
          <w:color w:val="000000"/>
          <w:sz w:val="24"/>
          <w:szCs w:val="24"/>
        </w:rPr>
        <w:t xml:space="preserve"> for the </w:t>
      </w:r>
      <w:r w:rsidR="006570D9" w:rsidRPr="00F33A42">
        <w:rPr>
          <w:rFonts w:ascii="Times New Roman" w:hAnsi="Times New Roman" w:cs="Times New Roman"/>
          <w:color w:val="000000"/>
          <w:sz w:val="24"/>
          <w:szCs w:val="24"/>
        </w:rPr>
        <w:t>Optimal</w:t>
      </w:r>
      <w:r w:rsidR="00B6223C" w:rsidRPr="001F566E">
        <w:rPr>
          <w:rFonts w:ascii="Times New Roman" w:hAnsi="Times New Roman" w:cs="Times New Roman"/>
          <w:color w:val="000000"/>
          <w:sz w:val="24"/>
          <w:szCs w:val="24"/>
        </w:rPr>
        <w:t xml:space="preserve"> </w:t>
      </w:r>
      <w:r w:rsidR="007D3031" w:rsidRPr="001F566E">
        <w:rPr>
          <w:rFonts w:ascii="Times New Roman" w:hAnsi="Times New Roman" w:cs="Times New Roman"/>
          <w:color w:val="000000"/>
          <w:sz w:val="24"/>
          <w:szCs w:val="24"/>
        </w:rPr>
        <w:t xml:space="preserve">scenarios also </w:t>
      </w:r>
      <w:r w:rsidR="00525BEE" w:rsidRPr="001F566E">
        <w:rPr>
          <w:rFonts w:ascii="Times New Roman" w:hAnsi="Times New Roman" w:cs="Times New Roman"/>
          <w:color w:val="000000"/>
          <w:sz w:val="24"/>
          <w:szCs w:val="24"/>
        </w:rPr>
        <w:t>presented a greater variation</w:t>
      </w:r>
      <w:r w:rsidR="007D3031" w:rsidRPr="001F566E">
        <w:rPr>
          <w:rFonts w:ascii="Times New Roman" w:hAnsi="Times New Roman" w:cs="Times New Roman"/>
          <w:color w:val="000000"/>
          <w:sz w:val="24"/>
          <w:szCs w:val="24"/>
        </w:rPr>
        <w:t xml:space="preserve"> between municipalities</w:t>
      </w:r>
      <w:r w:rsidR="00525BEE" w:rsidRPr="001F566E">
        <w:rPr>
          <w:rFonts w:ascii="Times New Roman" w:hAnsi="Times New Roman" w:cs="Times New Roman"/>
          <w:color w:val="000000"/>
          <w:sz w:val="24"/>
          <w:szCs w:val="24"/>
        </w:rPr>
        <w:t xml:space="preserve"> (0.90-1.21) than those of the BAU (0.93-1.10).</w:t>
      </w:r>
      <w:r w:rsidR="00DF24DF" w:rsidRPr="00DF24DF">
        <w:rPr>
          <w:rFonts w:ascii="Times New Roman" w:hAnsi="Times New Roman" w:cs="Times New Roman"/>
          <w:color w:val="000000"/>
          <w:sz w:val="24"/>
          <w:szCs w:val="24"/>
        </w:rPr>
        <w:t xml:space="preserve"> </w:t>
      </w:r>
      <w:r w:rsidR="00DF24DF">
        <w:rPr>
          <w:rFonts w:ascii="Times New Roman" w:hAnsi="Times New Roman" w:cs="Times New Roman"/>
          <w:color w:val="000000"/>
          <w:sz w:val="24"/>
          <w:szCs w:val="24"/>
        </w:rPr>
        <w:t xml:space="preserve">For the Optimal </w:t>
      </w:r>
      <w:r w:rsidR="00F46BD2">
        <w:rPr>
          <w:rFonts w:ascii="Times New Roman" w:hAnsi="Times New Roman" w:cs="Times New Roman"/>
          <w:color w:val="000000"/>
          <w:sz w:val="24"/>
          <w:szCs w:val="24"/>
        </w:rPr>
        <w:t>Y2061</w:t>
      </w:r>
      <w:r w:rsidR="00DF24DF">
        <w:rPr>
          <w:rFonts w:ascii="Times New Roman" w:hAnsi="Times New Roman" w:cs="Times New Roman"/>
          <w:color w:val="000000"/>
          <w:sz w:val="24"/>
          <w:szCs w:val="24"/>
        </w:rPr>
        <w:t xml:space="preserve"> scenario with teleworking/schooling, we proceeded similarly, but the total number of trips of the active population (work or school) in </w:t>
      </w:r>
      <w:r w:rsidR="00F46BD2">
        <w:rPr>
          <w:rFonts w:ascii="Times New Roman" w:hAnsi="Times New Roman" w:cs="Times New Roman"/>
          <w:color w:val="000000"/>
          <w:sz w:val="24"/>
          <w:szCs w:val="24"/>
        </w:rPr>
        <w:t>Y2031</w:t>
      </w:r>
      <w:r w:rsidR="00DF24DF">
        <w:rPr>
          <w:rFonts w:ascii="Times New Roman" w:hAnsi="Times New Roman" w:cs="Times New Roman"/>
          <w:color w:val="000000"/>
          <w:sz w:val="24"/>
          <w:szCs w:val="24"/>
        </w:rPr>
        <w:t xml:space="preserve"> was first </w:t>
      </w:r>
      <w:r w:rsidR="00DF24DF" w:rsidRPr="00DF24DF">
        <w:rPr>
          <w:rFonts w:ascii="Times New Roman" w:hAnsi="Times New Roman" w:cs="Times New Roman"/>
          <w:color w:val="000000"/>
          <w:sz w:val="24"/>
          <w:szCs w:val="24"/>
        </w:rPr>
        <w:t>decreased</w:t>
      </w:r>
      <w:r w:rsidR="00DF24DF">
        <w:rPr>
          <w:rFonts w:ascii="Times New Roman" w:hAnsi="Times New Roman" w:cs="Times New Roman"/>
          <w:color w:val="000000"/>
          <w:sz w:val="24"/>
          <w:szCs w:val="24"/>
        </w:rPr>
        <w:t xml:space="preserve"> by 50%, which increased to 45% the non-mo</w:t>
      </w:r>
      <w:r w:rsidR="00DF24DF" w:rsidRPr="00DF24DF">
        <w:rPr>
          <w:rFonts w:ascii="Times New Roman" w:hAnsi="Times New Roman" w:cs="Times New Roman"/>
          <w:color w:val="000000"/>
          <w:sz w:val="24"/>
          <w:szCs w:val="24"/>
        </w:rPr>
        <w:t xml:space="preserve">bile population proportion (see </w:t>
      </w:r>
      <w:r w:rsidR="00DF24DF" w:rsidRPr="00DF24DF">
        <w:rPr>
          <w:rFonts w:ascii="Times New Roman" w:hAnsi="Times New Roman" w:cs="Times New Roman"/>
          <w:b/>
          <w:color w:val="000000"/>
          <w:sz w:val="24"/>
          <w:szCs w:val="24"/>
        </w:rPr>
        <w:t xml:space="preserve">Table </w:t>
      </w:r>
      <w:r w:rsidR="00707C1F">
        <w:rPr>
          <w:rFonts w:ascii="Times New Roman" w:hAnsi="Times New Roman" w:cs="Times New Roman"/>
          <w:b/>
          <w:color w:val="000000"/>
          <w:sz w:val="24"/>
          <w:szCs w:val="24"/>
        </w:rPr>
        <w:t>S</w:t>
      </w:r>
      <w:r w:rsidR="00DF24DF" w:rsidRPr="00DF24DF">
        <w:rPr>
          <w:rFonts w:ascii="Times New Roman" w:hAnsi="Times New Roman" w:cs="Times New Roman"/>
          <w:b/>
          <w:color w:val="000000"/>
          <w:sz w:val="24"/>
          <w:szCs w:val="24"/>
        </w:rPr>
        <w:t>1</w:t>
      </w:r>
      <w:r w:rsidR="00DF24DF" w:rsidRPr="00DF24DF">
        <w:rPr>
          <w:rFonts w:ascii="Times New Roman" w:hAnsi="Times New Roman" w:cs="Times New Roman"/>
          <w:color w:val="000000"/>
          <w:sz w:val="24"/>
          <w:szCs w:val="24"/>
        </w:rPr>
        <w:t xml:space="preserve">), before applying the mode shares of the </w:t>
      </w:r>
      <w:r w:rsidR="00F46BD2">
        <w:rPr>
          <w:rFonts w:ascii="Times New Roman" w:hAnsi="Times New Roman" w:cs="Times New Roman"/>
          <w:color w:val="000000"/>
          <w:sz w:val="24"/>
          <w:szCs w:val="24"/>
        </w:rPr>
        <w:t>Y2061</w:t>
      </w:r>
      <w:r w:rsidR="00DF24DF" w:rsidRPr="00DF24DF">
        <w:rPr>
          <w:rFonts w:ascii="Times New Roman" w:hAnsi="Times New Roman" w:cs="Times New Roman"/>
          <w:color w:val="000000"/>
          <w:sz w:val="24"/>
          <w:szCs w:val="24"/>
        </w:rPr>
        <w:t xml:space="preserve"> scenarios to the trips of the remaining mobile</w:t>
      </w:r>
      <w:r w:rsidR="00DF24DF">
        <w:rPr>
          <w:rFonts w:ascii="Times New Roman" w:hAnsi="Times New Roman" w:cs="Times New Roman"/>
          <w:color w:val="000000"/>
          <w:sz w:val="24"/>
          <w:szCs w:val="24"/>
        </w:rPr>
        <w:t xml:space="preserve"> population</w:t>
      </w:r>
      <w:r w:rsidRPr="00F33A42">
        <w:rPr>
          <w:rFonts w:ascii="Times New Roman" w:hAnsi="Times New Roman" w:cs="Times New Roman"/>
          <w:color w:val="000000"/>
          <w:sz w:val="24"/>
          <w:szCs w:val="24"/>
        </w:rPr>
        <w:t>.</w:t>
      </w:r>
      <w:r w:rsidR="00FB1D40" w:rsidRPr="00F33A42">
        <w:rPr>
          <w:rFonts w:ascii="Times New Roman" w:hAnsi="Times New Roman" w:cs="Times New Roman"/>
          <w:color w:val="000000"/>
          <w:sz w:val="24"/>
          <w:szCs w:val="24"/>
        </w:rPr>
        <w:t xml:space="preserve"> </w:t>
      </w:r>
      <w:r w:rsidR="004A23C0" w:rsidRPr="001F566E">
        <w:rPr>
          <w:rFonts w:ascii="Times New Roman" w:hAnsi="Times New Roman" w:cs="Times New Roman"/>
          <w:color w:val="000000"/>
          <w:sz w:val="24"/>
          <w:szCs w:val="24"/>
        </w:rPr>
        <w:t>Thus for all scenarios</w:t>
      </w:r>
      <w:r w:rsidR="0049270D" w:rsidRPr="001F566E">
        <w:rPr>
          <w:rFonts w:ascii="Times New Roman" w:hAnsi="Times New Roman" w:cs="Times New Roman"/>
          <w:color w:val="000000"/>
          <w:sz w:val="24"/>
          <w:szCs w:val="24"/>
        </w:rPr>
        <w:t>,</w:t>
      </w:r>
      <w:r w:rsidR="00E160D7" w:rsidRPr="001F566E">
        <w:rPr>
          <w:rFonts w:ascii="Times New Roman" w:hAnsi="Times New Roman" w:cs="Times New Roman"/>
          <w:color w:val="000000"/>
          <w:sz w:val="24"/>
          <w:szCs w:val="24"/>
        </w:rPr>
        <w:t xml:space="preserve"> the</w:t>
      </w:r>
      <w:r w:rsidR="00FB1D40" w:rsidRPr="001F566E">
        <w:rPr>
          <w:rFonts w:ascii="Times New Roman" w:hAnsi="Times New Roman" w:cs="Times New Roman"/>
          <w:color w:val="000000"/>
          <w:sz w:val="24"/>
          <w:szCs w:val="24"/>
        </w:rPr>
        <w:t xml:space="preserve"> </w:t>
      </w:r>
      <w:r w:rsidR="00F46BD2">
        <w:rPr>
          <w:rFonts w:ascii="Times New Roman" w:hAnsi="Times New Roman" w:cs="Times New Roman"/>
          <w:color w:val="000000"/>
          <w:sz w:val="24"/>
          <w:szCs w:val="24"/>
        </w:rPr>
        <w:t>Y2061</w:t>
      </w:r>
      <w:r w:rsidR="00B818F8" w:rsidRPr="001F566E">
        <w:rPr>
          <w:rFonts w:ascii="Times New Roman" w:hAnsi="Times New Roman" w:cs="Times New Roman"/>
          <w:color w:val="000000"/>
          <w:sz w:val="24"/>
          <w:szCs w:val="24"/>
        </w:rPr>
        <w:t xml:space="preserve"> </w:t>
      </w:r>
      <w:r w:rsidR="00FB1D40" w:rsidRPr="001F566E">
        <w:rPr>
          <w:rFonts w:ascii="Times New Roman" w:hAnsi="Times New Roman" w:cs="Times New Roman"/>
          <w:color w:val="000000"/>
          <w:sz w:val="24"/>
          <w:szCs w:val="24"/>
        </w:rPr>
        <w:t>new pop</w:t>
      </w:r>
      <w:r w:rsidR="00E160D7" w:rsidRPr="001F566E">
        <w:rPr>
          <w:rFonts w:ascii="Times New Roman" w:hAnsi="Times New Roman" w:cs="Times New Roman"/>
          <w:color w:val="000000"/>
          <w:sz w:val="24"/>
          <w:szCs w:val="24"/>
        </w:rPr>
        <w:t>ulation</w:t>
      </w:r>
      <w:r w:rsidR="00FB1D40" w:rsidRPr="001F566E">
        <w:rPr>
          <w:rFonts w:ascii="Times New Roman" w:hAnsi="Times New Roman" w:cs="Times New Roman"/>
          <w:color w:val="000000"/>
          <w:sz w:val="24"/>
          <w:szCs w:val="24"/>
        </w:rPr>
        <w:t xml:space="preserve"> </w:t>
      </w:r>
      <w:r w:rsidR="00922B7E" w:rsidRPr="001F566E">
        <w:rPr>
          <w:rFonts w:ascii="Times New Roman" w:hAnsi="Times New Roman" w:cs="Times New Roman"/>
          <w:color w:val="000000"/>
          <w:sz w:val="24"/>
          <w:szCs w:val="24"/>
        </w:rPr>
        <w:t xml:space="preserve">inherited </w:t>
      </w:r>
      <w:r w:rsidR="00FB1D40" w:rsidRPr="001F566E">
        <w:rPr>
          <w:rFonts w:ascii="Times New Roman" w:hAnsi="Times New Roman" w:cs="Times New Roman"/>
          <w:color w:val="000000"/>
          <w:sz w:val="24"/>
          <w:szCs w:val="24"/>
        </w:rPr>
        <w:t xml:space="preserve">the mode share </w:t>
      </w:r>
      <w:r w:rsidR="00E160D7" w:rsidRPr="001F566E">
        <w:rPr>
          <w:rFonts w:ascii="Times New Roman" w:hAnsi="Times New Roman" w:cs="Times New Roman"/>
          <w:color w:val="000000"/>
          <w:sz w:val="24"/>
          <w:szCs w:val="24"/>
        </w:rPr>
        <w:t>of its</w:t>
      </w:r>
      <w:r w:rsidR="00FB1D40" w:rsidRPr="001F566E">
        <w:rPr>
          <w:rFonts w:ascii="Times New Roman" w:hAnsi="Times New Roman" w:cs="Times New Roman"/>
          <w:color w:val="000000"/>
          <w:sz w:val="24"/>
          <w:szCs w:val="24"/>
        </w:rPr>
        <w:t xml:space="preserve"> </w:t>
      </w:r>
      <w:r w:rsidR="00922B7E" w:rsidRPr="001F566E">
        <w:rPr>
          <w:rFonts w:ascii="Times New Roman" w:hAnsi="Times New Roman" w:cs="Times New Roman"/>
          <w:color w:val="000000"/>
          <w:sz w:val="24"/>
          <w:szCs w:val="24"/>
        </w:rPr>
        <w:t xml:space="preserve">host </w:t>
      </w:r>
      <w:r w:rsidR="00FB1D40" w:rsidRPr="001F566E">
        <w:rPr>
          <w:rFonts w:ascii="Times New Roman" w:hAnsi="Times New Roman" w:cs="Times New Roman"/>
          <w:color w:val="000000"/>
          <w:sz w:val="24"/>
          <w:szCs w:val="24"/>
        </w:rPr>
        <w:t xml:space="preserve">municipality. </w:t>
      </w:r>
      <w:r w:rsidR="00E160D7" w:rsidRPr="001F566E">
        <w:rPr>
          <w:rFonts w:ascii="Times New Roman" w:hAnsi="Times New Roman" w:cs="Times New Roman"/>
          <w:color w:val="000000"/>
          <w:sz w:val="24"/>
          <w:szCs w:val="24"/>
        </w:rPr>
        <w:t>This implies that</w:t>
      </w:r>
      <w:r w:rsidR="00FB1D40" w:rsidRPr="001F566E">
        <w:rPr>
          <w:rFonts w:ascii="Times New Roman" w:hAnsi="Times New Roman" w:cs="Times New Roman"/>
          <w:color w:val="000000"/>
          <w:sz w:val="24"/>
          <w:szCs w:val="24"/>
        </w:rPr>
        <w:t xml:space="preserve"> in our </w:t>
      </w:r>
      <w:r w:rsidR="00F46BD2">
        <w:rPr>
          <w:rFonts w:ascii="Times New Roman" w:hAnsi="Times New Roman" w:cs="Times New Roman"/>
          <w:color w:val="000000"/>
          <w:sz w:val="24"/>
          <w:szCs w:val="24"/>
        </w:rPr>
        <w:t>Y2061</w:t>
      </w:r>
      <w:r w:rsidR="00FB1D40" w:rsidRPr="001F566E">
        <w:rPr>
          <w:rFonts w:ascii="Times New Roman" w:hAnsi="Times New Roman" w:cs="Times New Roman"/>
          <w:color w:val="000000"/>
          <w:sz w:val="24"/>
          <w:szCs w:val="24"/>
        </w:rPr>
        <w:t xml:space="preserve">scenarios, modes were modified both with the mode shift </w:t>
      </w:r>
      <w:r w:rsidR="00E160D7" w:rsidRPr="001F566E">
        <w:rPr>
          <w:rFonts w:ascii="Times New Roman" w:hAnsi="Times New Roman" w:cs="Times New Roman"/>
          <w:color w:val="000000"/>
          <w:sz w:val="24"/>
          <w:szCs w:val="24"/>
        </w:rPr>
        <w:t>(</w:t>
      </w:r>
      <w:r w:rsidR="00FB1D40" w:rsidRPr="001F566E">
        <w:rPr>
          <w:rFonts w:ascii="Times New Roman" w:hAnsi="Times New Roman" w:cs="Times New Roman"/>
          <w:color w:val="000000"/>
          <w:sz w:val="24"/>
          <w:szCs w:val="24"/>
        </w:rPr>
        <w:t xml:space="preserve">see </w:t>
      </w:r>
      <w:r w:rsidR="00E160D7" w:rsidRPr="001F566E">
        <w:rPr>
          <w:rFonts w:ascii="Times New Roman" w:hAnsi="Times New Roman" w:cs="Times New Roman"/>
          <w:color w:val="000000"/>
          <w:sz w:val="24"/>
          <w:szCs w:val="24"/>
        </w:rPr>
        <w:t xml:space="preserve">reduction of car mode in </w:t>
      </w:r>
      <w:r w:rsidR="00E160D7" w:rsidRPr="001F566E">
        <w:rPr>
          <w:rFonts w:ascii="Times New Roman" w:hAnsi="Times New Roman" w:cs="Times New Roman"/>
          <w:b/>
          <w:color w:val="000000"/>
          <w:sz w:val="24"/>
          <w:szCs w:val="24"/>
        </w:rPr>
        <w:t xml:space="preserve">Table </w:t>
      </w:r>
      <w:r w:rsidR="00707C1F">
        <w:rPr>
          <w:rFonts w:ascii="Times New Roman" w:hAnsi="Times New Roman" w:cs="Times New Roman"/>
          <w:b/>
          <w:color w:val="000000"/>
          <w:sz w:val="24"/>
          <w:szCs w:val="24"/>
        </w:rPr>
        <w:t>S</w:t>
      </w:r>
      <w:r w:rsidR="00E160D7" w:rsidRPr="001F566E">
        <w:rPr>
          <w:rFonts w:ascii="Times New Roman" w:hAnsi="Times New Roman" w:cs="Times New Roman"/>
          <w:b/>
          <w:color w:val="000000"/>
          <w:sz w:val="24"/>
          <w:szCs w:val="24"/>
        </w:rPr>
        <w:t>1</w:t>
      </w:r>
      <w:r w:rsidR="00E160D7" w:rsidRPr="001F566E">
        <w:rPr>
          <w:rFonts w:ascii="Times New Roman" w:hAnsi="Times New Roman" w:cs="Times New Roman"/>
          <w:color w:val="000000"/>
          <w:sz w:val="24"/>
          <w:szCs w:val="24"/>
        </w:rPr>
        <w:t>)</w:t>
      </w:r>
      <w:r w:rsidR="00FB1D40" w:rsidRPr="001F566E">
        <w:rPr>
          <w:rFonts w:ascii="Times New Roman" w:hAnsi="Times New Roman" w:cs="Times New Roman"/>
          <w:color w:val="000000"/>
          <w:sz w:val="24"/>
          <w:szCs w:val="24"/>
        </w:rPr>
        <w:t>, and by applying the mode share of the location</w:t>
      </w:r>
      <w:r w:rsidR="00E160D7" w:rsidRPr="001F566E">
        <w:rPr>
          <w:rFonts w:ascii="Times New Roman" w:hAnsi="Times New Roman" w:cs="Times New Roman"/>
          <w:color w:val="000000"/>
          <w:sz w:val="24"/>
          <w:szCs w:val="24"/>
        </w:rPr>
        <w:t xml:space="preserve"> of the new population</w:t>
      </w:r>
      <w:r w:rsidR="00FB1D40" w:rsidRPr="001F566E">
        <w:rPr>
          <w:rFonts w:ascii="Times New Roman" w:hAnsi="Times New Roman" w:cs="Times New Roman"/>
          <w:color w:val="000000"/>
          <w:sz w:val="24"/>
          <w:szCs w:val="24"/>
        </w:rPr>
        <w:t>.</w:t>
      </w:r>
      <w:r w:rsidR="00FB1D40" w:rsidRPr="00F33A42">
        <w:rPr>
          <w:rFonts w:ascii="Times New Roman" w:hAnsi="Times New Roman" w:cs="Times New Roman"/>
          <w:color w:val="000000"/>
          <w:sz w:val="24"/>
          <w:szCs w:val="24"/>
        </w:rPr>
        <w:t xml:space="preserve">  </w:t>
      </w:r>
    </w:p>
    <w:p w14:paraId="7CDADCA0" w14:textId="77777777" w:rsidR="00511203" w:rsidRPr="001F566E" w:rsidRDefault="00511203" w:rsidP="00890789">
      <w:pPr>
        <w:spacing w:after="0" w:line="480" w:lineRule="auto"/>
        <w:jc w:val="both"/>
        <w:rPr>
          <w:rFonts w:ascii="Times New Roman" w:hAnsi="Times New Roman" w:cs="Times New Roman"/>
          <w:sz w:val="24"/>
          <w:szCs w:val="24"/>
        </w:rPr>
      </w:pPr>
    </w:p>
    <w:p w14:paraId="734EDA56" w14:textId="77777777" w:rsidR="00511203" w:rsidRPr="001F566E" w:rsidRDefault="00375768" w:rsidP="00890789">
      <w:pPr>
        <w:spacing w:after="0" w:line="480" w:lineRule="auto"/>
        <w:jc w:val="both"/>
      </w:pPr>
      <w:r w:rsidRPr="001F566E">
        <w:rPr>
          <w:rFonts w:ascii="Times New Roman" w:hAnsi="Times New Roman" w:cs="Times New Roman"/>
          <w:i/>
          <w:color w:val="000000"/>
          <w:sz w:val="24"/>
          <w:szCs w:val="24"/>
        </w:rPr>
        <w:t>Matrices of d</w:t>
      </w:r>
      <w:r w:rsidR="00511203" w:rsidRPr="001F566E">
        <w:rPr>
          <w:rFonts w:ascii="Times New Roman" w:hAnsi="Times New Roman" w:cs="Times New Roman"/>
          <w:i/>
          <w:color w:val="000000"/>
          <w:sz w:val="24"/>
          <w:szCs w:val="24"/>
        </w:rPr>
        <w:t xml:space="preserve">istances </w:t>
      </w:r>
      <w:r w:rsidR="007D3031" w:rsidRPr="001F566E">
        <w:rPr>
          <w:rFonts w:ascii="Times New Roman" w:hAnsi="Times New Roman" w:cs="Times New Roman"/>
          <w:i/>
          <w:color w:val="000000"/>
          <w:sz w:val="24"/>
          <w:szCs w:val="24"/>
        </w:rPr>
        <w:t>travelled</w:t>
      </w:r>
      <w:r w:rsidR="00E2424A" w:rsidRPr="001F566E">
        <w:rPr>
          <w:rFonts w:ascii="Times New Roman" w:hAnsi="Times New Roman" w:cs="Times New Roman"/>
          <w:i/>
          <w:color w:val="000000"/>
          <w:sz w:val="24"/>
          <w:szCs w:val="24"/>
        </w:rPr>
        <w:t xml:space="preserve"> </w:t>
      </w:r>
      <w:r w:rsidR="00511203" w:rsidRPr="001F566E">
        <w:rPr>
          <w:rFonts w:ascii="Times New Roman" w:hAnsi="Times New Roman" w:cs="Times New Roman"/>
          <w:i/>
          <w:color w:val="000000"/>
          <w:sz w:val="24"/>
          <w:szCs w:val="24"/>
        </w:rPr>
        <w:t>by car</w:t>
      </w:r>
      <w:r w:rsidR="00B818F8" w:rsidRPr="001F566E">
        <w:rPr>
          <w:rFonts w:ascii="Times New Roman" w:hAnsi="Times New Roman" w:cs="Times New Roman"/>
          <w:i/>
          <w:color w:val="000000"/>
          <w:sz w:val="24"/>
          <w:szCs w:val="24"/>
        </w:rPr>
        <w:t xml:space="preserve"> in </w:t>
      </w:r>
      <w:r w:rsidR="00F46BD2">
        <w:rPr>
          <w:rFonts w:ascii="Times New Roman" w:hAnsi="Times New Roman" w:cs="Times New Roman"/>
          <w:i/>
          <w:color w:val="000000"/>
          <w:sz w:val="24"/>
          <w:szCs w:val="24"/>
        </w:rPr>
        <w:t>Y2061</w:t>
      </w:r>
    </w:p>
    <w:p w14:paraId="331B0AF5" w14:textId="77777777" w:rsidR="007D3031" w:rsidRPr="001F566E" w:rsidRDefault="00511203" w:rsidP="00890789">
      <w:pPr>
        <w:spacing w:after="0" w:line="480" w:lineRule="auto"/>
        <w:jc w:val="both"/>
        <w:rPr>
          <w:rFonts w:ascii="Times New Roman" w:hAnsi="Times New Roman" w:cs="Times New Roman"/>
          <w:sz w:val="24"/>
          <w:szCs w:val="24"/>
        </w:rPr>
      </w:pPr>
      <w:r w:rsidRPr="001F566E">
        <w:rPr>
          <w:rFonts w:ascii="Times New Roman" w:hAnsi="Times New Roman" w:cs="Times New Roman"/>
          <w:color w:val="000000"/>
          <w:sz w:val="24"/>
          <w:szCs w:val="24"/>
        </w:rPr>
        <w:t xml:space="preserve">In order to obtain the </w:t>
      </w:r>
      <w:r w:rsidR="001F566E">
        <w:rPr>
          <w:rFonts w:ascii="Times New Roman" w:hAnsi="Times New Roman" w:cs="Times New Roman"/>
          <w:color w:val="000000"/>
          <w:sz w:val="24"/>
          <w:szCs w:val="24"/>
        </w:rPr>
        <w:t>kilometers</w:t>
      </w:r>
      <w:r w:rsidRPr="001F566E">
        <w:rPr>
          <w:rFonts w:ascii="Times New Roman" w:hAnsi="Times New Roman" w:cs="Times New Roman"/>
          <w:color w:val="000000"/>
          <w:sz w:val="24"/>
          <w:szCs w:val="24"/>
        </w:rPr>
        <w:t xml:space="preserve"> travelled by car (vehicle km travelled, vkt) within municipalities in </w:t>
      </w:r>
      <w:r w:rsidR="00F46BD2">
        <w:rPr>
          <w:rFonts w:ascii="Times New Roman" w:hAnsi="Times New Roman" w:cs="Times New Roman"/>
          <w:color w:val="000000"/>
          <w:sz w:val="24"/>
          <w:szCs w:val="24"/>
        </w:rPr>
        <w:t>Y2061</w:t>
      </w:r>
      <w:r w:rsidRPr="001F566E">
        <w:rPr>
          <w:rFonts w:ascii="Times New Roman" w:hAnsi="Times New Roman" w:cs="Times New Roman"/>
          <w:color w:val="000000"/>
          <w:sz w:val="24"/>
          <w:szCs w:val="24"/>
        </w:rPr>
        <w:t xml:space="preserve">, according to the population increase per municipality of residence </w:t>
      </w:r>
      <w:r w:rsidRPr="00F33A42">
        <w:rPr>
          <w:rFonts w:ascii="Times New Roman" w:hAnsi="Times New Roman" w:cs="Times New Roman"/>
          <w:color w:val="000000"/>
          <w:sz w:val="24"/>
          <w:szCs w:val="24"/>
        </w:rPr>
        <w:t xml:space="preserve">in </w:t>
      </w:r>
      <w:r w:rsidR="00F46BD2">
        <w:rPr>
          <w:rFonts w:ascii="Times New Roman" w:hAnsi="Times New Roman" w:cs="Times New Roman"/>
          <w:color w:val="000000"/>
          <w:sz w:val="24"/>
          <w:szCs w:val="24"/>
        </w:rPr>
        <w:t>Y2061</w:t>
      </w:r>
      <w:r w:rsidRPr="00F33A42">
        <w:rPr>
          <w:rFonts w:ascii="Times New Roman" w:hAnsi="Times New Roman" w:cs="Times New Roman"/>
          <w:color w:val="000000"/>
          <w:sz w:val="24"/>
          <w:szCs w:val="24"/>
        </w:rPr>
        <w:t xml:space="preserve"> vs </w:t>
      </w:r>
      <w:r w:rsidR="00F46BD2">
        <w:rPr>
          <w:rFonts w:ascii="Times New Roman" w:hAnsi="Times New Roman" w:cs="Times New Roman"/>
          <w:color w:val="000000"/>
          <w:sz w:val="24"/>
          <w:szCs w:val="24"/>
        </w:rPr>
        <w:t>Y2031</w:t>
      </w:r>
      <w:r w:rsidRPr="001F566E">
        <w:rPr>
          <w:rFonts w:ascii="Times New Roman" w:hAnsi="Times New Roman" w:cs="Times New Roman"/>
          <w:color w:val="000000"/>
          <w:sz w:val="24"/>
          <w:szCs w:val="24"/>
        </w:rPr>
        <w:t xml:space="preserve">, we used the </w:t>
      </w:r>
      <w:r w:rsidR="00F46BD2">
        <w:rPr>
          <w:rFonts w:ascii="Times New Roman" w:hAnsi="Times New Roman" w:cs="Times New Roman"/>
          <w:color w:val="000000"/>
          <w:sz w:val="24"/>
          <w:szCs w:val="24"/>
        </w:rPr>
        <w:t>Y2031</w:t>
      </w:r>
      <w:r w:rsidRPr="001F566E">
        <w:rPr>
          <w:rFonts w:ascii="Times New Roman" w:hAnsi="Times New Roman" w:cs="Times New Roman"/>
          <w:color w:val="000000"/>
          <w:sz w:val="24"/>
          <w:szCs w:val="24"/>
        </w:rPr>
        <w:t xml:space="preserve"> </w:t>
      </w:r>
      <w:r w:rsidR="001F566E">
        <w:rPr>
          <w:rFonts w:ascii="Times New Roman" w:hAnsi="Times New Roman" w:cs="Times New Roman"/>
          <w:color w:val="000000"/>
          <w:sz w:val="24"/>
          <w:szCs w:val="24"/>
        </w:rPr>
        <w:t>kilometers</w:t>
      </w:r>
      <w:r w:rsidRPr="001F566E">
        <w:rPr>
          <w:rFonts w:ascii="Times New Roman" w:hAnsi="Times New Roman" w:cs="Times New Roman"/>
          <w:color w:val="000000"/>
          <w:sz w:val="24"/>
          <w:szCs w:val="24"/>
        </w:rPr>
        <w:t xml:space="preserve"> for each car trip on the road network made by each individual (weighted by the </w:t>
      </w:r>
      <w:r w:rsidR="00F46BD2">
        <w:rPr>
          <w:rFonts w:ascii="Times New Roman" w:hAnsi="Times New Roman" w:cs="Times New Roman"/>
          <w:color w:val="000000"/>
          <w:sz w:val="24"/>
          <w:szCs w:val="24"/>
        </w:rPr>
        <w:t>Y2031</w:t>
      </w:r>
      <w:r w:rsidRPr="001F566E">
        <w:rPr>
          <w:rFonts w:ascii="Times New Roman" w:hAnsi="Times New Roman" w:cs="Times New Roman"/>
          <w:color w:val="000000"/>
          <w:sz w:val="24"/>
          <w:szCs w:val="24"/>
        </w:rPr>
        <w:t xml:space="preserve"> individual weights to represent the population), and proceeded as follows: First, </w:t>
      </w:r>
      <w:r w:rsidR="001F566E">
        <w:rPr>
          <w:rFonts w:ascii="Times New Roman" w:hAnsi="Times New Roman" w:cs="Times New Roman"/>
          <w:color w:val="000000"/>
          <w:sz w:val="24"/>
          <w:szCs w:val="24"/>
        </w:rPr>
        <w:t>kilometers</w:t>
      </w:r>
      <w:r w:rsidRPr="001F566E">
        <w:rPr>
          <w:rFonts w:ascii="Times New Roman" w:hAnsi="Times New Roman" w:cs="Times New Roman"/>
          <w:color w:val="000000"/>
          <w:sz w:val="24"/>
          <w:szCs w:val="24"/>
        </w:rPr>
        <w:t xml:space="preserve"> travelled </w:t>
      </w:r>
      <w:r w:rsidR="00BA6787" w:rsidRPr="001F566E">
        <w:rPr>
          <w:rFonts w:ascii="Times New Roman" w:hAnsi="Times New Roman" w:cs="Times New Roman"/>
          <w:color w:val="000000"/>
          <w:sz w:val="24"/>
          <w:szCs w:val="24"/>
        </w:rPr>
        <w:t xml:space="preserve">on the network </w:t>
      </w:r>
      <w:r w:rsidR="007D3031" w:rsidRPr="001F566E">
        <w:rPr>
          <w:rFonts w:ascii="Times New Roman" w:hAnsi="Times New Roman" w:cs="Times New Roman"/>
          <w:color w:val="000000"/>
          <w:sz w:val="24"/>
          <w:szCs w:val="24"/>
        </w:rPr>
        <w:t xml:space="preserve">(i.e. the 2013 network that remained unchanged) </w:t>
      </w:r>
      <w:r w:rsidR="00BA6787" w:rsidRPr="001F566E">
        <w:rPr>
          <w:rFonts w:ascii="Times New Roman" w:hAnsi="Times New Roman" w:cs="Times New Roman"/>
          <w:color w:val="000000"/>
          <w:sz w:val="24"/>
          <w:szCs w:val="24"/>
        </w:rPr>
        <w:t xml:space="preserve">by each </w:t>
      </w:r>
      <w:r w:rsidR="00F46BD2">
        <w:rPr>
          <w:rFonts w:ascii="Times New Roman" w:hAnsi="Times New Roman" w:cs="Times New Roman"/>
          <w:color w:val="000000"/>
          <w:sz w:val="24"/>
          <w:szCs w:val="24"/>
        </w:rPr>
        <w:t>Y2031</w:t>
      </w:r>
      <w:r w:rsidR="00BA6787" w:rsidRPr="001F566E">
        <w:rPr>
          <w:rFonts w:ascii="Times New Roman" w:hAnsi="Times New Roman" w:cs="Times New Roman"/>
          <w:color w:val="000000"/>
          <w:sz w:val="24"/>
          <w:szCs w:val="24"/>
        </w:rPr>
        <w:t xml:space="preserve"> car trip </w:t>
      </w:r>
      <w:r w:rsidRPr="001F566E">
        <w:rPr>
          <w:rFonts w:ascii="Times New Roman" w:hAnsi="Times New Roman" w:cs="Times New Roman"/>
          <w:sz w:val="24"/>
          <w:szCs w:val="24"/>
        </w:rPr>
        <w:t>were calculated</w:t>
      </w:r>
      <w:r w:rsidR="00C3706D" w:rsidRPr="001F566E">
        <w:rPr>
          <w:rFonts w:ascii="Times New Roman" w:hAnsi="Times New Roman" w:cs="Times New Roman"/>
          <w:sz w:val="24"/>
          <w:szCs w:val="24"/>
        </w:rPr>
        <w:t xml:space="preserve"> and assigned to the municipality in which they were produced</w:t>
      </w:r>
      <w:r w:rsidRPr="001F566E">
        <w:rPr>
          <w:rFonts w:ascii="Times New Roman" w:hAnsi="Times New Roman" w:cs="Times New Roman"/>
          <w:sz w:val="24"/>
          <w:szCs w:val="24"/>
        </w:rPr>
        <w:t>. For example, for a 10 km car trip made by an individual originating in municipality A, travelling through B on the way to municipality C</w:t>
      </w:r>
      <w:r w:rsidR="007D3031" w:rsidRPr="001F566E">
        <w:rPr>
          <w:rFonts w:ascii="Times New Roman" w:hAnsi="Times New Roman" w:cs="Times New Roman"/>
          <w:sz w:val="24"/>
          <w:szCs w:val="24"/>
        </w:rPr>
        <w:t>,</w:t>
      </w:r>
      <w:r w:rsidRPr="001F566E">
        <w:rPr>
          <w:rFonts w:ascii="Times New Roman" w:hAnsi="Times New Roman" w:cs="Times New Roman"/>
          <w:sz w:val="24"/>
          <w:szCs w:val="24"/>
        </w:rPr>
        <w:t xml:space="preserve"> we calculated the km travell</w:t>
      </w:r>
      <w:r w:rsidR="007D3031" w:rsidRPr="001F566E">
        <w:rPr>
          <w:rFonts w:ascii="Times New Roman" w:hAnsi="Times New Roman" w:cs="Times New Roman"/>
          <w:sz w:val="24"/>
          <w:szCs w:val="24"/>
        </w:rPr>
        <w:t>e</w:t>
      </w:r>
      <w:r w:rsidRPr="001F566E">
        <w:rPr>
          <w:rFonts w:ascii="Times New Roman" w:hAnsi="Times New Roman" w:cs="Times New Roman"/>
          <w:sz w:val="24"/>
          <w:szCs w:val="24"/>
        </w:rPr>
        <w:t>d in all three municipalities</w:t>
      </w:r>
      <w:r w:rsidR="007D3031" w:rsidRPr="001F566E">
        <w:rPr>
          <w:rFonts w:ascii="Times New Roman" w:hAnsi="Times New Roman" w:cs="Times New Roman"/>
          <w:sz w:val="24"/>
          <w:szCs w:val="24"/>
        </w:rPr>
        <w:t>, i.e.</w:t>
      </w:r>
      <w:r w:rsidRPr="001F566E">
        <w:rPr>
          <w:rFonts w:ascii="Times New Roman" w:hAnsi="Times New Roman" w:cs="Times New Roman"/>
          <w:sz w:val="24"/>
          <w:szCs w:val="24"/>
        </w:rPr>
        <w:t xml:space="preserve"> 3 km in A, 2 km through B, and 5 km in C. If this individual, made an additional trip in </w:t>
      </w:r>
      <w:r w:rsidRPr="001F566E">
        <w:rPr>
          <w:rFonts w:ascii="Times New Roman" w:hAnsi="Times New Roman" w:cs="Times New Roman"/>
          <w:sz w:val="24"/>
          <w:szCs w:val="24"/>
        </w:rPr>
        <w:lastRenderedPageBreak/>
        <w:t xml:space="preserve">municipality C (ex. during lunch time), these </w:t>
      </w:r>
      <w:r w:rsidR="001F566E">
        <w:rPr>
          <w:rFonts w:ascii="Times New Roman" w:hAnsi="Times New Roman" w:cs="Times New Roman"/>
          <w:sz w:val="24"/>
          <w:szCs w:val="24"/>
        </w:rPr>
        <w:t>kilometers</w:t>
      </w:r>
      <w:r w:rsidRPr="001F566E">
        <w:rPr>
          <w:rFonts w:ascii="Times New Roman" w:hAnsi="Times New Roman" w:cs="Times New Roman"/>
          <w:sz w:val="24"/>
          <w:szCs w:val="24"/>
        </w:rPr>
        <w:t xml:space="preserve"> </w:t>
      </w:r>
      <w:r w:rsidR="007D3031" w:rsidRPr="001F566E">
        <w:rPr>
          <w:rFonts w:ascii="Times New Roman" w:hAnsi="Times New Roman" w:cs="Times New Roman"/>
          <w:sz w:val="24"/>
          <w:szCs w:val="24"/>
        </w:rPr>
        <w:t xml:space="preserve">were </w:t>
      </w:r>
      <w:r w:rsidRPr="001F566E">
        <w:rPr>
          <w:rFonts w:ascii="Times New Roman" w:hAnsi="Times New Roman" w:cs="Times New Roman"/>
          <w:sz w:val="24"/>
          <w:szCs w:val="24"/>
        </w:rPr>
        <w:t xml:space="preserve">also added to those </w:t>
      </w:r>
      <w:r w:rsidR="001F566E">
        <w:rPr>
          <w:rFonts w:ascii="Times New Roman" w:hAnsi="Times New Roman" w:cs="Times New Roman"/>
          <w:sz w:val="24"/>
          <w:szCs w:val="24"/>
        </w:rPr>
        <w:t>kilometers</w:t>
      </w:r>
      <w:r w:rsidRPr="001F566E">
        <w:rPr>
          <w:rFonts w:ascii="Times New Roman" w:hAnsi="Times New Roman" w:cs="Times New Roman"/>
          <w:sz w:val="24"/>
          <w:szCs w:val="24"/>
        </w:rPr>
        <w:t xml:space="preserve"> made in municipality C, by an individual with a residence in municipality A. </w:t>
      </w:r>
      <w:r w:rsidR="001F566E">
        <w:rPr>
          <w:rFonts w:ascii="Times New Roman" w:hAnsi="Times New Roman" w:cs="Times New Roman"/>
          <w:sz w:val="24"/>
          <w:szCs w:val="24"/>
        </w:rPr>
        <w:t>Kilometers</w:t>
      </w:r>
      <w:r w:rsidRPr="001F566E">
        <w:rPr>
          <w:rFonts w:ascii="Times New Roman" w:hAnsi="Times New Roman" w:cs="Times New Roman"/>
          <w:sz w:val="24"/>
          <w:szCs w:val="24"/>
        </w:rPr>
        <w:t xml:space="preserve"> travelled by individuals in </w:t>
      </w:r>
      <w:r w:rsidR="00F46BD2">
        <w:rPr>
          <w:rFonts w:ascii="Times New Roman" w:hAnsi="Times New Roman" w:cs="Times New Roman"/>
          <w:sz w:val="24"/>
          <w:szCs w:val="24"/>
        </w:rPr>
        <w:t>Y2031</w:t>
      </w:r>
      <w:r w:rsidRPr="001F566E">
        <w:rPr>
          <w:rFonts w:ascii="Times New Roman" w:hAnsi="Times New Roman" w:cs="Times New Roman"/>
          <w:sz w:val="24"/>
          <w:szCs w:val="24"/>
        </w:rPr>
        <w:t xml:space="preserve"> were </w:t>
      </w:r>
      <w:r w:rsidR="00522D20" w:rsidRPr="001F566E">
        <w:rPr>
          <w:rFonts w:ascii="Times New Roman" w:hAnsi="Times New Roman" w:cs="Times New Roman"/>
          <w:sz w:val="24"/>
          <w:szCs w:val="24"/>
        </w:rPr>
        <w:t xml:space="preserve">then </w:t>
      </w:r>
      <w:r w:rsidRPr="001F566E">
        <w:rPr>
          <w:rFonts w:ascii="Times New Roman" w:hAnsi="Times New Roman" w:cs="Times New Roman"/>
          <w:sz w:val="24"/>
          <w:szCs w:val="24"/>
        </w:rPr>
        <w:t xml:space="preserve">aggregated by their municipality of residence and municipality of travel. Consequently, two </w:t>
      </w:r>
      <w:r w:rsidR="00F46BD2">
        <w:rPr>
          <w:rFonts w:ascii="Times New Roman" w:hAnsi="Times New Roman" w:cs="Times New Roman"/>
          <w:sz w:val="24"/>
          <w:szCs w:val="24"/>
        </w:rPr>
        <w:t>Y2031</w:t>
      </w:r>
      <w:r w:rsidRPr="001F566E">
        <w:rPr>
          <w:rFonts w:ascii="Times New Roman" w:hAnsi="Times New Roman" w:cs="Times New Roman"/>
          <w:sz w:val="24"/>
          <w:szCs w:val="24"/>
        </w:rPr>
        <w:t xml:space="preserve"> matrices of distances (i.e. </w:t>
      </w:r>
      <w:r w:rsidR="00F46BD2">
        <w:rPr>
          <w:rFonts w:ascii="Times New Roman" w:hAnsi="Times New Roman" w:cs="Times New Roman"/>
          <w:sz w:val="24"/>
          <w:szCs w:val="24"/>
        </w:rPr>
        <w:t>Y2031</w:t>
      </w:r>
      <w:r w:rsidRPr="001F566E">
        <w:rPr>
          <w:rFonts w:ascii="Times New Roman" w:hAnsi="Times New Roman" w:cs="Times New Roman"/>
          <w:sz w:val="24"/>
          <w:szCs w:val="24"/>
        </w:rPr>
        <w:t xml:space="preserve"> BAU and Central scenarios), where the lines of the matrices consisted of the 87 municipalities of residence, and the columns were 87 municipalities of travel as columns, were constructed. </w:t>
      </w:r>
      <w:r w:rsidR="0049270D" w:rsidRPr="001F566E">
        <w:rPr>
          <w:rFonts w:ascii="Times New Roman" w:hAnsi="Times New Roman" w:cs="Times New Roman"/>
          <w:sz w:val="24"/>
          <w:szCs w:val="24"/>
        </w:rPr>
        <w:t xml:space="preserve">This step was necessary to increase the </w:t>
      </w:r>
      <w:r w:rsidR="001F566E">
        <w:rPr>
          <w:rFonts w:ascii="Times New Roman" w:hAnsi="Times New Roman" w:cs="Times New Roman"/>
          <w:sz w:val="24"/>
          <w:szCs w:val="24"/>
        </w:rPr>
        <w:t>kilometers</w:t>
      </w:r>
      <w:r w:rsidR="0049270D" w:rsidRPr="001F566E">
        <w:rPr>
          <w:rFonts w:ascii="Times New Roman" w:hAnsi="Times New Roman" w:cs="Times New Roman"/>
          <w:sz w:val="24"/>
          <w:szCs w:val="24"/>
        </w:rPr>
        <w:t xml:space="preserve"> travelled based on the residential location of the </w:t>
      </w:r>
      <w:r w:rsidR="00F46BD2">
        <w:rPr>
          <w:rFonts w:ascii="Times New Roman" w:hAnsi="Times New Roman" w:cs="Times New Roman"/>
          <w:sz w:val="24"/>
          <w:szCs w:val="24"/>
        </w:rPr>
        <w:t>Y2031</w:t>
      </w:r>
      <w:r w:rsidR="00375768" w:rsidRPr="001F566E">
        <w:rPr>
          <w:rFonts w:ascii="Times New Roman" w:hAnsi="Times New Roman" w:cs="Times New Roman"/>
          <w:sz w:val="24"/>
          <w:szCs w:val="24"/>
        </w:rPr>
        <w:t xml:space="preserve"> </w:t>
      </w:r>
      <w:r w:rsidR="0049270D" w:rsidRPr="001F566E">
        <w:rPr>
          <w:rFonts w:ascii="Times New Roman" w:hAnsi="Times New Roman" w:cs="Times New Roman"/>
          <w:sz w:val="24"/>
          <w:szCs w:val="24"/>
        </w:rPr>
        <w:t xml:space="preserve">new population. </w:t>
      </w:r>
    </w:p>
    <w:p w14:paraId="2F801A45" w14:textId="77777777" w:rsidR="007D3031" w:rsidRPr="001F566E" w:rsidRDefault="007D3031" w:rsidP="00890789">
      <w:pPr>
        <w:spacing w:after="0" w:line="480" w:lineRule="auto"/>
        <w:jc w:val="both"/>
        <w:rPr>
          <w:rFonts w:ascii="Times New Roman" w:hAnsi="Times New Roman" w:cs="Times New Roman"/>
          <w:sz w:val="24"/>
          <w:szCs w:val="24"/>
        </w:rPr>
      </w:pPr>
    </w:p>
    <w:p w14:paraId="607C848F" w14:textId="77777777" w:rsidR="00511203" w:rsidRPr="001F566E" w:rsidRDefault="00511203" w:rsidP="00890789">
      <w:pPr>
        <w:spacing w:after="0" w:line="480" w:lineRule="auto"/>
        <w:jc w:val="both"/>
      </w:pPr>
      <w:r w:rsidRPr="001F566E">
        <w:rPr>
          <w:rFonts w:ascii="Times New Roman" w:hAnsi="Times New Roman" w:cs="Times New Roman"/>
          <w:sz w:val="24"/>
          <w:szCs w:val="24"/>
        </w:rPr>
        <w:t xml:space="preserve">The </w:t>
      </w:r>
      <w:r w:rsidR="00F46BD2">
        <w:rPr>
          <w:rFonts w:ascii="Times New Roman" w:hAnsi="Times New Roman" w:cs="Times New Roman"/>
          <w:sz w:val="24"/>
          <w:szCs w:val="24"/>
        </w:rPr>
        <w:t>Y2061</w:t>
      </w:r>
      <w:r w:rsidRPr="001F566E">
        <w:rPr>
          <w:rFonts w:ascii="Times New Roman" w:hAnsi="Times New Roman" w:cs="Times New Roman"/>
          <w:sz w:val="24"/>
          <w:szCs w:val="24"/>
        </w:rPr>
        <w:t xml:space="preserve"> km travelled by cars within each municipality were then obtained by applying a ratio of the number of trips by car in </w:t>
      </w:r>
      <w:r w:rsidR="00F46BD2">
        <w:rPr>
          <w:rFonts w:ascii="Times New Roman" w:hAnsi="Times New Roman" w:cs="Times New Roman"/>
          <w:sz w:val="24"/>
          <w:szCs w:val="24"/>
        </w:rPr>
        <w:t>Y2061</w:t>
      </w:r>
      <w:r w:rsidRPr="001F566E">
        <w:rPr>
          <w:rFonts w:ascii="Times New Roman" w:hAnsi="Times New Roman" w:cs="Times New Roman"/>
          <w:sz w:val="24"/>
          <w:szCs w:val="24"/>
        </w:rPr>
        <w:t>/</w:t>
      </w:r>
      <w:r w:rsidR="00F46BD2">
        <w:rPr>
          <w:rFonts w:ascii="Times New Roman" w:hAnsi="Times New Roman" w:cs="Times New Roman"/>
          <w:sz w:val="24"/>
          <w:szCs w:val="24"/>
        </w:rPr>
        <w:t>Y2031</w:t>
      </w:r>
      <w:r w:rsidRPr="001F566E">
        <w:rPr>
          <w:rFonts w:ascii="Times New Roman" w:hAnsi="Times New Roman" w:cs="Times New Roman"/>
          <w:sz w:val="24"/>
          <w:szCs w:val="24"/>
        </w:rPr>
        <w:t xml:space="preserve"> per municipality (and scenarios, i.e. BAU2061/BAU2031 and </w:t>
      </w:r>
      <w:r w:rsidR="006570D9" w:rsidRPr="001F566E">
        <w:rPr>
          <w:rFonts w:ascii="Times New Roman" w:hAnsi="Times New Roman" w:cs="Times New Roman"/>
          <w:sz w:val="24"/>
          <w:szCs w:val="24"/>
        </w:rPr>
        <w:t>Optimal</w:t>
      </w:r>
      <w:r w:rsidR="0049270D" w:rsidRPr="001F566E">
        <w:rPr>
          <w:rFonts w:ascii="Times New Roman" w:hAnsi="Times New Roman" w:cs="Times New Roman"/>
          <w:sz w:val="24"/>
          <w:szCs w:val="24"/>
        </w:rPr>
        <w:t xml:space="preserve"> </w:t>
      </w:r>
      <w:r w:rsidRPr="001F566E">
        <w:rPr>
          <w:rFonts w:ascii="Times New Roman" w:hAnsi="Times New Roman" w:cs="Times New Roman"/>
          <w:sz w:val="24"/>
          <w:szCs w:val="24"/>
        </w:rPr>
        <w:t xml:space="preserve">2061/Central 2031), on the </w:t>
      </w:r>
      <w:r w:rsidR="00F46BD2">
        <w:rPr>
          <w:rFonts w:ascii="Times New Roman" w:hAnsi="Times New Roman" w:cs="Times New Roman"/>
          <w:sz w:val="24"/>
          <w:szCs w:val="24"/>
        </w:rPr>
        <w:t>Y2031</w:t>
      </w:r>
      <w:r w:rsidRPr="001F566E">
        <w:rPr>
          <w:rFonts w:ascii="Times New Roman" w:hAnsi="Times New Roman" w:cs="Times New Roman"/>
          <w:sz w:val="24"/>
          <w:szCs w:val="24"/>
        </w:rPr>
        <w:t xml:space="preserve"> distances of the matrices per municipality of residence (i.e. each line of the matrix). The estimation of the </w:t>
      </w:r>
      <w:r w:rsidR="00F46BD2">
        <w:rPr>
          <w:rFonts w:ascii="Times New Roman" w:hAnsi="Times New Roman" w:cs="Times New Roman"/>
          <w:sz w:val="24"/>
          <w:szCs w:val="24"/>
        </w:rPr>
        <w:t>Y2031</w:t>
      </w:r>
      <w:r w:rsidRPr="001F566E">
        <w:rPr>
          <w:rFonts w:ascii="Times New Roman" w:hAnsi="Times New Roman" w:cs="Times New Roman"/>
          <w:sz w:val="24"/>
          <w:szCs w:val="24"/>
        </w:rPr>
        <w:t xml:space="preserve"> </w:t>
      </w:r>
      <w:r w:rsidR="001F566E">
        <w:rPr>
          <w:rFonts w:ascii="Times New Roman" w:hAnsi="Times New Roman" w:cs="Times New Roman"/>
          <w:sz w:val="24"/>
          <w:szCs w:val="24"/>
        </w:rPr>
        <w:t>kilometers</w:t>
      </w:r>
      <w:r w:rsidRPr="001F566E">
        <w:rPr>
          <w:rFonts w:ascii="Times New Roman" w:hAnsi="Times New Roman" w:cs="Times New Roman"/>
          <w:sz w:val="24"/>
          <w:szCs w:val="24"/>
        </w:rPr>
        <w:t xml:space="preserve"> travelled </w:t>
      </w:r>
      <w:r w:rsidR="00C3706D" w:rsidRPr="001F566E">
        <w:rPr>
          <w:rFonts w:ascii="Times New Roman" w:hAnsi="Times New Roman" w:cs="Times New Roman"/>
          <w:sz w:val="24"/>
          <w:szCs w:val="24"/>
        </w:rPr>
        <w:t xml:space="preserve">by car </w:t>
      </w:r>
      <w:r w:rsidRPr="001F566E">
        <w:rPr>
          <w:rFonts w:ascii="Times New Roman" w:hAnsi="Times New Roman" w:cs="Times New Roman"/>
          <w:sz w:val="24"/>
          <w:szCs w:val="24"/>
        </w:rPr>
        <w:t xml:space="preserve">on the road network is explained in </w:t>
      </w:r>
      <w:r w:rsidR="00522D20" w:rsidRPr="001F566E">
        <w:rPr>
          <w:rFonts w:ascii="Times New Roman" w:hAnsi="Times New Roman" w:cs="Times New Roman"/>
          <w:b/>
          <w:sz w:val="24"/>
          <w:szCs w:val="24"/>
        </w:rPr>
        <w:t xml:space="preserve">section </w:t>
      </w:r>
      <w:r w:rsidR="00DE5A66" w:rsidRPr="001F566E">
        <w:rPr>
          <w:rFonts w:ascii="Times New Roman" w:hAnsi="Times New Roman" w:cs="Times New Roman"/>
          <w:b/>
          <w:sz w:val="24"/>
          <w:szCs w:val="24"/>
        </w:rPr>
        <w:t>3</w:t>
      </w:r>
      <w:r w:rsidR="006D0551" w:rsidRPr="001F566E">
        <w:rPr>
          <w:rFonts w:ascii="Times New Roman" w:hAnsi="Times New Roman" w:cs="Times New Roman"/>
          <w:b/>
          <w:sz w:val="24"/>
          <w:szCs w:val="24"/>
        </w:rPr>
        <w:t xml:space="preserve"> </w:t>
      </w:r>
      <w:r w:rsidR="00522D20" w:rsidRPr="001F566E">
        <w:rPr>
          <w:rFonts w:ascii="Times New Roman" w:hAnsi="Times New Roman" w:cs="Times New Roman"/>
          <w:sz w:val="24"/>
          <w:szCs w:val="24"/>
        </w:rPr>
        <w:t xml:space="preserve">of the </w:t>
      </w:r>
      <w:r w:rsidR="00707C1F">
        <w:rPr>
          <w:rFonts w:ascii="Times New Roman" w:hAnsi="Times New Roman" w:cs="Times New Roman"/>
          <w:b/>
          <w:sz w:val="24"/>
          <w:szCs w:val="24"/>
        </w:rPr>
        <w:t>SI</w:t>
      </w:r>
      <w:r w:rsidRPr="001F566E">
        <w:rPr>
          <w:rFonts w:ascii="Times New Roman" w:hAnsi="Times New Roman" w:cs="Times New Roman"/>
          <w:sz w:val="24"/>
          <w:szCs w:val="24"/>
        </w:rPr>
        <w:t xml:space="preserve">. Note that we used the </w:t>
      </w:r>
      <w:r w:rsidR="001F566E">
        <w:rPr>
          <w:rFonts w:ascii="Times New Roman" w:hAnsi="Times New Roman" w:cs="Times New Roman"/>
          <w:sz w:val="24"/>
          <w:szCs w:val="24"/>
        </w:rPr>
        <w:t>kilometers</w:t>
      </w:r>
      <w:r w:rsidRPr="001F566E">
        <w:rPr>
          <w:rFonts w:ascii="Times New Roman" w:hAnsi="Times New Roman" w:cs="Times New Roman"/>
          <w:sz w:val="24"/>
          <w:szCs w:val="24"/>
        </w:rPr>
        <w:t xml:space="preserve"> </w:t>
      </w:r>
      <w:r w:rsidR="00B818F8" w:rsidRPr="001F566E">
        <w:rPr>
          <w:rFonts w:ascii="Times New Roman" w:hAnsi="Times New Roman" w:cs="Times New Roman"/>
          <w:sz w:val="24"/>
          <w:szCs w:val="24"/>
        </w:rPr>
        <w:t xml:space="preserve">travelled within municipalities </w:t>
      </w:r>
      <w:r w:rsidRPr="001F566E">
        <w:rPr>
          <w:rFonts w:ascii="Times New Roman" w:hAnsi="Times New Roman" w:cs="Times New Roman"/>
          <w:sz w:val="24"/>
          <w:szCs w:val="24"/>
        </w:rPr>
        <w:t xml:space="preserve">of the </w:t>
      </w:r>
      <w:r w:rsidR="00F46BD2">
        <w:rPr>
          <w:rFonts w:ascii="Times New Roman" w:hAnsi="Times New Roman" w:cs="Times New Roman"/>
          <w:sz w:val="24"/>
          <w:szCs w:val="24"/>
        </w:rPr>
        <w:t>Y2031</w:t>
      </w:r>
      <w:r w:rsidRPr="001F566E">
        <w:rPr>
          <w:rFonts w:ascii="Times New Roman" w:hAnsi="Times New Roman" w:cs="Times New Roman"/>
          <w:sz w:val="24"/>
          <w:szCs w:val="24"/>
        </w:rPr>
        <w:t xml:space="preserve"> BAU for the </w:t>
      </w:r>
      <w:r w:rsidR="00F46BD2">
        <w:rPr>
          <w:rFonts w:ascii="Times New Roman" w:hAnsi="Times New Roman" w:cs="Times New Roman"/>
          <w:sz w:val="24"/>
          <w:szCs w:val="24"/>
        </w:rPr>
        <w:t>Y2061</w:t>
      </w:r>
      <w:r w:rsidRPr="001F566E">
        <w:rPr>
          <w:rFonts w:ascii="Times New Roman" w:hAnsi="Times New Roman" w:cs="Times New Roman"/>
          <w:sz w:val="24"/>
          <w:szCs w:val="24"/>
        </w:rPr>
        <w:t xml:space="preserve"> BAU</w:t>
      </w:r>
      <w:r w:rsidR="00136983" w:rsidRPr="001F566E">
        <w:rPr>
          <w:rFonts w:ascii="Times New Roman" w:hAnsi="Times New Roman" w:cs="Times New Roman"/>
          <w:sz w:val="24"/>
          <w:szCs w:val="24"/>
        </w:rPr>
        <w:t>,</w:t>
      </w:r>
      <w:r w:rsidRPr="001F566E">
        <w:rPr>
          <w:rFonts w:ascii="Times New Roman" w:hAnsi="Times New Roman" w:cs="Times New Roman"/>
          <w:sz w:val="24"/>
          <w:szCs w:val="24"/>
        </w:rPr>
        <w:t xml:space="preserve"> and the </w:t>
      </w:r>
      <w:r w:rsidR="00F46BD2">
        <w:rPr>
          <w:rFonts w:ascii="Times New Roman" w:hAnsi="Times New Roman" w:cs="Times New Roman"/>
          <w:sz w:val="24"/>
          <w:szCs w:val="24"/>
        </w:rPr>
        <w:t>Y2031</w:t>
      </w:r>
      <w:r w:rsidRPr="001F566E">
        <w:rPr>
          <w:rFonts w:ascii="Times New Roman" w:hAnsi="Times New Roman" w:cs="Times New Roman"/>
          <w:sz w:val="24"/>
          <w:szCs w:val="24"/>
        </w:rPr>
        <w:t xml:space="preserve"> </w:t>
      </w:r>
      <w:r w:rsidR="001F566E">
        <w:rPr>
          <w:rFonts w:ascii="Times New Roman" w:hAnsi="Times New Roman" w:cs="Times New Roman"/>
          <w:sz w:val="24"/>
          <w:szCs w:val="24"/>
        </w:rPr>
        <w:t>kilometers</w:t>
      </w:r>
      <w:r w:rsidRPr="001F566E">
        <w:rPr>
          <w:rFonts w:ascii="Times New Roman" w:hAnsi="Times New Roman" w:cs="Times New Roman"/>
          <w:sz w:val="24"/>
          <w:szCs w:val="24"/>
        </w:rPr>
        <w:t xml:space="preserve"> travelled </w:t>
      </w:r>
      <w:r w:rsidR="00DE5A66" w:rsidRPr="001F566E">
        <w:rPr>
          <w:rFonts w:ascii="Times New Roman" w:hAnsi="Times New Roman" w:cs="Times New Roman"/>
          <w:sz w:val="24"/>
          <w:szCs w:val="24"/>
        </w:rPr>
        <w:t xml:space="preserve">of </w:t>
      </w:r>
      <w:r w:rsidRPr="001F566E">
        <w:rPr>
          <w:rFonts w:ascii="Times New Roman" w:hAnsi="Times New Roman" w:cs="Times New Roman"/>
          <w:sz w:val="24"/>
          <w:szCs w:val="24"/>
        </w:rPr>
        <w:t xml:space="preserve">the Central scenario for the </w:t>
      </w:r>
      <w:r w:rsidR="00F46BD2">
        <w:rPr>
          <w:rFonts w:ascii="Times New Roman" w:hAnsi="Times New Roman" w:cs="Times New Roman"/>
          <w:sz w:val="24"/>
          <w:szCs w:val="24"/>
        </w:rPr>
        <w:t>Y2061</w:t>
      </w:r>
      <w:r w:rsidRPr="001F566E">
        <w:rPr>
          <w:rFonts w:ascii="Times New Roman" w:hAnsi="Times New Roman" w:cs="Times New Roman"/>
          <w:sz w:val="24"/>
          <w:szCs w:val="24"/>
        </w:rPr>
        <w:t xml:space="preserve"> </w:t>
      </w:r>
      <w:r w:rsidR="006570D9" w:rsidRPr="001F566E">
        <w:rPr>
          <w:rFonts w:ascii="Times New Roman" w:hAnsi="Times New Roman" w:cs="Times New Roman"/>
          <w:sz w:val="24"/>
          <w:szCs w:val="24"/>
        </w:rPr>
        <w:t>Optimal</w:t>
      </w:r>
      <w:r w:rsidR="00701EB6" w:rsidRPr="001F566E">
        <w:rPr>
          <w:rFonts w:ascii="Times New Roman" w:hAnsi="Times New Roman" w:cs="Times New Roman"/>
          <w:sz w:val="24"/>
          <w:szCs w:val="24"/>
        </w:rPr>
        <w:t xml:space="preserve"> </w:t>
      </w:r>
      <w:r w:rsidRPr="001F566E">
        <w:rPr>
          <w:rFonts w:ascii="Times New Roman" w:hAnsi="Times New Roman" w:cs="Times New Roman"/>
          <w:sz w:val="24"/>
          <w:szCs w:val="24"/>
        </w:rPr>
        <w:t>scenarios.</w:t>
      </w:r>
    </w:p>
    <w:p w14:paraId="23F64455" w14:textId="77777777" w:rsidR="00511203" w:rsidRPr="001F566E" w:rsidRDefault="00511203" w:rsidP="00890789">
      <w:pPr>
        <w:spacing w:after="0" w:line="480" w:lineRule="auto"/>
        <w:jc w:val="both"/>
        <w:rPr>
          <w:rFonts w:ascii="Times New Roman" w:hAnsi="Times New Roman" w:cs="Times New Roman"/>
          <w:sz w:val="24"/>
          <w:szCs w:val="24"/>
        </w:rPr>
      </w:pPr>
    </w:p>
    <w:p w14:paraId="39A83750" w14:textId="77777777" w:rsidR="00511203" w:rsidRPr="001F566E" w:rsidRDefault="00511203" w:rsidP="00890789">
      <w:pPr>
        <w:spacing w:after="0" w:line="480" w:lineRule="auto"/>
        <w:jc w:val="both"/>
      </w:pPr>
      <w:r w:rsidRPr="001F566E">
        <w:rPr>
          <w:rFonts w:ascii="Times New Roman" w:hAnsi="Times New Roman" w:cs="Times New Roman"/>
          <w:i/>
          <w:sz w:val="24"/>
          <w:szCs w:val="24"/>
        </w:rPr>
        <w:t xml:space="preserve">Distances </w:t>
      </w:r>
      <w:r w:rsidR="00D73478" w:rsidRPr="001F566E">
        <w:rPr>
          <w:rFonts w:ascii="Times New Roman" w:hAnsi="Times New Roman" w:cs="Times New Roman"/>
          <w:i/>
          <w:sz w:val="24"/>
          <w:szCs w:val="24"/>
        </w:rPr>
        <w:t xml:space="preserve">travelled </w:t>
      </w:r>
      <w:r w:rsidRPr="001F566E">
        <w:rPr>
          <w:rFonts w:ascii="Times New Roman" w:hAnsi="Times New Roman" w:cs="Times New Roman"/>
          <w:i/>
          <w:sz w:val="24"/>
          <w:szCs w:val="24"/>
        </w:rPr>
        <w:t>by bus</w:t>
      </w:r>
    </w:p>
    <w:p w14:paraId="055EC804" w14:textId="77777777" w:rsidR="00511203" w:rsidRPr="001F566E" w:rsidRDefault="00511203" w:rsidP="00890789">
      <w:pPr>
        <w:spacing w:after="0" w:line="480" w:lineRule="auto"/>
        <w:jc w:val="both"/>
        <w:rPr>
          <w:rFonts w:ascii="Times New Roman" w:hAnsi="Times New Roman" w:cs="Times New Roman"/>
          <w:sz w:val="24"/>
          <w:szCs w:val="24"/>
        </w:rPr>
      </w:pPr>
      <w:r w:rsidRPr="001F566E">
        <w:rPr>
          <w:rFonts w:ascii="Times New Roman" w:hAnsi="Times New Roman" w:cs="Times New Roman"/>
          <w:sz w:val="24"/>
          <w:szCs w:val="24"/>
        </w:rPr>
        <w:t xml:space="preserve">For distances travelled by bus, in contrast to distances travelled by car, we ignored the location where the </w:t>
      </w:r>
      <w:r w:rsidR="001F566E">
        <w:rPr>
          <w:rFonts w:ascii="Times New Roman" w:hAnsi="Times New Roman" w:cs="Times New Roman"/>
          <w:sz w:val="24"/>
          <w:szCs w:val="24"/>
        </w:rPr>
        <w:t>kilometers</w:t>
      </w:r>
      <w:r w:rsidRPr="001F566E">
        <w:rPr>
          <w:rFonts w:ascii="Times New Roman" w:hAnsi="Times New Roman" w:cs="Times New Roman"/>
          <w:sz w:val="24"/>
          <w:szCs w:val="24"/>
        </w:rPr>
        <w:t xml:space="preserve"> were travelled</w:t>
      </w:r>
      <w:r w:rsidR="001F5916" w:rsidRPr="001F566E">
        <w:rPr>
          <w:rFonts w:ascii="Times New Roman" w:hAnsi="Times New Roman" w:cs="Times New Roman"/>
          <w:sz w:val="24"/>
          <w:szCs w:val="24"/>
        </w:rPr>
        <w:t>.</w:t>
      </w:r>
      <w:r w:rsidRPr="001F566E">
        <w:rPr>
          <w:rFonts w:ascii="Times New Roman" w:hAnsi="Times New Roman" w:cs="Times New Roman"/>
          <w:sz w:val="24"/>
          <w:szCs w:val="24"/>
        </w:rPr>
        <w:t xml:space="preserve"> We increased the </w:t>
      </w:r>
      <w:r w:rsidR="001F566E">
        <w:rPr>
          <w:rFonts w:ascii="Times New Roman" w:hAnsi="Times New Roman" w:cs="Times New Roman"/>
          <w:sz w:val="24"/>
          <w:szCs w:val="24"/>
        </w:rPr>
        <w:t>kilometers</w:t>
      </w:r>
      <w:r w:rsidRPr="001F566E">
        <w:rPr>
          <w:rFonts w:ascii="Times New Roman" w:hAnsi="Times New Roman" w:cs="Times New Roman"/>
          <w:sz w:val="24"/>
          <w:szCs w:val="24"/>
        </w:rPr>
        <w:t xml:space="preserve"> travelled by bus in </w:t>
      </w:r>
      <w:r w:rsidR="00F46BD2">
        <w:rPr>
          <w:rFonts w:ascii="Times New Roman" w:hAnsi="Times New Roman" w:cs="Times New Roman"/>
          <w:sz w:val="24"/>
          <w:szCs w:val="24"/>
        </w:rPr>
        <w:t>Y2031</w:t>
      </w:r>
      <w:r w:rsidRPr="001F566E">
        <w:rPr>
          <w:rFonts w:ascii="Times New Roman" w:hAnsi="Times New Roman" w:cs="Times New Roman"/>
          <w:sz w:val="24"/>
          <w:szCs w:val="24"/>
        </w:rPr>
        <w:t xml:space="preserve"> by municipality</w:t>
      </w:r>
      <w:r w:rsidR="00E2424A" w:rsidRPr="001F566E">
        <w:rPr>
          <w:rFonts w:ascii="Times New Roman" w:hAnsi="Times New Roman" w:cs="Times New Roman"/>
          <w:sz w:val="24"/>
          <w:szCs w:val="24"/>
        </w:rPr>
        <w:t xml:space="preserve"> </w:t>
      </w:r>
      <w:r w:rsidR="00D73478" w:rsidRPr="001F566E">
        <w:rPr>
          <w:rFonts w:ascii="Times New Roman" w:hAnsi="Times New Roman" w:cs="Times New Roman"/>
          <w:sz w:val="24"/>
          <w:szCs w:val="24"/>
        </w:rPr>
        <w:t>of</w:t>
      </w:r>
      <w:r w:rsidR="00E2424A" w:rsidRPr="001F566E">
        <w:rPr>
          <w:rFonts w:ascii="Times New Roman" w:hAnsi="Times New Roman" w:cs="Times New Roman"/>
          <w:sz w:val="24"/>
          <w:szCs w:val="24"/>
        </w:rPr>
        <w:t xml:space="preserve"> </w:t>
      </w:r>
      <w:r w:rsidR="00D73478" w:rsidRPr="001F566E">
        <w:rPr>
          <w:rFonts w:ascii="Times New Roman" w:hAnsi="Times New Roman" w:cs="Times New Roman"/>
          <w:sz w:val="24"/>
          <w:szCs w:val="24"/>
        </w:rPr>
        <w:t>residence</w:t>
      </w:r>
      <w:r w:rsidRPr="001F566E">
        <w:rPr>
          <w:rFonts w:ascii="Times New Roman" w:hAnsi="Times New Roman" w:cs="Times New Roman"/>
          <w:sz w:val="24"/>
          <w:szCs w:val="24"/>
        </w:rPr>
        <w:t xml:space="preserve">, multiplying the </w:t>
      </w:r>
      <w:r w:rsidR="001F566E">
        <w:rPr>
          <w:rFonts w:ascii="Times New Roman" w:hAnsi="Times New Roman" w:cs="Times New Roman"/>
          <w:sz w:val="24"/>
          <w:szCs w:val="24"/>
        </w:rPr>
        <w:t>kilometers</w:t>
      </w:r>
      <w:r w:rsidRPr="001F566E">
        <w:rPr>
          <w:rFonts w:ascii="Times New Roman" w:hAnsi="Times New Roman" w:cs="Times New Roman"/>
          <w:sz w:val="24"/>
          <w:szCs w:val="24"/>
        </w:rPr>
        <w:t xml:space="preserve"> travelled by the ratio of the number of trips by bus in </w:t>
      </w:r>
      <w:r w:rsidR="00F46BD2">
        <w:rPr>
          <w:rFonts w:ascii="Times New Roman" w:hAnsi="Times New Roman" w:cs="Times New Roman"/>
          <w:sz w:val="24"/>
          <w:szCs w:val="24"/>
        </w:rPr>
        <w:t>Y2061</w:t>
      </w:r>
      <w:r w:rsidRPr="001F566E">
        <w:rPr>
          <w:rFonts w:ascii="Times New Roman" w:hAnsi="Times New Roman" w:cs="Times New Roman"/>
          <w:sz w:val="24"/>
          <w:szCs w:val="24"/>
        </w:rPr>
        <w:t>/</w:t>
      </w:r>
      <w:r w:rsidR="00F46BD2">
        <w:rPr>
          <w:rFonts w:ascii="Times New Roman" w:hAnsi="Times New Roman" w:cs="Times New Roman"/>
          <w:sz w:val="24"/>
          <w:szCs w:val="24"/>
        </w:rPr>
        <w:t>Y2031</w:t>
      </w:r>
      <w:r w:rsidRPr="001F566E">
        <w:rPr>
          <w:rFonts w:ascii="Times New Roman" w:hAnsi="Times New Roman" w:cs="Times New Roman"/>
          <w:sz w:val="24"/>
          <w:szCs w:val="24"/>
        </w:rPr>
        <w:t xml:space="preserve"> (per municipality and scenarios). </w:t>
      </w:r>
      <w:r w:rsidR="00D73478" w:rsidRPr="001F566E">
        <w:rPr>
          <w:rFonts w:ascii="Times New Roman" w:hAnsi="Times New Roman" w:cs="Times New Roman"/>
          <w:sz w:val="24"/>
          <w:szCs w:val="24"/>
        </w:rPr>
        <w:t xml:space="preserve">The distances travelled by bus were </w:t>
      </w:r>
      <w:r w:rsidR="00136983" w:rsidRPr="001F566E">
        <w:rPr>
          <w:rFonts w:ascii="Times New Roman" w:hAnsi="Times New Roman" w:cs="Times New Roman"/>
          <w:sz w:val="24"/>
          <w:szCs w:val="24"/>
        </w:rPr>
        <w:t>n</w:t>
      </w:r>
      <w:r w:rsidR="00D73478" w:rsidRPr="001F566E">
        <w:rPr>
          <w:rFonts w:ascii="Times New Roman" w:hAnsi="Times New Roman" w:cs="Times New Roman"/>
          <w:sz w:val="24"/>
          <w:szCs w:val="24"/>
        </w:rPr>
        <w:t>ot used to model NO2 levels</w:t>
      </w:r>
      <w:r w:rsidR="00ED1A72" w:rsidRPr="001F566E">
        <w:rPr>
          <w:rFonts w:ascii="Times New Roman" w:hAnsi="Times New Roman" w:cs="Times New Roman"/>
          <w:sz w:val="24"/>
          <w:szCs w:val="24"/>
        </w:rPr>
        <w:t xml:space="preserve"> but all new buses shall be electric after 2025 (</w:t>
      </w:r>
      <w:r w:rsidR="00A76786" w:rsidRPr="00B85128">
        <w:rPr>
          <w:rFonts w:ascii="Times New Roman" w:hAnsi="Times New Roman" w:cs="Times New Roman"/>
          <w:sz w:val="24"/>
          <w:szCs w:val="24"/>
        </w:rPr>
        <w:t>Société de transport de Montréal, 2012</w:t>
      </w:r>
      <w:r w:rsidR="00ED1A72" w:rsidRPr="00F33A42">
        <w:rPr>
          <w:rFonts w:ascii="Times New Roman" w:hAnsi="Times New Roman" w:cs="Times New Roman"/>
          <w:sz w:val="24"/>
          <w:szCs w:val="24"/>
        </w:rPr>
        <w:t>)</w:t>
      </w:r>
      <w:r w:rsidR="00D73478" w:rsidRPr="00F33A42">
        <w:rPr>
          <w:rFonts w:ascii="Times New Roman" w:hAnsi="Times New Roman" w:cs="Times New Roman"/>
          <w:sz w:val="24"/>
          <w:szCs w:val="24"/>
        </w:rPr>
        <w:t>.</w:t>
      </w:r>
    </w:p>
    <w:p w14:paraId="202BEDAA" w14:textId="77777777" w:rsidR="00511203" w:rsidRPr="001F566E" w:rsidRDefault="00511203" w:rsidP="00890789">
      <w:pPr>
        <w:spacing w:after="0" w:line="480" w:lineRule="auto"/>
        <w:jc w:val="both"/>
        <w:rPr>
          <w:rFonts w:ascii="Times New Roman" w:hAnsi="Times New Roman" w:cs="Times New Roman"/>
          <w:i/>
          <w:sz w:val="24"/>
          <w:szCs w:val="24"/>
        </w:rPr>
      </w:pPr>
    </w:p>
    <w:p w14:paraId="50494CAD" w14:textId="77777777" w:rsidR="00511203" w:rsidRPr="001F566E" w:rsidRDefault="00511203" w:rsidP="00890789">
      <w:pPr>
        <w:spacing w:after="0" w:line="480" w:lineRule="auto"/>
        <w:jc w:val="both"/>
      </w:pPr>
      <w:r w:rsidRPr="001F566E">
        <w:rPr>
          <w:rFonts w:ascii="Times New Roman" w:hAnsi="Times New Roman" w:cs="Times New Roman"/>
          <w:i/>
          <w:sz w:val="24"/>
          <w:szCs w:val="24"/>
        </w:rPr>
        <w:t xml:space="preserve">Distances </w:t>
      </w:r>
      <w:r w:rsidR="00D73478" w:rsidRPr="001F566E">
        <w:rPr>
          <w:rFonts w:ascii="Times New Roman" w:hAnsi="Times New Roman" w:cs="Times New Roman"/>
          <w:i/>
          <w:sz w:val="24"/>
          <w:szCs w:val="24"/>
        </w:rPr>
        <w:t xml:space="preserve">travelled by </w:t>
      </w:r>
      <w:r w:rsidRPr="001F566E">
        <w:rPr>
          <w:rFonts w:ascii="Times New Roman" w:hAnsi="Times New Roman" w:cs="Times New Roman"/>
          <w:i/>
          <w:sz w:val="24"/>
          <w:szCs w:val="24"/>
        </w:rPr>
        <w:t>walking or biking</w:t>
      </w:r>
    </w:p>
    <w:p w14:paraId="270F7259" w14:textId="77777777" w:rsidR="00511203" w:rsidRPr="001F566E" w:rsidRDefault="00511203" w:rsidP="00890789">
      <w:pPr>
        <w:spacing w:after="0" w:line="480" w:lineRule="auto"/>
        <w:jc w:val="both"/>
      </w:pPr>
      <w:r w:rsidRPr="001F566E">
        <w:rPr>
          <w:rFonts w:ascii="Times New Roman" w:hAnsi="Times New Roman" w:cs="Times New Roman"/>
          <w:sz w:val="24"/>
          <w:szCs w:val="24"/>
        </w:rPr>
        <w:t xml:space="preserve">Distances </w:t>
      </w:r>
      <w:r w:rsidR="00D73478" w:rsidRPr="001F566E">
        <w:rPr>
          <w:rFonts w:ascii="Times New Roman" w:hAnsi="Times New Roman" w:cs="Times New Roman"/>
          <w:sz w:val="24"/>
          <w:szCs w:val="24"/>
        </w:rPr>
        <w:t xml:space="preserve">travelled by </w:t>
      </w:r>
      <w:r w:rsidRPr="001F566E">
        <w:rPr>
          <w:rFonts w:ascii="Times New Roman" w:hAnsi="Times New Roman" w:cs="Times New Roman"/>
          <w:sz w:val="24"/>
          <w:szCs w:val="24"/>
        </w:rPr>
        <w:t>walk</w:t>
      </w:r>
      <w:r w:rsidR="00D73478" w:rsidRPr="001F566E">
        <w:rPr>
          <w:rFonts w:ascii="Times New Roman" w:hAnsi="Times New Roman" w:cs="Times New Roman"/>
          <w:sz w:val="24"/>
          <w:szCs w:val="24"/>
        </w:rPr>
        <w:t>ing</w:t>
      </w:r>
      <w:r w:rsidRPr="001F566E">
        <w:rPr>
          <w:rFonts w:ascii="Times New Roman" w:hAnsi="Times New Roman" w:cs="Times New Roman"/>
          <w:sz w:val="24"/>
          <w:szCs w:val="24"/>
        </w:rPr>
        <w:t xml:space="preserve"> and bik</w:t>
      </w:r>
      <w:r w:rsidR="00D73478" w:rsidRPr="001F566E">
        <w:rPr>
          <w:rFonts w:ascii="Times New Roman" w:hAnsi="Times New Roman" w:cs="Times New Roman"/>
          <w:sz w:val="24"/>
          <w:szCs w:val="24"/>
        </w:rPr>
        <w:t>ing</w:t>
      </w:r>
      <w:r w:rsidRPr="001F566E">
        <w:rPr>
          <w:rFonts w:ascii="Times New Roman" w:hAnsi="Times New Roman" w:cs="Times New Roman"/>
          <w:sz w:val="24"/>
          <w:szCs w:val="24"/>
        </w:rPr>
        <w:t xml:space="preserve"> were calculated </w:t>
      </w:r>
      <w:r w:rsidR="00701EB6" w:rsidRPr="001F566E">
        <w:rPr>
          <w:rFonts w:ascii="Times New Roman" w:hAnsi="Times New Roman" w:cs="Times New Roman"/>
          <w:sz w:val="24"/>
          <w:szCs w:val="24"/>
        </w:rPr>
        <w:t xml:space="preserve">by municipality of residence </w:t>
      </w:r>
      <w:r w:rsidRPr="001F566E">
        <w:rPr>
          <w:rFonts w:ascii="Times New Roman" w:hAnsi="Times New Roman" w:cs="Times New Roman"/>
          <w:sz w:val="24"/>
          <w:szCs w:val="24"/>
        </w:rPr>
        <w:t>in a similar fashion as those travelled by bus. “Expanded” (</w:t>
      </w:r>
      <w:r w:rsidR="00F46BD2">
        <w:rPr>
          <w:rFonts w:ascii="Times New Roman" w:hAnsi="Times New Roman" w:cs="Times New Roman"/>
          <w:sz w:val="24"/>
          <w:szCs w:val="24"/>
        </w:rPr>
        <w:t>Y2061</w:t>
      </w:r>
      <w:r w:rsidRPr="001F566E">
        <w:rPr>
          <w:rFonts w:ascii="Times New Roman" w:hAnsi="Times New Roman" w:cs="Times New Roman"/>
          <w:sz w:val="24"/>
          <w:szCs w:val="24"/>
        </w:rPr>
        <w:t>/</w:t>
      </w:r>
      <w:r w:rsidR="00F46BD2">
        <w:rPr>
          <w:rFonts w:ascii="Times New Roman" w:hAnsi="Times New Roman" w:cs="Times New Roman"/>
          <w:sz w:val="24"/>
          <w:szCs w:val="24"/>
        </w:rPr>
        <w:t>Y2031</w:t>
      </w:r>
      <w:r w:rsidRPr="001F566E">
        <w:rPr>
          <w:rFonts w:ascii="Times New Roman" w:hAnsi="Times New Roman" w:cs="Times New Roman"/>
          <w:sz w:val="24"/>
          <w:szCs w:val="24"/>
        </w:rPr>
        <w:t xml:space="preserve">) distances </w:t>
      </w:r>
      <w:r w:rsidR="00D73478" w:rsidRPr="001F566E">
        <w:rPr>
          <w:rFonts w:ascii="Times New Roman" w:hAnsi="Times New Roman" w:cs="Times New Roman"/>
          <w:sz w:val="24"/>
          <w:szCs w:val="24"/>
        </w:rPr>
        <w:t>travelled</w:t>
      </w:r>
      <w:r w:rsidR="00E2424A" w:rsidRPr="001F566E">
        <w:rPr>
          <w:rFonts w:ascii="Times New Roman" w:hAnsi="Times New Roman" w:cs="Times New Roman"/>
          <w:sz w:val="24"/>
          <w:szCs w:val="24"/>
        </w:rPr>
        <w:t xml:space="preserve"> </w:t>
      </w:r>
      <w:r w:rsidRPr="001F566E">
        <w:rPr>
          <w:rFonts w:ascii="Times New Roman" w:hAnsi="Times New Roman" w:cs="Times New Roman"/>
          <w:sz w:val="24"/>
          <w:szCs w:val="24"/>
        </w:rPr>
        <w:t>were used to estimate risks of traumas (see below). In addition, to assess health benefits of physical activity (also explained below</w:t>
      </w:r>
      <w:r w:rsidR="00D73478" w:rsidRPr="001F566E">
        <w:rPr>
          <w:rFonts w:ascii="Times New Roman" w:hAnsi="Times New Roman" w:cs="Times New Roman"/>
          <w:sz w:val="24"/>
          <w:szCs w:val="24"/>
        </w:rPr>
        <w:t xml:space="preserve"> in </w:t>
      </w:r>
      <w:r w:rsidR="00D73478" w:rsidRPr="001F566E">
        <w:rPr>
          <w:rFonts w:ascii="Times New Roman" w:hAnsi="Times New Roman" w:cs="Times New Roman"/>
          <w:b/>
          <w:sz w:val="24"/>
          <w:szCs w:val="24"/>
        </w:rPr>
        <w:t>section 2.7</w:t>
      </w:r>
      <w:r w:rsidRPr="001F566E">
        <w:rPr>
          <w:rFonts w:ascii="Times New Roman" w:hAnsi="Times New Roman" w:cs="Times New Roman"/>
          <w:sz w:val="24"/>
          <w:szCs w:val="24"/>
        </w:rPr>
        <w:t xml:space="preserve">), </w:t>
      </w:r>
      <w:r w:rsidR="001F566E">
        <w:rPr>
          <w:rFonts w:ascii="Times New Roman" w:hAnsi="Times New Roman" w:cs="Times New Roman"/>
          <w:sz w:val="24"/>
          <w:szCs w:val="24"/>
        </w:rPr>
        <w:t>kilometers</w:t>
      </w:r>
      <w:r w:rsidR="00991A3C" w:rsidRPr="001F566E">
        <w:rPr>
          <w:rFonts w:ascii="Times New Roman" w:hAnsi="Times New Roman" w:cs="Times New Roman"/>
          <w:sz w:val="24"/>
          <w:szCs w:val="24"/>
        </w:rPr>
        <w:t xml:space="preserve"> travelled </w:t>
      </w:r>
      <w:r w:rsidRPr="001F566E">
        <w:rPr>
          <w:rFonts w:ascii="Times New Roman" w:hAnsi="Times New Roman" w:cs="Times New Roman"/>
          <w:sz w:val="24"/>
          <w:szCs w:val="24"/>
        </w:rPr>
        <w:t xml:space="preserve">were calculated for three regions only, but by age and sex groups. Numbers or individuals walking were too small to calculate distances per municipality, age and sex. </w:t>
      </w:r>
      <w:r w:rsidR="00922B7E" w:rsidRPr="001F566E">
        <w:rPr>
          <w:rFonts w:ascii="Times New Roman" w:hAnsi="Times New Roman" w:cs="Times New Roman"/>
          <w:sz w:val="24"/>
          <w:szCs w:val="24"/>
        </w:rPr>
        <w:t xml:space="preserve">Consequently, </w:t>
      </w:r>
      <w:r w:rsidRPr="001F566E">
        <w:rPr>
          <w:rFonts w:ascii="Times New Roman" w:hAnsi="Times New Roman" w:cs="Times New Roman"/>
          <w:sz w:val="24"/>
          <w:szCs w:val="24"/>
        </w:rPr>
        <w:t>three regions</w:t>
      </w:r>
      <w:r w:rsidR="00922B7E" w:rsidRPr="001F566E">
        <w:rPr>
          <w:rFonts w:ascii="Times New Roman" w:hAnsi="Times New Roman" w:cs="Times New Roman"/>
          <w:sz w:val="24"/>
          <w:szCs w:val="24"/>
        </w:rPr>
        <w:t>, based on an aggregation of municipalities, were created</w:t>
      </w:r>
      <w:r w:rsidRPr="001F566E">
        <w:rPr>
          <w:rFonts w:ascii="Times New Roman" w:hAnsi="Times New Roman" w:cs="Times New Roman"/>
          <w:sz w:val="24"/>
          <w:szCs w:val="24"/>
        </w:rPr>
        <w:t xml:space="preserve"> as follows: i) a central zone (see </w:t>
      </w:r>
      <w:r w:rsidRPr="001F566E">
        <w:rPr>
          <w:rFonts w:ascii="Times New Roman" w:hAnsi="Times New Roman" w:cs="Times New Roman"/>
          <w:b/>
          <w:sz w:val="24"/>
          <w:szCs w:val="24"/>
        </w:rPr>
        <w:t xml:space="preserve">Figure </w:t>
      </w:r>
      <w:r w:rsidR="00707C1F">
        <w:rPr>
          <w:rFonts w:ascii="Times New Roman" w:hAnsi="Times New Roman" w:cs="Times New Roman"/>
          <w:b/>
          <w:sz w:val="24"/>
          <w:szCs w:val="24"/>
        </w:rPr>
        <w:t>S</w:t>
      </w:r>
      <w:r w:rsidRPr="001F566E">
        <w:rPr>
          <w:rFonts w:ascii="Times New Roman" w:hAnsi="Times New Roman" w:cs="Times New Roman"/>
          <w:b/>
          <w:sz w:val="24"/>
          <w:szCs w:val="24"/>
        </w:rPr>
        <w:t>1</w:t>
      </w:r>
      <w:r w:rsidRPr="001F566E">
        <w:rPr>
          <w:rFonts w:ascii="Times New Roman" w:hAnsi="Times New Roman" w:cs="Times New Roman"/>
          <w:sz w:val="24"/>
          <w:szCs w:val="24"/>
        </w:rPr>
        <w:t>), ii) the suburb municipalities with at least one train, subway, or tramway stop, and iii) the suburb municipalities without those transportation infrastructures.</w:t>
      </w:r>
      <w:r w:rsidR="0090793E" w:rsidRPr="001F566E">
        <w:rPr>
          <w:rFonts w:ascii="Times New Roman" w:hAnsi="Times New Roman" w:cs="Times New Roman"/>
          <w:sz w:val="24"/>
          <w:szCs w:val="24"/>
        </w:rPr>
        <w:t xml:space="preserve"> </w:t>
      </w:r>
    </w:p>
    <w:p w14:paraId="16A29095" w14:textId="77777777" w:rsidR="00511203" w:rsidRPr="001F566E" w:rsidRDefault="00511203" w:rsidP="00890789">
      <w:pPr>
        <w:spacing w:after="0" w:line="480" w:lineRule="auto"/>
        <w:jc w:val="both"/>
        <w:rPr>
          <w:rFonts w:ascii="Times New Roman" w:hAnsi="Times New Roman" w:cs="Times New Roman"/>
          <w:b/>
          <w:sz w:val="24"/>
          <w:szCs w:val="24"/>
        </w:rPr>
      </w:pPr>
    </w:p>
    <w:p w14:paraId="75916C35" w14:textId="77777777" w:rsidR="00511203" w:rsidRPr="001F566E" w:rsidRDefault="00511203" w:rsidP="00890789">
      <w:pPr>
        <w:spacing w:after="0" w:line="480" w:lineRule="auto"/>
        <w:jc w:val="both"/>
        <w:rPr>
          <w:rFonts w:ascii="Times New Roman" w:hAnsi="Times New Roman" w:cs="Times New Roman"/>
          <w:sz w:val="24"/>
          <w:szCs w:val="24"/>
        </w:rPr>
      </w:pPr>
      <w:r w:rsidRPr="001F566E">
        <w:rPr>
          <w:rFonts w:ascii="Times New Roman" w:hAnsi="Times New Roman" w:cs="Times New Roman"/>
          <w:b/>
          <w:sz w:val="24"/>
          <w:szCs w:val="24"/>
        </w:rPr>
        <w:t>2.6 Air pollution modeling</w:t>
      </w:r>
    </w:p>
    <w:p w14:paraId="66F1236A" w14:textId="77777777" w:rsidR="00645B4B" w:rsidRPr="001F566E" w:rsidRDefault="00645B4B" w:rsidP="00890789">
      <w:pPr>
        <w:spacing w:after="0" w:line="480" w:lineRule="auto"/>
        <w:jc w:val="both"/>
        <w:rPr>
          <w:rFonts w:ascii="Times New Roman" w:hAnsi="Times New Roman" w:cs="Times New Roman"/>
          <w:iCs/>
          <w:sz w:val="24"/>
          <w:szCs w:val="24"/>
        </w:rPr>
      </w:pPr>
      <w:r w:rsidRPr="001F566E">
        <w:rPr>
          <w:rFonts w:ascii="Times New Roman" w:hAnsi="Times New Roman" w:cs="Times New Roman"/>
          <w:sz w:val="24"/>
          <w:szCs w:val="24"/>
        </w:rPr>
        <w:t xml:space="preserve">The distribution of vehicle types and ages that were assigned </w:t>
      </w:r>
      <w:r w:rsidRPr="001F566E">
        <w:rPr>
          <w:rFonts w:ascii="Times New Roman" w:hAnsi="Times New Roman" w:cs="Times New Roman"/>
          <w:iCs/>
          <w:sz w:val="24"/>
          <w:szCs w:val="24"/>
        </w:rPr>
        <w:t xml:space="preserve">per municipality in </w:t>
      </w:r>
      <w:r w:rsidR="00F46BD2">
        <w:rPr>
          <w:rFonts w:ascii="Times New Roman" w:hAnsi="Times New Roman" w:cs="Times New Roman"/>
          <w:iCs/>
          <w:sz w:val="24"/>
          <w:szCs w:val="24"/>
        </w:rPr>
        <w:t>Y2061</w:t>
      </w:r>
      <w:r w:rsidRPr="001F566E">
        <w:rPr>
          <w:rFonts w:ascii="Times New Roman" w:hAnsi="Times New Roman" w:cs="Times New Roman"/>
          <w:iCs/>
          <w:sz w:val="24"/>
          <w:szCs w:val="24"/>
        </w:rPr>
        <w:t xml:space="preserve"> for the BAU and the </w:t>
      </w:r>
      <w:r w:rsidR="006570D9" w:rsidRPr="001F566E">
        <w:rPr>
          <w:rFonts w:ascii="Times New Roman" w:hAnsi="Times New Roman" w:cs="Times New Roman"/>
          <w:iCs/>
          <w:sz w:val="24"/>
          <w:szCs w:val="24"/>
        </w:rPr>
        <w:t>Optimal</w:t>
      </w:r>
      <w:r w:rsidR="00701EB6" w:rsidRPr="001F566E">
        <w:rPr>
          <w:rFonts w:ascii="Times New Roman" w:hAnsi="Times New Roman" w:cs="Times New Roman"/>
          <w:iCs/>
          <w:sz w:val="24"/>
          <w:szCs w:val="24"/>
        </w:rPr>
        <w:t xml:space="preserve"> </w:t>
      </w:r>
      <w:r w:rsidRPr="001F566E">
        <w:rPr>
          <w:rFonts w:ascii="Times New Roman" w:hAnsi="Times New Roman" w:cs="Times New Roman"/>
          <w:iCs/>
          <w:sz w:val="24"/>
          <w:szCs w:val="24"/>
        </w:rPr>
        <w:t>scenarios were derived from 2013 vehicle registration data obtained by the Soci</w:t>
      </w:r>
      <w:r w:rsidR="00522D20" w:rsidRPr="001F566E">
        <w:rPr>
          <w:rFonts w:ascii="Times New Roman" w:hAnsi="Times New Roman" w:cs="Times New Roman"/>
          <w:iCs/>
          <w:sz w:val="24"/>
          <w:szCs w:val="24"/>
        </w:rPr>
        <w:t>été</w:t>
      </w:r>
      <w:r w:rsidRPr="001F566E">
        <w:rPr>
          <w:rFonts w:ascii="Times New Roman" w:hAnsi="Times New Roman" w:cs="Times New Roman"/>
          <w:iCs/>
          <w:sz w:val="24"/>
          <w:szCs w:val="24"/>
        </w:rPr>
        <w:t xml:space="preserve"> de l’Assurance Automobile du Qu</w:t>
      </w:r>
      <w:r w:rsidR="00522D20" w:rsidRPr="001F566E">
        <w:rPr>
          <w:rFonts w:ascii="Times New Roman" w:hAnsi="Times New Roman" w:cs="Times New Roman"/>
          <w:iCs/>
          <w:sz w:val="24"/>
          <w:szCs w:val="24"/>
        </w:rPr>
        <w:t>é</w:t>
      </w:r>
      <w:r w:rsidRPr="001F566E">
        <w:rPr>
          <w:rFonts w:ascii="Times New Roman" w:hAnsi="Times New Roman" w:cs="Times New Roman"/>
          <w:iCs/>
          <w:sz w:val="24"/>
          <w:szCs w:val="24"/>
        </w:rPr>
        <w:t xml:space="preserve">bec (SAAQ) for the </w:t>
      </w:r>
      <w:r w:rsidR="00522D20" w:rsidRPr="001F566E">
        <w:rPr>
          <w:rFonts w:ascii="Times New Roman" w:hAnsi="Times New Roman" w:cs="Times New Roman"/>
          <w:iCs/>
          <w:sz w:val="24"/>
          <w:szCs w:val="24"/>
        </w:rPr>
        <w:t>GMR</w:t>
      </w:r>
      <w:r w:rsidRPr="001F566E">
        <w:rPr>
          <w:rFonts w:ascii="Times New Roman" w:hAnsi="Times New Roman" w:cs="Times New Roman"/>
          <w:iCs/>
          <w:sz w:val="24"/>
          <w:szCs w:val="24"/>
        </w:rPr>
        <w:t xml:space="preserve">. These data capture the distribution of vehicle ownership for passenger transport only. </w:t>
      </w:r>
      <w:r w:rsidR="004E60F2" w:rsidRPr="001F566E">
        <w:rPr>
          <w:rFonts w:ascii="Times New Roman" w:hAnsi="Times New Roman" w:cs="Times New Roman"/>
          <w:iCs/>
          <w:sz w:val="24"/>
          <w:szCs w:val="24"/>
        </w:rPr>
        <w:t>W</w:t>
      </w:r>
      <w:r w:rsidRPr="001F566E">
        <w:rPr>
          <w:rFonts w:ascii="Times New Roman" w:hAnsi="Times New Roman" w:cs="Times New Roman"/>
          <w:iCs/>
          <w:sz w:val="24"/>
          <w:szCs w:val="24"/>
        </w:rPr>
        <w:t>e only consider household</w:t>
      </w:r>
      <w:r w:rsidR="004E60F2" w:rsidRPr="001F566E">
        <w:rPr>
          <w:rFonts w:ascii="Times New Roman" w:hAnsi="Times New Roman" w:cs="Times New Roman"/>
          <w:iCs/>
          <w:sz w:val="24"/>
          <w:szCs w:val="24"/>
        </w:rPr>
        <w:t xml:space="preserve"> emissions </w:t>
      </w:r>
      <w:r w:rsidRPr="001F566E">
        <w:rPr>
          <w:rFonts w:ascii="Times New Roman" w:hAnsi="Times New Roman" w:cs="Times New Roman"/>
          <w:iCs/>
          <w:sz w:val="24"/>
          <w:szCs w:val="24"/>
        </w:rPr>
        <w:t xml:space="preserve">in this study. </w:t>
      </w:r>
      <w:r w:rsidR="00535C82" w:rsidRPr="001F566E">
        <w:rPr>
          <w:rFonts w:ascii="Times New Roman" w:hAnsi="Times New Roman" w:cs="Times New Roman"/>
          <w:iCs/>
          <w:sz w:val="24"/>
          <w:szCs w:val="24"/>
        </w:rPr>
        <w:t>T</w:t>
      </w:r>
      <w:r w:rsidRPr="001F566E">
        <w:rPr>
          <w:rFonts w:ascii="Times New Roman" w:hAnsi="Times New Roman" w:cs="Times New Roman"/>
          <w:iCs/>
          <w:sz w:val="24"/>
          <w:szCs w:val="24"/>
        </w:rPr>
        <w:t>he distribution of vehicles by age and type (</w:t>
      </w:r>
      <w:r w:rsidR="00D95773" w:rsidRPr="001F566E">
        <w:rPr>
          <w:rFonts w:ascii="Times New Roman" w:hAnsi="Times New Roman" w:cs="Times New Roman"/>
          <w:b/>
          <w:iCs/>
          <w:sz w:val="24"/>
          <w:szCs w:val="24"/>
        </w:rPr>
        <w:t xml:space="preserve">see </w:t>
      </w:r>
      <w:r w:rsidR="00707C1F">
        <w:rPr>
          <w:rFonts w:ascii="Times New Roman" w:hAnsi="Times New Roman" w:cs="Times New Roman"/>
          <w:b/>
          <w:iCs/>
          <w:sz w:val="24"/>
          <w:szCs w:val="24"/>
        </w:rPr>
        <w:t>SI</w:t>
      </w:r>
      <w:r w:rsidR="00D95773" w:rsidRPr="001F566E">
        <w:rPr>
          <w:rFonts w:ascii="Times New Roman" w:hAnsi="Times New Roman" w:cs="Times New Roman"/>
          <w:b/>
          <w:iCs/>
          <w:sz w:val="24"/>
          <w:szCs w:val="24"/>
        </w:rPr>
        <w:t xml:space="preserve">, section </w:t>
      </w:r>
      <w:r w:rsidR="00DE5A66" w:rsidRPr="001F566E">
        <w:rPr>
          <w:rFonts w:ascii="Times New Roman" w:hAnsi="Times New Roman" w:cs="Times New Roman"/>
          <w:b/>
          <w:iCs/>
          <w:sz w:val="24"/>
          <w:szCs w:val="24"/>
        </w:rPr>
        <w:t>4</w:t>
      </w:r>
      <w:r w:rsidR="00671964" w:rsidRPr="001F566E">
        <w:rPr>
          <w:rFonts w:ascii="Times New Roman" w:hAnsi="Times New Roman" w:cs="Times New Roman"/>
          <w:b/>
          <w:iCs/>
          <w:sz w:val="24"/>
          <w:szCs w:val="24"/>
        </w:rPr>
        <w:t>)</w:t>
      </w:r>
      <w:r w:rsidRPr="001F566E">
        <w:rPr>
          <w:rFonts w:ascii="Times New Roman" w:hAnsi="Times New Roman" w:cs="Times New Roman"/>
          <w:iCs/>
          <w:sz w:val="24"/>
          <w:szCs w:val="24"/>
        </w:rPr>
        <w:t xml:space="preserve"> is assumed to remain unchanged in </w:t>
      </w:r>
      <w:r w:rsidR="00F46BD2">
        <w:rPr>
          <w:rFonts w:ascii="Times New Roman" w:hAnsi="Times New Roman" w:cs="Times New Roman"/>
          <w:iCs/>
          <w:sz w:val="24"/>
          <w:szCs w:val="24"/>
        </w:rPr>
        <w:t>Y2061</w:t>
      </w:r>
      <w:r w:rsidRPr="001F566E">
        <w:rPr>
          <w:rFonts w:ascii="Times New Roman" w:hAnsi="Times New Roman" w:cs="Times New Roman"/>
          <w:iCs/>
          <w:sz w:val="24"/>
          <w:szCs w:val="24"/>
        </w:rPr>
        <w:t xml:space="preserve">. Therefore, in </w:t>
      </w:r>
      <w:r w:rsidR="00F46BD2">
        <w:rPr>
          <w:rFonts w:ascii="Times New Roman" w:hAnsi="Times New Roman" w:cs="Times New Roman"/>
          <w:iCs/>
          <w:sz w:val="24"/>
          <w:szCs w:val="24"/>
        </w:rPr>
        <w:t>Y2061</w:t>
      </w:r>
      <w:r w:rsidRPr="001F566E">
        <w:rPr>
          <w:rFonts w:ascii="Times New Roman" w:hAnsi="Times New Roman" w:cs="Times New Roman"/>
          <w:iCs/>
          <w:sz w:val="24"/>
          <w:szCs w:val="24"/>
        </w:rPr>
        <w:t xml:space="preserve">, we assume that there is an equal share of vehicles aged 10 years as in 2013, except that in </w:t>
      </w:r>
      <w:r w:rsidR="00F46BD2">
        <w:rPr>
          <w:rFonts w:ascii="Times New Roman" w:hAnsi="Times New Roman" w:cs="Times New Roman"/>
          <w:iCs/>
          <w:sz w:val="24"/>
          <w:szCs w:val="24"/>
        </w:rPr>
        <w:t>Y2061</w:t>
      </w:r>
      <w:r w:rsidRPr="001F566E">
        <w:rPr>
          <w:rFonts w:ascii="Times New Roman" w:hAnsi="Times New Roman" w:cs="Times New Roman"/>
          <w:iCs/>
          <w:sz w:val="24"/>
          <w:szCs w:val="24"/>
        </w:rPr>
        <w:t xml:space="preserve">, these vehicles will be model year 2051 while in 2013, they were of model year 2003. </w:t>
      </w:r>
      <w:r w:rsidR="00D95773" w:rsidRPr="001F566E">
        <w:rPr>
          <w:rFonts w:ascii="Times New Roman" w:hAnsi="Times New Roman" w:cs="Times New Roman"/>
          <w:iCs/>
          <w:sz w:val="24"/>
          <w:szCs w:val="24"/>
        </w:rPr>
        <w:t>Thus</w:t>
      </w:r>
      <w:r w:rsidRPr="001F566E">
        <w:rPr>
          <w:rFonts w:ascii="Times New Roman" w:hAnsi="Times New Roman" w:cs="Times New Roman"/>
          <w:iCs/>
          <w:sz w:val="24"/>
          <w:szCs w:val="24"/>
        </w:rPr>
        <w:t xml:space="preserve">, the model still catches the effect of vehicle technology on emissions. This assumption is typically valid unless there is evidence that society </w:t>
      </w:r>
      <w:r w:rsidRPr="001F566E">
        <w:rPr>
          <w:rFonts w:ascii="Times New Roman" w:hAnsi="Times New Roman" w:cs="Times New Roman"/>
          <w:iCs/>
          <w:sz w:val="24"/>
          <w:szCs w:val="24"/>
        </w:rPr>
        <w:lastRenderedPageBreak/>
        <w:t xml:space="preserve">is becoming more or less affluent and therefore a greater share of newer or older vehicles are available. </w:t>
      </w:r>
    </w:p>
    <w:p w14:paraId="4BE88494" w14:textId="77777777" w:rsidR="00645B4B" w:rsidRPr="001F566E" w:rsidRDefault="00645B4B" w:rsidP="00890789">
      <w:pPr>
        <w:spacing w:after="0" w:line="480" w:lineRule="auto"/>
        <w:jc w:val="both"/>
        <w:rPr>
          <w:rFonts w:ascii="Times New Roman" w:hAnsi="Times New Roman" w:cs="Times New Roman"/>
          <w:iCs/>
          <w:sz w:val="24"/>
          <w:szCs w:val="24"/>
        </w:rPr>
      </w:pPr>
    </w:p>
    <w:p w14:paraId="32331143" w14:textId="77777777" w:rsidR="00645B4B" w:rsidRPr="001F566E" w:rsidRDefault="00645B4B" w:rsidP="00890789">
      <w:pPr>
        <w:spacing w:after="0" w:line="480" w:lineRule="auto"/>
        <w:jc w:val="both"/>
        <w:rPr>
          <w:rFonts w:ascii="Times New Roman" w:hAnsi="Times New Roman" w:cs="Times New Roman"/>
          <w:iCs/>
          <w:sz w:val="24"/>
          <w:szCs w:val="24"/>
        </w:rPr>
      </w:pPr>
      <w:r w:rsidRPr="001F566E">
        <w:rPr>
          <w:rFonts w:ascii="Times New Roman" w:hAnsi="Times New Roman" w:cs="Times New Roman"/>
          <w:iCs/>
          <w:sz w:val="24"/>
          <w:szCs w:val="24"/>
        </w:rPr>
        <w:t xml:space="preserve">We used the EPA model MOVES (MOtor Vehicle Emission Simulator) in order to generate emission factors </w:t>
      </w:r>
      <w:r w:rsidR="00753BD8" w:rsidRPr="001F566E">
        <w:rPr>
          <w:rFonts w:ascii="Times New Roman" w:hAnsi="Times New Roman" w:cs="Times New Roman"/>
          <w:iCs/>
          <w:sz w:val="24"/>
          <w:szCs w:val="24"/>
        </w:rPr>
        <w:t xml:space="preserve">for </w:t>
      </w:r>
      <w:r w:rsidR="00F46BD2">
        <w:rPr>
          <w:rFonts w:ascii="Times New Roman" w:hAnsi="Times New Roman" w:cs="Times New Roman"/>
          <w:iCs/>
          <w:sz w:val="24"/>
          <w:szCs w:val="24"/>
        </w:rPr>
        <w:t>Y2031</w:t>
      </w:r>
      <w:r w:rsidR="00753BD8" w:rsidRPr="001F566E">
        <w:rPr>
          <w:rFonts w:ascii="Times New Roman" w:hAnsi="Times New Roman" w:cs="Times New Roman"/>
          <w:iCs/>
          <w:sz w:val="24"/>
          <w:szCs w:val="24"/>
        </w:rPr>
        <w:t xml:space="preserve"> </w:t>
      </w:r>
      <w:r w:rsidRPr="001F566E">
        <w:rPr>
          <w:rFonts w:ascii="Times New Roman" w:hAnsi="Times New Roman" w:cs="Times New Roman"/>
          <w:iCs/>
          <w:sz w:val="24"/>
          <w:szCs w:val="24"/>
        </w:rPr>
        <w:t>for nitrogen oxides (NO</w:t>
      </w:r>
      <w:r w:rsidRPr="001F566E">
        <w:rPr>
          <w:rFonts w:ascii="Times New Roman" w:hAnsi="Times New Roman" w:cs="Times New Roman"/>
          <w:iCs/>
          <w:sz w:val="24"/>
          <w:szCs w:val="24"/>
          <w:vertAlign w:val="subscript"/>
        </w:rPr>
        <w:t>x</w:t>
      </w:r>
      <w:r w:rsidRPr="001F566E">
        <w:rPr>
          <w:rFonts w:ascii="Times New Roman" w:hAnsi="Times New Roman" w:cs="Times New Roman"/>
          <w:iCs/>
          <w:sz w:val="24"/>
          <w:szCs w:val="24"/>
        </w:rPr>
        <w:t xml:space="preserve">) and greenhouse gas </w:t>
      </w:r>
      <w:r w:rsidR="00844A39" w:rsidRPr="001F566E">
        <w:rPr>
          <w:rFonts w:ascii="Times New Roman" w:hAnsi="Times New Roman" w:cs="Times New Roman"/>
          <w:iCs/>
          <w:sz w:val="24"/>
          <w:szCs w:val="24"/>
        </w:rPr>
        <w:t xml:space="preserve">(GHG) </w:t>
      </w:r>
      <w:r w:rsidRPr="001F566E">
        <w:rPr>
          <w:rFonts w:ascii="Times New Roman" w:hAnsi="Times New Roman" w:cs="Times New Roman"/>
          <w:iCs/>
          <w:sz w:val="24"/>
          <w:szCs w:val="24"/>
        </w:rPr>
        <w:t>in carbon dioxide equivalent (CO</w:t>
      </w:r>
      <w:r w:rsidRPr="001F566E">
        <w:rPr>
          <w:rFonts w:ascii="Times New Roman" w:hAnsi="Times New Roman" w:cs="Times New Roman"/>
          <w:iCs/>
          <w:sz w:val="24"/>
          <w:szCs w:val="24"/>
          <w:vertAlign w:val="subscript"/>
        </w:rPr>
        <w:t>2-eq</w:t>
      </w:r>
      <w:r w:rsidRPr="001F566E">
        <w:rPr>
          <w:rFonts w:ascii="Times New Roman" w:hAnsi="Times New Roman" w:cs="Times New Roman"/>
          <w:iCs/>
          <w:sz w:val="24"/>
          <w:szCs w:val="24"/>
        </w:rPr>
        <w:t>) in g/km/veh, reflecting the distribution of vehicle ownership. The MOVES model includes a rich database of emission factors for different vehicles by type and model year and for different time horizons</w:t>
      </w:r>
      <w:r w:rsidR="008A48A5" w:rsidRPr="001F566E">
        <w:rPr>
          <w:rFonts w:ascii="Times New Roman" w:hAnsi="Times New Roman" w:cs="Times New Roman"/>
          <w:iCs/>
          <w:sz w:val="24"/>
          <w:szCs w:val="24"/>
        </w:rPr>
        <w:t xml:space="preserve"> but up to </w:t>
      </w:r>
      <w:r w:rsidR="00F46BD2">
        <w:rPr>
          <w:rFonts w:ascii="Times New Roman" w:hAnsi="Times New Roman" w:cs="Times New Roman"/>
          <w:iCs/>
          <w:sz w:val="24"/>
          <w:szCs w:val="24"/>
        </w:rPr>
        <w:t>Y2031</w:t>
      </w:r>
      <w:r w:rsidRPr="001F566E">
        <w:rPr>
          <w:rFonts w:ascii="Times New Roman" w:hAnsi="Times New Roman" w:cs="Times New Roman"/>
          <w:iCs/>
          <w:sz w:val="24"/>
          <w:szCs w:val="24"/>
        </w:rPr>
        <w:t xml:space="preserve">, thus </w:t>
      </w:r>
      <w:r w:rsidR="00753BD8" w:rsidRPr="001F566E">
        <w:rPr>
          <w:rFonts w:ascii="Times New Roman" w:hAnsi="Times New Roman" w:cs="Times New Roman"/>
          <w:iCs/>
          <w:sz w:val="24"/>
          <w:szCs w:val="24"/>
        </w:rPr>
        <w:t xml:space="preserve">only </w:t>
      </w:r>
      <w:r w:rsidR="00735850" w:rsidRPr="001F566E">
        <w:rPr>
          <w:rFonts w:ascii="Times New Roman" w:hAnsi="Times New Roman" w:cs="Times New Roman"/>
          <w:iCs/>
          <w:sz w:val="24"/>
          <w:szCs w:val="24"/>
        </w:rPr>
        <w:t>partly</w:t>
      </w:r>
      <w:r w:rsidR="00735850" w:rsidRPr="00F33A42">
        <w:rPr>
          <w:rFonts w:ascii="Times New Roman" w:hAnsi="Times New Roman" w:cs="Times New Roman"/>
          <w:iCs/>
          <w:sz w:val="24"/>
          <w:szCs w:val="24"/>
        </w:rPr>
        <w:t xml:space="preserve"> </w:t>
      </w:r>
      <w:r w:rsidRPr="00F33A42">
        <w:rPr>
          <w:rFonts w:ascii="Times New Roman" w:hAnsi="Times New Roman" w:cs="Times New Roman"/>
          <w:iCs/>
          <w:sz w:val="24"/>
          <w:szCs w:val="24"/>
        </w:rPr>
        <w:t>embedding projections on future fuel efficiencies and emission</w:t>
      </w:r>
      <w:r w:rsidRPr="001F566E">
        <w:rPr>
          <w:rFonts w:ascii="Times New Roman" w:hAnsi="Times New Roman" w:cs="Times New Roman"/>
          <w:iCs/>
          <w:sz w:val="24"/>
          <w:szCs w:val="24"/>
        </w:rPr>
        <w:t xml:space="preserve"> control technologies</w:t>
      </w:r>
      <w:r w:rsidR="00735850" w:rsidRPr="001F566E">
        <w:rPr>
          <w:rFonts w:ascii="Times New Roman" w:hAnsi="Times New Roman" w:cs="Times New Roman"/>
          <w:iCs/>
          <w:sz w:val="24"/>
          <w:szCs w:val="24"/>
        </w:rPr>
        <w:t xml:space="preserve"> up to </w:t>
      </w:r>
      <w:r w:rsidR="00F46BD2">
        <w:rPr>
          <w:rFonts w:ascii="Times New Roman" w:hAnsi="Times New Roman" w:cs="Times New Roman"/>
          <w:iCs/>
          <w:sz w:val="24"/>
          <w:szCs w:val="24"/>
        </w:rPr>
        <w:t>Y2061</w:t>
      </w:r>
      <w:r w:rsidRPr="00F33A42">
        <w:rPr>
          <w:rFonts w:ascii="Times New Roman" w:hAnsi="Times New Roman" w:cs="Times New Roman"/>
          <w:iCs/>
          <w:sz w:val="24"/>
          <w:szCs w:val="24"/>
        </w:rPr>
        <w:t xml:space="preserve">. By multiplying emission factors with the total </w:t>
      </w:r>
      <w:r w:rsidR="00535C82" w:rsidRPr="00F33A42">
        <w:rPr>
          <w:rFonts w:ascii="Times New Roman" w:hAnsi="Times New Roman" w:cs="Times New Roman"/>
          <w:iCs/>
          <w:sz w:val="24"/>
          <w:szCs w:val="24"/>
        </w:rPr>
        <w:t>vkt</w:t>
      </w:r>
      <w:r w:rsidRPr="001F566E">
        <w:rPr>
          <w:rFonts w:ascii="Times New Roman" w:hAnsi="Times New Roman" w:cs="Times New Roman"/>
          <w:iCs/>
          <w:sz w:val="24"/>
          <w:szCs w:val="24"/>
        </w:rPr>
        <w:t xml:space="preserve"> travelled by municipality, we estimated emission intensities in g/km of road per municipality for the </w:t>
      </w:r>
      <w:r w:rsidR="00F46BD2">
        <w:rPr>
          <w:rFonts w:ascii="Times New Roman" w:hAnsi="Times New Roman" w:cs="Times New Roman"/>
          <w:iCs/>
          <w:sz w:val="24"/>
          <w:szCs w:val="24"/>
        </w:rPr>
        <w:t>Y2061</w:t>
      </w:r>
      <w:r w:rsidRPr="001F566E">
        <w:rPr>
          <w:rFonts w:ascii="Times New Roman" w:hAnsi="Times New Roman" w:cs="Times New Roman"/>
          <w:iCs/>
          <w:sz w:val="24"/>
          <w:szCs w:val="24"/>
        </w:rPr>
        <w:t xml:space="preserve"> BAU and </w:t>
      </w:r>
      <w:r w:rsidR="006570D9" w:rsidRPr="001F566E">
        <w:rPr>
          <w:rFonts w:ascii="Times New Roman" w:hAnsi="Times New Roman" w:cs="Times New Roman"/>
          <w:iCs/>
          <w:sz w:val="24"/>
          <w:szCs w:val="24"/>
        </w:rPr>
        <w:t>Optimal</w:t>
      </w:r>
      <w:r w:rsidR="00753BD8" w:rsidRPr="001F566E">
        <w:rPr>
          <w:rFonts w:ascii="Times New Roman" w:hAnsi="Times New Roman" w:cs="Times New Roman"/>
          <w:iCs/>
          <w:sz w:val="24"/>
          <w:szCs w:val="24"/>
        </w:rPr>
        <w:t xml:space="preserve"> </w:t>
      </w:r>
      <w:r w:rsidRPr="001F566E">
        <w:rPr>
          <w:rFonts w:ascii="Times New Roman" w:hAnsi="Times New Roman" w:cs="Times New Roman"/>
          <w:iCs/>
          <w:sz w:val="24"/>
          <w:szCs w:val="24"/>
        </w:rPr>
        <w:t>scenarios. In both scenarios, we first assumed that all vehicles were conventional, meaning internal combustion engines</w:t>
      </w:r>
      <w:r w:rsidR="009D4E23" w:rsidRPr="001F566E">
        <w:rPr>
          <w:rFonts w:ascii="Times New Roman" w:hAnsi="Times New Roman" w:cs="Times New Roman"/>
          <w:iCs/>
          <w:sz w:val="24"/>
          <w:szCs w:val="24"/>
        </w:rPr>
        <w:t xml:space="preserve"> (referred as veh </w:t>
      </w:r>
      <w:r w:rsidR="00901397">
        <w:rPr>
          <w:rFonts w:ascii="Times New Roman" w:hAnsi="Times New Roman" w:cs="Times New Roman"/>
          <w:iCs/>
          <w:sz w:val="24"/>
          <w:szCs w:val="24"/>
        </w:rPr>
        <w:t>fleet</w:t>
      </w:r>
      <w:r w:rsidR="00901397" w:rsidRPr="001F566E">
        <w:rPr>
          <w:rFonts w:ascii="Times New Roman" w:hAnsi="Times New Roman" w:cs="Times New Roman"/>
          <w:iCs/>
          <w:sz w:val="24"/>
          <w:szCs w:val="24"/>
        </w:rPr>
        <w:t>1</w:t>
      </w:r>
      <w:r w:rsidR="009D4E23" w:rsidRPr="001F566E">
        <w:rPr>
          <w:rFonts w:ascii="Times New Roman" w:hAnsi="Times New Roman" w:cs="Times New Roman"/>
          <w:iCs/>
          <w:sz w:val="24"/>
          <w:szCs w:val="24"/>
        </w:rPr>
        <w:t>)</w:t>
      </w:r>
      <w:r w:rsidRPr="001F566E">
        <w:rPr>
          <w:rFonts w:ascii="Times New Roman" w:hAnsi="Times New Roman" w:cs="Times New Roman"/>
          <w:iCs/>
          <w:sz w:val="24"/>
          <w:szCs w:val="24"/>
        </w:rPr>
        <w:t xml:space="preserve">. In addition, we </w:t>
      </w:r>
      <w:r w:rsidRPr="001F566E">
        <w:rPr>
          <w:rFonts w:ascii="Times New Roman" w:hAnsi="Times New Roman" w:cs="Times New Roman"/>
          <w:sz w:val="24"/>
          <w:szCs w:val="24"/>
        </w:rPr>
        <w:t>added a sensitivity analysis where 50% of the vehicles were electric</w:t>
      </w:r>
      <w:r w:rsidR="009D4E23" w:rsidRPr="001F566E">
        <w:rPr>
          <w:rFonts w:ascii="Times New Roman" w:hAnsi="Times New Roman" w:cs="Times New Roman"/>
          <w:sz w:val="24"/>
          <w:szCs w:val="24"/>
        </w:rPr>
        <w:t xml:space="preserve"> (veh </w:t>
      </w:r>
      <w:r w:rsidR="00901397">
        <w:rPr>
          <w:rFonts w:ascii="Times New Roman" w:hAnsi="Times New Roman" w:cs="Times New Roman"/>
          <w:sz w:val="24"/>
          <w:szCs w:val="24"/>
        </w:rPr>
        <w:t>fleet</w:t>
      </w:r>
      <w:r w:rsidR="009D4E23" w:rsidRPr="001F566E">
        <w:rPr>
          <w:rFonts w:ascii="Times New Roman" w:hAnsi="Times New Roman" w:cs="Times New Roman"/>
          <w:sz w:val="24"/>
          <w:szCs w:val="24"/>
        </w:rPr>
        <w:t>2)</w:t>
      </w:r>
      <w:r w:rsidRPr="001F566E">
        <w:rPr>
          <w:rFonts w:ascii="Times New Roman" w:hAnsi="Times New Roman" w:cs="Times New Roman"/>
          <w:sz w:val="24"/>
          <w:szCs w:val="24"/>
        </w:rPr>
        <w:t>. As such, all NOx emission</w:t>
      </w:r>
      <w:r w:rsidR="003911A6" w:rsidRPr="001F566E">
        <w:rPr>
          <w:rFonts w:ascii="Times New Roman" w:hAnsi="Times New Roman" w:cs="Times New Roman"/>
          <w:sz w:val="24"/>
          <w:szCs w:val="24"/>
        </w:rPr>
        <w:t>s</w:t>
      </w:r>
      <w:r w:rsidRPr="001F566E">
        <w:rPr>
          <w:rFonts w:ascii="Times New Roman" w:hAnsi="Times New Roman" w:cs="Times New Roman"/>
          <w:sz w:val="24"/>
          <w:szCs w:val="24"/>
        </w:rPr>
        <w:t xml:space="preserve"> were reduced by half. In order to estimate the GHG emissions associated with the electric vehicles, we computed an average energy consumption rate </w:t>
      </w:r>
      <w:r w:rsidRPr="00F33A42">
        <w:rPr>
          <w:rFonts w:ascii="Times New Roman" w:hAnsi="Times New Roman" w:cs="Times New Roman"/>
          <w:sz w:val="24"/>
          <w:szCs w:val="24"/>
        </w:rPr>
        <w:fldChar w:fldCharType="begin" w:fldLock="1"/>
      </w:r>
      <w:r w:rsidRPr="001F566E">
        <w:rPr>
          <w:rFonts w:ascii="Times New Roman" w:hAnsi="Times New Roman" w:cs="Times New Roman"/>
          <w:sz w:val="24"/>
          <w:szCs w:val="24"/>
        </w:rPr>
        <w:instrText>ADDIN CSL_CITATION {"citationItems":[{"id":"ITEM-1","itemData":{"DOI":"10.1016/j.scs.2018.05.004","ISSN":"2210-6707","abstract":"The anticipated impacts of automated transportation are numerous. Of importance are the effects on energy consumption and greenhouse gas (GHG) emissions. Can automation promote low carbon transportation? Another question often raised relates to the appropriateness of current tools. Will existing tools become irrelevant in the face of the disruptive changes or can we extend the capabilities of our models to broadly capture the effects of automated transportation? This study presents an approach to estimate fuel-cycle GHG emissions, integrated within an activity-based travel demand model for the Greater Toronto and Hamilton Area. The model chain is used to evaluate different shares of automated vehicles (AV), and the effects of electrification of AVs. Daily operating GHG emissions were estimated at 29,000 t in CO2eqwith 96% attributed to private vehicles and 4% to transit. While sharing a minor portion of emissions, the public transit system carries 32% of daily passenger kilometers traveled. When accounting for fuel-cycle emissions, the daily total was estimated to be over 36,000 t for private vehicles. With the introduction of AVs, higher vehicle kilometers travelled (3.6%–5.4%) and GHG emissions (2.5%) are expected. However, electrification of AVs can reduce regional GHG emissions (5%), and emission intensities of all vehicles (11%).","author":[{"dropping-particle":"","family":"Wang","given":"An","non-dropping-particle":"","parse-names":false,"suffix":""},{"dropping-particle":"","family":"Stogios","given":"Christos","non-dropping-particle":"","parse-names":false,"suffix":""},{"dropping-particle":"","family":"Gai","given":"Yijun","non-dropping-particle":"","parse-names":false,"suffix":""},{"dropping-particle":"","family":"Vaughan","given":"James","non-dropping-particle":"","parse-names":false,"suffix":""},{"dropping-particle":"","family":"Ozonder","given":"Gozde","non-dropping-particle":"","parse-names":false,"suffix":""},{"dropping-particle":"","family":"Lee","given":"Seungjae Jae","non-dropping-particle":"","parse-names":false,"suffix":""},{"dropping-particle":"","family":"Posen","given":"I. Daniel","non-dropping-particle":"","parse-names":false,"suffix":""},{"dropping-particle":"","family":"Miller","given":"Eric J.","non-dropping-particle":"","parse-names":false,"suffix":""},{"dropping-particle":"","family":"Hatzopoulou","given":"Marianne","non-dropping-particle":"","parse-names":false,"suffix":""}],"container-title":"Sustainable Cities and Society","id":"ITEM-1","issue":"February","issued":{"date-parts":[["2018"]]},"page":"524-533","publisher":"Elsevier","title":"Automated , electric , or both ? Investigating the e ff ects of transportation and technology scenarios on metropolitan greenhouse gas emissions","type":"article-journal","volume":"40"},"uris":["http://www.mendeley.com/documents/?uuid=31995c35-2ff8-48d8-bb96-993d64795370"]}],"mendeley":{"formattedCitation":"(Wang et al., 2018)","plainTextFormattedCitation":"(Wang et al., 2018)","previouslyFormattedCitation":"(Wang et al., 2018)"},"properties":{"noteIndex":0},"schema":"https://github.com/citation-style-language/schema/raw/master/csl-citation.json"}</w:instrText>
      </w:r>
      <w:r w:rsidRPr="00F33A42">
        <w:rPr>
          <w:rFonts w:ascii="Times New Roman" w:hAnsi="Times New Roman" w:cs="Times New Roman"/>
          <w:sz w:val="24"/>
          <w:szCs w:val="24"/>
        </w:rPr>
        <w:fldChar w:fldCharType="separate"/>
      </w:r>
      <w:r w:rsidRPr="00F33A42">
        <w:rPr>
          <w:rFonts w:ascii="Times New Roman" w:hAnsi="Times New Roman" w:cs="Times New Roman"/>
          <w:noProof/>
          <w:sz w:val="24"/>
          <w:szCs w:val="24"/>
        </w:rPr>
        <w:t>(Wang et al, 2018)</w:t>
      </w:r>
      <w:r w:rsidRPr="00F33A42">
        <w:rPr>
          <w:rFonts w:ascii="Times New Roman" w:hAnsi="Times New Roman" w:cs="Times New Roman"/>
          <w:sz w:val="24"/>
          <w:szCs w:val="24"/>
        </w:rPr>
        <w:fldChar w:fldCharType="end"/>
      </w:r>
      <w:r w:rsidRPr="00F33A42">
        <w:rPr>
          <w:rFonts w:ascii="Times New Roman" w:hAnsi="Times New Roman" w:cs="Times New Roman"/>
          <w:sz w:val="24"/>
          <w:szCs w:val="24"/>
        </w:rPr>
        <w:t xml:space="preserve">, which was then multiplied by the average GHG intensity of electricity production in Quebec </w:t>
      </w:r>
      <w:r w:rsidRPr="00F33A42">
        <w:rPr>
          <w:rFonts w:ascii="Times New Roman" w:hAnsi="Times New Roman" w:cs="Times New Roman"/>
          <w:sz w:val="24"/>
          <w:szCs w:val="24"/>
        </w:rPr>
        <w:fldChar w:fldCharType="begin" w:fldLock="1"/>
      </w:r>
      <w:r w:rsidRPr="001F566E">
        <w:rPr>
          <w:rFonts w:ascii="Times New Roman" w:hAnsi="Times New Roman" w:cs="Times New Roman"/>
          <w:sz w:val="24"/>
          <w:szCs w:val="24"/>
        </w:rPr>
        <w:instrText>ADDIN CSL_CITATION {"citationItems":[{"id":"ITEM-1","itemData":{"abstract":"Hydro-Québec meets the energy needs of its customers almost entirely with hydroelectricity. The utility also purchases electricity from independent producers in Québec, elsewhere in Canada and the United States. These purchases include renewable energies (hydroelectricity, bioenergy and wind energy) as well as non-renewal energies (nuclear and thermal energy). To calculate CO 2 emissions (kg/MWh) from all these sources of supply, Hydro-Québec uses the following emission factors: • A zero emission factor for renewable and nuclear energy • A specific factor for each thermal generating station and each supplier This method excludes emissions from off-grid systems, which consist mainly of thermal plants. These off-grid systems supply communities that are too remote to be connected to our main grid. The fluctuations in emission rate over the years are due to variations in our sources of supply. The highest emission rates are for years when production at our Tracy thermal generating station and our purchases from independent producers using fossil fuels were greatest. The Tracy plant stopped generating electricity in 2011.","author":[{"dropping-particle":"","family":"Hydro-Québec","given":"","non-dropping-particle":"","parse-names":false,"suffix":""}],"id":"ITEM-1","issued":{"date-parts":[["2017"]]},"number-of-pages":"2017","publisher-place":"Montreal","title":"CO2 Emissions and Hydro-Québec Electricity, 1990-2017","type":"report"},"uris":["http://www.mendeley.com/documents/?uuid=74ece268-56c3-4414-8194-2b0da7b040c8"]}],"mendeley":{"formattedCitation":"(Hydro-Québec, 2017)","plainTextFormattedCitation":"(Hydro-Québec, 2017)","previouslyFormattedCitation":"(Hydro-Québec, 2017)"},"properties":{"noteIndex":0},"schema":"https://github.com/citation-style-language/schema/raw/master/csl-citation.json"}</w:instrText>
      </w:r>
      <w:r w:rsidRPr="00F33A42">
        <w:rPr>
          <w:rFonts w:ascii="Times New Roman" w:hAnsi="Times New Roman" w:cs="Times New Roman"/>
          <w:sz w:val="24"/>
          <w:szCs w:val="24"/>
        </w:rPr>
        <w:fldChar w:fldCharType="separate"/>
      </w:r>
      <w:r w:rsidRPr="00F33A42">
        <w:rPr>
          <w:rFonts w:ascii="Times New Roman" w:hAnsi="Times New Roman" w:cs="Times New Roman"/>
          <w:noProof/>
          <w:sz w:val="24"/>
          <w:szCs w:val="24"/>
        </w:rPr>
        <w:t>(</w:t>
      </w:r>
      <w:r w:rsidRPr="001F566E">
        <w:rPr>
          <w:rFonts w:ascii="Times New Roman" w:hAnsi="Times New Roman" w:cs="Times New Roman"/>
          <w:noProof/>
          <w:sz w:val="24"/>
          <w:szCs w:val="24"/>
        </w:rPr>
        <w:t>Hydro-Québec, 2017</w:t>
      </w:r>
      <w:r w:rsidRPr="00F33A42">
        <w:rPr>
          <w:rFonts w:ascii="Times New Roman" w:hAnsi="Times New Roman" w:cs="Times New Roman"/>
          <w:noProof/>
          <w:sz w:val="24"/>
          <w:szCs w:val="24"/>
        </w:rPr>
        <w:t>)</w:t>
      </w:r>
      <w:r w:rsidRPr="00F33A42">
        <w:rPr>
          <w:rFonts w:ascii="Times New Roman" w:hAnsi="Times New Roman" w:cs="Times New Roman"/>
          <w:sz w:val="24"/>
          <w:szCs w:val="24"/>
        </w:rPr>
        <w:fldChar w:fldCharType="end"/>
      </w:r>
      <w:r w:rsidRPr="00F33A42">
        <w:rPr>
          <w:rFonts w:ascii="Times New Roman" w:hAnsi="Times New Roman" w:cs="Times New Roman"/>
          <w:sz w:val="24"/>
          <w:szCs w:val="24"/>
        </w:rPr>
        <w:t xml:space="preserve">. </w:t>
      </w:r>
    </w:p>
    <w:p w14:paraId="6C29F59A" w14:textId="77777777" w:rsidR="00645B4B" w:rsidRPr="001F566E" w:rsidRDefault="00645B4B" w:rsidP="00890789">
      <w:pPr>
        <w:spacing w:after="0" w:line="480" w:lineRule="auto"/>
        <w:jc w:val="both"/>
        <w:rPr>
          <w:rFonts w:ascii="Times New Roman" w:hAnsi="Times New Roman" w:cs="Times New Roman"/>
          <w:i/>
          <w:iCs/>
          <w:sz w:val="24"/>
          <w:szCs w:val="24"/>
        </w:rPr>
      </w:pPr>
    </w:p>
    <w:p w14:paraId="20C012FA" w14:textId="77777777" w:rsidR="00645B4B" w:rsidRPr="001F566E" w:rsidRDefault="00645B4B" w:rsidP="00890789">
      <w:pPr>
        <w:spacing w:after="0" w:line="480" w:lineRule="auto"/>
        <w:jc w:val="both"/>
        <w:rPr>
          <w:rFonts w:ascii="Times New Roman" w:hAnsi="Times New Roman" w:cs="Times New Roman"/>
          <w:sz w:val="24"/>
          <w:szCs w:val="24"/>
        </w:rPr>
      </w:pPr>
      <w:r w:rsidRPr="001F566E">
        <w:rPr>
          <w:rFonts w:ascii="Times New Roman" w:hAnsi="Times New Roman" w:cs="Times New Roman"/>
          <w:sz w:val="24"/>
          <w:szCs w:val="24"/>
        </w:rPr>
        <w:t>While total CO</w:t>
      </w:r>
      <w:r w:rsidRPr="001F566E">
        <w:rPr>
          <w:rFonts w:ascii="Times New Roman" w:hAnsi="Times New Roman" w:cs="Times New Roman"/>
          <w:sz w:val="24"/>
          <w:szCs w:val="24"/>
          <w:vertAlign w:val="subscript"/>
        </w:rPr>
        <w:t>2-eq</w:t>
      </w:r>
      <w:r w:rsidRPr="001F566E">
        <w:rPr>
          <w:rFonts w:ascii="Times New Roman" w:hAnsi="Times New Roman" w:cs="Times New Roman"/>
          <w:sz w:val="24"/>
          <w:szCs w:val="24"/>
        </w:rPr>
        <w:t xml:space="preserve"> emissions under the scenarios were sufficient to investigate the effect of each </w:t>
      </w:r>
      <w:r w:rsidR="00735850" w:rsidRPr="001F566E">
        <w:rPr>
          <w:rFonts w:ascii="Times New Roman" w:hAnsi="Times New Roman" w:cs="Times New Roman"/>
          <w:sz w:val="24"/>
          <w:szCs w:val="24"/>
        </w:rPr>
        <w:t xml:space="preserve">scenario </w:t>
      </w:r>
      <w:r w:rsidRPr="001F566E">
        <w:rPr>
          <w:rFonts w:ascii="Times New Roman" w:hAnsi="Times New Roman" w:cs="Times New Roman"/>
          <w:sz w:val="24"/>
          <w:szCs w:val="24"/>
        </w:rPr>
        <w:t>on future regional GHG emissions, the emissions of NO</w:t>
      </w:r>
      <w:r w:rsidRPr="001F566E">
        <w:rPr>
          <w:rFonts w:ascii="Times New Roman" w:hAnsi="Times New Roman" w:cs="Times New Roman"/>
          <w:sz w:val="24"/>
          <w:szCs w:val="24"/>
          <w:vertAlign w:val="subscript"/>
        </w:rPr>
        <w:t>x</w:t>
      </w:r>
      <w:r w:rsidRPr="001F566E">
        <w:rPr>
          <w:rFonts w:ascii="Times New Roman" w:hAnsi="Times New Roman" w:cs="Times New Roman"/>
          <w:sz w:val="24"/>
          <w:szCs w:val="24"/>
        </w:rPr>
        <w:t xml:space="preserve"> are only useful in terms of their effect on air quality. Since </w:t>
      </w:r>
      <w:r w:rsidR="003E53F9" w:rsidRPr="001F566E">
        <w:rPr>
          <w:rFonts w:ascii="Times New Roman" w:hAnsi="Times New Roman" w:cs="Times New Roman"/>
          <w:sz w:val="24"/>
          <w:szCs w:val="24"/>
        </w:rPr>
        <w:t xml:space="preserve">in </w:t>
      </w:r>
      <w:r w:rsidR="00F46BD2">
        <w:rPr>
          <w:rFonts w:ascii="Times New Roman" w:hAnsi="Times New Roman" w:cs="Times New Roman"/>
          <w:sz w:val="24"/>
          <w:szCs w:val="24"/>
        </w:rPr>
        <w:t>Y2061</w:t>
      </w:r>
      <w:r w:rsidR="003E53F9" w:rsidRPr="001F566E">
        <w:rPr>
          <w:rFonts w:ascii="Times New Roman" w:hAnsi="Times New Roman" w:cs="Times New Roman"/>
          <w:sz w:val="24"/>
          <w:szCs w:val="24"/>
        </w:rPr>
        <w:t xml:space="preserve">, </w:t>
      </w:r>
      <w:r w:rsidR="00844A39" w:rsidRPr="001F566E">
        <w:rPr>
          <w:rFonts w:ascii="Times New Roman" w:hAnsi="Times New Roman" w:cs="Times New Roman"/>
          <w:sz w:val="24"/>
          <w:szCs w:val="24"/>
        </w:rPr>
        <w:t>vkt</w:t>
      </w:r>
      <w:r w:rsidRPr="001F566E">
        <w:rPr>
          <w:rFonts w:ascii="Times New Roman" w:hAnsi="Times New Roman" w:cs="Times New Roman"/>
          <w:sz w:val="24"/>
          <w:szCs w:val="24"/>
        </w:rPr>
        <w:t xml:space="preserve"> and hence NO</w:t>
      </w:r>
      <w:r w:rsidRPr="001F566E">
        <w:rPr>
          <w:rFonts w:ascii="Times New Roman" w:hAnsi="Times New Roman" w:cs="Times New Roman"/>
          <w:sz w:val="24"/>
          <w:szCs w:val="24"/>
          <w:vertAlign w:val="subscript"/>
        </w:rPr>
        <w:t>x</w:t>
      </w:r>
      <w:r w:rsidRPr="001F566E">
        <w:rPr>
          <w:rFonts w:ascii="Times New Roman" w:hAnsi="Times New Roman" w:cs="Times New Roman"/>
          <w:sz w:val="24"/>
          <w:szCs w:val="24"/>
        </w:rPr>
        <w:t xml:space="preserve"> emissions were estimated at the level of each municipality, it was important to distribute them across the road network in order to estimate </w:t>
      </w:r>
      <w:r w:rsidRPr="001F566E">
        <w:rPr>
          <w:rFonts w:ascii="Times New Roman" w:hAnsi="Times New Roman" w:cs="Times New Roman"/>
          <w:sz w:val="24"/>
          <w:szCs w:val="24"/>
        </w:rPr>
        <w:lastRenderedPageBreak/>
        <w:t>NO</w:t>
      </w:r>
      <w:r w:rsidRPr="001F566E">
        <w:rPr>
          <w:rFonts w:ascii="Times New Roman" w:hAnsi="Times New Roman" w:cs="Times New Roman"/>
          <w:sz w:val="24"/>
          <w:szCs w:val="24"/>
          <w:vertAlign w:val="subscript"/>
        </w:rPr>
        <w:t>2</w:t>
      </w:r>
      <w:r w:rsidRPr="001F566E">
        <w:rPr>
          <w:rFonts w:ascii="Times New Roman" w:hAnsi="Times New Roman" w:cs="Times New Roman"/>
          <w:sz w:val="24"/>
          <w:szCs w:val="24"/>
        </w:rPr>
        <w:t xml:space="preserve"> concentrations using a dispersion model, at a fine level of resolution. For this purpose, we used the </w:t>
      </w:r>
      <w:r w:rsidR="00F46BD2">
        <w:rPr>
          <w:rFonts w:ascii="Times New Roman" w:hAnsi="Times New Roman" w:cs="Times New Roman"/>
          <w:sz w:val="24"/>
          <w:szCs w:val="24"/>
        </w:rPr>
        <w:t>Y2031</w:t>
      </w:r>
      <w:r w:rsidRPr="001F566E">
        <w:rPr>
          <w:rFonts w:ascii="Times New Roman" w:hAnsi="Times New Roman" w:cs="Times New Roman"/>
          <w:sz w:val="24"/>
          <w:szCs w:val="24"/>
        </w:rPr>
        <w:t xml:space="preserve"> v</w:t>
      </w:r>
      <w:r w:rsidR="00844A39" w:rsidRPr="001F566E">
        <w:rPr>
          <w:rFonts w:ascii="Times New Roman" w:hAnsi="Times New Roman" w:cs="Times New Roman"/>
          <w:sz w:val="24"/>
          <w:szCs w:val="24"/>
        </w:rPr>
        <w:t>kt</w:t>
      </w:r>
      <w:r w:rsidRPr="001F566E">
        <w:rPr>
          <w:rFonts w:ascii="Times New Roman" w:hAnsi="Times New Roman" w:cs="Times New Roman"/>
          <w:sz w:val="24"/>
          <w:szCs w:val="24"/>
        </w:rPr>
        <w:t xml:space="preserve"> on the road network and assumed the same proportions in </w:t>
      </w:r>
      <w:r w:rsidR="00F46BD2">
        <w:rPr>
          <w:rFonts w:ascii="Times New Roman" w:hAnsi="Times New Roman" w:cs="Times New Roman"/>
          <w:sz w:val="24"/>
          <w:szCs w:val="24"/>
        </w:rPr>
        <w:t>Y2061</w:t>
      </w:r>
      <w:r w:rsidRPr="001F566E">
        <w:rPr>
          <w:rFonts w:ascii="Times New Roman" w:hAnsi="Times New Roman" w:cs="Times New Roman"/>
          <w:sz w:val="24"/>
          <w:szCs w:val="24"/>
        </w:rPr>
        <w:t xml:space="preserve">.   </w:t>
      </w:r>
    </w:p>
    <w:p w14:paraId="03A4C861" w14:textId="77777777" w:rsidR="00645B4B" w:rsidRPr="001F566E" w:rsidRDefault="00645B4B" w:rsidP="00890789">
      <w:pPr>
        <w:spacing w:after="0" w:line="480" w:lineRule="auto"/>
        <w:jc w:val="both"/>
        <w:rPr>
          <w:rFonts w:ascii="Times New Roman" w:hAnsi="Times New Roman" w:cs="Times New Roman"/>
          <w:sz w:val="24"/>
          <w:szCs w:val="24"/>
        </w:rPr>
      </w:pPr>
    </w:p>
    <w:p w14:paraId="63A7F69F" w14:textId="77777777" w:rsidR="00645B4B" w:rsidRPr="001F566E" w:rsidRDefault="00645B4B" w:rsidP="00890789">
      <w:pPr>
        <w:spacing w:after="0" w:line="480" w:lineRule="auto"/>
        <w:jc w:val="both"/>
        <w:rPr>
          <w:rFonts w:ascii="Times New Roman" w:hAnsi="Times New Roman" w:cs="Times New Roman"/>
          <w:sz w:val="24"/>
          <w:szCs w:val="24"/>
        </w:rPr>
      </w:pPr>
      <w:r w:rsidRPr="001F566E">
        <w:rPr>
          <w:rFonts w:ascii="Times New Roman" w:hAnsi="Times New Roman" w:cs="Times New Roman"/>
          <w:sz w:val="24"/>
          <w:szCs w:val="24"/>
        </w:rPr>
        <w:t>Finally, the CALPUFF dispersion model was used to estimate NO</w:t>
      </w:r>
      <w:r w:rsidRPr="001F566E">
        <w:rPr>
          <w:rFonts w:ascii="Times New Roman" w:hAnsi="Times New Roman" w:cs="Times New Roman"/>
          <w:sz w:val="24"/>
          <w:szCs w:val="24"/>
          <w:vertAlign w:val="subscript"/>
        </w:rPr>
        <w:t>2</w:t>
      </w:r>
      <w:r w:rsidRPr="001F566E">
        <w:rPr>
          <w:rFonts w:ascii="Times New Roman" w:hAnsi="Times New Roman" w:cs="Times New Roman"/>
          <w:sz w:val="24"/>
          <w:szCs w:val="24"/>
        </w:rPr>
        <w:t xml:space="preserve"> concentrations across the study domain. The mean NO</w:t>
      </w:r>
      <w:r w:rsidRPr="001F566E">
        <w:rPr>
          <w:rFonts w:ascii="Times New Roman" w:hAnsi="Times New Roman" w:cs="Times New Roman"/>
          <w:sz w:val="24"/>
          <w:szCs w:val="24"/>
          <w:vertAlign w:val="subscript"/>
        </w:rPr>
        <w:t>2</w:t>
      </w:r>
      <w:r w:rsidRPr="001F566E">
        <w:rPr>
          <w:rFonts w:ascii="Times New Roman" w:hAnsi="Times New Roman" w:cs="Times New Roman"/>
          <w:sz w:val="24"/>
          <w:szCs w:val="24"/>
        </w:rPr>
        <w:t xml:space="preserve"> concentration by traffic analysis zone (TAZ) was used to represent the exposure of the population in the TAZ</w:t>
      </w:r>
      <w:r w:rsidR="00F12742" w:rsidRPr="001F566E">
        <w:rPr>
          <w:rFonts w:ascii="Times New Roman" w:hAnsi="Times New Roman" w:cs="Times New Roman"/>
          <w:sz w:val="24"/>
          <w:szCs w:val="24"/>
        </w:rPr>
        <w:t xml:space="preserve"> (as refer</w:t>
      </w:r>
      <w:r w:rsidR="00F83B60" w:rsidRPr="001F566E">
        <w:rPr>
          <w:rFonts w:ascii="Times New Roman" w:hAnsi="Times New Roman" w:cs="Times New Roman"/>
          <w:sz w:val="24"/>
          <w:szCs w:val="24"/>
        </w:rPr>
        <w:t>red to as population</w:t>
      </w:r>
      <w:r w:rsidR="00F12742" w:rsidRPr="001F566E">
        <w:rPr>
          <w:rFonts w:ascii="Times New Roman" w:hAnsi="Times New Roman" w:cs="Times New Roman"/>
          <w:sz w:val="24"/>
          <w:szCs w:val="24"/>
        </w:rPr>
        <w:t xml:space="preserve"> weighed mean in </w:t>
      </w:r>
      <w:r w:rsidR="00F12742" w:rsidRPr="001F566E">
        <w:rPr>
          <w:rFonts w:ascii="Times New Roman" w:hAnsi="Times New Roman" w:cs="Times New Roman"/>
          <w:b/>
          <w:sz w:val="24"/>
          <w:szCs w:val="24"/>
        </w:rPr>
        <w:t xml:space="preserve">Table </w:t>
      </w:r>
      <w:r w:rsidR="007E11A5" w:rsidRPr="001F566E">
        <w:rPr>
          <w:rFonts w:ascii="Times New Roman" w:hAnsi="Times New Roman" w:cs="Times New Roman"/>
          <w:b/>
          <w:sz w:val="24"/>
          <w:szCs w:val="24"/>
        </w:rPr>
        <w:t>A</w:t>
      </w:r>
      <w:r w:rsidR="007A753D" w:rsidRPr="001F566E">
        <w:rPr>
          <w:rFonts w:ascii="Times New Roman" w:hAnsi="Times New Roman" w:cs="Times New Roman"/>
          <w:b/>
          <w:sz w:val="24"/>
          <w:szCs w:val="24"/>
        </w:rPr>
        <w:t>6</w:t>
      </w:r>
      <w:r w:rsidR="00F12742" w:rsidRPr="00F33A42">
        <w:rPr>
          <w:rFonts w:ascii="Times New Roman" w:hAnsi="Times New Roman" w:cs="Times New Roman"/>
          <w:sz w:val="24"/>
          <w:szCs w:val="24"/>
        </w:rPr>
        <w:t>)</w:t>
      </w:r>
      <w:r w:rsidRPr="00F33A42">
        <w:rPr>
          <w:rFonts w:ascii="Times New Roman" w:hAnsi="Times New Roman" w:cs="Times New Roman"/>
          <w:sz w:val="24"/>
          <w:szCs w:val="24"/>
        </w:rPr>
        <w:t xml:space="preserve">. The </w:t>
      </w:r>
      <w:r w:rsidR="00F46BD2">
        <w:rPr>
          <w:rFonts w:ascii="Times New Roman" w:hAnsi="Times New Roman" w:cs="Times New Roman"/>
          <w:sz w:val="24"/>
          <w:szCs w:val="24"/>
        </w:rPr>
        <w:t>Y2061</w:t>
      </w:r>
      <w:r w:rsidRPr="00F33A42">
        <w:rPr>
          <w:rFonts w:ascii="Times New Roman" w:hAnsi="Times New Roman" w:cs="Times New Roman"/>
          <w:sz w:val="24"/>
          <w:szCs w:val="24"/>
        </w:rPr>
        <w:t xml:space="preserve"> population per TAZ was estimated by multiplying the </w:t>
      </w:r>
      <w:r w:rsidR="00F46BD2">
        <w:rPr>
          <w:rFonts w:ascii="Times New Roman" w:hAnsi="Times New Roman" w:cs="Times New Roman"/>
          <w:sz w:val="24"/>
          <w:szCs w:val="24"/>
        </w:rPr>
        <w:t>Y2031</w:t>
      </w:r>
      <w:r w:rsidRPr="00F33A42">
        <w:rPr>
          <w:rFonts w:ascii="Times New Roman" w:hAnsi="Times New Roman" w:cs="Times New Roman"/>
          <w:sz w:val="24"/>
          <w:szCs w:val="24"/>
        </w:rPr>
        <w:t xml:space="preserve"> population per TAZ by the </w:t>
      </w:r>
      <w:r w:rsidR="00F46BD2">
        <w:rPr>
          <w:rFonts w:ascii="Times New Roman" w:hAnsi="Times New Roman" w:cs="Times New Roman"/>
          <w:sz w:val="24"/>
          <w:szCs w:val="24"/>
        </w:rPr>
        <w:t>Y2061</w:t>
      </w:r>
      <w:r w:rsidRPr="001F566E">
        <w:rPr>
          <w:rFonts w:ascii="Times New Roman" w:hAnsi="Times New Roman" w:cs="Times New Roman"/>
          <w:sz w:val="24"/>
          <w:szCs w:val="24"/>
        </w:rPr>
        <w:t>/</w:t>
      </w:r>
      <w:r w:rsidR="00F46BD2">
        <w:rPr>
          <w:rFonts w:ascii="Times New Roman" w:hAnsi="Times New Roman" w:cs="Times New Roman"/>
          <w:sz w:val="24"/>
          <w:szCs w:val="24"/>
        </w:rPr>
        <w:t>Y2031</w:t>
      </w:r>
      <w:r w:rsidRPr="001F566E">
        <w:rPr>
          <w:rFonts w:ascii="Times New Roman" w:hAnsi="Times New Roman" w:cs="Times New Roman"/>
          <w:sz w:val="24"/>
          <w:szCs w:val="24"/>
        </w:rPr>
        <w:t xml:space="preserve"> weight (explained above). Additional information is presented in Tetreault et al (2018) and Sider et al (2013). </w:t>
      </w:r>
    </w:p>
    <w:p w14:paraId="3DAD133E" w14:textId="77777777" w:rsidR="00645B4B" w:rsidRPr="001F566E" w:rsidRDefault="00645B4B" w:rsidP="00890789">
      <w:pPr>
        <w:spacing w:after="0" w:line="480" w:lineRule="auto"/>
        <w:jc w:val="both"/>
        <w:rPr>
          <w:rFonts w:ascii="Times New Roman" w:hAnsi="Times New Roman" w:cs="Times New Roman"/>
          <w:sz w:val="24"/>
          <w:szCs w:val="24"/>
        </w:rPr>
      </w:pPr>
    </w:p>
    <w:p w14:paraId="33C8176D" w14:textId="77777777" w:rsidR="00511203" w:rsidRPr="001F566E" w:rsidRDefault="00511203" w:rsidP="00890789">
      <w:pPr>
        <w:spacing w:after="0" w:line="480" w:lineRule="auto"/>
        <w:jc w:val="both"/>
      </w:pPr>
      <w:r w:rsidRPr="001F566E">
        <w:rPr>
          <w:rFonts w:ascii="Times New Roman" w:hAnsi="Times New Roman" w:cs="Times New Roman"/>
          <w:b/>
          <w:sz w:val="24"/>
          <w:szCs w:val="24"/>
        </w:rPr>
        <w:t>2.7 Modeling risks for human health</w:t>
      </w:r>
    </w:p>
    <w:p w14:paraId="1E378BA3" w14:textId="77777777" w:rsidR="00511203" w:rsidRPr="001F566E" w:rsidRDefault="00511203" w:rsidP="00890789">
      <w:pPr>
        <w:tabs>
          <w:tab w:val="left" w:pos="8440"/>
        </w:tabs>
        <w:spacing w:after="0" w:line="480" w:lineRule="auto"/>
        <w:jc w:val="both"/>
      </w:pPr>
      <w:r w:rsidRPr="001F566E">
        <w:rPr>
          <w:rFonts w:ascii="Times New Roman" w:hAnsi="Times New Roman" w:cs="Times New Roman"/>
          <w:sz w:val="24"/>
          <w:szCs w:val="24"/>
        </w:rPr>
        <w:t xml:space="preserve">We considered the negative impacts related to </w:t>
      </w:r>
      <w:r w:rsidR="003E53F9" w:rsidRPr="001F566E">
        <w:rPr>
          <w:rFonts w:ascii="Times New Roman" w:hAnsi="Times New Roman" w:cs="Times New Roman"/>
          <w:sz w:val="24"/>
          <w:szCs w:val="24"/>
        </w:rPr>
        <w:t xml:space="preserve">residential </w:t>
      </w:r>
      <w:r w:rsidRPr="001F566E">
        <w:rPr>
          <w:rFonts w:ascii="Times New Roman" w:hAnsi="Times New Roman" w:cs="Times New Roman"/>
          <w:sz w:val="24"/>
          <w:szCs w:val="24"/>
        </w:rPr>
        <w:t>air pollution (NO</w:t>
      </w:r>
      <w:r w:rsidRPr="001F566E">
        <w:rPr>
          <w:rFonts w:ascii="Times New Roman" w:hAnsi="Times New Roman" w:cs="Times New Roman"/>
          <w:sz w:val="24"/>
          <w:szCs w:val="24"/>
          <w:vertAlign w:val="subscript"/>
        </w:rPr>
        <w:t>2</w:t>
      </w:r>
      <w:r w:rsidRPr="001F566E">
        <w:rPr>
          <w:rFonts w:ascii="Times New Roman" w:hAnsi="Times New Roman" w:cs="Times New Roman"/>
          <w:sz w:val="24"/>
          <w:szCs w:val="24"/>
        </w:rPr>
        <w:t>), road traumas</w:t>
      </w:r>
      <w:r w:rsidR="003E53F9" w:rsidRPr="001F566E">
        <w:rPr>
          <w:rFonts w:ascii="Times New Roman" w:hAnsi="Times New Roman" w:cs="Times New Roman"/>
          <w:sz w:val="24"/>
          <w:szCs w:val="24"/>
        </w:rPr>
        <w:t xml:space="preserve"> </w:t>
      </w:r>
      <w:r w:rsidRPr="001F566E">
        <w:rPr>
          <w:rFonts w:ascii="Times New Roman" w:hAnsi="Times New Roman" w:cs="Times New Roman"/>
          <w:sz w:val="24"/>
          <w:szCs w:val="24"/>
        </w:rPr>
        <w:t>and the health benefits linked to active transportation</w:t>
      </w:r>
      <w:r w:rsidR="007E11A5" w:rsidRPr="001F566E">
        <w:rPr>
          <w:rFonts w:ascii="Times New Roman" w:hAnsi="Times New Roman" w:cs="Times New Roman"/>
          <w:sz w:val="24"/>
          <w:szCs w:val="24"/>
        </w:rPr>
        <w:t>,</w:t>
      </w:r>
      <w:r w:rsidRPr="001F566E">
        <w:rPr>
          <w:rFonts w:ascii="Times New Roman" w:hAnsi="Times New Roman" w:cs="Times New Roman"/>
          <w:sz w:val="24"/>
          <w:szCs w:val="24"/>
        </w:rPr>
        <w:t xml:space="preserve"> </w:t>
      </w:r>
      <w:r w:rsidR="003E53F9" w:rsidRPr="001F566E">
        <w:rPr>
          <w:rFonts w:ascii="Times New Roman" w:hAnsi="Times New Roman" w:cs="Times New Roman"/>
          <w:sz w:val="24"/>
          <w:szCs w:val="24"/>
        </w:rPr>
        <w:t>along trips</w:t>
      </w:r>
      <w:r w:rsidR="007E11A5" w:rsidRPr="001F566E">
        <w:rPr>
          <w:rFonts w:ascii="Times New Roman" w:hAnsi="Times New Roman" w:cs="Times New Roman"/>
          <w:sz w:val="24"/>
          <w:szCs w:val="24"/>
        </w:rPr>
        <w:t>,</w:t>
      </w:r>
      <w:r w:rsidR="003E53F9" w:rsidRPr="001F566E">
        <w:rPr>
          <w:rFonts w:ascii="Times New Roman" w:hAnsi="Times New Roman" w:cs="Times New Roman"/>
          <w:sz w:val="24"/>
          <w:szCs w:val="24"/>
        </w:rPr>
        <w:t xml:space="preserve"> </w:t>
      </w:r>
      <w:r w:rsidRPr="001F566E">
        <w:rPr>
          <w:rFonts w:ascii="Times New Roman" w:hAnsi="Times New Roman" w:cs="Times New Roman"/>
          <w:sz w:val="24"/>
          <w:szCs w:val="24"/>
        </w:rPr>
        <w:t xml:space="preserve">for the BAU and the </w:t>
      </w:r>
      <w:r w:rsidR="006570D9" w:rsidRPr="001F566E">
        <w:rPr>
          <w:rFonts w:ascii="Times New Roman" w:hAnsi="Times New Roman" w:cs="Times New Roman"/>
          <w:sz w:val="24"/>
          <w:szCs w:val="24"/>
        </w:rPr>
        <w:t>Optimal</w:t>
      </w:r>
      <w:r w:rsidR="003E53F9" w:rsidRPr="001F566E">
        <w:rPr>
          <w:rFonts w:ascii="Times New Roman" w:hAnsi="Times New Roman" w:cs="Times New Roman"/>
          <w:sz w:val="24"/>
          <w:szCs w:val="24"/>
        </w:rPr>
        <w:t xml:space="preserve"> </w:t>
      </w:r>
      <w:r w:rsidRPr="001F566E">
        <w:rPr>
          <w:rFonts w:ascii="Times New Roman" w:hAnsi="Times New Roman" w:cs="Times New Roman"/>
          <w:sz w:val="24"/>
          <w:szCs w:val="24"/>
        </w:rPr>
        <w:t xml:space="preserve">scenarios with and without teleworking/schooling. </w:t>
      </w:r>
      <w:r w:rsidRPr="001F566E">
        <w:rPr>
          <w:rFonts w:ascii="Times New Roman" w:hAnsi="Times New Roman" w:cs="Times New Roman"/>
          <w:sz w:val="24"/>
          <w:szCs w:val="24"/>
          <w:lang w:val="en-CA"/>
        </w:rPr>
        <w:t>To compare impacts of the scenarios, we calculated the incidence of disability adjusted life years (DALY) using the Canadian distribution by age and sex of injured and disabled people in 2008 from the Global Burden of Disease database (WHO</w:t>
      </w:r>
      <w:r w:rsidR="00C82352">
        <w:rPr>
          <w:rFonts w:ascii="Times New Roman" w:hAnsi="Times New Roman" w:cs="Times New Roman"/>
          <w:sz w:val="24"/>
          <w:szCs w:val="24"/>
          <w:lang w:val="en-CA"/>
        </w:rPr>
        <w:t>,</w:t>
      </w:r>
      <w:r w:rsidRPr="001F566E">
        <w:rPr>
          <w:rFonts w:ascii="Times New Roman" w:hAnsi="Times New Roman" w:cs="Times New Roman"/>
          <w:sz w:val="24"/>
          <w:szCs w:val="24"/>
          <w:lang w:val="en-CA"/>
        </w:rPr>
        <w:t xml:space="preserve"> 201</w:t>
      </w:r>
      <w:r w:rsidR="00C82352">
        <w:rPr>
          <w:rFonts w:ascii="Times New Roman" w:hAnsi="Times New Roman" w:cs="Times New Roman"/>
          <w:sz w:val="24"/>
          <w:szCs w:val="24"/>
          <w:lang w:val="en-CA"/>
        </w:rPr>
        <w:t>3</w:t>
      </w:r>
      <w:r w:rsidRPr="001F566E">
        <w:rPr>
          <w:rFonts w:ascii="Times New Roman" w:hAnsi="Times New Roman" w:cs="Times New Roman"/>
          <w:sz w:val="24"/>
          <w:szCs w:val="24"/>
          <w:lang w:val="en-CA"/>
        </w:rPr>
        <w:t xml:space="preserve">). </w:t>
      </w:r>
    </w:p>
    <w:p w14:paraId="53F4BA4A" w14:textId="77777777" w:rsidR="00511203" w:rsidRPr="001F566E" w:rsidRDefault="00511203" w:rsidP="00890789">
      <w:pPr>
        <w:spacing w:after="0" w:line="480" w:lineRule="auto"/>
        <w:jc w:val="both"/>
        <w:rPr>
          <w:rFonts w:ascii="Times New Roman" w:hAnsi="Times New Roman" w:cs="Times New Roman"/>
          <w:sz w:val="24"/>
          <w:szCs w:val="24"/>
        </w:rPr>
      </w:pPr>
    </w:p>
    <w:p w14:paraId="6E9B8D0F" w14:textId="77777777" w:rsidR="00511203" w:rsidRPr="001F566E" w:rsidRDefault="00511203" w:rsidP="00890789">
      <w:pPr>
        <w:spacing w:after="0" w:line="480" w:lineRule="auto"/>
        <w:jc w:val="both"/>
      </w:pPr>
      <w:r w:rsidRPr="001F566E">
        <w:rPr>
          <w:rFonts w:ascii="Times New Roman" w:hAnsi="Times New Roman" w:cs="Times New Roman"/>
          <w:i/>
          <w:sz w:val="24"/>
          <w:szCs w:val="24"/>
        </w:rPr>
        <w:t>Impacts of NO2</w:t>
      </w:r>
    </w:p>
    <w:p w14:paraId="607F7308" w14:textId="77777777" w:rsidR="00511203" w:rsidRPr="001F566E" w:rsidRDefault="00511203" w:rsidP="00890789">
      <w:pPr>
        <w:spacing w:after="0" w:line="480" w:lineRule="auto"/>
        <w:jc w:val="both"/>
      </w:pPr>
      <w:r w:rsidRPr="001F566E">
        <w:rPr>
          <w:rFonts w:ascii="Times New Roman" w:hAnsi="Times New Roman" w:cs="Times New Roman"/>
          <w:sz w:val="24"/>
          <w:szCs w:val="24"/>
        </w:rPr>
        <w:t>For health impacts of NO</w:t>
      </w:r>
      <w:r w:rsidRPr="001F566E">
        <w:rPr>
          <w:rFonts w:ascii="Times New Roman" w:hAnsi="Times New Roman" w:cs="Times New Roman"/>
          <w:sz w:val="24"/>
          <w:szCs w:val="24"/>
          <w:vertAlign w:val="subscript"/>
        </w:rPr>
        <w:t>2</w:t>
      </w:r>
      <w:r w:rsidR="003E53F9" w:rsidRPr="001F566E">
        <w:rPr>
          <w:rFonts w:ascii="Times New Roman" w:hAnsi="Times New Roman" w:cs="Times New Roman"/>
          <w:sz w:val="24"/>
          <w:szCs w:val="24"/>
        </w:rPr>
        <w:t xml:space="preserve"> at the residence</w:t>
      </w:r>
      <w:r w:rsidRPr="001F566E">
        <w:rPr>
          <w:rFonts w:ascii="Times New Roman" w:hAnsi="Times New Roman" w:cs="Times New Roman"/>
          <w:sz w:val="24"/>
          <w:szCs w:val="24"/>
        </w:rPr>
        <w:t xml:space="preserve">, we used a risk function for cardiovascular disease (CVD) mortality </w:t>
      </w:r>
      <w:r w:rsidR="00D95773" w:rsidRPr="001F566E">
        <w:rPr>
          <w:rFonts w:ascii="Times New Roman" w:hAnsi="Times New Roman" w:cs="Times New Roman"/>
          <w:sz w:val="24"/>
          <w:szCs w:val="24"/>
        </w:rPr>
        <w:t>(</w:t>
      </w:r>
      <w:r w:rsidRPr="00F33A42">
        <w:fldChar w:fldCharType="begin"/>
      </w:r>
      <w:r w:rsidRPr="001F566E">
        <w:instrText>ADDIN CSL_CITATION { "citationItems" : [ { "id" : "ITEM-1", "itemData" : { "DOI" : "10.1097/EDE.0b013e318276c005", "ISBN" : "1044-3983", "ISSN" : "1531-5487", "PMID" : "23222554", "abstract" : "Background: Findings from previous cohort studies suggest a positive association between traffic-related air pollution and cardiovascular mortality. However, few studies have assessed intraurban variation in traffic-related pollution or evaluated cardiovascular effects at lower levels of pollution that are typically seen in Canadian cities. Methods: We conducted a cohort study of traffic-related air pollution and cardiovascular mortality among adults who lived in three cities in Ontario, Canada. Study members of the cohort were a random sample from the federal family income tax database, comprising 205,440 adults age 35-85 years, who lived in Toronto, Hamilton, or Windsor between 1982 and 1986. Follow-up ended on 31 December 2004. Mortality from cardiovascular and cerebrovascular diseases was ascertained using the Canadian Mortality Database. We estimated time-dependent concentrations of ambient nitrogen dioxide (NO2) from land-use regression models and assigned exposures to residences of subjects. Rate ratios (RRs) were estimated from Cox proportional hazard model adjusted for individual risk factors and selected contextual covariables. We adjusted indirectly for smoking and obesity. Results: The spatial distributions of NO2 did not change appreciably over the follow-up period. Cumulative exposure to NO2 was associated with a 12% increase in mortality from cardiovascular disease for each increase of 5 parts per billion of NO2 (95% confidence interval [CI] = 7%-17%) and a 15% increase (8%-21%) in mortality from ischemic heart disease. Risks of cardiovascular mortality were also increased with shorter term exposures, but the RRs were somewhat smaller. No association was found for cerebrovascular mortality (RR = 0.99 [95% CI = 0.91-1.08]). Conclusion: Traffic-related air pollution at relatively low concentrations in Ontario was associated with increased mortality from cardiovascular disease. 2012 by Lippincott William &amp; Wilkins.", "author" : [ { "dropping-particle" : "", "family" : "Chen", "given" : "Hong", "non-dropping-particle" : "", "parse-names" : false, "suffix" : "" }, { "dropping-particle" : "", "family" : "Goldberg", "given" : "Mark", "non-dropping-particle" : "", "parse-names" : false, "suffix" : "" }, { "dropping-particle" : "", "family" : "Burnett", "given" : "Richard T.", "non-dropping-particle" : "", "parse-names" : false, "suffix" : "" }, { "dropping-particle" : "", "family" : "Jerrett", "given" : "Michael", "non-dropping-particle" : "", "parse-names" : false, "suffix" : "" }, { "dropping-particle" : "", "family" : "Wheeler", "given" : "Amanda", "non-dropping-particle" : "", "parse-names" : false, "suffix" : "" }, { "dropping-particle" : "", "family" : "Villeneuve", "given" : "Paul J", "non-dropping-particle" : "", "parse-names" : false, "suffix" : "" } ], "container-title" : "Epidemiology", "id" : "ITEM-1", "issue" : "1", "issued" : { "date-parts" : [ [ "2013" ] ] }, "page" : "35-43", "title" : "Long-term exposure to traffic-related air pollution and cardiovascular mortality", "type" : "article-journal", "volume" : "24" }, "uris" : [ "http://www.mendeley.com/documents/?uuid=34cb2f24-48c8-4241-81a7-ced9274c62a8" ] } ], "mendeley" : { "formattedCitation" : "(Chen et al., 2013)", "manualFormatting" : "Chen et al. (2013)", "plainTextFormattedCitation" : "(Chen et al., 2013)", "previouslyFormattedCitation" : "(Chen et al., 2013)" }, "properties" : {  }, "schema" : "https://github.com/citation-style-language/schema/raw/master/csl-citation.json" }</w:instrText>
      </w:r>
      <w:r w:rsidRPr="00F33A42">
        <w:fldChar w:fldCharType="separate"/>
      </w:r>
      <w:r w:rsidRPr="00F33A42">
        <w:rPr>
          <w:rFonts w:ascii="Times New Roman" w:hAnsi="Times New Roman" w:cs="Times New Roman"/>
          <w:sz w:val="24"/>
          <w:szCs w:val="24"/>
        </w:rPr>
        <w:t>Chen et al. 2013)</w:t>
      </w:r>
      <w:r w:rsidRPr="00F33A42">
        <w:fldChar w:fldCharType="end"/>
      </w:r>
      <w:r w:rsidRPr="00F33A42">
        <w:rPr>
          <w:rFonts w:ascii="Times New Roman" w:hAnsi="Times New Roman" w:cs="Times New Roman"/>
          <w:sz w:val="24"/>
          <w:szCs w:val="24"/>
        </w:rPr>
        <w:t xml:space="preserve">, and </w:t>
      </w:r>
      <w:r w:rsidR="00C82352">
        <w:rPr>
          <w:rFonts w:ascii="Times New Roman" w:hAnsi="Times New Roman" w:cs="Times New Roman"/>
          <w:sz w:val="24"/>
          <w:szCs w:val="24"/>
        </w:rPr>
        <w:t>for asthma, the Tetreault et al</w:t>
      </w:r>
      <w:r w:rsidRPr="00F33A42">
        <w:rPr>
          <w:rFonts w:ascii="Times New Roman" w:hAnsi="Times New Roman" w:cs="Times New Roman"/>
          <w:sz w:val="24"/>
          <w:szCs w:val="24"/>
        </w:rPr>
        <w:t xml:space="preserve"> (2016) risk function. The former was applied to the population of 16 year old and older of each municipality using average NO2 exposure (described above), while the asthma risk function was applied to children younger </w:t>
      </w:r>
      <w:r w:rsidRPr="00F33A42">
        <w:rPr>
          <w:rFonts w:ascii="Times New Roman" w:hAnsi="Times New Roman" w:cs="Times New Roman"/>
          <w:sz w:val="24"/>
          <w:szCs w:val="24"/>
        </w:rPr>
        <w:lastRenderedPageBreak/>
        <w:t>than 16 years of age per municipality. We also used rates of CVD and asthma onset as described in det</w:t>
      </w:r>
      <w:r w:rsidRPr="001F566E">
        <w:rPr>
          <w:rFonts w:ascii="Times New Roman" w:hAnsi="Times New Roman" w:cs="Times New Roman"/>
          <w:sz w:val="24"/>
          <w:szCs w:val="24"/>
        </w:rPr>
        <w:t xml:space="preserve">ail in Tetreault et al (2016). Most of the method used to calculate impacts in </w:t>
      </w:r>
      <w:r w:rsidRPr="001F566E">
        <w:rPr>
          <w:rFonts w:ascii="Times New Roman" w:hAnsi="Times New Roman" w:cs="Times New Roman"/>
          <w:sz w:val="24"/>
          <w:szCs w:val="24"/>
          <w:lang w:val="en-CA"/>
        </w:rPr>
        <w:t xml:space="preserve">disability adjusted life years (DALY) </w:t>
      </w:r>
      <w:r w:rsidRPr="001F566E">
        <w:rPr>
          <w:rFonts w:ascii="Times New Roman" w:hAnsi="Times New Roman" w:cs="Times New Roman"/>
          <w:sz w:val="24"/>
          <w:szCs w:val="24"/>
        </w:rPr>
        <w:t xml:space="preserve">of air pollution in </w:t>
      </w:r>
      <w:r w:rsidR="00F46BD2">
        <w:rPr>
          <w:rFonts w:ascii="Times New Roman" w:hAnsi="Times New Roman" w:cs="Times New Roman"/>
          <w:sz w:val="24"/>
          <w:szCs w:val="24"/>
        </w:rPr>
        <w:t>Y2061</w:t>
      </w:r>
      <w:r w:rsidRPr="001F566E">
        <w:rPr>
          <w:rFonts w:ascii="Times New Roman" w:hAnsi="Times New Roman" w:cs="Times New Roman"/>
          <w:sz w:val="24"/>
          <w:szCs w:val="24"/>
        </w:rPr>
        <w:t xml:space="preserve"> is similar to the method described in Tetreault et al (2018). However, we used a population attributable fraction (PAF) with a counterfactual of zero NO2 levels for each scenario, instead of using a population impact fraction (PIF) that compares the scenarios between them directly (</w:t>
      </w:r>
      <w:r w:rsidR="00D32419">
        <w:rPr>
          <w:rFonts w:ascii="Times New Roman" w:hAnsi="Times New Roman" w:cs="Times New Roman"/>
          <w:sz w:val="24"/>
          <w:szCs w:val="24"/>
        </w:rPr>
        <w:t>Hanley, 2001</w:t>
      </w:r>
      <w:r w:rsidRPr="001F566E">
        <w:rPr>
          <w:rFonts w:ascii="Times New Roman" w:hAnsi="Times New Roman" w:cs="Times New Roman"/>
          <w:sz w:val="24"/>
          <w:szCs w:val="24"/>
        </w:rPr>
        <w:t xml:space="preserve">), because the population </w:t>
      </w:r>
      <w:r w:rsidR="00F305CB" w:rsidRPr="001F566E">
        <w:rPr>
          <w:rFonts w:ascii="Times New Roman" w:hAnsi="Times New Roman" w:cs="Times New Roman"/>
          <w:sz w:val="24"/>
          <w:szCs w:val="24"/>
        </w:rPr>
        <w:t xml:space="preserve">location </w:t>
      </w:r>
      <w:r w:rsidR="00C5013D" w:rsidRPr="001F566E">
        <w:rPr>
          <w:rFonts w:ascii="Times New Roman" w:hAnsi="Times New Roman" w:cs="Times New Roman"/>
          <w:sz w:val="24"/>
          <w:szCs w:val="24"/>
        </w:rPr>
        <w:t xml:space="preserve">within the GMR </w:t>
      </w:r>
      <w:r w:rsidRPr="001F566E">
        <w:rPr>
          <w:rFonts w:ascii="Times New Roman" w:hAnsi="Times New Roman" w:cs="Times New Roman"/>
          <w:sz w:val="24"/>
          <w:szCs w:val="24"/>
        </w:rPr>
        <w:t>differed between scenarios and this invalidates the use of PIF</w:t>
      </w:r>
      <w:r w:rsidR="00C5013D" w:rsidRPr="001F566E">
        <w:rPr>
          <w:rFonts w:ascii="Times New Roman" w:hAnsi="Times New Roman" w:cs="Times New Roman"/>
          <w:sz w:val="24"/>
          <w:szCs w:val="24"/>
        </w:rPr>
        <w:t xml:space="preserve"> for the regional </w:t>
      </w:r>
      <w:r w:rsidR="00CF1952" w:rsidRPr="001F566E">
        <w:rPr>
          <w:rFonts w:ascii="Times New Roman" w:hAnsi="Times New Roman" w:cs="Times New Roman"/>
          <w:sz w:val="24"/>
          <w:szCs w:val="24"/>
        </w:rPr>
        <w:t>comparison</w:t>
      </w:r>
      <w:r w:rsidR="00C5013D" w:rsidRPr="001F566E">
        <w:rPr>
          <w:rFonts w:ascii="Times New Roman" w:hAnsi="Times New Roman" w:cs="Times New Roman"/>
          <w:sz w:val="24"/>
          <w:szCs w:val="24"/>
        </w:rPr>
        <w:t xml:space="preserve"> of the impact</w:t>
      </w:r>
      <w:r w:rsidRPr="001F566E">
        <w:rPr>
          <w:rFonts w:ascii="Times New Roman" w:hAnsi="Times New Roman" w:cs="Times New Roman"/>
          <w:sz w:val="24"/>
          <w:szCs w:val="24"/>
        </w:rPr>
        <w:t>.</w:t>
      </w:r>
    </w:p>
    <w:p w14:paraId="146CDA0B" w14:textId="77777777" w:rsidR="00511203" w:rsidRPr="001F566E" w:rsidRDefault="00511203" w:rsidP="00890789">
      <w:pPr>
        <w:spacing w:after="0" w:line="480" w:lineRule="auto"/>
        <w:jc w:val="both"/>
        <w:rPr>
          <w:rFonts w:ascii="Times New Roman" w:hAnsi="Times New Roman" w:cs="Times New Roman"/>
          <w:i/>
          <w:sz w:val="24"/>
          <w:szCs w:val="24"/>
        </w:rPr>
      </w:pPr>
    </w:p>
    <w:p w14:paraId="2EF58D32" w14:textId="77777777" w:rsidR="00511203" w:rsidRPr="001F566E" w:rsidRDefault="00511203" w:rsidP="00890789">
      <w:pPr>
        <w:spacing w:after="0" w:line="480" w:lineRule="auto"/>
        <w:jc w:val="both"/>
      </w:pPr>
      <w:r w:rsidRPr="001F566E">
        <w:rPr>
          <w:rFonts w:ascii="Times New Roman" w:hAnsi="Times New Roman" w:cs="Times New Roman"/>
          <w:i/>
          <w:sz w:val="24"/>
          <w:szCs w:val="24"/>
        </w:rPr>
        <w:t>Benefits of active transportation</w:t>
      </w:r>
    </w:p>
    <w:p w14:paraId="1D368FA8" w14:textId="77777777" w:rsidR="00511203" w:rsidRPr="001F566E" w:rsidRDefault="00511203" w:rsidP="00890789">
      <w:pPr>
        <w:spacing w:after="0" w:line="480" w:lineRule="auto"/>
        <w:jc w:val="both"/>
      </w:pPr>
      <w:r w:rsidRPr="001F566E">
        <w:rPr>
          <w:rFonts w:ascii="Times New Roman" w:hAnsi="Times New Roman" w:cs="Times New Roman"/>
          <w:sz w:val="24"/>
          <w:szCs w:val="24"/>
        </w:rPr>
        <w:t>We estimated benefits of transport related physical activity per region of residence</w:t>
      </w:r>
      <w:r w:rsidRPr="001F566E">
        <w:rPr>
          <w:rFonts w:ascii="Times New Roman" w:hAnsi="Times New Roman" w:cs="Times New Roman"/>
          <w:color w:val="FF0000"/>
          <w:sz w:val="24"/>
          <w:szCs w:val="24"/>
        </w:rPr>
        <w:t xml:space="preserve"> </w:t>
      </w:r>
      <w:r w:rsidRPr="001F566E">
        <w:rPr>
          <w:rFonts w:ascii="Times New Roman" w:hAnsi="Times New Roman" w:cs="Times New Roman"/>
          <w:sz w:val="24"/>
          <w:szCs w:val="24"/>
        </w:rPr>
        <w:t xml:space="preserve">(Urban core and suburbs) as described in Tetreault et al (2018), using functions relating metabolic equivalents to </w:t>
      </w:r>
      <w:r w:rsidR="00D95773" w:rsidRPr="001F566E">
        <w:rPr>
          <w:rFonts w:ascii="Times New Roman" w:hAnsi="Times New Roman" w:cs="Times New Roman"/>
          <w:sz w:val="24"/>
          <w:szCs w:val="24"/>
        </w:rPr>
        <w:t>CVD</w:t>
      </w:r>
      <w:r w:rsidRPr="001F566E">
        <w:rPr>
          <w:rFonts w:ascii="Times New Roman" w:hAnsi="Times New Roman" w:cs="Times New Roman"/>
          <w:sz w:val="24"/>
          <w:szCs w:val="24"/>
        </w:rPr>
        <w:t xml:space="preserve">, incidence of type II diabetes, breast and </w:t>
      </w:r>
      <w:r w:rsidRPr="001F566E">
        <w:rPr>
          <w:rFonts w:ascii="Times New Roman" w:hAnsi="Times New Roman" w:cs="Times New Roman"/>
          <w:sz w:val="24"/>
          <w:szCs w:val="24"/>
          <w:lang w:val="en-CA"/>
        </w:rPr>
        <w:t xml:space="preserve">colon </w:t>
      </w:r>
      <w:r w:rsidRPr="001F566E">
        <w:rPr>
          <w:rFonts w:ascii="Times New Roman" w:hAnsi="Times New Roman" w:cs="Times New Roman"/>
          <w:sz w:val="24"/>
          <w:szCs w:val="24"/>
        </w:rPr>
        <w:t>cancers (</w:t>
      </w:r>
      <w:r w:rsidR="00D32419" w:rsidRPr="001F566E">
        <w:rPr>
          <w:rFonts w:ascii="Times New Roman" w:hAnsi="Times New Roman" w:cs="Times New Roman"/>
          <w:sz w:val="24"/>
          <w:szCs w:val="24"/>
          <w:lang w:val="en-CA"/>
        </w:rPr>
        <w:t>Wu et al</w:t>
      </w:r>
      <w:r w:rsidR="00D32419">
        <w:rPr>
          <w:rFonts w:ascii="Times New Roman" w:hAnsi="Times New Roman" w:cs="Times New Roman"/>
          <w:sz w:val="24"/>
          <w:szCs w:val="24"/>
          <w:lang w:val="en-CA"/>
        </w:rPr>
        <w:t>,</w:t>
      </w:r>
      <w:r w:rsidR="00D32419" w:rsidRPr="001F566E">
        <w:rPr>
          <w:rFonts w:ascii="Times New Roman" w:hAnsi="Times New Roman" w:cs="Times New Roman"/>
          <w:sz w:val="24"/>
          <w:szCs w:val="24"/>
          <w:lang w:val="en-CA"/>
        </w:rPr>
        <w:t xml:space="preserve"> 2013</w:t>
      </w:r>
      <w:r w:rsidR="00D32419">
        <w:rPr>
          <w:rFonts w:ascii="Times New Roman" w:hAnsi="Times New Roman" w:cs="Times New Roman"/>
          <w:sz w:val="24"/>
          <w:szCs w:val="24"/>
          <w:lang w:val="en-CA"/>
        </w:rPr>
        <w:t>;</w:t>
      </w:r>
      <w:r w:rsidR="00D32419" w:rsidRPr="001F566E">
        <w:rPr>
          <w:rFonts w:ascii="Times New Roman" w:hAnsi="Times New Roman" w:cs="Times New Roman"/>
          <w:sz w:val="24"/>
          <w:szCs w:val="24"/>
          <w:lang w:val="en-CA"/>
        </w:rPr>
        <w:t xml:space="preserve"> </w:t>
      </w:r>
      <w:r w:rsidRPr="001F566E">
        <w:rPr>
          <w:rFonts w:ascii="Times New Roman" w:hAnsi="Times New Roman" w:cs="Times New Roman"/>
          <w:sz w:val="24"/>
          <w:szCs w:val="24"/>
        </w:rPr>
        <w:t>S</w:t>
      </w:r>
      <w:r w:rsidRPr="001F566E">
        <w:rPr>
          <w:rFonts w:ascii="Times New Roman" w:hAnsi="Times New Roman" w:cs="Times New Roman"/>
          <w:sz w:val="24"/>
          <w:szCs w:val="24"/>
          <w:lang w:val="en-CA"/>
        </w:rPr>
        <w:t>attelmair et al</w:t>
      </w:r>
      <w:r w:rsidR="00D32419">
        <w:rPr>
          <w:rFonts w:ascii="Times New Roman" w:hAnsi="Times New Roman" w:cs="Times New Roman"/>
          <w:sz w:val="24"/>
          <w:szCs w:val="24"/>
          <w:lang w:val="en-CA"/>
        </w:rPr>
        <w:t>,</w:t>
      </w:r>
      <w:r w:rsidRPr="001F566E">
        <w:rPr>
          <w:rFonts w:ascii="Times New Roman" w:hAnsi="Times New Roman" w:cs="Times New Roman"/>
          <w:sz w:val="24"/>
          <w:szCs w:val="24"/>
          <w:lang w:val="en-CA"/>
        </w:rPr>
        <w:t xml:space="preserve"> 2011</w:t>
      </w:r>
      <w:r w:rsidR="00D32419">
        <w:rPr>
          <w:rFonts w:ascii="Times New Roman" w:hAnsi="Times New Roman" w:cs="Times New Roman"/>
          <w:sz w:val="24"/>
          <w:szCs w:val="24"/>
          <w:lang w:val="en-CA"/>
        </w:rPr>
        <w:t>;</w:t>
      </w:r>
      <w:r w:rsidR="00D32419" w:rsidRPr="00D32419">
        <w:rPr>
          <w:rFonts w:ascii="Times New Roman" w:hAnsi="Times New Roman" w:cs="Times New Roman"/>
          <w:sz w:val="24"/>
          <w:szCs w:val="24"/>
          <w:lang w:val="en-CA"/>
        </w:rPr>
        <w:t xml:space="preserve"> </w:t>
      </w:r>
      <w:r w:rsidR="00D32419" w:rsidRPr="001F566E">
        <w:rPr>
          <w:rFonts w:ascii="Times New Roman" w:hAnsi="Times New Roman" w:cs="Times New Roman"/>
          <w:sz w:val="24"/>
          <w:szCs w:val="24"/>
          <w:lang w:val="en-CA"/>
        </w:rPr>
        <w:t>Wolin et al. 2009</w:t>
      </w:r>
      <w:r w:rsidR="00B5604A">
        <w:rPr>
          <w:rFonts w:ascii="Times New Roman" w:hAnsi="Times New Roman" w:cs="Times New Roman"/>
          <w:sz w:val="24"/>
          <w:szCs w:val="24"/>
          <w:lang w:val="en-CA"/>
        </w:rPr>
        <w:t>;</w:t>
      </w:r>
      <w:r w:rsidRPr="001F566E">
        <w:rPr>
          <w:rFonts w:ascii="Times New Roman" w:hAnsi="Times New Roman" w:cs="Times New Roman"/>
          <w:sz w:val="24"/>
          <w:szCs w:val="24"/>
          <w:lang w:val="en-CA"/>
        </w:rPr>
        <w:t xml:space="preserve"> Jeon et al</w:t>
      </w:r>
      <w:r w:rsidR="00D32419">
        <w:rPr>
          <w:rFonts w:ascii="Times New Roman" w:hAnsi="Times New Roman" w:cs="Times New Roman"/>
          <w:sz w:val="24"/>
          <w:szCs w:val="24"/>
          <w:lang w:val="en-CA"/>
        </w:rPr>
        <w:t>,</w:t>
      </w:r>
      <w:r w:rsidRPr="001F566E">
        <w:rPr>
          <w:rFonts w:ascii="Times New Roman" w:hAnsi="Times New Roman" w:cs="Times New Roman"/>
          <w:sz w:val="24"/>
          <w:szCs w:val="24"/>
          <w:lang w:val="en-CA"/>
        </w:rPr>
        <w:t xml:space="preserve"> 2007). </w:t>
      </w:r>
      <w:r w:rsidRPr="001F566E">
        <w:rPr>
          <w:rFonts w:ascii="Times New Roman" w:hAnsi="Times New Roman" w:cs="Times New Roman"/>
          <w:sz w:val="24"/>
          <w:szCs w:val="24"/>
        </w:rPr>
        <w:t xml:space="preserve">Briefly, log normal distributions of </w:t>
      </w:r>
      <w:r w:rsidR="004A23C0" w:rsidRPr="001F566E">
        <w:rPr>
          <w:rFonts w:ascii="Times New Roman" w:hAnsi="Times New Roman" w:cs="Times New Roman"/>
          <w:sz w:val="24"/>
          <w:szCs w:val="24"/>
        </w:rPr>
        <w:t xml:space="preserve">weekly </w:t>
      </w:r>
      <w:r w:rsidRPr="001F566E">
        <w:rPr>
          <w:rFonts w:ascii="Times New Roman" w:hAnsi="Times New Roman" w:cs="Times New Roman"/>
          <w:sz w:val="24"/>
          <w:szCs w:val="24"/>
        </w:rPr>
        <w:t xml:space="preserve">time spent walking and cycling for transport stratified by age, sex for the three groups of municipality of residence (described in </w:t>
      </w:r>
      <w:r w:rsidRPr="001F566E">
        <w:rPr>
          <w:rFonts w:ascii="Times New Roman" w:hAnsi="Times New Roman" w:cs="Times New Roman"/>
          <w:b/>
          <w:sz w:val="24"/>
          <w:szCs w:val="24"/>
        </w:rPr>
        <w:t>section 2.5</w:t>
      </w:r>
      <w:r w:rsidRPr="001F566E">
        <w:rPr>
          <w:rFonts w:ascii="Times New Roman" w:hAnsi="Times New Roman" w:cs="Times New Roman"/>
          <w:sz w:val="24"/>
          <w:szCs w:val="24"/>
        </w:rPr>
        <w:t xml:space="preserve">) were calculated from mean distances of travelled related to physical activity. </w:t>
      </w:r>
      <w:r w:rsidR="004A23C0" w:rsidRPr="001F566E">
        <w:rPr>
          <w:rFonts w:ascii="Times New Roman" w:hAnsi="Times New Roman" w:cs="Times New Roman"/>
          <w:sz w:val="24"/>
          <w:szCs w:val="24"/>
        </w:rPr>
        <w:t xml:space="preserve">In contrary to Tetreault et al </w:t>
      </w:r>
      <w:r w:rsidR="00B5604A">
        <w:rPr>
          <w:rFonts w:ascii="Times New Roman" w:hAnsi="Times New Roman" w:cs="Times New Roman"/>
          <w:sz w:val="24"/>
          <w:szCs w:val="24"/>
        </w:rPr>
        <w:t>(</w:t>
      </w:r>
      <w:r w:rsidR="004A23C0" w:rsidRPr="001F566E">
        <w:rPr>
          <w:rFonts w:ascii="Times New Roman" w:hAnsi="Times New Roman" w:cs="Times New Roman"/>
          <w:sz w:val="24"/>
          <w:szCs w:val="24"/>
        </w:rPr>
        <w:t>2018</w:t>
      </w:r>
      <w:r w:rsidR="00B5604A">
        <w:rPr>
          <w:rFonts w:ascii="Times New Roman" w:hAnsi="Times New Roman" w:cs="Times New Roman"/>
          <w:sz w:val="24"/>
          <w:szCs w:val="24"/>
        </w:rPr>
        <w:t>)</w:t>
      </w:r>
      <w:r w:rsidR="004A23C0" w:rsidRPr="001F566E">
        <w:rPr>
          <w:rFonts w:ascii="Times New Roman" w:hAnsi="Times New Roman" w:cs="Times New Roman"/>
          <w:sz w:val="24"/>
          <w:szCs w:val="24"/>
        </w:rPr>
        <w:t xml:space="preserve">, a factor of seven (instead of 3.5) was used to estimate weekly distances for bicycling. </w:t>
      </w:r>
      <w:r w:rsidRPr="001F566E">
        <w:rPr>
          <w:rFonts w:ascii="Times New Roman" w:hAnsi="Times New Roman" w:cs="Times New Roman"/>
          <w:sz w:val="24"/>
          <w:szCs w:val="24"/>
        </w:rPr>
        <w:t xml:space="preserve">The distances were converted into time spent doing active transport using a speed of 5 km /hour for walking and </w:t>
      </w:r>
      <w:r w:rsidR="003E53F9" w:rsidRPr="001F566E">
        <w:rPr>
          <w:rFonts w:ascii="Times New Roman" w:hAnsi="Times New Roman" w:cs="Times New Roman"/>
          <w:sz w:val="24"/>
          <w:szCs w:val="24"/>
        </w:rPr>
        <w:t>1</w:t>
      </w:r>
      <w:r w:rsidR="004A23C0" w:rsidRPr="001F566E">
        <w:rPr>
          <w:rFonts w:ascii="Times New Roman" w:hAnsi="Times New Roman" w:cs="Times New Roman"/>
          <w:sz w:val="24"/>
          <w:szCs w:val="24"/>
        </w:rPr>
        <w:t>6</w:t>
      </w:r>
      <w:r w:rsidR="003E53F9" w:rsidRPr="001F566E">
        <w:rPr>
          <w:rFonts w:ascii="Times New Roman" w:hAnsi="Times New Roman" w:cs="Times New Roman"/>
          <w:sz w:val="24"/>
          <w:szCs w:val="24"/>
        </w:rPr>
        <w:t xml:space="preserve"> </w:t>
      </w:r>
      <w:r w:rsidR="00DF6DB4" w:rsidRPr="001F566E">
        <w:rPr>
          <w:rFonts w:ascii="Times New Roman" w:hAnsi="Times New Roman" w:cs="Times New Roman"/>
          <w:sz w:val="24"/>
          <w:szCs w:val="24"/>
        </w:rPr>
        <w:t>km/hour</w:t>
      </w:r>
      <w:r w:rsidR="00DF6DB4" w:rsidRPr="00F33A42">
        <w:rPr>
          <w:rFonts w:ascii="Times New Roman" w:hAnsi="Times New Roman" w:cs="Times New Roman"/>
          <w:sz w:val="24"/>
          <w:szCs w:val="24"/>
        </w:rPr>
        <w:t xml:space="preserve"> </w:t>
      </w:r>
      <w:r w:rsidRPr="00F33A42">
        <w:rPr>
          <w:rFonts w:ascii="Times New Roman" w:hAnsi="Times New Roman" w:cs="Times New Roman"/>
          <w:sz w:val="24"/>
          <w:szCs w:val="24"/>
        </w:rPr>
        <w:t>for cycling.</w:t>
      </w:r>
      <w:r w:rsidRPr="001F566E">
        <w:rPr>
          <w:rFonts w:ascii="Times New Roman" w:hAnsi="Times New Roman" w:cs="Times New Roman"/>
          <w:sz w:val="24"/>
          <w:szCs w:val="24"/>
        </w:rPr>
        <w:t xml:space="preserve"> The method to calculate DALY of physical activity related to transportation is described in Tetreault et al </w:t>
      </w:r>
      <w:r w:rsidR="00B5604A">
        <w:rPr>
          <w:rFonts w:ascii="Times New Roman" w:hAnsi="Times New Roman" w:cs="Times New Roman"/>
          <w:sz w:val="24"/>
          <w:szCs w:val="24"/>
        </w:rPr>
        <w:t>(</w:t>
      </w:r>
      <w:r w:rsidRPr="001F566E">
        <w:rPr>
          <w:rFonts w:ascii="Times New Roman" w:hAnsi="Times New Roman" w:cs="Times New Roman"/>
          <w:sz w:val="24"/>
          <w:szCs w:val="24"/>
        </w:rPr>
        <w:t>2018</w:t>
      </w:r>
      <w:r w:rsidR="00B5604A">
        <w:rPr>
          <w:rFonts w:ascii="Times New Roman" w:hAnsi="Times New Roman" w:cs="Times New Roman"/>
          <w:sz w:val="24"/>
          <w:szCs w:val="24"/>
        </w:rPr>
        <w:t>),</w:t>
      </w:r>
      <w:r w:rsidRPr="001F566E">
        <w:rPr>
          <w:rFonts w:ascii="Times New Roman" w:hAnsi="Times New Roman" w:cs="Times New Roman"/>
          <w:sz w:val="24"/>
          <w:szCs w:val="24"/>
        </w:rPr>
        <w:t xml:space="preserve"> except that we used a PAF </w:t>
      </w:r>
      <w:r w:rsidR="00CF1952" w:rsidRPr="001F566E">
        <w:rPr>
          <w:rFonts w:ascii="Times New Roman" w:hAnsi="Times New Roman" w:cs="Times New Roman"/>
          <w:sz w:val="24"/>
          <w:szCs w:val="24"/>
        </w:rPr>
        <w:t>in order to enable the regional comparison of the burden</w:t>
      </w:r>
      <w:r w:rsidR="00DF6DB4" w:rsidRPr="001F566E">
        <w:rPr>
          <w:rFonts w:ascii="Times New Roman" w:hAnsi="Times New Roman" w:cs="Times New Roman"/>
          <w:sz w:val="24"/>
          <w:szCs w:val="24"/>
        </w:rPr>
        <w:t>, as it was done for air pollution</w:t>
      </w:r>
      <w:r w:rsidRPr="001F566E">
        <w:rPr>
          <w:rFonts w:ascii="Times New Roman" w:hAnsi="Times New Roman" w:cs="Times New Roman"/>
          <w:sz w:val="24"/>
          <w:szCs w:val="24"/>
        </w:rPr>
        <w:t>.</w:t>
      </w:r>
    </w:p>
    <w:p w14:paraId="5131E75D" w14:textId="77777777" w:rsidR="009D4E23" w:rsidRPr="001F566E" w:rsidRDefault="009D4E23" w:rsidP="00890789">
      <w:pPr>
        <w:spacing w:after="0" w:line="480" w:lineRule="auto"/>
        <w:jc w:val="both"/>
        <w:rPr>
          <w:rFonts w:ascii="Times New Roman" w:hAnsi="Times New Roman" w:cs="Times New Roman"/>
          <w:sz w:val="24"/>
          <w:szCs w:val="24"/>
        </w:rPr>
      </w:pPr>
    </w:p>
    <w:p w14:paraId="0285B1A2" w14:textId="77777777" w:rsidR="00511203" w:rsidRPr="00F33A42" w:rsidRDefault="00511203" w:rsidP="00890789">
      <w:pPr>
        <w:spacing w:after="0" w:line="480" w:lineRule="auto"/>
        <w:jc w:val="both"/>
        <w:rPr>
          <w:rFonts w:ascii="Times New Roman" w:hAnsi="Times New Roman" w:cs="Times New Roman"/>
          <w:sz w:val="24"/>
          <w:szCs w:val="24"/>
          <w:lang w:val="en-CA"/>
        </w:rPr>
      </w:pPr>
      <w:r w:rsidRPr="001F566E">
        <w:rPr>
          <w:rFonts w:ascii="Times New Roman" w:hAnsi="Times New Roman" w:cs="Times New Roman"/>
          <w:i/>
          <w:sz w:val="24"/>
          <w:szCs w:val="24"/>
        </w:rPr>
        <w:lastRenderedPageBreak/>
        <w:t>Road traumas</w:t>
      </w:r>
    </w:p>
    <w:p w14:paraId="5DFC34F8" w14:textId="77777777" w:rsidR="0020075B" w:rsidRPr="001F566E" w:rsidRDefault="0020075B" w:rsidP="00890789">
      <w:pPr>
        <w:tabs>
          <w:tab w:val="left" w:pos="8440"/>
        </w:tabs>
        <w:spacing w:after="0" w:line="480" w:lineRule="auto"/>
        <w:jc w:val="both"/>
        <w:rPr>
          <w:rFonts w:ascii="Times New Roman" w:hAnsi="Times New Roman" w:cs="Times New Roman"/>
          <w:sz w:val="24"/>
          <w:szCs w:val="24"/>
          <w:lang w:val="en-CA"/>
        </w:rPr>
      </w:pPr>
      <w:r w:rsidRPr="001F566E">
        <w:rPr>
          <w:rFonts w:ascii="Times New Roman" w:hAnsi="Times New Roman" w:cs="Times New Roman"/>
          <w:sz w:val="24"/>
          <w:szCs w:val="24"/>
          <w:lang w:val="en-CA"/>
        </w:rPr>
        <w:t xml:space="preserve">To estimate the number of road traumas in </w:t>
      </w:r>
      <w:r w:rsidR="00F46BD2">
        <w:rPr>
          <w:rFonts w:ascii="Times New Roman" w:hAnsi="Times New Roman" w:cs="Times New Roman"/>
          <w:sz w:val="24"/>
          <w:szCs w:val="24"/>
          <w:lang w:val="en-CA"/>
        </w:rPr>
        <w:t>Y2061</w:t>
      </w:r>
      <w:r w:rsidRPr="001F566E">
        <w:rPr>
          <w:rFonts w:ascii="Times New Roman" w:hAnsi="Times New Roman" w:cs="Times New Roman"/>
          <w:sz w:val="24"/>
          <w:szCs w:val="24"/>
          <w:lang w:val="en-CA"/>
        </w:rPr>
        <w:t xml:space="preserve">, the km travelled per mode and municipality in the </w:t>
      </w:r>
      <w:r w:rsidR="00F46BD2">
        <w:rPr>
          <w:rFonts w:ascii="Times New Roman" w:hAnsi="Times New Roman" w:cs="Times New Roman"/>
          <w:sz w:val="24"/>
          <w:szCs w:val="24"/>
          <w:lang w:val="en-CA"/>
        </w:rPr>
        <w:t>Y2061</w:t>
      </w:r>
      <w:r w:rsidRPr="001F566E">
        <w:rPr>
          <w:rFonts w:ascii="Times New Roman" w:hAnsi="Times New Roman" w:cs="Times New Roman"/>
          <w:sz w:val="24"/>
          <w:szCs w:val="24"/>
          <w:lang w:val="en-CA"/>
        </w:rPr>
        <w:t xml:space="preserve"> scenarios were multiplied by the average risk of road injuries per km travelled – estimated for each mode and averaged by municipality of residence. </w:t>
      </w:r>
    </w:p>
    <w:p w14:paraId="2F88F2E0" w14:textId="77777777" w:rsidR="0020075B" w:rsidRPr="001F566E" w:rsidRDefault="0020075B" w:rsidP="00890789">
      <w:pPr>
        <w:tabs>
          <w:tab w:val="left" w:pos="8440"/>
        </w:tabs>
        <w:spacing w:after="0" w:line="480" w:lineRule="auto"/>
        <w:jc w:val="both"/>
        <w:rPr>
          <w:rFonts w:ascii="Times New Roman" w:hAnsi="Times New Roman" w:cs="Times New Roman"/>
          <w:sz w:val="24"/>
          <w:szCs w:val="24"/>
          <w:lang w:val="en-CA"/>
        </w:rPr>
      </w:pPr>
    </w:p>
    <w:p w14:paraId="33DA519E" w14:textId="77777777" w:rsidR="0020075B" w:rsidRPr="001F566E" w:rsidRDefault="0020075B" w:rsidP="00890789">
      <w:pPr>
        <w:tabs>
          <w:tab w:val="left" w:pos="8440"/>
        </w:tabs>
        <w:spacing w:after="0" w:line="480" w:lineRule="auto"/>
        <w:jc w:val="both"/>
        <w:rPr>
          <w:rFonts w:ascii="Times New Roman" w:hAnsi="Times New Roman" w:cs="Times New Roman"/>
          <w:sz w:val="24"/>
          <w:szCs w:val="24"/>
          <w:lang w:val="en-CA"/>
        </w:rPr>
      </w:pPr>
      <w:r w:rsidRPr="001F566E">
        <w:rPr>
          <w:rFonts w:ascii="Times New Roman" w:hAnsi="Times New Roman" w:cs="Times New Roman"/>
          <w:sz w:val="24"/>
          <w:szCs w:val="24"/>
          <w:lang w:val="en-CA"/>
        </w:rPr>
        <w:t>First, the da</w:t>
      </w:r>
      <w:r w:rsidRPr="00F33A42">
        <w:rPr>
          <w:rFonts w:ascii="Times New Roman" w:hAnsi="Times New Roman" w:cs="Times New Roman"/>
          <w:sz w:val="24"/>
          <w:szCs w:val="24"/>
          <w:lang w:val="en-CA"/>
        </w:rPr>
        <w:t xml:space="preserve">ily risks of injuries in 2008 were estimated on the road network, for each mode, using injury data from police reports </w:t>
      </w:r>
      <w:r w:rsidR="00B5604A">
        <w:rPr>
          <w:rFonts w:ascii="Times New Roman" w:hAnsi="Times New Roman" w:cs="Times New Roman"/>
          <w:sz w:val="24"/>
          <w:szCs w:val="24"/>
          <w:lang w:val="en-CA"/>
        </w:rPr>
        <w:t xml:space="preserve">for the years </w:t>
      </w:r>
      <w:r w:rsidRPr="00F33A42">
        <w:rPr>
          <w:rFonts w:ascii="Times New Roman" w:hAnsi="Times New Roman" w:cs="Times New Roman"/>
          <w:sz w:val="24"/>
          <w:szCs w:val="24"/>
          <w:lang w:val="en-CA"/>
        </w:rPr>
        <w:t>2006 to 2010</w:t>
      </w:r>
      <w:r w:rsidR="00B5604A">
        <w:rPr>
          <w:rFonts w:ascii="Times New Roman" w:hAnsi="Times New Roman" w:cs="Times New Roman"/>
          <w:sz w:val="24"/>
          <w:szCs w:val="24"/>
          <w:lang w:val="en-CA"/>
        </w:rPr>
        <w:t xml:space="preserve"> (</w:t>
      </w:r>
      <w:r w:rsidRPr="00F33A42">
        <w:rPr>
          <w:rFonts w:ascii="Times New Roman" w:hAnsi="Times New Roman" w:cs="Times New Roman"/>
          <w:sz w:val="24"/>
          <w:szCs w:val="24"/>
          <w:lang w:val="en-CA"/>
        </w:rPr>
        <w:t>SAAQ</w:t>
      </w:r>
      <w:r w:rsidR="00B5604A">
        <w:rPr>
          <w:rFonts w:ascii="Times New Roman" w:hAnsi="Times New Roman" w:cs="Times New Roman"/>
          <w:sz w:val="24"/>
          <w:szCs w:val="24"/>
          <w:lang w:val="en-CA"/>
        </w:rPr>
        <w:t>, 2010</w:t>
      </w:r>
      <w:r w:rsidRPr="00F33A42">
        <w:rPr>
          <w:rFonts w:ascii="Times New Roman" w:hAnsi="Times New Roman" w:cs="Times New Roman"/>
          <w:sz w:val="24"/>
          <w:szCs w:val="24"/>
          <w:lang w:val="en-CA"/>
        </w:rPr>
        <w:t xml:space="preserve">) and the trips of the 2008 Origin-Destination (O-D) survey </w:t>
      </w:r>
      <w:r w:rsidRPr="001F566E">
        <w:rPr>
          <w:rFonts w:ascii="Times New Roman" w:hAnsi="Times New Roman" w:cs="Times New Roman"/>
          <w:sz w:val="24"/>
          <w:szCs w:val="24"/>
          <w:lang w:val="en-CA"/>
        </w:rPr>
        <w:t xml:space="preserve">(see Appendix, section 3 and 4) as follows. </w:t>
      </w:r>
      <w:r w:rsidRPr="00F33A42">
        <w:rPr>
          <w:rFonts w:ascii="Times New Roman" w:hAnsi="Times New Roman" w:cs="Times New Roman"/>
          <w:sz w:val="24"/>
          <w:szCs w:val="24"/>
          <w:lang w:val="en-CA"/>
        </w:rPr>
        <w:t>For each road user type, z</w:t>
      </w:r>
      <w:r w:rsidRPr="001F566E">
        <w:rPr>
          <w:rFonts w:ascii="Times New Roman" w:hAnsi="Times New Roman" w:cs="Times New Roman"/>
          <w:sz w:val="24"/>
          <w:szCs w:val="24"/>
          <w:lang w:val="en-CA"/>
        </w:rPr>
        <w:t>ero inflated binomial negative regression models were used to predict the daily number of injuries</w:t>
      </w:r>
      <w:r w:rsidRPr="00F33A42">
        <w:rPr>
          <w:rFonts w:ascii="Times New Roman" w:hAnsi="Times New Roman" w:cs="Times New Roman"/>
          <w:sz w:val="24"/>
          <w:szCs w:val="24"/>
          <w:lang w:val="en-CA"/>
        </w:rPr>
        <w:t xml:space="preserve"> per crossing (at intersections) and per passeng</w:t>
      </w:r>
      <w:r w:rsidR="00842043">
        <w:rPr>
          <w:rFonts w:ascii="Times New Roman" w:hAnsi="Times New Roman" w:cs="Times New Roman"/>
          <w:sz w:val="24"/>
          <w:szCs w:val="24"/>
          <w:lang w:val="en-CA"/>
        </w:rPr>
        <w:t xml:space="preserve">er-kilometre (on road segments) </w:t>
      </w:r>
      <w:r w:rsidRPr="00F33A42">
        <w:rPr>
          <w:rFonts w:ascii="Times New Roman" w:hAnsi="Times New Roman" w:cs="Times New Roman"/>
          <w:sz w:val="24"/>
          <w:szCs w:val="24"/>
          <w:lang w:val="en-CA"/>
        </w:rPr>
        <w:t>with, as predictors, the number of people using that transportation mode (car occupants, bus occupants, p</w:t>
      </w:r>
      <w:r w:rsidRPr="001F566E">
        <w:rPr>
          <w:rFonts w:ascii="Times New Roman" w:hAnsi="Times New Roman" w:cs="Times New Roman"/>
          <w:sz w:val="24"/>
          <w:szCs w:val="24"/>
          <w:lang w:val="en-CA"/>
        </w:rPr>
        <w:t>edestrians, cyclists), road length (on road segments), number of cars (for pedestrians and cyclists), number of lanes, number of approaches, presence of arterials, region, and time of day (for car occupants). Injury risk on highways was computed separately as the number of observed injuries divided by total number of passenger-kilometres for each highway. Second, the proportion of severe and fatal injuries observed in 2006-2010, for each mode and according to crash location (intersections vs road segments vs highways; Montreal island vs its surrounding), was multiplied by the estimated number of injuries.</w:t>
      </w:r>
    </w:p>
    <w:p w14:paraId="5979F6DC" w14:textId="77777777" w:rsidR="0020075B" w:rsidRPr="001F566E" w:rsidRDefault="0020075B" w:rsidP="00890789">
      <w:pPr>
        <w:tabs>
          <w:tab w:val="left" w:pos="8440"/>
        </w:tabs>
        <w:spacing w:after="0" w:line="480" w:lineRule="auto"/>
        <w:jc w:val="both"/>
        <w:rPr>
          <w:rFonts w:ascii="Times New Roman" w:hAnsi="Times New Roman" w:cs="Times New Roman"/>
          <w:sz w:val="24"/>
          <w:szCs w:val="24"/>
          <w:lang w:val="en-CA"/>
        </w:rPr>
      </w:pPr>
    </w:p>
    <w:p w14:paraId="3700354E" w14:textId="77777777" w:rsidR="0020075B" w:rsidRPr="001F566E" w:rsidRDefault="0020075B" w:rsidP="00890789">
      <w:pPr>
        <w:tabs>
          <w:tab w:val="left" w:pos="8440"/>
        </w:tabs>
        <w:spacing w:after="0" w:line="480" w:lineRule="auto"/>
        <w:jc w:val="both"/>
        <w:rPr>
          <w:rFonts w:ascii="Times New Roman" w:hAnsi="Times New Roman" w:cs="Times New Roman"/>
          <w:sz w:val="24"/>
          <w:szCs w:val="24"/>
          <w:lang w:val="en-CA"/>
        </w:rPr>
      </w:pPr>
      <w:r w:rsidRPr="001F566E">
        <w:rPr>
          <w:rFonts w:ascii="Times New Roman" w:hAnsi="Times New Roman" w:cs="Times New Roman"/>
          <w:sz w:val="24"/>
          <w:szCs w:val="24"/>
          <w:lang w:val="en-CA"/>
        </w:rPr>
        <w:t xml:space="preserve">Third, severe and fatal injuries were aggregated at the trip level, and at the municipality level (of </w:t>
      </w:r>
      <w:r w:rsidRPr="00961277">
        <w:rPr>
          <w:rFonts w:ascii="Times New Roman" w:hAnsi="Times New Roman" w:cs="Times New Roman"/>
          <w:sz w:val="24"/>
          <w:szCs w:val="24"/>
          <w:lang w:val="en-CA"/>
        </w:rPr>
        <w:t xml:space="preserve">residence) taking into account the 2008 O-D survey </w:t>
      </w:r>
      <w:r w:rsidR="00961277" w:rsidRPr="00961277">
        <w:rPr>
          <w:rFonts w:ascii="Times New Roman" w:hAnsi="Times New Roman" w:cs="Times New Roman"/>
          <w:sz w:val="24"/>
          <w:szCs w:val="24"/>
          <w:lang w:val="en-CA"/>
        </w:rPr>
        <w:t>“</w:t>
      </w:r>
      <w:r w:rsidRPr="00961277">
        <w:rPr>
          <w:rFonts w:ascii="Times New Roman" w:hAnsi="Times New Roman" w:cs="Times New Roman"/>
          <w:sz w:val="24"/>
          <w:szCs w:val="24"/>
          <w:lang w:val="en-CA"/>
        </w:rPr>
        <w:t xml:space="preserve">individual </w:t>
      </w:r>
      <w:r w:rsidR="00961277" w:rsidRPr="00961277">
        <w:rPr>
          <w:rFonts w:ascii="Times New Roman" w:hAnsi="Times New Roman" w:cs="Times New Roman"/>
          <w:sz w:val="24"/>
          <w:szCs w:val="24"/>
          <w:lang w:val="en-CA"/>
        </w:rPr>
        <w:t>weights”</w:t>
      </w:r>
      <w:r w:rsidRPr="00961277">
        <w:rPr>
          <w:rFonts w:ascii="Times New Roman" w:hAnsi="Times New Roman" w:cs="Times New Roman"/>
          <w:sz w:val="24"/>
          <w:szCs w:val="24"/>
          <w:lang w:val="en-CA"/>
        </w:rPr>
        <w:t>. Fourth, the predicted</w:t>
      </w:r>
      <w:r w:rsidRPr="001F566E">
        <w:rPr>
          <w:rFonts w:ascii="Times New Roman" w:hAnsi="Times New Roman" w:cs="Times New Roman"/>
          <w:sz w:val="24"/>
          <w:szCs w:val="24"/>
          <w:lang w:val="en-CA"/>
        </w:rPr>
        <w:t xml:space="preserve"> number of severe and fatal injuries for all residents of a municipality was divided by their kilometers travelled to obtain 2008 “averaged risks of traumas” per kilometers travelled per mode </w:t>
      </w:r>
      <w:r w:rsidRPr="001F566E">
        <w:rPr>
          <w:rFonts w:ascii="Times New Roman" w:hAnsi="Times New Roman" w:cs="Times New Roman"/>
          <w:sz w:val="24"/>
          <w:szCs w:val="24"/>
          <w:lang w:val="en-CA"/>
        </w:rPr>
        <w:lastRenderedPageBreak/>
        <w:t>and municipality of residence. Finally, as mentioned above, these 2008 average risks of road traumas</w:t>
      </w:r>
      <w:r w:rsidR="000326F0">
        <w:rPr>
          <w:rFonts w:ascii="Times New Roman" w:hAnsi="Times New Roman" w:cs="Times New Roman"/>
          <w:sz w:val="24"/>
          <w:szCs w:val="24"/>
          <w:lang w:val="en-CA"/>
        </w:rPr>
        <w:t xml:space="preserve"> </w:t>
      </w:r>
      <w:r w:rsidRPr="001F566E">
        <w:rPr>
          <w:rFonts w:ascii="Times New Roman" w:hAnsi="Times New Roman" w:cs="Times New Roman"/>
          <w:sz w:val="24"/>
          <w:szCs w:val="24"/>
          <w:lang w:val="en-CA"/>
        </w:rPr>
        <w:t xml:space="preserve">were multiplied by the kilometers travelled in </w:t>
      </w:r>
      <w:r w:rsidR="00F46BD2">
        <w:rPr>
          <w:rFonts w:ascii="Times New Roman" w:hAnsi="Times New Roman" w:cs="Times New Roman"/>
          <w:sz w:val="24"/>
          <w:szCs w:val="24"/>
          <w:lang w:val="en-CA"/>
        </w:rPr>
        <w:t>Y2061</w:t>
      </w:r>
      <w:r w:rsidRPr="001F566E">
        <w:rPr>
          <w:rFonts w:ascii="Times New Roman" w:hAnsi="Times New Roman" w:cs="Times New Roman"/>
          <w:sz w:val="24"/>
          <w:szCs w:val="24"/>
          <w:lang w:val="en-CA"/>
        </w:rPr>
        <w:t xml:space="preserve"> to calculate the number of traumas in </w:t>
      </w:r>
      <w:r w:rsidR="00F46BD2">
        <w:rPr>
          <w:rFonts w:ascii="Times New Roman" w:hAnsi="Times New Roman" w:cs="Times New Roman"/>
          <w:sz w:val="24"/>
          <w:szCs w:val="24"/>
          <w:lang w:val="en-CA"/>
        </w:rPr>
        <w:t>Y2061</w:t>
      </w:r>
      <w:r w:rsidRPr="001F566E">
        <w:rPr>
          <w:rFonts w:ascii="Times New Roman" w:hAnsi="Times New Roman" w:cs="Times New Roman"/>
          <w:sz w:val="24"/>
          <w:szCs w:val="24"/>
          <w:lang w:val="en-CA"/>
        </w:rPr>
        <w:t>.</w:t>
      </w:r>
    </w:p>
    <w:p w14:paraId="1E09D3F2" w14:textId="77777777" w:rsidR="0020075B" w:rsidRPr="001F566E" w:rsidRDefault="0020075B" w:rsidP="00890789">
      <w:pPr>
        <w:tabs>
          <w:tab w:val="left" w:pos="8440"/>
        </w:tabs>
        <w:spacing w:after="0" w:line="480" w:lineRule="auto"/>
        <w:jc w:val="both"/>
        <w:rPr>
          <w:rFonts w:ascii="Times New Roman" w:hAnsi="Times New Roman" w:cs="Times New Roman"/>
          <w:sz w:val="24"/>
          <w:szCs w:val="24"/>
          <w:lang w:val="en-CA"/>
        </w:rPr>
      </w:pPr>
    </w:p>
    <w:p w14:paraId="7A149FE3" w14:textId="77777777" w:rsidR="0020075B" w:rsidRPr="00F33A42" w:rsidRDefault="0020075B" w:rsidP="00890789">
      <w:pPr>
        <w:tabs>
          <w:tab w:val="left" w:pos="8440"/>
        </w:tabs>
        <w:spacing w:after="0" w:line="480" w:lineRule="auto"/>
        <w:jc w:val="both"/>
        <w:rPr>
          <w:rFonts w:ascii="Times New Roman" w:hAnsi="Times New Roman" w:cs="Times New Roman"/>
          <w:sz w:val="24"/>
          <w:szCs w:val="24"/>
          <w:lang w:val="en-CA"/>
        </w:rPr>
      </w:pPr>
      <w:r w:rsidRPr="001F566E">
        <w:rPr>
          <w:rFonts w:ascii="Times New Roman" w:hAnsi="Times New Roman" w:cs="Times New Roman"/>
          <w:sz w:val="24"/>
          <w:szCs w:val="24"/>
          <w:lang w:val="en-CA"/>
        </w:rPr>
        <w:t xml:space="preserve">We computed DALY for road traumas from total Canadian DALY for traumas as described in Tetreault et al. 2018, except that the Canadian DALY were prior adjusted for the age and sex of the Montreal region of </w:t>
      </w:r>
      <w:r w:rsidR="00F46BD2">
        <w:rPr>
          <w:rFonts w:ascii="Times New Roman" w:hAnsi="Times New Roman" w:cs="Times New Roman"/>
          <w:sz w:val="24"/>
          <w:szCs w:val="24"/>
          <w:lang w:val="en-CA"/>
        </w:rPr>
        <w:t>Y2061</w:t>
      </w:r>
      <w:r w:rsidRPr="001F566E">
        <w:rPr>
          <w:rFonts w:ascii="Times New Roman" w:hAnsi="Times New Roman" w:cs="Times New Roman"/>
          <w:sz w:val="24"/>
          <w:szCs w:val="24"/>
          <w:lang w:val="en-CA"/>
        </w:rPr>
        <w:t>.</w:t>
      </w:r>
      <w:r w:rsidRPr="00F33A42">
        <w:rPr>
          <w:rFonts w:ascii="Times New Roman" w:hAnsi="Times New Roman" w:cs="Times New Roman"/>
          <w:sz w:val="24"/>
          <w:szCs w:val="24"/>
          <w:lang w:val="en-CA"/>
        </w:rPr>
        <w:t xml:space="preserve"> </w:t>
      </w:r>
    </w:p>
    <w:p w14:paraId="0446B16B" w14:textId="77777777" w:rsidR="00016210" w:rsidRPr="00F33A42" w:rsidRDefault="00016210" w:rsidP="00890789">
      <w:pPr>
        <w:tabs>
          <w:tab w:val="left" w:pos="8440"/>
        </w:tabs>
        <w:spacing w:after="0" w:line="480" w:lineRule="auto"/>
        <w:jc w:val="both"/>
        <w:rPr>
          <w:rFonts w:ascii="Times New Roman" w:hAnsi="Times New Roman" w:cs="Times New Roman"/>
          <w:sz w:val="24"/>
          <w:szCs w:val="24"/>
          <w:lang w:val="en-CA"/>
        </w:rPr>
      </w:pPr>
    </w:p>
    <w:p w14:paraId="2711035B" w14:textId="77777777" w:rsidR="00511203" w:rsidRPr="001F566E" w:rsidRDefault="00511203" w:rsidP="00890789">
      <w:pPr>
        <w:spacing w:after="0" w:line="480" w:lineRule="auto"/>
        <w:jc w:val="both"/>
      </w:pPr>
      <w:r w:rsidRPr="001F566E">
        <w:rPr>
          <w:rFonts w:ascii="Times New Roman" w:hAnsi="Times New Roman" w:cs="Times New Roman"/>
          <w:b/>
          <w:sz w:val="24"/>
          <w:szCs w:val="24"/>
        </w:rPr>
        <w:t>3. RESULTS</w:t>
      </w:r>
    </w:p>
    <w:p w14:paraId="52BA7759" w14:textId="77777777" w:rsidR="00511203" w:rsidRPr="001F566E" w:rsidRDefault="00511203" w:rsidP="00890789">
      <w:pPr>
        <w:spacing w:after="0" w:line="480" w:lineRule="auto"/>
        <w:jc w:val="both"/>
      </w:pPr>
      <w:r w:rsidRPr="001F566E">
        <w:rPr>
          <w:rFonts w:ascii="Times New Roman" w:hAnsi="Times New Roman" w:cs="Times New Roman"/>
          <w:b/>
          <w:sz w:val="24"/>
          <w:szCs w:val="24"/>
          <w:lang w:val="en-CA"/>
        </w:rPr>
        <w:t xml:space="preserve">3.1 Global and regional differences between </w:t>
      </w:r>
      <w:r w:rsidR="00F46BD2">
        <w:rPr>
          <w:rFonts w:ascii="Times New Roman" w:hAnsi="Times New Roman" w:cs="Times New Roman"/>
          <w:b/>
          <w:sz w:val="24"/>
          <w:szCs w:val="24"/>
          <w:lang w:val="en-CA"/>
        </w:rPr>
        <w:t>Y2061</w:t>
      </w:r>
      <w:r w:rsidR="000456F7" w:rsidRPr="001F566E">
        <w:rPr>
          <w:rFonts w:ascii="Times New Roman" w:hAnsi="Times New Roman" w:cs="Times New Roman"/>
          <w:b/>
          <w:sz w:val="24"/>
          <w:szCs w:val="24"/>
          <w:lang w:val="en-CA"/>
        </w:rPr>
        <w:t xml:space="preserve"> </w:t>
      </w:r>
      <w:r w:rsidRPr="001F566E">
        <w:rPr>
          <w:rFonts w:ascii="Times New Roman" w:hAnsi="Times New Roman" w:cs="Times New Roman"/>
          <w:b/>
          <w:sz w:val="24"/>
          <w:szCs w:val="24"/>
          <w:lang w:val="en-CA"/>
        </w:rPr>
        <w:t>scenarios</w:t>
      </w:r>
    </w:p>
    <w:p w14:paraId="56818180" w14:textId="77777777" w:rsidR="00511203" w:rsidRPr="001F566E" w:rsidRDefault="00511203" w:rsidP="00890789">
      <w:pPr>
        <w:spacing w:after="0" w:line="480" w:lineRule="auto"/>
        <w:jc w:val="both"/>
      </w:pPr>
      <w:r w:rsidRPr="001F566E">
        <w:rPr>
          <w:rFonts w:ascii="Times New Roman" w:hAnsi="Times New Roman" w:cs="Times New Roman"/>
          <w:b/>
          <w:sz w:val="24"/>
          <w:szCs w:val="24"/>
          <w:lang w:val="en-CA"/>
        </w:rPr>
        <w:t>Table</w:t>
      </w:r>
      <w:r w:rsidRPr="001F566E">
        <w:rPr>
          <w:rFonts w:ascii="Times New Roman" w:hAnsi="Times New Roman" w:cs="Times New Roman"/>
          <w:sz w:val="24"/>
          <w:szCs w:val="24"/>
          <w:lang w:val="en-CA"/>
        </w:rPr>
        <w:t xml:space="preserve"> </w:t>
      </w:r>
      <w:r w:rsidR="0019057E" w:rsidRPr="001F566E">
        <w:rPr>
          <w:rFonts w:ascii="Times New Roman" w:hAnsi="Times New Roman" w:cs="Times New Roman"/>
          <w:sz w:val="24"/>
          <w:szCs w:val="24"/>
          <w:lang w:val="en-CA"/>
        </w:rPr>
        <w:t>1</w:t>
      </w:r>
      <w:r w:rsidRPr="001F566E">
        <w:rPr>
          <w:rFonts w:ascii="Times New Roman" w:hAnsi="Times New Roman" w:cs="Times New Roman"/>
          <w:sz w:val="24"/>
          <w:szCs w:val="24"/>
          <w:lang w:val="en-CA"/>
        </w:rPr>
        <w:t xml:space="preserve"> presents, for the entire study area (global results), travel modes and distances travelled in </w:t>
      </w:r>
      <w:r w:rsidR="00F46BD2">
        <w:rPr>
          <w:rFonts w:ascii="Times New Roman" w:hAnsi="Times New Roman" w:cs="Times New Roman"/>
          <w:sz w:val="24"/>
          <w:szCs w:val="24"/>
          <w:lang w:val="en-CA"/>
        </w:rPr>
        <w:t>Y2061</w:t>
      </w:r>
      <w:r w:rsidRPr="001F566E">
        <w:rPr>
          <w:rFonts w:ascii="Times New Roman" w:hAnsi="Times New Roman" w:cs="Times New Roman"/>
          <w:sz w:val="24"/>
          <w:szCs w:val="24"/>
          <w:lang w:val="en-CA"/>
        </w:rPr>
        <w:t xml:space="preserve"> for the BAU, where the population followed past </w:t>
      </w:r>
      <w:r w:rsidR="00DF6DB4" w:rsidRPr="001F566E">
        <w:rPr>
          <w:rFonts w:ascii="Times New Roman" w:hAnsi="Times New Roman" w:cs="Times New Roman"/>
          <w:sz w:val="24"/>
          <w:szCs w:val="24"/>
          <w:lang w:val="en-CA"/>
        </w:rPr>
        <w:t xml:space="preserve">trends </w:t>
      </w:r>
      <w:r w:rsidRPr="001F566E">
        <w:rPr>
          <w:rFonts w:ascii="Times New Roman" w:hAnsi="Times New Roman" w:cs="Times New Roman"/>
          <w:sz w:val="24"/>
          <w:szCs w:val="24"/>
          <w:lang w:val="en-CA"/>
        </w:rPr>
        <w:t xml:space="preserve">and modal shares remained unchanged, and for the </w:t>
      </w:r>
      <w:r w:rsidR="006570D9" w:rsidRPr="001F566E">
        <w:rPr>
          <w:rFonts w:ascii="Times New Roman" w:hAnsi="Times New Roman" w:cs="Times New Roman"/>
          <w:sz w:val="24"/>
          <w:szCs w:val="24"/>
          <w:lang w:val="en-CA"/>
        </w:rPr>
        <w:t>Optimal</w:t>
      </w:r>
      <w:r w:rsidR="0010069D" w:rsidRPr="001F566E">
        <w:rPr>
          <w:rFonts w:ascii="Times New Roman" w:hAnsi="Times New Roman" w:cs="Times New Roman"/>
          <w:sz w:val="24"/>
          <w:szCs w:val="24"/>
          <w:lang w:val="en-CA"/>
        </w:rPr>
        <w:t xml:space="preserve"> </w:t>
      </w:r>
      <w:r w:rsidRPr="001F566E">
        <w:rPr>
          <w:rFonts w:ascii="Times New Roman" w:hAnsi="Times New Roman" w:cs="Times New Roman"/>
          <w:sz w:val="24"/>
          <w:szCs w:val="24"/>
          <w:lang w:val="en-CA"/>
        </w:rPr>
        <w:t>scenarios, with population densification in the urban core and changes in modal shares</w:t>
      </w:r>
      <w:r w:rsidR="00F83B60" w:rsidRPr="001F566E">
        <w:rPr>
          <w:rFonts w:ascii="Times New Roman" w:hAnsi="Times New Roman" w:cs="Times New Roman"/>
          <w:sz w:val="24"/>
          <w:szCs w:val="24"/>
          <w:lang w:val="en-CA"/>
        </w:rPr>
        <w:t>.</w:t>
      </w:r>
      <w:r w:rsidR="00FB5EBD" w:rsidRPr="001F566E">
        <w:rPr>
          <w:rFonts w:ascii="Times New Roman" w:hAnsi="Times New Roman" w:cs="Times New Roman"/>
          <w:sz w:val="24"/>
          <w:szCs w:val="24"/>
          <w:lang w:val="en-CA"/>
        </w:rPr>
        <w:t xml:space="preserve"> </w:t>
      </w:r>
    </w:p>
    <w:p w14:paraId="4151E21E" w14:textId="77777777" w:rsidR="00511203" w:rsidRPr="001F566E" w:rsidRDefault="00511203" w:rsidP="00890789">
      <w:pPr>
        <w:spacing w:after="0" w:line="480" w:lineRule="auto"/>
        <w:jc w:val="both"/>
        <w:rPr>
          <w:rFonts w:ascii="Times New Roman" w:hAnsi="Times New Roman" w:cs="Times New Roman"/>
          <w:sz w:val="24"/>
          <w:szCs w:val="24"/>
          <w:lang w:val="en-CA"/>
        </w:rPr>
      </w:pPr>
    </w:p>
    <w:p w14:paraId="7D5C71D6" w14:textId="77777777" w:rsidR="00F03B06" w:rsidRDefault="00511203" w:rsidP="00270D39">
      <w:pPr>
        <w:spacing w:after="0" w:line="480" w:lineRule="auto"/>
        <w:jc w:val="both"/>
        <w:rPr>
          <w:rFonts w:ascii="Times New Roman" w:hAnsi="Times New Roman" w:cs="Times New Roman"/>
          <w:sz w:val="24"/>
          <w:szCs w:val="24"/>
          <w:lang w:val="en-CA"/>
        </w:rPr>
      </w:pPr>
      <w:r w:rsidRPr="001F566E">
        <w:rPr>
          <w:rFonts w:ascii="Times New Roman" w:hAnsi="Times New Roman" w:cs="Times New Roman"/>
          <w:sz w:val="24"/>
          <w:szCs w:val="24"/>
          <w:lang w:val="en-CA"/>
        </w:rPr>
        <w:t xml:space="preserve">Compared to the BAU, walking and public transit use and corresponding distances walked were more than 70% higher for the </w:t>
      </w:r>
      <w:r w:rsidR="0010069D" w:rsidRPr="001F566E">
        <w:rPr>
          <w:rFonts w:ascii="Times New Roman" w:hAnsi="Times New Roman" w:cs="Times New Roman"/>
          <w:sz w:val="24"/>
          <w:szCs w:val="24"/>
          <w:lang w:val="en-CA"/>
        </w:rPr>
        <w:t>O</w:t>
      </w:r>
      <w:r w:rsidR="006570D9" w:rsidRPr="001F566E">
        <w:rPr>
          <w:rFonts w:ascii="Times New Roman" w:hAnsi="Times New Roman" w:cs="Times New Roman"/>
          <w:sz w:val="24"/>
          <w:szCs w:val="24"/>
          <w:lang w:val="en-CA"/>
        </w:rPr>
        <w:t>ptimal</w:t>
      </w:r>
      <w:r w:rsidR="0010069D" w:rsidRPr="001F566E">
        <w:rPr>
          <w:rFonts w:ascii="Times New Roman" w:hAnsi="Times New Roman" w:cs="Times New Roman"/>
          <w:sz w:val="24"/>
          <w:szCs w:val="24"/>
          <w:lang w:val="en-CA"/>
        </w:rPr>
        <w:t xml:space="preserve"> </w:t>
      </w:r>
      <w:r w:rsidRPr="001F566E">
        <w:rPr>
          <w:rFonts w:ascii="Times New Roman" w:hAnsi="Times New Roman" w:cs="Times New Roman"/>
          <w:sz w:val="24"/>
          <w:szCs w:val="24"/>
          <w:lang w:val="en-CA"/>
        </w:rPr>
        <w:t>scenario without teleworking/schooling</w:t>
      </w:r>
      <w:r w:rsidR="00735850" w:rsidRPr="001F566E">
        <w:rPr>
          <w:rFonts w:ascii="Times New Roman" w:hAnsi="Times New Roman" w:cs="Times New Roman"/>
          <w:sz w:val="24"/>
          <w:szCs w:val="24"/>
          <w:lang w:val="en-CA"/>
        </w:rPr>
        <w:t xml:space="preserve"> in </w:t>
      </w:r>
      <w:r w:rsidR="00F46BD2">
        <w:rPr>
          <w:rFonts w:ascii="Times New Roman" w:hAnsi="Times New Roman" w:cs="Times New Roman"/>
          <w:sz w:val="24"/>
          <w:szCs w:val="24"/>
          <w:lang w:val="en-CA"/>
        </w:rPr>
        <w:t>Y2061</w:t>
      </w:r>
      <w:r w:rsidRPr="001F566E">
        <w:rPr>
          <w:rFonts w:ascii="Times New Roman" w:hAnsi="Times New Roman" w:cs="Times New Roman"/>
          <w:sz w:val="24"/>
          <w:szCs w:val="24"/>
          <w:lang w:val="en-CA"/>
        </w:rPr>
        <w:t xml:space="preserve">, while car share and distances were lower. The car share of the scenario with teleworking/schooling was however lower than without, and up to 50% compared to the BAU. These variations include those of demographic changes (i.e. aging) which are, however, identical for all scenarios. </w:t>
      </w:r>
    </w:p>
    <w:p w14:paraId="5E880FE2" w14:textId="77777777" w:rsidR="00F03B06" w:rsidRDefault="00F03B06" w:rsidP="00270D39">
      <w:pPr>
        <w:spacing w:after="0" w:line="480" w:lineRule="auto"/>
        <w:jc w:val="both"/>
        <w:rPr>
          <w:rFonts w:ascii="Times New Roman" w:hAnsi="Times New Roman" w:cs="Times New Roman"/>
          <w:sz w:val="24"/>
          <w:szCs w:val="24"/>
          <w:lang w:val="en-CA"/>
        </w:rPr>
      </w:pPr>
    </w:p>
    <w:p w14:paraId="24D635BB" w14:textId="77777777" w:rsidR="00687056" w:rsidRPr="001F566E" w:rsidRDefault="00687056" w:rsidP="00270D39">
      <w:pPr>
        <w:spacing w:after="0" w:line="480" w:lineRule="auto"/>
        <w:jc w:val="both"/>
        <w:rPr>
          <w:rFonts w:ascii="Times New Roman" w:hAnsi="Times New Roman" w:cs="Times New Roman"/>
          <w:sz w:val="24"/>
          <w:szCs w:val="24"/>
        </w:rPr>
      </w:pPr>
      <w:r w:rsidRPr="001F566E">
        <w:rPr>
          <w:rFonts w:ascii="Times New Roman" w:hAnsi="Times New Roman" w:cs="Times New Roman"/>
          <w:b/>
          <w:sz w:val="24"/>
          <w:szCs w:val="24"/>
        </w:rPr>
        <w:t>Table 1</w:t>
      </w:r>
      <w:r w:rsidRPr="001F566E">
        <w:rPr>
          <w:rFonts w:ascii="Times New Roman" w:hAnsi="Times New Roman" w:cs="Times New Roman"/>
          <w:sz w:val="24"/>
          <w:szCs w:val="24"/>
        </w:rPr>
        <w:t xml:space="preserve"> – Description of estimated exposures linked to transportation patterns in BAU and other scenarios for the greater Montreal in </w:t>
      </w:r>
      <w:r w:rsidR="00F46BD2">
        <w:rPr>
          <w:rFonts w:ascii="Times New Roman" w:hAnsi="Times New Roman" w:cs="Times New Roman"/>
          <w:sz w:val="24"/>
          <w:szCs w:val="24"/>
        </w:rPr>
        <w:t>Y2061</w:t>
      </w:r>
      <w:r w:rsidRPr="001F566E">
        <w:rPr>
          <w:rFonts w:ascii="Times New Roman" w:hAnsi="Times New Roman" w:cs="Times New Roman"/>
          <w:sz w:val="24"/>
          <w:szCs w:val="24"/>
        </w:rPr>
        <w:t>.</w:t>
      </w:r>
    </w:p>
    <w:p w14:paraId="48D81E99" w14:textId="77777777" w:rsidR="00687056" w:rsidRPr="001F566E" w:rsidRDefault="00687056" w:rsidP="00890789">
      <w:pPr>
        <w:spacing w:after="0" w:line="480" w:lineRule="auto"/>
        <w:jc w:val="both"/>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firstRow="0" w:lastRow="0" w:firstColumn="0" w:lastColumn="0" w:noHBand="0" w:noVBand="0"/>
      </w:tblPr>
      <w:tblGrid>
        <w:gridCol w:w="1431"/>
        <w:gridCol w:w="3143"/>
        <w:gridCol w:w="1493"/>
        <w:gridCol w:w="1701"/>
        <w:gridCol w:w="709"/>
        <w:gridCol w:w="1412"/>
        <w:gridCol w:w="710"/>
      </w:tblGrid>
      <w:tr w:rsidR="00687056" w:rsidRPr="001F566E" w14:paraId="5E9DFE79" w14:textId="77777777" w:rsidTr="004641D5">
        <w:trPr>
          <w:trHeight w:val="164"/>
        </w:trPr>
        <w:tc>
          <w:tcPr>
            <w:tcW w:w="1431" w:type="dxa"/>
            <w:shd w:val="clear" w:color="auto" w:fill="auto"/>
          </w:tcPr>
          <w:p w14:paraId="261AC15B" w14:textId="77777777" w:rsidR="00687056" w:rsidRPr="001F566E" w:rsidRDefault="00687056" w:rsidP="00890789">
            <w:pPr>
              <w:spacing w:after="0" w:line="480" w:lineRule="auto"/>
              <w:jc w:val="both"/>
              <w:rPr>
                <w:rFonts w:ascii="Times New Roman" w:hAnsi="Times New Roman" w:cs="Times New Roman"/>
                <w:b/>
                <w:sz w:val="20"/>
                <w:szCs w:val="20"/>
                <w:lang w:val="pt-BR"/>
              </w:rPr>
            </w:pPr>
          </w:p>
        </w:tc>
        <w:tc>
          <w:tcPr>
            <w:tcW w:w="3143" w:type="dxa"/>
            <w:shd w:val="clear" w:color="auto" w:fill="auto"/>
          </w:tcPr>
          <w:p w14:paraId="6B787781" w14:textId="77777777" w:rsidR="00687056" w:rsidRPr="001F566E" w:rsidRDefault="00687056" w:rsidP="00890789">
            <w:pPr>
              <w:spacing w:after="0" w:line="480" w:lineRule="auto"/>
              <w:jc w:val="center"/>
            </w:pPr>
            <w:r w:rsidRPr="001F566E">
              <w:rPr>
                <w:rFonts w:ascii="Times New Roman" w:hAnsi="Times New Roman" w:cs="Times New Roman"/>
                <w:b/>
                <w:sz w:val="20"/>
                <w:szCs w:val="20"/>
                <w:lang w:val="pt-BR"/>
              </w:rPr>
              <w:t>Mode</w:t>
            </w:r>
          </w:p>
        </w:tc>
        <w:tc>
          <w:tcPr>
            <w:tcW w:w="1493" w:type="dxa"/>
            <w:shd w:val="clear" w:color="auto" w:fill="auto"/>
          </w:tcPr>
          <w:p w14:paraId="078D7997" w14:textId="77777777" w:rsidR="00687056" w:rsidRPr="001F566E" w:rsidRDefault="00687056" w:rsidP="00890789">
            <w:pPr>
              <w:spacing w:after="0" w:line="480" w:lineRule="auto"/>
              <w:jc w:val="center"/>
            </w:pPr>
            <w:r w:rsidRPr="001F566E">
              <w:rPr>
                <w:rFonts w:ascii="Times New Roman" w:hAnsi="Times New Roman" w:cs="Times New Roman"/>
                <w:b/>
                <w:sz w:val="20"/>
                <w:szCs w:val="20"/>
                <w:lang w:val="pt-BR"/>
              </w:rPr>
              <w:t>BAU</w:t>
            </w:r>
          </w:p>
        </w:tc>
        <w:tc>
          <w:tcPr>
            <w:tcW w:w="1701" w:type="dxa"/>
            <w:shd w:val="clear" w:color="auto" w:fill="auto"/>
          </w:tcPr>
          <w:p w14:paraId="597E54B8" w14:textId="77777777" w:rsidR="00687056" w:rsidRPr="001F566E" w:rsidRDefault="00687056" w:rsidP="00890789">
            <w:pPr>
              <w:spacing w:after="0" w:line="480" w:lineRule="auto"/>
              <w:jc w:val="center"/>
            </w:pPr>
            <w:r w:rsidRPr="001F566E">
              <w:rPr>
                <w:rFonts w:ascii="Times New Roman" w:hAnsi="Times New Roman" w:cs="Times New Roman"/>
                <w:b/>
                <w:sz w:val="20"/>
                <w:szCs w:val="20"/>
                <w:lang w:val="pt-BR"/>
              </w:rPr>
              <w:t>Optimal</w:t>
            </w:r>
            <w:r>
              <w:rPr>
                <w:rFonts w:ascii="Times New Roman" w:hAnsi="Times New Roman" w:cs="Times New Roman"/>
                <w:b/>
                <w:sz w:val="20"/>
                <w:szCs w:val="20"/>
                <w:lang w:val="pt-BR"/>
              </w:rPr>
              <w:t xml:space="preserve"> </w:t>
            </w:r>
            <w:r w:rsidRPr="001F566E">
              <w:rPr>
                <w:rFonts w:ascii="Times New Roman" w:hAnsi="Times New Roman" w:cs="Times New Roman"/>
                <w:b/>
                <w:sz w:val="20"/>
                <w:szCs w:val="20"/>
                <w:lang w:val="pt-BR"/>
              </w:rPr>
              <w:t>without teleworking/</w:t>
            </w:r>
          </w:p>
          <w:p w14:paraId="5E84FFE4" w14:textId="77777777" w:rsidR="00687056" w:rsidRPr="001F566E" w:rsidRDefault="00687056" w:rsidP="00890789">
            <w:pPr>
              <w:spacing w:after="0" w:line="480" w:lineRule="auto"/>
              <w:jc w:val="center"/>
            </w:pPr>
            <w:r w:rsidRPr="001F566E">
              <w:rPr>
                <w:rFonts w:ascii="Times New Roman" w:hAnsi="Times New Roman" w:cs="Times New Roman"/>
                <w:b/>
                <w:sz w:val="20"/>
                <w:szCs w:val="20"/>
                <w:lang w:val="pt-BR"/>
              </w:rPr>
              <w:t xml:space="preserve">schooling </w:t>
            </w:r>
          </w:p>
        </w:tc>
        <w:tc>
          <w:tcPr>
            <w:tcW w:w="709" w:type="dxa"/>
            <w:shd w:val="clear" w:color="auto" w:fill="auto"/>
          </w:tcPr>
          <w:p w14:paraId="2F59C0FF" w14:textId="77777777" w:rsidR="00687056" w:rsidRPr="001F566E" w:rsidRDefault="00687056" w:rsidP="00890789">
            <w:pPr>
              <w:spacing w:after="0" w:line="480" w:lineRule="auto"/>
              <w:jc w:val="center"/>
            </w:pPr>
            <w:r w:rsidRPr="001F566E">
              <w:rPr>
                <w:rFonts w:ascii="Times New Roman" w:hAnsi="Times New Roman" w:cs="Times New Roman"/>
                <w:b/>
                <w:sz w:val="20"/>
                <w:szCs w:val="20"/>
                <w:lang w:val="pt-BR"/>
              </w:rPr>
              <w:t>%∆ vs BAU</w:t>
            </w:r>
          </w:p>
        </w:tc>
        <w:tc>
          <w:tcPr>
            <w:tcW w:w="1412" w:type="dxa"/>
            <w:shd w:val="clear" w:color="auto" w:fill="auto"/>
          </w:tcPr>
          <w:p w14:paraId="214DB115" w14:textId="77777777" w:rsidR="00687056" w:rsidRPr="001F566E" w:rsidRDefault="00687056" w:rsidP="00890789">
            <w:pPr>
              <w:spacing w:after="0" w:line="480" w:lineRule="auto"/>
              <w:jc w:val="center"/>
            </w:pPr>
            <w:r w:rsidRPr="001F566E">
              <w:rPr>
                <w:rFonts w:ascii="Times New Roman" w:hAnsi="Times New Roman" w:cs="Times New Roman"/>
                <w:b/>
                <w:sz w:val="20"/>
                <w:szCs w:val="20"/>
                <w:lang w:val="pt-BR"/>
              </w:rPr>
              <w:t>Optimal</w:t>
            </w:r>
            <w:r>
              <w:rPr>
                <w:rFonts w:ascii="Times New Roman" w:hAnsi="Times New Roman" w:cs="Times New Roman"/>
                <w:b/>
                <w:sz w:val="20"/>
                <w:szCs w:val="20"/>
                <w:lang w:val="pt-BR"/>
              </w:rPr>
              <w:t xml:space="preserve"> </w:t>
            </w:r>
            <w:r w:rsidRPr="001F566E">
              <w:rPr>
                <w:rFonts w:ascii="Times New Roman" w:hAnsi="Times New Roman" w:cs="Times New Roman"/>
                <w:b/>
                <w:sz w:val="20"/>
                <w:szCs w:val="20"/>
                <w:lang w:val="pt-BR"/>
              </w:rPr>
              <w:t>with teleworking/schooling</w:t>
            </w:r>
          </w:p>
        </w:tc>
        <w:tc>
          <w:tcPr>
            <w:tcW w:w="710" w:type="dxa"/>
            <w:shd w:val="clear" w:color="auto" w:fill="auto"/>
          </w:tcPr>
          <w:p w14:paraId="3C8F402E" w14:textId="77777777" w:rsidR="00687056" w:rsidRPr="001F566E" w:rsidRDefault="00687056" w:rsidP="00890789">
            <w:pPr>
              <w:spacing w:after="0" w:line="480" w:lineRule="auto"/>
              <w:jc w:val="center"/>
            </w:pPr>
            <w:r w:rsidRPr="001F566E">
              <w:rPr>
                <w:rFonts w:ascii="Times New Roman" w:hAnsi="Times New Roman" w:cs="Times New Roman"/>
                <w:b/>
                <w:sz w:val="20"/>
                <w:szCs w:val="20"/>
                <w:lang w:val="pt-BR"/>
              </w:rPr>
              <w:t>%∆ vs BAU</w:t>
            </w:r>
          </w:p>
        </w:tc>
      </w:tr>
      <w:tr w:rsidR="00687056" w:rsidRPr="001F566E" w14:paraId="2214C2B0" w14:textId="77777777" w:rsidTr="004641D5">
        <w:trPr>
          <w:trHeight w:val="144"/>
        </w:trPr>
        <w:tc>
          <w:tcPr>
            <w:tcW w:w="1431" w:type="dxa"/>
            <w:vMerge w:val="restart"/>
            <w:shd w:val="clear" w:color="auto" w:fill="auto"/>
            <w:vAlign w:val="center"/>
          </w:tcPr>
          <w:p w14:paraId="6E385905" w14:textId="77777777" w:rsidR="00687056" w:rsidRPr="001F566E" w:rsidRDefault="00687056" w:rsidP="00890789">
            <w:pPr>
              <w:spacing w:after="0" w:line="480" w:lineRule="auto"/>
            </w:pPr>
            <w:r w:rsidRPr="001F566E">
              <w:rPr>
                <w:rFonts w:ascii="Times New Roman" w:hAnsi="Times New Roman" w:cs="Times New Roman"/>
                <w:sz w:val="20"/>
                <w:szCs w:val="20"/>
                <w:lang w:val="en-CA"/>
              </w:rPr>
              <w:t>Number of trips per day</w:t>
            </w:r>
          </w:p>
          <w:p w14:paraId="02BC18B2" w14:textId="77777777" w:rsidR="00687056" w:rsidRPr="001F566E" w:rsidRDefault="00687056" w:rsidP="00890789">
            <w:pPr>
              <w:spacing w:after="0" w:line="480" w:lineRule="auto"/>
            </w:pPr>
            <w:r w:rsidRPr="001F566E">
              <w:rPr>
                <w:rFonts w:ascii="Times New Roman" w:hAnsi="Times New Roman" w:cs="Times New Roman"/>
                <w:sz w:val="20"/>
                <w:szCs w:val="20"/>
                <w:lang w:val="en-CA"/>
              </w:rPr>
              <w:t>(per capita)</w:t>
            </w:r>
          </w:p>
        </w:tc>
        <w:tc>
          <w:tcPr>
            <w:tcW w:w="3143" w:type="dxa"/>
            <w:shd w:val="clear" w:color="auto" w:fill="auto"/>
          </w:tcPr>
          <w:p w14:paraId="050C0C28" w14:textId="77777777" w:rsidR="00687056" w:rsidRPr="001F566E" w:rsidRDefault="00687056" w:rsidP="00890789">
            <w:pPr>
              <w:spacing w:after="0" w:line="480" w:lineRule="auto"/>
            </w:pPr>
            <w:r w:rsidRPr="001F566E">
              <w:rPr>
                <w:rFonts w:ascii="Times New Roman" w:hAnsi="Times New Roman" w:cs="Times New Roman"/>
                <w:sz w:val="20"/>
                <w:szCs w:val="20"/>
                <w:lang w:val="en-CA"/>
              </w:rPr>
              <w:t>Driving or passenger</w:t>
            </w:r>
          </w:p>
        </w:tc>
        <w:tc>
          <w:tcPr>
            <w:tcW w:w="1493" w:type="dxa"/>
            <w:shd w:val="clear" w:color="auto" w:fill="auto"/>
            <w:vAlign w:val="center"/>
          </w:tcPr>
          <w:p w14:paraId="3A3B0372"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6,961,762</w:t>
            </w:r>
          </w:p>
          <w:p w14:paraId="04FFFDA2"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( 1.32)</w:t>
            </w:r>
          </w:p>
        </w:tc>
        <w:tc>
          <w:tcPr>
            <w:tcW w:w="1701" w:type="dxa"/>
            <w:shd w:val="clear" w:color="auto" w:fill="auto"/>
            <w:vAlign w:val="center"/>
          </w:tcPr>
          <w:p w14:paraId="6BB1D025"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4,732,885</w:t>
            </w:r>
          </w:p>
          <w:p w14:paraId="1F8B004C"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(0.90)</w:t>
            </w:r>
          </w:p>
        </w:tc>
        <w:tc>
          <w:tcPr>
            <w:tcW w:w="709" w:type="dxa"/>
            <w:shd w:val="clear" w:color="auto" w:fill="auto"/>
            <w:vAlign w:val="center"/>
          </w:tcPr>
          <w:p w14:paraId="329729F8"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-32</w:t>
            </w:r>
          </w:p>
          <w:p w14:paraId="6C31D812" w14:textId="77777777" w:rsidR="00687056" w:rsidRPr="001F566E" w:rsidRDefault="00687056" w:rsidP="00890789">
            <w:pPr>
              <w:spacing w:after="0" w:line="480" w:lineRule="auto"/>
              <w:jc w:val="center"/>
              <w:rPr>
                <w:rFonts w:ascii="Times New Roman" w:hAnsi="Times New Roman" w:cs="Times New Roman"/>
                <w:sz w:val="20"/>
                <w:szCs w:val="20"/>
                <w:lang w:val="en-CA"/>
              </w:rPr>
            </w:pPr>
          </w:p>
        </w:tc>
        <w:tc>
          <w:tcPr>
            <w:tcW w:w="1412" w:type="dxa"/>
            <w:shd w:val="clear" w:color="auto" w:fill="auto"/>
          </w:tcPr>
          <w:p w14:paraId="4F3B2798"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3,492,829</w:t>
            </w:r>
          </w:p>
          <w:p w14:paraId="2B6AD234"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(0.66)</w:t>
            </w:r>
          </w:p>
        </w:tc>
        <w:tc>
          <w:tcPr>
            <w:tcW w:w="710" w:type="dxa"/>
            <w:shd w:val="clear" w:color="auto" w:fill="auto"/>
          </w:tcPr>
          <w:p w14:paraId="3C0EE284"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-50</w:t>
            </w:r>
          </w:p>
        </w:tc>
      </w:tr>
      <w:tr w:rsidR="00687056" w:rsidRPr="001F566E" w14:paraId="6DBCDBA3" w14:textId="77777777" w:rsidTr="004641D5">
        <w:trPr>
          <w:trHeight w:val="144"/>
        </w:trPr>
        <w:tc>
          <w:tcPr>
            <w:tcW w:w="1431" w:type="dxa"/>
            <w:vMerge/>
            <w:shd w:val="clear" w:color="auto" w:fill="auto"/>
            <w:vAlign w:val="center"/>
          </w:tcPr>
          <w:p w14:paraId="117DA086" w14:textId="77777777" w:rsidR="00687056" w:rsidRPr="001F566E" w:rsidRDefault="00687056" w:rsidP="00890789">
            <w:pPr>
              <w:spacing w:after="0" w:line="480" w:lineRule="auto"/>
              <w:rPr>
                <w:rFonts w:ascii="Times New Roman" w:hAnsi="Times New Roman" w:cs="Times New Roman"/>
                <w:sz w:val="20"/>
                <w:szCs w:val="20"/>
                <w:lang w:val="pt-BR"/>
              </w:rPr>
            </w:pPr>
          </w:p>
        </w:tc>
        <w:tc>
          <w:tcPr>
            <w:tcW w:w="3143" w:type="dxa"/>
            <w:shd w:val="clear" w:color="auto" w:fill="auto"/>
          </w:tcPr>
          <w:p w14:paraId="1B83EC34" w14:textId="77777777" w:rsidR="00687056" w:rsidRPr="001F566E" w:rsidRDefault="00687056" w:rsidP="00890789">
            <w:pPr>
              <w:spacing w:after="0" w:line="480" w:lineRule="auto"/>
            </w:pPr>
            <w:r w:rsidRPr="001F566E">
              <w:rPr>
                <w:rFonts w:ascii="Times New Roman" w:hAnsi="Times New Roman" w:cs="Times New Roman"/>
                <w:sz w:val="20"/>
                <w:szCs w:val="20"/>
                <w:lang w:val="en-CA"/>
              </w:rPr>
              <w:t>Public transit</w:t>
            </w:r>
          </w:p>
        </w:tc>
        <w:tc>
          <w:tcPr>
            <w:tcW w:w="1493" w:type="dxa"/>
            <w:shd w:val="clear" w:color="auto" w:fill="auto"/>
          </w:tcPr>
          <w:p w14:paraId="2F095139"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1,445,922</w:t>
            </w:r>
          </w:p>
          <w:p w14:paraId="137DB261"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(0.27)</w:t>
            </w:r>
          </w:p>
        </w:tc>
        <w:tc>
          <w:tcPr>
            <w:tcW w:w="1701" w:type="dxa"/>
            <w:shd w:val="clear" w:color="auto" w:fill="auto"/>
          </w:tcPr>
          <w:p w14:paraId="5830EF54"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2,587,465</w:t>
            </w:r>
          </w:p>
          <w:p w14:paraId="685A5D47"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(0.49)</w:t>
            </w:r>
          </w:p>
        </w:tc>
        <w:tc>
          <w:tcPr>
            <w:tcW w:w="709" w:type="dxa"/>
            <w:shd w:val="clear" w:color="auto" w:fill="auto"/>
          </w:tcPr>
          <w:p w14:paraId="6DB95EFB"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+79</w:t>
            </w:r>
          </w:p>
        </w:tc>
        <w:tc>
          <w:tcPr>
            <w:tcW w:w="1412" w:type="dxa"/>
            <w:shd w:val="clear" w:color="auto" w:fill="auto"/>
          </w:tcPr>
          <w:p w14:paraId="7B7DBC7D"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1,890,762</w:t>
            </w:r>
          </w:p>
          <w:p w14:paraId="21B50A9D"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(0.36)</w:t>
            </w:r>
          </w:p>
        </w:tc>
        <w:tc>
          <w:tcPr>
            <w:tcW w:w="710" w:type="dxa"/>
            <w:shd w:val="clear" w:color="auto" w:fill="auto"/>
          </w:tcPr>
          <w:p w14:paraId="3964DE9C"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+31</w:t>
            </w:r>
          </w:p>
        </w:tc>
      </w:tr>
      <w:tr w:rsidR="00687056" w:rsidRPr="001F566E" w14:paraId="54A6D67E" w14:textId="77777777" w:rsidTr="004641D5">
        <w:trPr>
          <w:trHeight w:val="144"/>
        </w:trPr>
        <w:tc>
          <w:tcPr>
            <w:tcW w:w="1431" w:type="dxa"/>
            <w:vMerge/>
            <w:shd w:val="clear" w:color="auto" w:fill="auto"/>
            <w:vAlign w:val="center"/>
          </w:tcPr>
          <w:p w14:paraId="0142FBAC" w14:textId="77777777" w:rsidR="00687056" w:rsidRPr="001F566E" w:rsidRDefault="00687056" w:rsidP="00890789">
            <w:pPr>
              <w:spacing w:after="0" w:line="480" w:lineRule="auto"/>
              <w:rPr>
                <w:rFonts w:ascii="Times New Roman" w:hAnsi="Times New Roman" w:cs="Times New Roman"/>
                <w:sz w:val="20"/>
                <w:szCs w:val="20"/>
                <w:lang w:val="pt-BR"/>
              </w:rPr>
            </w:pPr>
          </w:p>
        </w:tc>
        <w:tc>
          <w:tcPr>
            <w:tcW w:w="3143" w:type="dxa"/>
            <w:shd w:val="clear" w:color="auto" w:fill="auto"/>
          </w:tcPr>
          <w:p w14:paraId="01BDA7EA" w14:textId="77777777" w:rsidR="00687056" w:rsidRPr="001F566E" w:rsidRDefault="00687056" w:rsidP="00890789">
            <w:pPr>
              <w:spacing w:after="0" w:line="480" w:lineRule="auto"/>
            </w:pPr>
            <w:r w:rsidRPr="001F566E">
              <w:rPr>
                <w:rFonts w:ascii="Times New Roman" w:hAnsi="Times New Roman" w:cs="Times New Roman"/>
                <w:sz w:val="20"/>
                <w:szCs w:val="20"/>
                <w:lang w:val="en-CA"/>
              </w:rPr>
              <w:t>Walking</w:t>
            </w:r>
          </w:p>
        </w:tc>
        <w:tc>
          <w:tcPr>
            <w:tcW w:w="1493" w:type="dxa"/>
            <w:shd w:val="clear" w:color="auto" w:fill="auto"/>
          </w:tcPr>
          <w:p w14:paraId="63DF78D9"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1,094,693</w:t>
            </w:r>
          </w:p>
          <w:p w14:paraId="0F2C150E"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(0.20)</w:t>
            </w:r>
          </w:p>
        </w:tc>
        <w:tc>
          <w:tcPr>
            <w:tcW w:w="1701" w:type="dxa"/>
            <w:shd w:val="clear" w:color="auto" w:fill="auto"/>
          </w:tcPr>
          <w:p w14:paraId="29307AC0"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1,886,817</w:t>
            </w:r>
          </w:p>
          <w:p w14:paraId="43E1E839"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(0.36)</w:t>
            </w:r>
          </w:p>
        </w:tc>
        <w:tc>
          <w:tcPr>
            <w:tcW w:w="709" w:type="dxa"/>
            <w:shd w:val="clear" w:color="auto" w:fill="auto"/>
          </w:tcPr>
          <w:p w14:paraId="4C96AFB1"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+72</w:t>
            </w:r>
          </w:p>
        </w:tc>
        <w:tc>
          <w:tcPr>
            <w:tcW w:w="1412" w:type="dxa"/>
            <w:shd w:val="clear" w:color="auto" w:fill="auto"/>
          </w:tcPr>
          <w:p w14:paraId="4BDF0319"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1,383,946</w:t>
            </w:r>
          </w:p>
          <w:p w14:paraId="4586C234"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(0.26)</w:t>
            </w:r>
          </w:p>
        </w:tc>
        <w:tc>
          <w:tcPr>
            <w:tcW w:w="710" w:type="dxa"/>
            <w:shd w:val="clear" w:color="auto" w:fill="auto"/>
          </w:tcPr>
          <w:p w14:paraId="5DD522D9"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+26</w:t>
            </w:r>
          </w:p>
        </w:tc>
      </w:tr>
      <w:tr w:rsidR="00687056" w:rsidRPr="001F566E" w14:paraId="1C8DA5DA" w14:textId="77777777" w:rsidTr="004641D5">
        <w:trPr>
          <w:trHeight w:val="144"/>
        </w:trPr>
        <w:tc>
          <w:tcPr>
            <w:tcW w:w="1431" w:type="dxa"/>
            <w:vMerge/>
            <w:shd w:val="clear" w:color="auto" w:fill="auto"/>
            <w:vAlign w:val="center"/>
          </w:tcPr>
          <w:p w14:paraId="1F7F7CB0" w14:textId="77777777" w:rsidR="00687056" w:rsidRPr="001F566E" w:rsidRDefault="00687056" w:rsidP="00890789">
            <w:pPr>
              <w:spacing w:after="0" w:line="480" w:lineRule="auto"/>
              <w:rPr>
                <w:rFonts w:ascii="Times New Roman" w:hAnsi="Times New Roman" w:cs="Times New Roman"/>
                <w:sz w:val="20"/>
                <w:szCs w:val="20"/>
                <w:lang w:val="pt-BR"/>
              </w:rPr>
            </w:pPr>
          </w:p>
        </w:tc>
        <w:tc>
          <w:tcPr>
            <w:tcW w:w="3143" w:type="dxa"/>
            <w:shd w:val="clear" w:color="auto" w:fill="auto"/>
          </w:tcPr>
          <w:p w14:paraId="78DF2867" w14:textId="77777777" w:rsidR="00687056" w:rsidRPr="001F566E" w:rsidRDefault="00687056" w:rsidP="00890789">
            <w:pPr>
              <w:spacing w:after="0" w:line="480" w:lineRule="auto"/>
            </w:pPr>
            <w:r w:rsidRPr="001F566E">
              <w:rPr>
                <w:rFonts w:ascii="Times New Roman" w:hAnsi="Times New Roman" w:cs="Times New Roman"/>
                <w:sz w:val="20"/>
                <w:szCs w:val="20"/>
                <w:lang w:val="en-CA"/>
              </w:rPr>
              <w:t>Cycling</w:t>
            </w:r>
          </w:p>
        </w:tc>
        <w:tc>
          <w:tcPr>
            <w:tcW w:w="1493" w:type="dxa"/>
            <w:shd w:val="clear" w:color="auto" w:fill="auto"/>
          </w:tcPr>
          <w:p w14:paraId="241DE7AA"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128,515</w:t>
            </w:r>
          </w:p>
          <w:p w14:paraId="2A4D1C22"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(0.02)</w:t>
            </w:r>
          </w:p>
        </w:tc>
        <w:tc>
          <w:tcPr>
            <w:tcW w:w="1701" w:type="dxa"/>
            <w:shd w:val="clear" w:color="auto" w:fill="auto"/>
          </w:tcPr>
          <w:p w14:paraId="6B3D00BE"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204,174</w:t>
            </w:r>
          </w:p>
          <w:p w14:paraId="1E52624D"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(0.04)</w:t>
            </w:r>
          </w:p>
        </w:tc>
        <w:tc>
          <w:tcPr>
            <w:tcW w:w="709" w:type="dxa"/>
            <w:shd w:val="clear" w:color="auto" w:fill="auto"/>
          </w:tcPr>
          <w:p w14:paraId="5991DF64"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+59</w:t>
            </w:r>
          </w:p>
        </w:tc>
        <w:tc>
          <w:tcPr>
            <w:tcW w:w="1412" w:type="dxa"/>
            <w:shd w:val="clear" w:color="auto" w:fill="auto"/>
          </w:tcPr>
          <w:p w14:paraId="4C33DABD"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150,059</w:t>
            </w:r>
          </w:p>
          <w:p w14:paraId="7C5B7593"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(0.03)</w:t>
            </w:r>
          </w:p>
        </w:tc>
        <w:tc>
          <w:tcPr>
            <w:tcW w:w="710" w:type="dxa"/>
            <w:shd w:val="clear" w:color="auto" w:fill="auto"/>
          </w:tcPr>
          <w:p w14:paraId="5BBA7E57"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+17</w:t>
            </w:r>
          </w:p>
        </w:tc>
      </w:tr>
      <w:tr w:rsidR="00687056" w:rsidRPr="001F566E" w14:paraId="7907C0D4" w14:textId="77777777" w:rsidTr="004641D5">
        <w:trPr>
          <w:trHeight w:val="144"/>
        </w:trPr>
        <w:tc>
          <w:tcPr>
            <w:tcW w:w="1431" w:type="dxa"/>
            <w:vMerge/>
            <w:shd w:val="clear" w:color="auto" w:fill="auto"/>
            <w:vAlign w:val="center"/>
          </w:tcPr>
          <w:p w14:paraId="0120524C" w14:textId="77777777" w:rsidR="00687056" w:rsidRPr="001F566E" w:rsidRDefault="00687056" w:rsidP="00890789">
            <w:pPr>
              <w:spacing w:after="0" w:line="480" w:lineRule="auto"/>
              <w:rPr>
                <w:rFonts w:ascii="Times New Roman" w:hAnsi="Times New Roman" w:cs="Times New Roman"/>
                <w:sz w:val="20"/>
                <w:szCs w:val="20"/>
                <w:lang w:val="pt-BR"/>
              </w:rPr>
            </w:pPr>
          </w:p>
        </w:tc>
        <w:tc>
          <w:tcPr>
            <w:tcW w:w="3143" w:type="dxa"/>
            <w:shd w:val="clear" w:color="auto" w:fill="auto"/>
          </w:tcPr>
          <w:p w14:paraId="5001E6A1" w14:textId="77777777" w:rsidR="00687056" w:rsidRPr="001F566E" w:rsidRDefault="00687056" w:rsidP="00890789">
            <w:pPr>
              <w:spacing w:after="0" w:line="480" w:lineRule="auto"/>
            </w:pPr>
            <w:r w:rsidRPr="001F566E">
              <w:rPr>
                <w:rFonts w:ascii="Times New Roman" w:hAnsi="Times New Roman" w:cs="Times New Roman"/>
                <w:sz w:val="20"/>
                <w:szCs w:val="20"/>
                <w:lang w:val="en-CA"/>
              </w:rPr>
              <w:t xml:space="preserve">Other </w:t>
            </w:r>
          </w:p>
        </w:tc>
        <w:tc>
          <w:tcPr>
            <w:tcW w:w="1493" w:type="dxa"/>
            <w:shd w:val="clear" w:color="auto" w:fill="auto"/>
          </w:tcPr>
          <w:p w14:paraId="73F99118"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558,623</w:t>
            </w:r>
          </w:p>
          <w:p w14:paraId="48402C85"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(0.11)</w:t>
            </w:r>
          </w:p>
        </w:tc>
        <w:tc>
          <w:tcPr>
            <w:tcW w:w="1701" w:type="dxa"/>
            <w:shd w:val="clear" w:color="auto" w:fill="auto"/>
          </w:tcPr>
          <w:p w14:paraId="60F8CC3F"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768,434</w:t>
            </w:r>
          </w:p>
          <w:p w14:paraId="43C0763C"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(0.15)</w:t>
            </w:r>
          </w:p>
        </w:tc>
        <w:tc>
          <w:tcPr>
            <w:tcW w:w="709" w:type="dxa"/>
            <w:shd w:val="clear" w:color="auto" w:fill="auto"/>
          </w:tcPr>
          <w:p w14:paraId="4984C479"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+38</w:t>
            </w:r>
          </w:p>
        </w:tc>
        <w:tc>
          <w:tcPr>
            <w:tcW w:w="1412" w:type="dxa"/>
            <w:shd w:val="clear" w:color="auto" w:fill="auto"/>
          </w:tcPr>
          <w:p w14:paraId="05722649"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570,648</w:t>
            </w:r>
          </w:p>
          <w:p w14:paraId="07336736"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(0.11)</w:t>
            </w:r>
          </w:p>
        </w:tc>
        <w:tc>
          <w:tcPr>
            <w:tcW w:w="710" w:type="dxa"/>
            <w:shd w:val="clear" w:color="auto" w:fill="auto"/>
          </w:tcPr>
          <w:p w14:paraId="5A0B27EE"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+2</w:t>
            </w:r>
          </w:p>
        </w:tc>
      </w:tr>
      <w:tr w:rsidR="00687056" w:rsidRPr="001F566E" w14:paraId="0F56BC18" w14:textId="77777777" w:rsidTr="004641D5">
        <w:trPr>
          <w:trHeight w:val="144"/>
        </w:trPr>
        <w:tc>
          <w:tcPr>
            <w:tcW w:w="1431" w:type="dxa"/>
            <w:vMerge/>
            <w:shd w:val="clear" w:color="auto" w:fill="auto"/>
            <w:vAlign w:val="center"/>
          </w:tcPr>
          <w:p w14:paraId="397D9062" w14:textId="77777777" w:rsidR="00687056" w:rsidRPr="001F566E" w:rsidRDefault="00687056" w:rsidP="00890789">
            <w:pPr>
              <w:spacing w:after="0" w:line="480" w:lineRule="auto"/>
              <w:rPr>
                <w:rFonts w:ascii="Times New Roman" w:hAnsi="Times New Roman" w:cs="Times New Roman"/>
                <w:sz w:val="20"/>
                <w:szCs w:val="20"/>
                <w:lang w:val="pt-BR"/>
              </w:rPr>
            </w:pPr>
          </w:p>
        </w:tc>
        <w:tc>
          <w:tcPr>
            <w:tcW w:w="3143" w:type="dxa"/>
            <w:shd w:val="clear" w:color="auto" w:fill="auto"/>
          </w:tcPr>
          <w:p w14:paraId="2118D3C0" w14:textId="77777777" w:rsidR="00687056" w:rsidRPr="001F566E" w:rsidRDefault="00687056" w:rsidP="00890789">
            <w:pPr>
              <w:spacing w:after="0" w:line="480" w:lineRule="auto"/>
            </w:pPr>
            <w:r w:rsidRPr="001F566E">
              <w:rPr>
                <w:rFonts w:ascii="Times New Roman" w:hAnsi="Times New Roman" w:cs="Times New Roman"/>
                <w:sz w:val="20"/>
                <w:szCs w:val="20"/>
                <w:lang w:val="en-CA"/>
              </w:rPr>
              <w:t>Bimodal</w:t>
            </w:r>
          </w:p>
        </w:tc>
        <w:tc>
          <w:tcPr>
            <w:tcW w:w="1493" w:type="dxa"/>
            <w:shd w:val="clear" w:color="auto" w:fill="auto"/>
          </w:tcPr>
          <w:p w14:paraId="50801F8D"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169,361</w:t>
            </w:r>
          </w:p>
          <w:p w14:paraId="5E4743E8"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(0.03)</w:t>
            </w:r>
          </w:p>
        </w:tc>
        <w:tc>
          <w:tcPr>
            <w:tcW w:w="1701" w:type="dxa"/>
            <w:shd w:val="clear" w:color="auto" w:fill="auto"/>
          </w:tcPr>
          <w:p w14:paraId="6F04F365"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251,643</w:t>
            </w:r>
          </w:p>
          <w:p w14:paraId="2BFA5AE9"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(0.05)</w:t>
            </w:r>
          </w:p>
        </w:tc>
        <w:tc>
          <w:tcPr>
            <w:tcW w:w="709" w:type="dxa"/>
            <w:shd w:val="clear" w:color="auto" w:fill="auto"/>
          </w:tcPr>
          <w:p w14:paraId="3E7E61CE"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+49</w:t>
            </w:r>
          </w:p>
        </w:tc>
        <w:tc>
          <w:tcPr>
            <w:tcW w:w="1412" w:type="dxa"/>
            <w:shd w:val="clear" w:color="auto" w:fill="auto"/>
          </w:tcPr>
          <w:p w14:paraId="117AE86A"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185,571</w:t>
            </w:r>
          </w:p>
          <w:p w14:paraId="3332F669"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(0.04)</w:t>
            </w:r>
          </w:p>
        </w:tc>
        <w:tc>
          <w:tcPr>
            <w:tcW w:w="710" w:type="dxa"/>
            <w:shd w:val="clear" w:color="auto" w:fill="auto"/>
          </w:tcPr>
          <w:p w14:paraId="4523F40F"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+10</w:t>
            </w:r>
          </w:p>
        </w:tc>
      </w:tr>
      <w:tr w:rsidR="00687056" w:rsidRPr="001F566E" w14:paraId="7DE1244C" w14:textId="77777777" w:rsidTr="004641D5">
        <w:trPr>
          <w:trHeight w:val="144"/>
        </w:trPr>
        <w:tc>
          <w:tcPr>
            <w:tcW w:w="1431" w:type="dxa"/>
            <w:vMerge w:val="restart"/>
            <w:shd w:val="clear" w:color="auto" w:fill="auto"/>
            <w:vAlign w:val="center"/>
          </w:tcPr>
          <w:p w14:paraId="0D7A93A1" w14:textId="77777777" w:rsidR="00687056" w:rsidRPr="001F566E" w:rsidRDefault="00687056" w:rsidP="00890789">
            <w:pPr>
              <w:spacing w:after="0" w:line="480" w:lineRule="auto"/>
            </w:pPr>
            <w:r w:rsidRPr="001F566E">
              <w:rPr>
                <w:rFonts w:ascii="Times New Roman" w:hAnsi="Times New Roman" w:cs="Times New Roman"/>
                <w:sz w:val="20"/>
                <w:szCs w:val="20"/>
                <w:lang w:val="en-CA"/>
              </w:rPr>
              <w:t>Km per day</w:t>
            </w:r>
          </w:p>
        </w:tc>
        <w:tc>
          <w:tcPr>
            <w:tcW w:w="3143" w:type="dxa"/>
            <w:shd w:val="clear" w:color="auto" w:fill="auto"/>
          </w:tcPr>
          <w:p w14:paraId="327E2FBA" w14:textId="77777777" w:rsidR="00687056" w:rsidRPr="001F566E" w:rsidRDefault="00687056" w:rsidP="00890789">
            <w:pPr>
              <w:spacing w:after="0" w:line="480" w:lineRule="auto"/>
            </w:pPr>
            <w:r>
              <w:rPr>
                <w:rFonts w:ascii="Times New Roman" w:hAnsi="Times New Roman" w:cs="Times New Roman"/>
                <w:sz w:val="20"/>
                <w:szCs w:val="20"/>
                <w:lang w:val="en-CA"/>
              </w:rPr>
              <w:t xml:space="preserve">Cars and light trucks </w:t>
            </w:r>
            <w:r w:rsidRPr="001F566E">
              <w:rPr>
                <w:rFonts w:ascii="Times New Roman" w:hAnsi="Times New Roman" w:cs="Times New Roman"/>
                <w:sz w:val="20"/>
                <w:szCs w:val="20"/>
                <w:lang w:val="en-CA"/>
              </w:rPr>
              <w:t xml:space="preserve">passengers </w:t>
            </w:r>
            <w:r>
              <w:rPr>
                <w:rFonts w:ascii="Times New Roman" w:hAnsi="Times New Roman" w:cs="Times New Roman"/>
                <w:sz w:val="20"/>
                <w:szCs w:val="20"/>
                <w:lang w:val="en-CA"/>
              </w:rPr>
              <w:t>(</w:t>
            </w:r>
            <w:r w:rsidRPr="001F566E">
              <w:rPr>
                <w:rFonts w:ascii="Times New Roman" w:hAnsi="Times New Roman" w:cs="Times New Roman"/>
                <w:sz w:val="20"/>
                <w:szCs w:val="20"/>
                <w:lang w:val="en-CA"/>
              </w:rPr>
              <w:t>drivers, drivers only)</w:t>
            </w:r>
          </w:p>
        </w:tc>
        <w:tc>
          <w:tcPr>
            <w:tcW w:w="1493" w:type="dxa"/>
            <w:shd w:val="clear" w:color="auto" w:fill="auto"/>
          </w:tcPr>
          <w:p w14:paraId="2DF9BACD"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85,020,519</w:t>
            </w:r>
          </w:p>
          <w:p w14:paraId="60802835" w14:textId="77777777" w:rsidR="00687056" w:rsidRPr="001F566E" w:rsidRDefault="00687056" w:rsidP="00890789">
            <w:pPr>
              <w:spacing w:after="0" w:line="480" w:lineRule="auto"/>
              <w:jc w:val="center"/>
            </w:pPr>
            <w:r>
              <w:rPr>
                <w:rFonts w:ascii="Times New Roman" w:hAnsi="Times New Roman" w:cs="Times New Roman"/>
                <w:sz w:val="20"/>
                <w:szCs w:val="20"/>
                <w:lang w:val="en-CA"/>
              </w:rPr>
              <w:t>(</w:t>
            </w:r>
            <w:r w:rsidRPr="001F566E">
              <w:rPr>
                <w:rFonts w:ascii="Times New Roman" w:hAnsi="Times New Roman" w:cs="Times New Roman"/>
                <w:sz w:val="20"/>
                <w:szCs w:val="20"/>
                <w:lang w:val="en-CA"/>
              </w:rPr>
              <w:t>68,764,464</w:t>
            </w:r>
            <w:r>
              <w:rPr>
                <w:rFonts w:ascii="Times New Roman" w:hAnsi="Times New Roman" w:cs="Times New Roman"/>
                <w:sz w:val="20"/>
                <w:szCs w:val="20"/>
                <w:lang w:val="en-CA"/>
              </w:rPr>
              <w:t>)</w:t>
            </w:r>
          </w:p>
        </w:tc>
        <w:tc>
          <w:tcPr>
            <w:tcW w:w="1701" w:type="dxa"/>
            <w:shd w:val="clear" w:color="auto" w:fill="auto"/>
          </w:tcPr>
          <w:p w14:paraId="2F935C03"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 xml:space="preserve">50,659,487    </w:t>
            </w:r>
            <w:r>
              <w:rPr>
                <w:rFonts w:ascii="Times New Roman" w:hAnsi="Times New Roman" w:cs="Times New Roman"/>
                <w:sz w:val="20"/>
                <w:szCs w:val="20"/>
                <w:lang w:val="en-CA"/>
              </w:rPr>
              <w:t>(</w:t>
            </w:r>
            <w:r w:rsidRPr="001F566E">
              <w:rPr>
                <w:rFonts w:ascii="Times New Roman" w:hAnsi="Times New Roman" w:cs="Times New Roman"/>
                <w:sz w:val="20"/>
                <w:szCs w:val="20"/>
                <w:lang w:val="en-CA"/>
              </w:rPr>
              <w:t>40,660,519</w:t>
            </w:r>
            <w:r>
              <w:rPr>
                <w:rFonts w:ascii="Times New Roman" w:hAnsi="Times New Roman" w:cs="Times New Roman"/>
                <w:sz w:val="20"/>
                <w:szCs w:val="20"/>
                <w:lang w:val="en-CA"/>
              </w:rPr>
              <w:t>)</w:t>
            </w:r>
          </w:p>
        </w:tc>
        <w:tc>
          <w:tcPr>
            <w:tcW w:w="709" w:type="dxa"/>
            <w:shd w:val="clear" w:color="auto" w:fill="auto"/>
          </w:tcPr>
          <w:p w14:paraId="433DA200"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-40</w:t>
            </w:r>
          </w:p>
          <w:p w14:paraId="2E7CBBB5" w14:textId="77777777" w:rsidR="00687056" w:rsidRPr="001F566E" w:rsidRDefault="00D45BC0" w:rsidP="00890789">
            <w:pPr>
              <w:spacing w:after="0" w:line="480" w:lineRule="auto"/>
              <w:jc w:val="center"/>
            </w:pPr>
            <w:r>
              <w:rPr>
                <w:rFonts w:ascii="Times New Roman" w:hAnsi="Times New Roman" w:cs="Times New Roman"/>
                <w:sz w:val="20"/>
                <w:szCs w:val="20"/>
                <w:lang w:val="en-CA"/>
              </w:rPr>
              <w:t>(</w:t>
            </w:r>
            <w:r w:rsidR="00687056" w:rsidRPr="001F566E">
              <w:rPr>
                <w:rFonts w:ascii="Times New Roman" w:hAnsi="Times New Roman" w:cs="Times New Roman"/>
                <w:sz w:val="20"/>
                <w:szCs w:val="20"/>
                <w:lang w:val="en-CA"/>
              </w:rPr>
              <w:t>-41</w:t>
            </w:r>
            <w:r>
              <w:rPr>
                <w:rFonts w:ascii="Times New Roman" w:hAnsi="Times New Roman" w:cs="Times New Roman"/>
                <w:sz w:val="20"/>
                <w:szCs w:val="20"/>
                <w:lang w:val="en-CA"/>
              </w:rPr>
              <w:t>)</w:t>
            </w:r>
          </w:p>
        </w:tc>
        <w:tc>
          <w:tcPr>
            <w:tcW w:w="1412" w:type="dxa"/>
            <w:shd w:val="clear" w:color="auto" w:fill="auto"/>
          </w:tcPr>
          <w:p w14:paraId="0239E334"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37,522,845</w:t>
            </w:r>
          </w:p>
          <w:p w14:paraId="01CDEA35" w14:textId="77777777" w:rsidR="00687056" w:rsidRPr="001F566E" w:rsidRDefault="00D45BC0" w:rsidP="00890789">
            <w:pPr>
              <w:spacing w:after="0" w:line="480" w:lineRule="auto"/>
              <w:jc w:val="center"/>
            </w:pPr>
            <w:r>
              <w:rPr>
                <w:rFonts w:ascii="Times New Roman" w:hAnsi="Times New Roman" w:cs="Times New Roman"/>
                <w:sz w:val="20"/>
                <w:szCs w:val="20"/>
                <w:lang w:val="en-CA"/>
              </w:rPr>
              <w:t>(</w:t>
            </w:r>
            <w:r w:rsidR="00687056" w:rsidRPr="001F566E">
              <w:rPr>
                <w:rFonts w:ascii="Times New Roman" w:hAnsi="Times New Roman" w:cs="Times New Roman"/>
                <w:sz w:val="20"/>
                <w:szCs w:val="20"/>
                <w:lang w:val="en-CA"/>
              </w:rPr>
              <w:t>30,127,967</w:t>
            </w:r>
            <w:r>
              <w:rPr>
                <w:rFonts w:ascii="Times New Roman" w:hAnsi="Times New Roman" w:cs="Times New Roman"/>
                <w:sz w:val="20"/>
                <w:szCs w:val="20"/>
                <w:lang w:val="en-CA"/>
              </w:rPr>
              <w:t>)</w:t>
            </w:r>
          </w:p>
          <w:p w14:paraId="539E9C17" w14:textId="77777777" w:rsidR="00687056" w:rsidRPr="001F566E" w:rsidRDefault="00687056" w:rsidP="00890789">
            <w:pPr>
              <w:spacing w:after="0" w:line="480" w:lineRule="auto"/>
              <w:jc w:val="center"/>
              <w:rPr>
                <w:rFonts w:ascii="Times New Roman" w:hAnsi="Times New Roman" w:cs="Times New Roman"/>
                <w:sz w:val="20"/>
                <w:szCs w:val="20"/>
                <w:lang w:val="en-CA"/>
              </w:rPr>
            </w:pPr>
          </w:p>
        </w:tc>
        <w:tc>
          <w:tcPr>
            <w:tcW w:w="710" w:type="dxa"/>
            <w:shd w:val="clear" w:color="auto" w:fill="auto"/>
          </w:tcPr>
          <w:p w14:paraId="06D70EF9"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-56</w:t>
            </w:r>
          </w:p>
          <w:p w14:paraId="03661285" w14:textId="77777777" w:rsidR="00687056" w:rsidRPr="001F566E" w:rsidRDefault="00D45BC0" w:rsidP="00890789">
            <w:pPr>
              <w:spacing w:after="0" w:line="480" w:lineRule="auto"/>
              <w:jc w:val="center"/>
            </w:pPr>
            <w:r>
              <w:rPr>
                <w:rFonts w:ascii="Times New Roman" w:hAnsi="Times New Roman" w:cs="Times New Roman"/>
                <w:sz w:val="20"/>
                <w:szCs w:val="20"/>
                <w:lang w:val="en-CA"/>
              </w:rPr>
              <w:t>(</w:t>
            </w:r>
            <w:r w:rsidR="00687056" w:rsidRPr="001F566E">
              <w:rPr>
                <w:rFonts w:ascii="Times New Roman" w:hAnsi="Times New Roman" w:cs="Times New Roman"/>
                <w:sz w:val="20"/>
                <w:szCs w:val="20"/>
                <w:lang w:val="en-CA"/>
              </w:rPr>
              <w:t>-56</w:t>
            </w:r>
            <w:r>
              <w:rPr>
                <w:rFonts w:ascii="Times New Roman" w:hAnsi="Times New Roman" w:cs="Times New Roman"/>
                <w:sz w:val="20"/>
                <w:szCs w:val="20"/>
                <w:lang w:val="en-CA"/>
              </w:rPr>
              <w:t>)</w:t>
            </w:r>
          </w:p>
        </w:tc>
      </w:tr>
      <w:tr w:rsidR="00687056" w:rsidRPr="001F566E" w14:paraId="634F025B" w14:textId="77777777" w:rsidTr="004641D5">
        <w:trPr>
          <w:trHeight w:val="144"/>
        </w:trPr>
        <w:tc>
          <w:tcPr>
            <w:tcW w:w="1431" w:type="dxa"/>
            <w:vMerge/>
            <w:shd w:val="clear" w:color="auto" w:fill="auto"/>
          </w:tcPr>
          <w:p w14:paraId="413A695A" w14:textId="77777777" w:rsidR="00687056" w:rsidRPr="001F566E" w:rsidRDefault="00687056" w:rsidP="00890789">
            <w:pPr>
              <w:spacing w:after="0" w:line="480" w:lineRule="auto"/>
              <w:jc w:val="both"/>
              <w:rPr>
                <w:rFonts w:ascii="Times New Roman" w:hAnsi="Times New Roman" w:cs="Times New Roman"/>
                <w:sz w:val="20"/>
                <w:szCs w:val="20"/>
                <w:lang w:val="pt-BR"/>
              </w:rPr>
            </w:pPr>
          </w:p>
        </w:tc>
        <w:tc>
          <w:tcPr>
            <w:tcW w:w="3143" w:type="dxa"/>
            <w:shd w:val="clear" w:color="auto" w:fill="auto"/>
          </w:tcPr>
          <w:p w14:paraId="78E87157" w14:textId="77777777" w:rsidR="00687056" w:rsidRPr="001F566E" w:rsidRDefault="00687056" w:rsidP="00890789">
            <w:pPr>
              <w:spacing w:after="0" w:line="480" w:lineRule="auto"/>
            </w:pPr>
            <w:r w:rsidRPr="001F566E">
              <w:rPr>
                <w:rFonts w:ascii="Times New Roman" w:hAnsi="Times New Roman" w:cs="Times New Roman"/>
                <w:sz w:val="20"/>
                <w:szCs w:val="20"/>
                <w:lang w:val="en-CA"/>
              </w:rPr>
              <w:t>Walking to public transit</w:t>
            </w:r>
          </w:p>
        </w:tc>
        <w:tc>
          <w:tcPr>
            <w:tcW w:w="1493" w:type="dxa"/>
            <w:shd w:val="clear" w:color="auto" w:fill="auto"/>
          </w:tcPr>
          <w:p w14:paraId="08511A09"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1,390,492</w:t>
            </w:r>
          </w:p>
        </w:tc>
        <w:tc>
          <w:tcPr>
            <w:tcW w:w="1701" w:type="dxa"/>
            <w:shd w:val="clear" w:color="auto" w:fill="auto"/>
          </w:tcPr>
          <w:p w14:paraId="2A606F76"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2,559,229</w:t>
            </w:r>
          </w:p>
        </w:tc>
        <w:tc>
          <w:tcPr>
            <w:tcW w:w="709" w:type="dxa"/>
            <w:shd w:val="clear" w:color="auto" w:fill="auto"/>
          </w:tcPr>
          <w:p w14:paraId="50A0D171"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+84</w:t>
            </w:r>
          </w:p>
        </w:tc>
        <w:tc>
          <w:tcPr>
            <w:tcW w:w="1412" w:type="dxa"/>
            <w:shd w:val="clear" w:color="auto" w:fill="auto"/>
          </w:tcPr>
          <w:p w14:paraId="448FB225"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1,870,515</w:t>
            </w:r>
          </w:p>
        </w:tc>
        <w:tc>
          <w:tcPr>
            <w:tcW w:w="710" w:type="dxa"/>
            <w:shd w:val="clear" w:color="auto" w:fill="auto"/>
          </w:tcPr>
          <w:p w14:paraId="57B203F7"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+35</w:t>
            </w:r>
          </w:p>
        </w:tc>
      </w:tr>
      <w:tr w:rsidR="00687056" w:rsidRPr="001F566E" w14:paraId="3894EF0C" w14:textId="77777777" w:rsidTr="004641D5">
        <w:trPr>
          <w:trHeight w:val="144"/>
        </w:trPr>
        <w:tc>
          <w:tcPr>
            <w:tcW w:w="1431" w:type="dxa"/>
            <w:vMerge/>
            <w:shd w:val="clear" w:color="auto" w:fill="auto"/>
          </w:tcPr>
          <w:p w14:paraId="691A3EEA" w14:textId="77777777" w:rsidR="00687056" w:rsidRPr="001F566E" w:rsidRDefault="00687056" w:rsidP="00890789">
            <w:pPr>
              <w:spacing w:after="0" w:line="480" w:lineRule="auto"/>
              <w:jc w:val="both"/>
              <w:rPr>
                <w:rFonts w:ascii="Times New Roman" w:hAnsi="Times New Roman" w:cs="Times New Roman"/>
                <w:sz w:val="20"/>
                <w:szCs w:val="20"/>
                <w:lang w:val="pt-BR"/>
              </w:rPr>
            </w:pPr>
          </w:p>
        </w:tc>
        <w:tc>
          <w:tcPr>
            <w:tcW w:w="3143" w:type="dxa"/>
            <w:shd w:val="clear" w:color="auto" w:fill="auto"/>
          </w:tcPr>
          <w:p w14:paraId="2EEC7964" w14:textId="77777777" w:rsidR="00687056" w:rsidRPr="001F566E" w:rsidRDefault="00687056" w:rsidP="00890789">
            <w:pPr>
              <w:spacing w:after="0" w:line="480" w:lineRule="auto"/>
            </w:pPr>
            <w:r w:rsidRPr="001F566E">
              <w:rPr>
                <w:rFonts w:ascii="Times New Roman" w:hAnsi="Times New Roman" w:cs="Times New Roman"/>
                <w:sz w:val="20"/>
                <w:szCs w:val="20"/>
                <w:lang w:val="en-CA"/>
              </w:rPr>
              <w:t>Walk to destination</w:t>
            </w:r>
          </w:p>
        </w:tc>
        <w:tc>
          <w:tcPr>
            <w:tcW w:w="1493" w:type="dxa"/>
            <w:shd w:val="clear" w:color="auto" w:fill="auto"/>
          </w:tcPr>
          <w:p w14:paraId="40F9B7C3"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1,477,863</w:t>
            </w:r>
          </w:p>
        </w:tc>
        <w:tc>
          <w:tcPr>
            <w:tcW w:w="1701" w:type="dxa"/>
            <w:shd w:val="clear" w:color="auto" w:fill="auto"/>
          </w:tcPr>
          <w:p w14:paraId="470B83CA"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2,527,618</w:t>
            </w:r>
          </w:p>
        </w:tc>
        <w:tc>
          <w:tcPr>
            <w:tcW w:w="709" w:type="dxa"/>
            <w:shd w:val="clear" w:color="auto" w:fill="auto"/>
          </w:tcPr>
          <w:p w14:paraId="1FCBAEF5"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+71</w:t>
            </w:r>
          </w:p>
        </w:tc>
        <w:tc>
          <w:tcPr>
            <w:tcW w:w="1412" w:type="dxa"/>
            <w:shd w:val="clear" w:color="auto" w:fill="auto"/>
          </w:tcPr>
          <w:p w14:paraId="6403A6EC"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1,854,698</w:t>
            </w:r>
          </w:p>
        </w:tc>
        <w:tc>
          <w:tcPr>
            <w:tcW w:w="710" w:type="dxa"/>
            <w:shd w:val="clear" w:color="auto" w:fill="auto"/>
          </w:tcPr>
          <w:p w14:paraId="7B27953B"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+25</w:t>
            </w:r>
          </w:p>
        </w:tc>
      </w:tr>
      <w:tr w:rsidR="00687056" w:rsidRPr="001F566E" w14:paraId="7FCC71BC" w14:textId="77777777" w:rsidTr="004641D5">
        <w:trPr>
          <w:trHeight w:val="144"/>
        </w:trPr>
        <w:tc>
          <w:tcPr>
            <w:tcW w:w="1431" w:type="dxa"/>
            <w:vMerge/>
            <w:shd w:val="clear" w:color="auto" w:fill="auto"/>
          </w:tcPr>
          <w:p w14:paraId="44A36784" w14:textId="77777777" w:rsidR="00687056" w:rsidRPr="001F566E" w:rsidRDefault="00687056" w:rsidP="00890789">
            <w:pPr>
              <w:spacing w:after="0" w:line="480" w:lineRule="auto"/>
              <w:jc w:val="both"/>
              <w:rPr>
                <w:rFonts w:ascii="Times New Roman" w:hAnsi="Times New Roman" w:cs="Times New Roman"/>
                <w:sz w:val="20"/>
                <w:szCs w:val="20"/>
                <w:lang w:val="pt-BR"/>
              </w:rPr>
            </w:pPr>
          </w:p>
        </w:tc>
        <w:tc>
          <w:tcPr>
            <w:tcW w:w="3143" w:type="dxa"/>
            <w:shd w:val="clear" w:color="auto" w:fill="auto"/>
          </w:tcPr>
          <w:p w14:paraId="4BC709B8" w14:textId="77777777" w:rsidR="00687056" w:rsidRPr="001F566E" w:rsidRDefault="00687056" w:rsidP="00890789">
            <w:pPr>
              <w:spacing w:after="0" w:line="480" w:lineRule="auto"/>
            </w:pPr>
            <w:r w:rsidRPr="001F566E">
              <w:rPr>
                <w:rFonts w:ascii="Times New Roman" w:hAnsi="Times New Roman" w:cs="Times New Roman"/>
                <w:sz w:val="20"/>
                <w:szCs w:val="20"/>
                <w:lang w:val="en-CA"/>
              </w:rPr>
              <w:t>Cyclists</w:t>
            </w:r>
          </w:p>
        </w:tc>
        <w:tc>
          <w:tcPr>
            <w:tcW w:w="1493" w:type="dxa"/>
            <w:shd w:val="clear" w:color="auto" w:fill="auto"/>
          </w:tcPr>
          <w:p w14:paraId="2DCCBEB9"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603,518</w:t>
            </w:r>
          </w:p>
        </w:tc>
        <w:tc>
          <w:tcPr>
            <w:tcW w:w="1701" w:type="dxa"/>
            <w:shd w:val="clear" w:color="auto" w:fill="auto"/>
          </w:tcPr>
          <w:p w14:paraId="22BD81BF"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944,080</w:t>
            </w:r>
          </w:p>
        </w:tc>
        <w:tc>
          <w:tcPr>
            <w:tcW w:w="709" w:type="dxa"/>
            <w:shd w:val="clear" w:color="auto" w:fill="auto"/>
          </w:tcPr>
          <w:p w14:paraId="5B273B40"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+56</w:t>
            </w:r>
          </w:p>
        </w:tc>
        <w:tc>
          <w:tcPr>
            <w:tcW w:w="1412" w:type="dxa"/>
            <w:shd w:val="clear" w:color="auto" w:fill="auto"/>
          </w:tcPr>
          <w:p w14:paraId="0B18EF4E"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700,548</w:t>
            </w:r>
          </w:p>
        </w:tc>
        <w:tc>
          <w:tcPr>
            <w:tcW w:w="710" w:type="dxa"/>
            <w:shd w:val="clear" w:color="auto" w:fill="auto"/>
          </w:tcPr>
          <w:p w14:paraId="56A129C6"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+16</w:t>
            </w:r>
          </w:p>
        </w:tc>
      </w:tr>
      <w:tr w:rsidR="00687056" w:rsidRPr="001F566E" w14:paraId="70F51E0A" w14:textId="77777777" w:rsidTr="004641D5">
        <w:trPr>
          <w:trHeight w:val="144"/>
        </w:trPr>
        <w:tc>
          <w:tcPr>
            <w:tcW w:w="1431" w:type="dxa"/>
            <w:vMerge/>
            <w:shd w:val="clear" w:color="auto" w:fill="auto"/>
          </w:tcPr>
          <w:p w14:paraId="61342D36" w14:textId="77777777" w:rsidR="00687056" w:rsidRPr="001F566E" w:rsidRDefault="00687056" w:rsidP="00890789">
            <w:pPr>
              <w:spacing w:after="0" w:line="480" w:lineRule="auto"/>
              <w:jc w:val="both"/>
              <w:rPr>
                <w:rFonts w:ascii="Times New Roman" w:hAnsi="Times New Roman" w:cs="Times New Roman"/>
                <w:sz w:val="20"/>
                <w:szCs w:val="20"/>
                <w:lang w:val="pt-BR"/>
              </w:rPr>
            </w:pPr>
          </w:p>
        </w:tc>
        <w:tc>
          <w:tcPr>
            <w:tcW w:w="3143" w:type="dxa"/>
            <w:shd w:val="clear" w:color="auto" w:fill="auto"/>
          </w:tcPr>
          <w:p w14:paraId="29B74A75" w14:textId="77777777" w:rsidR="00687056" w:rsidRPr="001F566E" w:rsidRDefault="00687056" w:rsidP="00890789">
            <w:pPr>
              <w:spacing w:after="0" w:line="480" w:lineRule="auto"/>
            </w:pPr>
            <w:r w:rsidRPr="001F566E">
              <w:rPr>
                <w:rFonts w:ascii="Times New Roman" w:hAnsi="Times New Roman" w:cs="Times New Roman"/>
                <w:sz w:val="20"/>
                <w:szCs w:val="20"/>
                <w:lang w:val="en-CA"/>
              </w:rPr>
              <w:t>Public transit all</w:t>
            </w:r>
            <w:r w:rsidR="00D45BC0">
              <w:rPr>
                <w:rFonts w:ascii="Times New Roman" w:hAnsi="Times New Roman" w:cs="Times New Roman"/>
                <w:sz w:val="20"/>
                <w:szCs w:val="20"/>
                <w:lang w:val="en-CA"/>
              </w:rPr>
              <w:t xml:space="preserve"> (</w:t>
            </w:r>
            <w:r w:rsidRPr="001F566E">
              <w:rPr>
                <w:rFonts w:ascii="Times New Roman" w:hAnsi="Times New Roman" w:cs="Times New Roman"/>
                <w:sz w:val="20"/>
                <w:szCs w:val="20"/>
                <w:lang w:val="en-CA"/>
              </w:rPr>
              <w:t>bus</w:t>
            </w:r>
            <w:r w:rsidR="00D45BC0">
              <w:rPr>
                <w:rFonts w:ascii="Times New Roman" w:hAnsi="Times New Roman" w:cs="Times New Roman"/>
                <w:sz w:val="20"/>
                <w:szCs w:val="20"/>
                <w:lang w:val="en-CA"/>
              </w:rPr>
              <w:t>)</w:t>
            </w:r>
          </w:p>
        </w:tc>
        <w:tc>
          <w:tcPr>
            <w:tcW w:w="1493" w:type="dxa"/>
            <w:shd w:val="clear" w:color="auto" w:fill="auto"/>
          </w:tcPr>
          <w:p w14:paraId="77B03C2C" w14:textId="77777777" w:rsidR="00687056" w:rsidRPr="001F566E" w:rsidRDefault="00687056" w:rsidP="00890789">
            <w:pPr>
              <w:spacing w:after="0" w:line="480" w:lineRule="auto"/>
              <w:jc w:val="center"/>
              <w:rPr>
                <w:rFonts w:ascii="Times New Roman" w:hAnsi="Times New Roman" w:cs="Times New Roman"/>
                <w:sz w:val="20"/>
                <w:szCs w:val="20"/>
                <w:lang w:val="en-CA"/>
              </w:rPr>
            </w:pPr>
            <w:r w:rsidRPr="001F566E">
              <w:rPr>
                <w:rFonts w:ascii="Times New Roman" w:hAnsi="Times New Roman" w:cs="Times New Roman"/>
                <w:sz w:val="20"/>
                <w:szCs w:val="20"/>
                <w:lang w:val="en-CA"/>
              </w:rPr>
              <w:t>13,339,994</w:t>
            </w:r>
          </w:p>
          <w:p w14:paraId="3F0163BD" w14:textId="77777777" w:rsidR="00687056" w:rsidRPr="001F566E" w:rsidRDefault="00D45BC0" w:rsidP="00890789">
            <w:pPr>
              <w:spacing w:after="0" w:line="480" w:lineRule="auto"/>
              <w:jc w:val="center"/>
            </w:pPr>
            <w:r>
              <w:rPr>
                <w:rFonts w:ascii="Times New Roman" w:hAnsi="Times New Roman" w:cs="Times New Roman"/>
                <w:sz w:val="20"/>
                <w:szCs w:val="20"/>
                <w:lang w:val="en-CA"/>
              </w:rPr>
              <w:t>(</w:t>
            </w:r>
            <w:r w:rsidR="00687056" w:rsidRPr="001F566E">
              <w:rPr>
                <w:rFonts w:ascii="Times New Roman" w:hAnsi="Times New Roman" w:cs="Times New Roman"/>
                <w:sz w:val="20"/>
                <w:szCs w:val="20"/>
                <w:lang w:val="en-CA"/>
              </w:rPr>
              <w:t>7,006,066</w:t>
            </w:r>
            <w:r>
              <w:rPr>
                <w:rFonts w:ascii="Times New Roman" w:hAnsi="Times New Roman" w:cs="Times New Roman"/>
                <w:sz w:val="20"/>
                <w:szCs w:val="20"/>
                <w:lang w:val="en-CA"/>
              </w:rPr>
              <w:t>)</w:t>
            </w:r>
          </w:p>
        </w:tc>
        <w:tc>
          <w:tcPr>
            <w:tcW w:w="1701" w:type="dxa"/>
            <w:shd w:val="clear" w:color="auto" w:fill="auto"/>
          </w:tcPr>
          <w:p w14:paraId="335C17F6"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20,869,082</w:t>
            </w:r>
          </w:p>
          <w:p w14:paraId="6F100B16" w14:textId="77777777" w:rsidR="00687056" w:rsidRPr="001F566E" w:rsidRDefault="00D45BC0" w:rsidP="00890789">
            <w:pPr>
              <w:spacing w:after="0" w:line="480" w:lineRule="auto"/>
              <w:jc w:val="center"/>
            </w:pPr>
            <w:r>
              <w:rPr>
                <w:rFonts w:ascii="Times New Roman" w:hAnsi="Times New Roman" w:cs="Times New Roman"/>
                <w:sz w:val="20"/>
                <w:szCs w:val="20"/>
                <w:lang w:val="en-CA"/>
              </w:rPr>
              <w:t>(</w:t>
            </w:r>
            <w:r w:rsidR="00687056" w:rsidRPr="001F566E">
              <w:rPr>
                <w:rFonts w:ascii="Times New Roman" w:hAnsi="Times New Roman" w:cs="Times New Roman"/>
                <w:sz w:val="20"/>
                <w:szCs w:val="20"/>
                <w:lang w:val="en-CA"/>
              </w:rPr>
              <w:t>7,234,099</w:t>
            </w:r>
            <w:r>
              <w:rPr>
                <w:rFonts w:ascii="Times New Roman" w:hAnsi="Times New Roman" w:cs="Times New Roman"/>
                <w:sz w:val="20"/>
                <w:szCs w:val="20"/>
                <w:lang w:val="en-CA"/>
              </w:rPr>
              <w:t>)</w:t>
            </w:r>
          </w:p>
        </w:tc>
        <w:tc>
          <w:tcPr>
            <w:tcW w:w="709" w:type="dxa"/>
            <w:shd w:val="clear" w:color="auto" w:fill="auto"/>
          </w:tcPr>
          <w:p w14:paraId="55863936" w14:textId="77777777" w:rsidR="00687056" w:rsidRPr="001F566E" w:rsidRDefault="00687056" w:rsidP="00890789">
            <w:pPr>
              <w:spacing w:after="0" w:line="480" w:lineRule="auto"/>
              <w:jc w:val="center"/>
              <w:rPr>
                <w:rFonts w:ascii="Times New Roman" w:hAnsi="Times New Roman" w:cs="Times New Roman"/>
                <w:sz w:val="20"/>
                <w:szCs w:val="20"/>
                <w:lang w:val="en-CA"/>
              </w:rPr>
            </w:pPr>
            <w:r w:rsidRPr="001F566E">
              <w:rPr>
                <w:rFonts w:ascii="Times New Roman" w:hAnsi="Times New Roman" w:cs="Times New Roman"/>
                <w:sz w:val="20"/>
                <w:szCs w:val="20"/>
                <w:lang w:val="en-CA"/>
              </w:rPr>
              <w:t>+56</w:t>
            </w:r>
          </w:p>
          <w:p w14:paraId="194DADF4" w14:textId="77777777" w:rsidR="00687056" w:rsidRPr="001F566E" w:rsidRDefault="00D45BC0" w:rsidP="00890789">
            <w:pPr>
              <w:spacing w:after="0" w:line="480" w:lineRule="auto"/>
              <w:jc w:val="center"/>
            </w:pPr>
            <w:r>
              <w:rPr>
                <w:rFonts w:ascii="Times New Roman" w:hAnsi="Times New Roman" w:cs="Times New Roman"/>
                <w:sz w:val="20"/>
                <w:szCs w:val="20"/>
                <w:lang w:val="en-CA"/>
              </w:rPr>
              <w:t>(</w:t>
            </w:r>
            <w:r w:rsidR="00687056" w:rsidRPr="001F566E">
              <w:rPr>
                <w:rFonts w:ascii="Times New Roman" w:hAnsi="Times New Roman" w:cs="Times New Roman"/>
                <w:sz w:val="20"/>
                <w:szCs w:val="20"/>
                <w:lang w:val="en-CA"/>
              </w:rPr>
              <w:t>+3</w:t>
            </w:r>
            <w:r>
              <w:rPr>
                <w:rFonts w:ascii="Times New Roman" w:hAnsi="Times New Roman" w:cs="Times New Roman"/>
                <w:sz w:val="20"/>
                <w:szCs w:val="20"/>
                <w:lang w:val="en-CA"/>
              </w:rPr>
              <w:t>)</w:t>
            </w:r>
          </w:p>
        </w:tc>
        <w:tc>
          <w:tcPr>
            <w:tcW w:w="1412" w:type="dxa"/>
            <w:shd w:val="clear" w:color="auto" w:fill="auto"/>
          </w:tcPr>
          <w:p w14:paraId="54171B3E"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15,308,612</w:t>
            </w:r>
          </w:p>
          <w:p w14:paraId="157CFCCE" w14:textId="77777777" w:rsidR="00687056" w:rsidRPr="001F566E" w:rsidRDefault="00D45BC0" w:rsidP="00890789">
            <w:pPr>
              <w:spacing w:after="0" w:line="480" w:lineRule="auto"/>
              <w:jc w:val="center"/>
            </w:pPr>
            <w:r>
              <w:rPr>
                <w:rFonts w:ascii="Times New Roman" w:hAnsi="Times New Roman" w:cs="Times New Roman"/>
                <w:sz w:val="20"/>
                <w:szCs w:val="20"/>
                <w:lang w:val="en-CA"/>
              </w:rPr>
              <w:t>(</w:t>
            </w:r>
            <w:r w:rsidR="00687056" w:rsidRPr="001F566E">
              <w:rPr>
                <w:rFonts w:ascii="Times New Roman" w:hAnsi="Times New Roman" w:cs="Times New Roman"/>
                <w:sz w:val="20"/>
                <w:szCs w:val="20"/>
                <w:lang w:val="en-CA"/>
              </w:rPr>
              <w:t>5,321,539</w:t>
            </w:r>
            <w:r>
              <w:rPr>
                <w:rFonts w:ascii="Times New Roman" w:hAnsi="Times New Roman" w:cs="Times New Roman"/>
                <w:sz w:val="20"/>
                <w:szCs w:val="20"/>
                <w:lang w:val="en-CA"/>
              </w:rPr>
              <w:t>)</w:t>
            </w:r>
          </w:p>
        </w:tc>
        <w:tc>
          <w:tcPr>
            <w:tcW w:w="710" w:type="dxa"/>
            <w:shd w:val="clear" w:color="auto" w:fill="auto"/>
          </w:tcPr>
          <w:p w14:paraId="76FB3829" w14:textId="77777777" w:rsidR="00687056" w:rsidRPr="001F566E" w:rsidRDefault="00687056" w:rsidP="00890789">
            <w:pPr>
              <w:spacing w:after="0" w:line="480" w:lineRule="auto"/>
              <w:jc w:val="center"/>
              <w:rPr>
                <w:rFonts w:ascii="Times New Roman" w:hAnsi="Times New Roman" w:cs="Times New Roman"/>
                <w:sz w:val="20"/>
                <w:szCs w:val="20"/>
                <w:lang w:val="en-CA"/>
              </w:rPr>
            </w:pPr>
            <w:r w:rsidRPr="001F566E">
              <w:rPr>
                <w:rFonts w:ascii="Times New Roman" w:hAnsi="Times New Roman" w:cs="Times New Roman"/>
                <w:sz w:val="20"/>
                <w:szCs w:val="20"/>
                <w:lang w:val="en-CA"/>
              </w:rPr>
              <w:t>+15</w:t>
            </w:r>
          </w:p>
          <w:p w14:paraId="1EA6681F" w14:textId="77777777" w:rsidR="00687056" w:rsidRPr="001F566E" w:rsidRDefault="00D45BC0" w:rsidP="00890789">
            <w:pPr>
              <w:spacing w:after="0" w:line="480" w:lineRule="auto"/>
              <w:jc w:val="center"/>
              <w:rPr>
                <w:rFonts w:ascii="Times New Roman" w:hAnsi="Times New Roman" w:cs="Times New Roman"/>
                <w:sz w:val="20"/>
                <w:szCs w:val="20"/>
                <w:lang w:val="en-CA"/>
              </w:rPr>
            </w:pPr>
            <w:r>
              <w:rPr>
                <w:rFonts w:ascii="Times New Roman" w:hAnsi="Times New Roman" w:cs="Times New Roman"/>
                <w:sz w:val="20"/>
                <w:szCs w:val="20"/>
                <w:lang w:val="en-CA"/>
              </w:rPr>
              <w:t>(</w:t>
            </w:r>
            <w:r w:rsidR="00687056" w:rsidRPr="001F566E">
              <w:rPr>
                <w:rFonts w:ascii="Times New Roman" w:hAnsi="Times New Roman" w:cs="Times New Roman"/>
                <w:sz w:val="20"/>
                <w:szCs w:val="20"/>
                <w:lang w:val="en-CA"/>
              </w:rPr>
              <w:t>-24</w:t>
            </w:r>
            <w:r>
              <w:rPr>
                <w:rFonts w:ascii="Times New Roman" w:hAnsi="Times New Roman" w:cs="Times New Roman"/>
                <w:sz w:val="20"/>
                <w:szCs w:val="20"/>
                <w:lang w:val="en-CA"/>
              </w:rPr>
              <w:t>)</w:t>
            </w:r>
          </w:p>
        </w:tc>
      </w:tr>
      <w:tr w:rsidR="00687056" w:rsidRPr="001F566E" w14:paraId="1CEE5314" w14:textId="77777777" w:rsidTr="004641D5">
        <w:trPr>
          <w:trHeight w:val="144"/>
        </w:trPr>
        <w:tc>
          <w:tcPr>
            <w:tcW w:w="4574" w:type="dxa"/>
            <w:gridSpan w:val="2"/>
            <w:shd w:val="clear" w:color="auto" w:fill="auto"/>
          </w:tcPr>
          <w:p w14:paraId="068E48FE" w14:textId="77777777" w:rsidR="00687056" w:rsidRPr="001F566E" w:rsidRDefault="00687056" w:rsidP="00890789">
            <w:pPr>
              <w:spacing w:after="0" w:line="480" w:lineRule="auto"/>
            </w:pPr>
            <w:r w:rsidRPr="001F566E">
              <w:rPr>
                <w:rFonts w:ascii="Times New Roman" w:hAnsi="Times New Roman" w:cs="Times New Roman"/>
                <w:sz w:val="20"/>
                <w:szCs w:val="20"/>
                <w:lang w:val="en-CA"/>
              </w:rPr>
              <w:t>Minutes per week spent in active transportation (global mean, min, max among means per region, age &amp; sex)</w:t>
            </w:r>
          </w:p>
        </w:tc>
        <w:tc>
          <w:tcPr>
            <w:tcW w:w="1493" w:type="dxa"/>
            <w:shd w:val="clear" w:color="auto" w:fill="auto"/>
          </w:tcPr>
          <w:p w14:paraId="1B92E65B"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49 (14,108)</w:t>
            </w:r>
          </w:p>
        </w:tc>
        <w:tc>
          <w:tcPr>
            <w:tcW w:w="1701" w:type="dxa"/>
            <w:shd w:val="clear" w:color="auto" w:fill="auto"/>
          </w:tcPr>
          <w:p w14:paraId="6D9BFFBB"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85 (20,152)</w:t>
            </w:r>
          </w:p>
        </w:tc>
        <w:tc>
          <w:tcPr>
            <w:tcW w:w="709" w:type="dxa"/>
            <w:shd w:val="clear" w:color="auto" w:fill="auto"/>
          </w:tcPr>
          <w:p w14:paraId="14AE9E80" w14:textId="77777777" w:rsidR="00687056" w:rsidRPr="001F566E" w:rsidRDefault="00687056" w:rsidP="00890789">
            <w:pPr>
              <w:spacing w:after="0" w:line="480" w:lineRule="auto"/>
              <w:jc w:val="center"/>
            </w:pPr>
            <w:r w:rsidRPr="00F33A42">
              <w:rPr>
                <w:rFonts w:ascii="Times New Roman" w:hAnsi="Times New Roman" w:cs="Times New Roman"/>
                <w:sz w:val="20"/>
                <w:szCs w:val="20"/>
                <w:lang w:val="en-CA"/>
              </w:rPr>
              <w:t>+</w:t>
            </w:r>
            <w:r w:rsidRPr="00F33A42">
              <w:rPr>
                <w:rFonts w:ascii="Times New Roman" w:hAnsi="Times New Roman" w:cs="Times New Roman"/>
                <w:color w:val="000000"/>
                <w:sz w:val="20"/>
                <w:szCs w:val="20"/>
                <w:lang w:val="en-CA"/>
              </w:rPr>
              <w:t>75</w:t>
            </w:r>
          </w:p>
          <w:p w14:paraId="0A0347D4" w14:textId="77777777" w:rsidR="00687056" w:rsidRPr="001F566E" w:rsidRDefault="00687056" w:rsidP="00890789">
            <w:pPr>
              <w:spacing w:after="0" w:line="480" w:lineRule="auto"/>
              <w:jc w:val="center"/>
              <w:rPr>
                <w:rFonts w:ascii="Times New Roman" w:hAnsi="Times New Roman" w:cs="Times New Roman"/>
                <w:sz w:val="20"/>
                <w:szCs w:val="20"/>
                <w:lang w:val="en-CA"/>
              </w:rPr>
            </w:pPr>
          </w:p>
        </w:tc>
        <w:tc>
          <w:tcPr>
            <w:tcW w:w="1412" w:type="dxa"/>
            <w:shd w:val="clear" w:color="auto" w:fill="auto"/>
          </w:tcPr>
          <w:p w14:paraId="3AE753C0"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62 (15, 110)</w:t>
            </w:r>
          </w:p>
        </w:tc>
        <w:tc>
          <w:tcPr>
            <w:tcW w:w="710" w:type="dxa"/>
            <w:shd w:val="clear" w:color="auto" w:fill="auto"/>
          </w:tcPr>
          <w:p w14:paraId="5784CE61" w14:textId="77777777" w:rsidR="00687056" w:rsidRPr="001F566E" w:rsidRDefault="00687056" w:rsidP="00890789">
            <w:pPr>
              <w:spacing w:after="0" w:line="480" w:lineRule="auto"/>
              <w:jc w:val="center"/>
            </w:pPr>
            <w:r w:rsidRPr="001F566E">
              <w:rPr>
                <w:rFonts w:ascii="Times New Roman" w:hAnsi="Times New Roman" w:cs="Times New Roman"/>
                <w:sz w:val="20"/>
                <w:szCs w:val="20"/>
                <w:lang w:val="en-CA"/>
              </w:rPr>
              <w:t>+20</w:t>
            </w:r>
          </w:p>
        </w:tc>
      </w:tr>
      <w:tr w:rsidR="00687056" w:rsidRPr="00890789" w14:paraId="5B96816D" w14:textId="77777777" w:rsidTr="00890789">
        <w:trPr>
          <w:trHeight w:val="606"/>
        </w:trPr>
        <w:tc>
          <w:tcPr>
            <w:tcW w:w="4574" w:type="dxa"/>
            <w:gridSpan w:val="2"/>
            <w:shd w:val="clear" w:color="auto" w:fill="auto"/>
          </w:tcPr>
          <w:p w14:paraId="7DF5F90F" w14:textId="77777777" w:rsidR="00687056" w:rsidRPr="0098182D" w:rsidRDefault="00687056" w:rsidP="00890789">
            <w:pPr>
              <w:spacing w:after="0" w:line="480" w:lineRule="auto"/>
              <w:rPr>
                <w:rFonts w:ascii="Times New Roman" w:hAnsi="Times New Roman" w:cs="Times New Roman"/>
                <w:sz w:val="20"/>
                <w:szCs w:val="20"/>
                <w:lang w:val="en-CA"/>
              </w:rPr>
            </w:pPr>
            <w:r w:rsidRPr="0098182D">
              <w:rPr>
                <w:rFonts w:ascii="Times New Roman" w:hAnsi="Times New Roman" w:cs="Times New Roman"/>
                <w:sz w:val="20"/>
                <w:szCs w:val="20"/>
                <w:lang w:val="en-CA"/>
              </w:rPr>
              <w:lastRenderedPageBreak/>
              <w:t>NO2 concentration in ppb (mean, Q1-Q3)</w:t>
            </w:r>
          </w:p>
          <w:p w14:paraId="6060A9A3" w14:textId="77777777" w:rsidR="00687056" w:rsidRPr="00890789" w:rsidRDefault="00687056" w:rsidP="00890789">
            <w:pPr>
              <w:spacing w:after="0" w:line="480" w:lineRule="auto"/>
              <w:jc w:val="right"/>
              <w:rPr>
                <w:rFonts w:ascii="Times New Roman" w:hAnsi="Times New Roman" w:cs="Times New Roman"/>
                <w:sz w:val="20"/>
                <w:szCs w:val="20"/>
                <w:lang w:val="en-CA"/>
              </w:rPr>
            </w:pPr>
            <w:r w:rsidRPr="0098182D">
              <w:rPr>
                <w:rFonts w:ascii="Times New Roman" w:hAnsi="Times New Roman" w:cs="Times New Roman"/>
                <w:sz w:val="20"/>
                <w:szCs w:val="20"/>
                <w:lang w:val="en-CA"/>
              </w:rPr>
              <w:t xml:space="preserve">                                                   veh </w:t>
            </w:r>
            <w:r w:rsidR="00901397">
              <w:rPr>
                <w:rFonts w:ascii="Times New Roman" w:hAnsi="Times New Roman" w:cs="Times New Roman"/>
                <w:sz w:val="20"/>
                <w:szCs w:val="20"/>
                <w:lang w:val="en-CA"/>
              </w:rPr>
              <w:t>fleet</w:t>
            </w:r>
            <w:r w:rsidRPr="0098182D">
              <w:rPr>
                <w:rFonts w:ascii="Times New Roman" w:hAnsi="Times New Roman" w:cs="Times New Roman"/>
                <w:sz w:val="20"/>
                <w:szCs w:val="20"/>
                <w:lang w:val="en-CA"/>
              </w:rPr>
              <w:t>1</w:t>
            </w:r>
          </w:p>
        </w:tc>
        <w:tc>
          <w:tcPr>
            <w:tcW w:w="1493" w:type="dxa"/>
            <w:shd w:val="clear" w:color="auto" w:fill="auto"/>
          </w:tcPr>
          <w:p w14:paraId="7758AF59" w14:textId="77777777" w:rsidR="00687056" w:rsidRPr="0098182D" w:rsidRDefault="00687056" w:rsidP="00890789">
            <w:pPr>
              <w:spacing w:after="0" w:line="480" w:lineRule="auto"/>
              <w:jc w:val="center"/>
              <w:rPr>
                <w:rFonts w:ascii="Times New Roman" w:hAnsi="Times New Roman" w:cs="Times New Roman"/>
                <w:sz w:val="20"/>
                <w:szCs w:val="20"/>
                <w:lang w:val="en-CA"/>
              </w:rPr>
            </w:pPr>
          </w:p>
          <w:p w14:paraId="204BE112" w14:textId="77777777" w:rsidR="00687056" w:rsidRPr="00890789" w:rsidRDefault="00687056" w:rsidP="00890789">
            <w:pPr>
              <w:spacing w:after="0" w:line="480" w:lineRule="auto"/>
              <w:jc w:val="center"/>
              <w:rPr>
                <w:rFonts w:ascii="Times New Roman" w:hAnsi="Times New Roman" w:cs="Times New Roman"/>
                <w:sz w:val="20"/>
                <w:szCs w:val="20"/>
                <w:lang w:val="en-CA"/>
              </w:rPr>
            </w:pPr>
            <w:r w:rsidRPr="0098182D">
              <w:rPr>
                <w:rFonts w:ascii="Times New Roman" w:hAnsi="Times New Roman" w:cs="Times New Roman"/>
                <w:sz w:val="20"/>
                <w:szCs w:val="20"/>
                <w:lang w:val="en-CA"/>
              </w:rPr>
              <w:t>7.6 (6.5-8.4)</w:t>
            </w:r>
          </w:p>
        </w:tc>
        <w:tc>
          <w:tcPr>
            <w:tcW w:w="1701" w:type="dxa"/>
            <w:shd w:val="clear" w:color="auto" w:fill="auto"/>
          </w:tcPr>
          <w:p w14:paraId="1A062D35" w14:textId="77777777" w:rsidR="00687056" w:rsidRPr="0098182D" w:rsidRDefault="00687056" w:rsidP="00890789">
            <w:pPr>
              <w:spacing w:after="0" w:line="480" w:lineRule="auto"/>
              <w:jc w:val="center"/>
              <w:rPr>
                <w:rFonts w:ascii="Times New Roman" w:hAnsi="Times New Roman" w:cs="Times New Roman"/>
                <w:sz w:val="20"/>
                <w:szCs w:val="20"/>
                <w:lang w:val="en-CA"/>
              </w:rPr>
            </w:pPr>
          </w:p>
          <w:p w14:paraId="7A011089" w14:textId="77777777" w:rsidR="00687056" w:rsidRPr="00890789" w:rsidRDefault="0098182D" w:rsidP="00890789">
            <w:pPr>
              <w:spacing w:after="0" w:line="480" w:lineRule="auto"/>
              <w:jc w:val="center"/>
              <w:rPr>
                <w:rFonts w:ascii="Times New Roman" w:hAnsi="Times New Roman" w:cs="Times New Roman"/>
                <w:sz w:val="20"/>
                <w:szCs w:val="20"/>
                <w:lang w:val="en-CA"/>
              </w:rPr>
            </w:pPr>
            <w:r w:rsidRPr="00890789">
              <w:rPr>
                <w:rFonts w:ascii="Times New Roman" w:hAnsi="Times New Roman" w:cs="Times New Roman"/>
                <w:sz w:val="20"/>
                <w:szCs w:val="20"/>
                <w:lang w:val="en-CA"/>
              </w:rPr>
              <w:t>7.3 (6.3-7.9)</w:t>
            </w:r>
          </w:p>
        </w:tc>
        <w:tc>
          <w:tcPr>
            <w:tcW w:w="709" w:type="dxa"/>
            <w:shd w:val="clear" w:color="auto" w:fill="auto"/>
          </w:tcPr>
          <w:p w14:paraId="15E44026" w14:textId="77777777" w:rsidR="00687056" w:rsidRPr="0098182D" w:rsidRDefault="00687056" w:rsidP="00890789">
            <w:pPr>
              <w:spacing w:after="0" w:line="480" w:lineRule="auto"/>
              <w:jc w:val="center"/>
              <w:rPr>
                <w:rFonts w:ascii="Times New Roman" w:hAnsi="Times New Roman" w:cs="Times New Roman"/>
                <w:sz w:val="20"/>
                <w:szCs w:val="20"/>
                <w:lang w:val="en-CA"/>
              </w:rPr>
            </w:pPr>
          </w:p>
          <w:p w14:paraId="707DA654" w14:textId="77777777" w:rsidR="00687056" w:rsidRPr="00890789" w:rsidRDefault="00687056" w:rsidP="00890789">
            <w:pPr>
              <w:spacing w:after="0" w:line="480" w:lineRule="auto"/>
              <w:jc w:val="center"/>
              <w:rPr>
                <w:rFonts w:ascii="Times New Roman" w:hAnsi="Times New Roman" w:cs="Times New Roman"/>
                <w:sz w:val="20"/>
                <w:szCs w:val="20"/>
                <w:lang w:val="en-CA"/>
              </w:rPr>
            </w:pPr>
            <w:r w:rsidRPr="0098182D">
              <w:rPr>
                <w:rFonts w:ascii="Times New Roman" w:hAnsi="Times New Roman" w:cs="Times New Roman"/>
                <w:sz w:val="20"/>
                <w:szCs w:val="20"/>
                <w:lang w:val="en-CA"/>
              </w:rPr>
              <w:t>-4</w:t>
            </w:r>
          </w:p>
        </w:tc>
        <w:tc>
          <w:tcPr>
            <w:tcW w:w="1412" w:type="dxa"/>
            <w:shd w:val="clear" w:color="auto" w:fill="auto"/>
          </w:tcPr>
          <w:p w14:paraId="1F62CB05" w14:textId="77777777" w:rsidR="00687056" w:rsidRPr="00890789" w:rsidRDefault="00687056" w:rsidP="00890789">
            <w:pPr>
              <w:spacing w:after="0" w:line="480" w:lineRule="auto"/>
              <w:jc w:val="both"/>
              <w:rPr>
                <w:rFonts w:ascii="Times New Roman" w:hAnsi="Times New Roman" w:cs="Times New Roman"/>
                <w:sz w:val="20"/>
                <w:szCs w:val="20"/>
                <w:lang w:val="en-CA"/>
              </w:rPr>
            </w:pPr>
          </w:p>
          <w:p w14:paraId="2C1344E0" w14:textId="77777777" w:rsidR="00687056" w:rsidRPr="00890789" w:rsidRDefault="00687056" w:rsidP="00890789">
            <w:pPr>
              <w:spacing w:after="0" w:line="480" w:lineRule="auto"/>
              <w:jc w:val="both"/>
              <w:rPr>
                <w:rFonts w:ascii="Times New Roman" w:hAnsi="Times New Roman" w:cs="Times New Roman"/>
                <w:sz w:val="20"/>
                <w:szCs w:val="20"/>
                <w:lang w:val="en-CA"/>
              </w:rPr>
            </w:pPr>
            <w:r w:rsidRPr="00890789">
              <w:rPr>
                <w:rFonts w:ascii="Times New Roman" w:hAnsi="Times New Roman" w:cs="Times New Roman"/>
                <w:sz w:val="20"/>
                <w:szCs w:val="20"/>
                <w:lang w:val="en-CA"/>
              </w:rPr>
              <w:t>6.9 (6.2-7.3)</w:t>
            </w:r>
          </w:p>
        </w:tc>
        <w:tc>
          <w:tcPr>
            <w:tcW w:w="710" w:type="dxa"/>
            <w:shd w:val="clear" w:color="auto" w:fill="auto"/>
          </w:tcPr>
          <w:p w14:paraId="7A4618D8" w14:textId="77777777" w:rsidR="00687056" w:rsidRPr="00890789" w:rsidRDefault="00687056" w:rsidP="00890789">
            <w:pPr>
              <w:spacing w:after="0" w:line="480" w:lineRule="auto"/>
              <w:jc w:val="both"/>
              <w:rPr>
                <w:rFonts w:ascii="Times New Roman" w:hAnsi="Times New Roman" w:cs="Times New Roman"/>
                <w:sz w:val="20"/>
                <w:szCs w:val="20"/>
                <w:lang w:val="en-CA"/>
              </w:rPr>
            </w:pPr>
          </w:p>
          <w:p w14:paraId="6E33FDA4" w14:textId="77777777" w:rsidR="00687056" w:rsidRPr="00890789" w:rsidRDefault="00687056" w:rsidP="00890789">
            <w:pPr>
              <w:spacing w:after="0" w:line="480" w:lineRule="auto"/>
              <w:jc w:val="both"/>
              <w:rPr>
                <w:rFonts w:ascii="Times New Roman" w:hAnsi="Times New Roman" w:cs="Times New Roman"/>
                <w:sz w:val="20"/>
                <w:szCs w:val="20"/>
                <w:lang w:val="en-CA"/>
              </w:rPr>
            </w:pPr>
            <w:r w:rsidRPr="00890789">
              <w:rPr>
                <w:rFonts w:ascii="Times New Roman" w:hAnsi="Times New Roman" w:cs="Times New Roman"/>
                <w:sz w:val="20"/>
                <w:szCs w:val="20"/>
                <w:lang w:val="en-CA"/>
              </w:rPr>
              <w:t>-9</w:t>
            </w:r>
          </w:p>
        </w:tc>
      </w:tr>
      <w:tr w:rsidR="0098182D" w:rsidRPr="0098182D" w14:paraId="62AAC332" w14:textId="77777777" w:rsidTr="00890789">
        <w:trPr>
          <w:trHeight w:val="334"/>
        </w:trPr>
        <w:tc>
          <w:tcPr>
            <w:tcW w:w="4574" w:type="dxa"/>
            <w:gridSpan w:val="2"/>
            <w:shd w:val="clear" w:color="auto" w:fill="auto"/>
          </w:tcPr>
          <w:p w14:paraId="37F00E63" w14:textId="77777777" w:rsidR="0098182D" w:rsidRPr="00890789" w:rsidRDefault="0098182D" w:rsidP="00890789">
            <w:pPr>
              <w:spacing w:after="0" w:line="480" w:lineRule="auto"/>
              <w:rPr>
                <w:rFonts w:ascii="Times New Roman" w:hAnsi="Times New Roman" w:cs="Times New Roman"/>
                <w:sz w:val="20"/>
                <w:szCs w:val="20"/>
                <w:lang w:val="en-CA"/>
              </w:rPr>
            </w:pPr>
            <w:r w:rsidRPr="00890789">
              <w:rPr>
                <w:rFonts w:ascii="Times New Roman" w:hAnsi="Times New Roman" w:cs="Times New Roman"/>
                <w:sz w:val="20"/>
                <w:szCs w:val="20"/>
                <w:lang w:val="en-CA"/>
              </w:rPr>
              <w:tab/>
            </w:r>
            <w:r w:rsidRPr="00890789">
              <w:rPr>
                <w:rFonts w:ascii="Times New Roman" w:hAnsi="Times New Roman" w:cs="Times New Roman"/>
                <w:sz w:val="20"/>
                <w:szCs w:val="20"/>
                <w:lang w:val="en-CA"/>
              </w:rPr>
              <w:tab/>
            </w:r>
            <w:r w:rsidRPr="00890789">
              <w:rPr>
                <w:rFonts w:ascii="Times New Roman" w:hAnsi="Times New Roman" w:cs="Times New Roman"/>
                <w:sz w:val="20"/>
                <w:szCs w:val="20"/>
                <w:lang w:val="en-CA"/>
              </w:rPr>
              <w:tab/>
            </w:r>
            <w:r w:rsidRPr="00890789">
              <w:rPr>
                <w:rFonts w:ascii="Times New Roman" w:hAnsi="Times New Roman" w:cs="Times New Roman"/>
                <w:sz w:val="20"/>
                <w:szCs w:val="20"/>
                <w:lang w:val="en-CA"/>
              </w:rPr>
              <w:tab/>
              <w:t xml:space="preserve">             veh </w:t>
            </w:r>
            <w:r w:rsidR="00901397">
              <w:rPr>
                <w:rFonts w:ascii="Times New Roman" w:hAnsi="Times New Roman" w:cs="Times New Roman"/>
                <w:sz w:val="20"/>
                <w:szCs w:val="20"/>
                <w:lang w:val="en-CA"/>
              </w:rPr>
              <w:t>fleet</w:t>
            </w:r>
            <w:r w:rsidRPr="00890789">
              <w:rPr>
                <w:rFonts w:ascii="Times New Roman" w:hAnsi="Times New Roman" w:cs="Times New Roman"/>
                <w:sz w:val="20"/>
                <w:szCs w:val="20"/>
                <w:lang w:val="en-CA"/>
              </w:rPr>
              <w:t>2</w:t>
            </w:r>
          </w:p>
        </w:tc>
        <w:tc>
          <w:tcPr>
            <w:tcW w:w="1493" w:type="dxa"/>
            <w:shd w:val="clear" w:color="auto" w:fill="auto"/>
          </w:tcPr>
          <w:p w14:paraId="0F64B300" w14:textId="77777777" w:rsidR="0098182D" w:rsidRPr="00890789" w:rsidRDefault="0098182D" w:rsidP="00890789">
            <w:pPr>
              <w:spacing w:after="0" w:line="480" w:lineRule="auto"/>
              <w:jc w:val="center"/>
              <w:rPr>
                <w:rFonts w:ascii="Times New Roman" w:hAnsi="Times New Roman" w:cs="Times New Roman"/>
                <w:sz w:val="20"/>
                <w:szCs w:val="20"/>
                <w:lang w:val="en-CA"/>
              </w:rPr>
            </w:pPr>
            <w:r w:rsidRPr="00890789">
              <w:rPr>
                <w:rFonts w:ascii="Times New Roman" w:hAnsi="Times New Roman" w:cs="Times New Roman"/>
                <w:sz w:val="20"/>
                <w:szCs w:val="20"/>
                <w:lang w:val="en-CA"/>
              </w:rPr>
              <w:t>6.6 (6.1-7.0)</w:t>
            </w:r>
          </w:p>
        </w:tc>
        <w:tc>
          <w:tcPr>
            <w:tcW w:w="1701" w:type="dxa"/>
            <w:shd w:val="clear" w:color="auto" w:fill="auto"/>
          </w:tcPr>
          <w:p w14:paraId="2533C1F8" w14:textId="77777777" w:rsidR="0098182D" w:rsidRPr="00890789" w:rsidRDefault="0098182D" w:rsidP="00890789">
            <w:pPr>
              <w:spacing w:after="0" w:line="480" w:lineRule="auto"/>
              <w:jc w:val="center"/>
              <w:rPr>
                <w:rFonts w:ascii="Times New Roman" w:hAnsi="Times New Roman" w:cs="Times New Roman"/>
                <w:sz w:val="20"/>
                <w:szCs w:val="20"/>
                <w:lang w:val="en-CA"/>
              </w:rPr>
            </w:pPr>
            <w:r w:rsidRPr="00890789">
              <w:rPr>
                <w:rFonts w:ascii="Times New Roman" w:hAnsi="Times New Roman" w:cs="Times New Roman"/>
                <w:sz w:val="20"/>
                <w:szCs w:val="20"/>
                <w:lang w:val="en-CA"/>
              </w:rPr>
              <w:t>6.4 (6.0-6.8)</w:t>
            </w:r>
          </w:p>
        </w:tc>
        <w:tc>
          <w:tcPr>
            <w:tcW w:w="709" w:type="dxa"/>
            <w:shd w:val="clear" w:color="auto" w:fill="auto"/>
          </w:tcPr>
          <w:p w14:paraId="4DA51F0F" w14:textId="77777777" w:rsidR="0098182D" w:rsidRPr="00890789" w:rsidRDefault="0098182D" w:rsidP="00890789">
            <w:pPr>
              <w:spacing w:after="0" w:line="480" w:lineRule="auto"/>
              <w:jc w:val="center"/>
              <w:rPr>
                <w:rFonts w:ascii="Times New Roman" w:hAnsi="Times New Roman" w:cs="Times New Roman"/>
                <w:sz w:val="20"/>
                <w:szCs w:val="20"/>
                <w:lang w:val="en-CA"/>
              </w:rPr>
            </w:pPr>
            <w:r w:rsidRPr="00890789">
              <w:rPr>
                <w:rFonts w:ascii="Times New Roman" w:hAnsi="Times New Roman" w:cs="Times New Roman"/>
                <w:sz w:val="20"/>
                <w:szCs w:val="20"/>
                <w:lang w:val="en-CA"/>
              </w:rPr>
              <w:t>-3</w:t>
            </w:r>
          </w:p>
        </w:tc>
        <w:tc>
          <w:tcPr>
            <w:tcW w:w="1412" w:type="dxa"/>
            <w:shd w:val="clear" w:color="auto" w:fill="auto"/>
          </w:tcPr>
          <w:p w14:paraId="52A565BA" w14:textId="77777777" w:rsidR="0098182D" w:rsidRPr="00890789" w:rsidRDefault="0098182D" w:rsidP="00890789">
            <w:pPr>
              <w:spacing w:after="0" w:line="480" w:lineRule="auto"/>
              <w:jc w:val="both"/>
              <w:rPr>
                <w:rFonts w:ascii="Times New Roman" w:hAnsi="Times New Roman" w:cs="Times New Roman"/>
                <w:sz w:val="20"/>
                <w:szCs w:val="20"/>
                <w:lang w:val="en-CA"/>
              </w:rPr>
            </w:pPr>
          </w:p>
        </w:tc>
        <w:tc>
          <w:tcPr>
            <w:tcW w:w="710" w:type="dxa"/>
            <w:shd w:val="clear" w:color="auto" w:fill="auto"/>
          </w:tcPr>
          <w:p w14:paraId="2E3C8443" w14:textId="77777777" w:rsidR="0098182D" w:rsidRPr="00890789" w:rsidRDefault="0098182D" w:rsidP="00890789">
            <w:pPr>
              <w:spacing w:after="0" w:line="480" w:lineRule="auto"/>
              <w:jc w:val="both"/>
              <w:rPr>
                <w:rFonts w:ascii="Times New Roman" w:hAnsi="Times New Roman" w:cs="Times New Roman"/>
                <w:sz w:val="20"/>
                <w:szCs w:val="20"/>
                <w:lang w:val="en-CA"/>
              </w:rPr>
            </w:pPr>
          </w:p>
        </w:tc>
      </w:tr>
      <w:tr w:rsidR="00687056" w:rsidRPr="001F566E" w14:paraId="4AD49D38" w14:textId="77777777" w:rsidTr="00890789">
        <w:trPr>
          <w:trHeight w:val="493"/>
        </w:trPr>
        <w:tc>
          <w:tcPr>
            <w:tcW w:w="4574" w:type="dxa"/>
            <w:gridSpan w:val="2"/>
            <w:shd w:val="clear" w:color="auto" w:fill="auto"/>
          </w:tcPr>
          <w:p w14:paraId="4C0F5298" w14:textId="77777777" w:rsidR="00687056" w:rsidRPr="0098182D" w:rsidRDefault="00687056" w:rsidP="00890789">
            <w:pPr>
              <w:spacing w:after="0" w:line="480" w:lineRule="auto"/>
              <w:rPr>
                <w:rFonts w:ascii="Times New Roman" w:hAnsi="Times New Roman" w:cs="Times New Roman"/>
                <w:sz w:val="20"/>
                <w:szCs w:val="20"/>
                <w:lang w:val="en-CA"/>
              </w:rPr>
            </w:pPr>
            <w:r w:rsidRPr="0098182D">
              <w:rPr>
                <w:rFonts w:ascii="Times New Roman" w:hAnsi="Times New Roman" w:cs="Times New Roman"/>
                <w:sz w:val="20"/>
                <w:szCs w:val="20"/>
                <w:lang w:val="en-CA"/>
              </w:rPr>
              <w:t xml:space="preserve">GHG emissions (tons/day)                        </w:t>
            </w:r>
          </w:p>
          <w:p w14:paraId="02E06D9C" w14:textId="77777777" w:rsidR="00687056" w:rsidRPr="00890789" w:rsidRDefault="00687056" w:rsidP="00890789">
            <w:pPr>
              <w:spacing w:after="0" w:line="480" w:lineRule="auto"/>
              <w:jc w:val="right"/>
              <w:rPr>
                <w:rFonts w:ascii="Times New Roman" w:hAnsi="Times New Roman" w:cs="Times New Roman"/>
                <w:sz w:val="20"/>
                <w:szCs w:val="20"/>
                <w:lang w:val="en-CA"/>
              </w:rPr>
            </w:pPr>
            <w:r w:rsidRPr="0098182D">
              <w:rPr>
                <w:rFonts w:ascii="Times New Roman" w:hAnsi="Times New Roman" w:cs="Times New Roman"/>
                <w:sz w:val="20"/>
                <w:szCs w:val="20"/>
                <w:lang w:val="en-CA"/>
              </w:rPr>
              <w:t xml:space="preserve"> veh </w:t>
            </w:r>
            <w:r w:rsidR="00901397">
              <w:rPr>
                <w:rFonts w:ascii="Times New Roman" w:hAnsi="Times New Roman" w:cs="Times New Roman"/>
                <w:sz w:val="20"/>
                <w:szCs w:val="20"/>
                <w:lang w:val="en-CA"/>
              </w:rPr>
              <w:t>fleet</w:t>
            </w:r>
            <w:r w:rsidRPr="0098182D">
              <w:rPr>
                <w:rFonts w:ascii="Times New Roman" w:hAnsi="Times New Roman" w:cs="Times New Roman"/>
                <w:sz w:val="20"/>
                <w:szCs w:val="20"/>
                <w:lang w:val="en-CA"/>
              </w:rPr>
              <w:t>1</w:t>
            </w:r>
          </w:p>
        </w:tc>
        <w:tc>
          <w:tcPr>
            <w:tcW w:w="1493" w:type="dxa"/>
            <w:shd w:val="clear" w:color="auto" w:fill="auto"/>
          </w:tcPr>
          <w:p w14:paraId="76D9ABB9" w14:textId="77777777" w:rsidR="00687056" w:rsidRPr="0098182D" w:rsidRDefault="00687056" w:rsidP="00890789">
            <w:pPr>
              <w:spacing w:after="0" w:line="480" w:lineRule="auto"/>
              <w:jc w:val="center"/>
              <w:rPr>
                <w:rFonts w:ascii="Times New Roman" w:hAnsi="Times New Roman" w:cs="Times New Roman"/>
                <w:sz w:val="20"/>
                <w:szCs w:val="20"/>
                <w:lang w:val="en-CA"/>
              </w:rPr>
            </w:pPr>
          </w:p>
          <w:p w14:paraId="179DBEF0" w14:textId="77777777" w:rsidR="00687056" w:rsidRPr="0098182D" w:rsidRDefault="00687056" w:rsidP="00890789">
            <w:pPr>
              <w:spacing w:after="0" w:line="480" w:lineRule="auto"/>
              <w:jc w:val="center"/>
              <w:rPr>
                <w:rFonts w:ascii="Times New Roman" w:hAnsi="Times New Roman" w:cs="Times New Roman"/>
                <w:sz w:val="20"/>
                <w:szCs w:val="20"/>
                <w:lang w:val="en-CA"/>
              </w:rPr>
            </w:pPr>
            <w:r w:rsidRPr="0098182D">
              <w:rPr>
                <w:rFonts w:ascii="Times New Roman" w:hAnsi="Times New Roman" w:cs="Times New Roman"/>
                <w:sz w:val="20"/>
                <w:szCs w:val="20"/>
                <w:lang w:val="en-CA"/>
              </w:rPr>
              <w:t>17,444</w:t>
            </w:r>
          </w:p>
        </w:tc>
        <w:tc>
          <w:tcPr>
            <w:tcW w:w="1701" w:type="dxa"/>
            <w:shd w:val="clear" w:color="auto" w:fill="auto"/>
          </w:tcPr>
          <w:p w14:paraId="19B2C8CB" w14:textId="77777777" w:rsidR="00687056" w:rsidRPr="0098182D" w:rsidRDefault="00687056" w:rsidP="00890789">
            <w:pPr>
              <w:spacing w:after="0" w:line="480" w:lineRule="auto"/>
              <w:jc w:val="center"/>
              <w:rPr>
                <w:rFonts w:ascii="Times New Roman" w:hAnsi="Times New Roman" w:cs="Times New Roman"/>
                <w:sz w:val="20"/>
                <w:szCs w:val="20"/>
                <w:lang w:val="en-CA"/>
              </w:rPr>
            </w:pPr>
          </w:p>
          <w:p w14:paraId="7ACDD1C9" w14:textId="77777777" w:rsidR="00687056" w:rsidRPr="00890789" w:rsidRDefault="00687056" w:rsidP="00890789">
            <w:pPr>
              <w:spacing w:after="0" w:line="480" w:lineRule="auto"/>
              <w:jc w:val="center"/>
              <w:rPr>
                <w:rFonts w:ascii="Times New Roman" w:hAnsi="Times New Roman" w:cs="Times New Roman"/>
                <w:sz w:val="20"/>
                <w:szCs w:val="20"/>
                <w:lang w:val="en-CA"/>
              </w:rPr>
            </w:pPr>
            <w:r w:rsidRPr="0098182D">
              <w:rPr>
                <w:rFonts w:ascii="Times New Roman" w:hAnsi="Times New Roman" w:cs="Times New Roman"/>
                <w:sz w:val="20"/>
                <w:szCs w:val="20"/>
                <w:lang w:val="en-CA"/>
              </w:rPr>
              <w:t>10,652</w:t>
            </w:r>
          </w:p>
        </w:tc>
        <w:tc>
          <w:tcPr>
            <w:tcW w:w="709" w:type="dxa"/>
            <w:shd w:val="clear" w:color="auto" w:fill="auto"/>
          </w:tcPr>
          <w:p w14:paraId="44F5F525" w14:textId="77777777" w:rsidR="00687056" w:rsidRPr="0098182D" w:rsidRDefault="00687056" w:rsidP="00890789">
            <w:pPr>
              <w:spacing w:after="0" w:line="480" w:lineRule="auto"/>
              <w:jc w:val="center"/>
              <w:rPr>
                <w:rFonts w:ascii="Times New Roman" w:hAnsi="Times New Roman" w:cs="Times New Roman"/>
                <w:sz w:val="20"/>
                <w:szCs w:val="20"/>
                <w:lang w:val="en-CA"/>
              </w:rPr>
            </w:pPr>
          </w:p>
          <w:p w14:paraId="2ACA604A" w14:textId="77777777" w:rsidR="00687056" w:rsidRPr="00890789" w:rsidRDefault="00687056" w:rsidP="00890789">
            <w:pPr>
              <w:spacing w:after="0" w:line="480" w:lineRule="auto"/>
              <w:jc w:val="center"/>
              <w:rPr>
                <w:rFonts w:ascii="Times New Roman" w:hAnsi="Times New Roman" w:cs="Times New Roman"/>
                <w:sz w:val="20"/>
                <w:szCs w:val="20"/>
                <w:lang w:val="en-CA"/>
              </w:rPr>
            </w:pPr>
            <w:r w:rsidRPr="0098182D">
              <w:rPr>
                <w:rFonts w:ascii="Times New Roman" w:hAnsi="Times New Roman" w:cs="Times New Roman"/>
                <w:sz w:val="20"/>
                <w:szCs w:val="20"/>
                <w:lang w:val="en-CA"/>
              </w:rPr>
              <w:t>-39</w:t>
            </w:r>
          </w:p>
        </w:tc>
        <w:tc>
          <w:tcPr>
            <w:tcW w:w="1412" w:type="dxa"/>
            <w:shd w:val="clear" w:color="auto" w:fill="auto"/>
          </w:tcPr>
          <w:p w14:paraId="30DCB42D" w14:textId="77777777" w:rsidR="00687056" w:rsidRPr="0098182D" w:rsidRDefault="00687056" w:rsidP="00890789">
            <w:pPr>
              <w:spacing w:after="0" w:line="480" w:lineRule="auto"/>
              <w:jc w:val="both"/>
              <w:rPr>
                <w:rFonts w:ascii="Times New Roman" w:hAnsi="Times New Roman" w:cs="Times New Roman"/>
                <w:sz w:val="20"/>
                <w:szCs w:val="20"/>
                <w:lang w:val="en-CA"/>
              </w:rPr>
            </w:pPr>
          </w:p>
          <w:p w14:paraId="1DF8EC28" w14:textId="77777777" w:rsidR="00687056" w:rsidRPr="00890789" w:rsidRDefault="00687056" w:rsidP="00890789">
            <w:pPr>
              <w:spacing w:after="0" w:line="480" w:lineRule="auto"/>
              <w:jc w:val="both"/>
              <w:rPr>
                <w:rFonts w:ascii="Times New Roman" w:hAnsi="Times New Roman" w:cs="Times New Roman"/>
                <w:sz w:val="20"/>
                <w:szCs w:val="20"/>
                <w:lang w:val="en-CA"/>
              </w:rPr>
            </w:pPr>
            <w:r w:rsidRPr="0098182D">
              <w:rPr>
                <w:rFonts w:ascii="Times New Roman" w:hAnsi="Times New Roman" w:cs="Times New Roman"/>
                <w:sz w:val="20"/>
                <w:szCs w:val="20"/>
                <w:lang w:val="en-CA"/>
              </w:rPr>
              <w:t>7,532</w:t>
            </w:r>
          </w:p>
        </w:tc>
        <w:tc>
          <w:tcPr>
            <w:tcW w:w="710" w:type="dxa"/>
            <w:shd w:val="clear" w:color="auto" w:fill="auto"/>
          </w:tcPr>
          <w:p w14:paraId="71886AC8" w14:textId="77777777" w:rsidR="00687056" w:rsidRPr="0098182D" w:rsidRDefault="00687056" w:rsidP="00890789">
            <w:pPr>
              <w:spacing w:after="0" w:line="480" w:lineRule="auto"/>
              <w:jc w:val="both"/>
              <w:rPr>
                <w:rFonts w:ascii="Times New Roman" w:hAnsi="Times New Roman" w:cs="Times New Roman"/>
                <w:sz w:val="20"/>
                <w:szCs w:val="20"/>
                <w:lang w:val="en-CA"/>
              </w:rPr>
            </w:pPr>
          </w:p>
          <w:p w14:paraId="197579F6" w14:textId="77777777" w:rsidR="00687056" w:rsidRPr="00890789" w:rsidRDefault="00687056" w:rsidP="00890789">
            <w:pPr>
              <w:spacing w:after="0" w:line="480" w:lineRule="auto"/>
              <w:jc w:val="both"/>
              <w:rPr>
                <w:rFonts w:ascii="Times New Roman" w:hAnsi="Times New Roman" w:cs="Times New Roman"/>
                <w:sz w:val="20"/>
                <w:szCs w:val="20"/>
                <w:lang w:val="en-CA"/>
              </w:rPr>
            </w:pPr>
            <w:r w:rsidRPr="0098182D">
              <w:rPr>
                <w:rFonts w:ascii="Times New Roman" w:hAnsi="Times New Roman" w:cs="Times New Roman"/>
                <w:sz w:val="20"/>
                <w:szCs w:val="20"/>
                <w:lang w:val="en-CA"/>
              </w:rPr>
              <w:t>-57</w:t>
            </w:r>
          </w:p>
        </w:tc>
      </w:tr>
      <w:tr w:rsidR="0098182D" w:rsidRPr="001F566E" w14:paraId="11C79023" w14:textId="77777777" w:rsidTr="004641D5">
        <w:trPr>
          <w:trHeight w:val="144"/>
        </w:trPr>
        <w:tc>
          <w:tcPr>
            <w:tcW w:w="4574" w:type="dxa"/>
            <w:gridSpan w:val="2"/>
            <w:shd w:val="clear" w:color="auto" w:fill="auto"/>
          </w:tcPr>
          <w:p w14:paraId="59A058CA" w14:textId="77777777" w:rsidR="0098182D" w:rsidRPr="00890789" w:rsidRDefault="0098182D" w:rsidP="00890789">
            <w:pPr>
              <w:spacing w:after="0" w:line="480" w:lineRule="auto"/>
              <w:rPr>
                <w:rFonts w:ascii="Times New Roman" w:hAnsi="Times New Roman" w:cs="Times New Roman"/>
                <w:sz w:val="20"/>
                <w:szCs w:val="20"/>
                <w:lang w:val="en-CA"/>
              </w:rPr>
            </w:pPr>
            <w:r w:rsidRPr="00890789">
              <w:rPr>
                <w:rFonts w:ascii="Times New Roman" w:hAnsi="Times New Roman" w:cs="Times New Roman"/>
                <w:sz w:val="20"/>
                <w:szCs w:val="20"/>
                <w:lang w:val="en-CA"/>
              </w:rPr>
              <w:tab/>
            </w:r>
            <w:r w:rsidRPr="00890789">
              <w:rPr>
                <w:rFonts w:ascii="Times New Roman" w:hAnsi="Times New Roman" w:cs="Times New Roman"/>
                <w:sz w:val="20"/>
                <w:szCs w:val="20"/>
                <w:lang w:val="en-CA"/>
              </w:rPr>
              <w:tab/>
            </w:r>
            <w:r w:rsidRPr="00890789">
              <w:rPr>
                <w:rFonts w:ascii="Times New Roman" w:hAnsi="Times New Roman" w:cs="Times New Roman"/>
                <w:sz w:val="20"/>
                <w:szCs w:val="20"/>
                <w:lang w:val="en-CA"/>
              </w:rPr>
              <w:tab/>
            </w:r>
            <w:r w:rsidRPr="00890789">
              <w:rPr>
                <w:rFonts w:ascii="Times New Roman" w:hAnsi="Times New Roman" w:cs="Times New Roman"/>
                <w:sz w:val="20"/>
                <w:szCs w:val="20"/>
                <w:lang w:val="en-CA"/>
              </w:rPr>
              <w:tab/>
              <w:t xml:space="preserve">             veh </w:t>
            </w:r>
            <w:r w:rsidR="00901397">
              <w:rPr>
                <w:rFonts w:ascii="Times New Roman" w:hAnsi="Times New Roman" w:cs="Times New Roman"/>
                <w:sz w:val="20"/>
                <w:szCs w:val="20"/>
                <w:lang w:val="en-CA"/>
              </w:rPr>
              <w:t>fleet</w:t>
            </w:r>
            <w:r w:rsidRPr="00890789">
              <w:rPr>
                <w:rFonts w:ascii="Times New Roman" w:hAnsi="Times New Roman" w:cs="Times New Roman"/>
                <w:sz w:val="20"/>
                <w:szCs w:val="20"/>
                <w:lang w:val="en-CA"/>
              </w:rPr>
              <w:t>2</w:t>
            </w:r>
          </w:p>
        </w:tc>
        <w:tc>
          <w:tcPr>
            <w:tcW w:w="1493" w:type="dxa"/>
            <w:shd w:val="clear" w:color="auto" w:fill="auto"/>
          </w:tcPr>
          <w:p w14:paraId="777B295A" w14:textId="77777777" w:rsidR="0098182D" w:rsidRPr="00890789" w:rsidRDefault="0098182D" w:rsidP="00890789">
            <w:pPr>
              <w:spacing w:after="0" w:line="480" w:lineRule="auto"/>
              <w:jc w:val="center"/>
              <w:rPr>
                <w:rFonts w:ascii="Times New Roman" w:hAnsi="Times New Roman" w:cs="Times New Roman"/>
                <w:sz w:val="20"/>
                <w:szCs w:val="20"/>
                <w:lang w:val="en-CA"/>
              </w:rPr>
            </w:pPr>
            <w:r w:rsidRPr="00890789">
              <w:rPr>
                <w:rFonts w:ascii="Times New Roman" w:hAnsi="Times New Roman" w:cs="Times New Roman"/>
                <w:sz w:val="20"/>
                <w:szCs w:val="20"/>
                <w:lang w:val="en-CA"/>
              </w:rPr>
              <w:t>8,726</w:t>
            </w:r>
          </w:p>
        </w:tc>
        <w:tc>
          <w:tcPr>
            <w:tcW w:w="1701" w:type="dxa"/>
            <w:shd w:val="clear" w:color="auto" w:fill="auto"/>
          </w:tcPr>
          <w:p w14:paraId="4AEE5815" w14:textId="77777777" w:rsidR="0098182D" w:rsidRPr="00890789" w:rsidRDefault="0098182D" w:rsidP="00890789">
            <w:pPr>
              <w:spacing w:after="0" w:line="480" w:lineRule="auto"/>
              <w:jc w:val="center"/>
              <w:rPr>
                <w:rFonts w:ascii="Times New Roman" w:hAnsi="Times New Roman" w:cs="Times New Roman"/>
                <w:sz w:val="20"/>
                <w:szCs w:val="20"/>
                <w:lang w:val="en-CA"/>
              </w:rPr>
            </w:pPr>
            <w:r w:rsidRPr="00890789">
              <w:rPr>
                <w:rFonts w:ascii="Times New Roman" w:hAnsi="Times New Roman" w:cs="Times New Roman"/>
                <w:sz w:val="20"/>
                <w:szCs w:val="20"/>
                <w:lang w:val="en-CA"/>
              </w:rPr>
              <w:t>5,328</w:t>
            </w:r>
          </w:p>
        </w:tc>
        <w:tc>
          <w:tcPr>
            <w:tcW w:w="709" w:type="dxa"/>
            <w:shd w:val="clear" w:color="auto" w:fill="auto"/>
          </w:tcPr>
          <w:p w14:paraId="34B5F72B" w14:textId="77777777" w:rsidR="0098182D" w:rsidRPr="00890789" w:rsidRDefault="0098182D" w:rsidP="00890789">
            <w:pPr>
              <w:spacing w:after="0" w:line="480" w:lineRule="auto"/>
              <w:jc w:val="center"/>
              <w:rPr>
                <w:rFonts w:ascii="Times New Roman" w:hAnsi="Times New Roman" w:cs="Times New Roman"/>
                <w:sz w:val="20"/>
                <w:szCs w:val="20"/>
                <w:lang w:val="en-CA"/>
              </w:rPr>
            </w:pPr>
            <w:r w:rsidRPr="00890789">
              <w:rPr>
                <w:rFonts w:ascii="Times New Roman" w:hAnsi="Times New Roman" w:cs="Times New Roman"/>
                <w:sz w:val="20"/>
                <w:szCs w:val="20"/>
                <w:lang w:val="en-CA"/>
              </w:rPr>
              <w:t>-39</w:t>
            </w:r>
          </w:p>
        </w:tc>
        <w:tc>
          <w:tcPr>
            <w:tcW w:w="1412" w:type="dxa"/>
            <w:shd w:val="clear" w:color="auto" w:fill="auto"/>
          </w:tcPr>
          <w:p w14:paraId="43D808C8" w14:textId="77777777" w:rsidR="0098182D" w:rsidRPr="00890789" w:rsidRDefault="0098182D" w:rsidP="00890789">
            <w:pPr>
              <w:spacing w:after="0" w:line="480" w:lineRule="auto"/>
              <w:jc w:val="both"/>
              <w:rPr>
                <w:rFonts w:ascii="Times New Roman" w:hAnsi="Times New Roman" w:cs="Times New Roman"/>
                <w:sz w:val="20"/>
                <w:szCs w:val="20"/>
                <w:lang w:val="en-CA"/>
              </w:rPr>
            </w:pPr>
            <w:r w:rsidRPr="00890789">
              <w:rPr>
                <w:rFonts w:ascii="Times New Roman" w:hAnsi="Times New Roman" w:cs="Times New Roman"/>
                <w:sz w:val="20"/>
                <w:szCs w:val="20"/>
                <w:lang w:val="en-CA"/>
              </w:rPr>
              <w:t>3,768</w:t>
            </w:r>
          </w:p>
        </w:tc>
        <w:tc>
          <w:tcPr>
            <w:tcW w:w="710" w:type="dxa"/>
            <w:shd w:val="clear" w:color="auto" w:fill="auto"/>
          </w:tcPr>
          <w:p w14:paraId="51D5CA87" w14:textId="77777777" w:rsidR="0098182D" w:rsidRPr="00890789" w:rsidRDefault="0098182D" w:rsidP="00890789">
            <w:pPr>
              <w:spacing w:after="0" w:line="480" w:lineRule="auto"/>
              <w:jc w:val="both"/>
              <w:rPr>
                <w:rFonts w:ascii="Times New Roman" w:hAnsi="Times New Roman" w:cs="Times New Roman"/>
                <w:sz w:val="20"/>
                <w:szCs w:val="20"/>
                <w:lang w:val="en-CA"/>
              </w:rPr>
            </w:pPr>
            <w:r w:rsidRPr="00890789">
              <w:rPr>
                <w:rFonts w:ascii="Times New Roman" w:hAnsi="Times New Roman" w:cs="Times New Roman"/>
                <w:sz w:val="20"/>
                <w:szCs w:val="20"/>
                <w:lang w:val="en-CA"/>
              </w:rPr>
              <w:t>-57</w:t>
            </w:r>
          </w:p>
        </w:tc>
      </w:tr>
    </w:tbl>
    <w:p w14:paraId="2FF14231" w14:textId="77777777" w:rsidR="00687056" w:rsidRPr="001F566E" w:rsidRDefault="00687056" w:rsidP="00890789">
      <w:pPr>
        <w:spacing w:after="0" w:line="480" w:lineRule="auto"/>
        <w:jc w:val="both"/>
        <w:rPr>
          <w:rFonts w:ascii="Times New Roman" w:hAnsi="Times New Roman" w:cs="Times New Roman"/>
          <w:sz w:val="20"/>
          <w:szCs w:val="20"/>
          <w:lang w:val="en-CA"/>
        </w:rPr>
      </w:pPr>
      <w:r w:rsidRPr="001F566E">
        <w:rPr>
          <w:rFonts w:ascii="Times New Roman" w:hAnsi="Times New Roman" w:cs="Times New Roman"/>
          <w:sz w:val="20"/>
          <w:szCs w:val="20"/>
        </w:rPr>
        <w:t xml:space="preserve">Note:  Business as usual (BAU); </w:t>
      </w:r>
      <w:r w:rsidRPr="001F566E">
        <w:rPr>
          <w:rFonts w:ascii="Times New Roman" w:hAnsi="Times New Roman" w:cs="Times New Roman"/>
          <w:sz w:val="20"/>
          <w:szCs w:val="20"/>
          <w:lang w:val="en-CA"/>
        </w:rPr>
        <w:t>Distances from bimodes and school bus not included.</w:t>
      </w:r>
    </w:p>
    <w:p w14:paraId="55852379" w14:textId="77777777" w:rsidR="00687056" w:rsidRPr="001F566E" w:rsidRDefault="00687056" w:rsidP="00890789">
      <w:pPr>
        <w:spacing w:after="0" w:line="480" w:lineRule="auto"/>
        <w:jc w:val="both"/>
      </w:pPr>
    </w:p>
    <w:p w14:paraId="6FAEB258" w14:textId="77777777" w:rsidR="00687056" w:rsidRPr="001F566E" w:rsidRDefault="00687056" w:rsidP="00890789">
      <w:pPr>
        <w:spacing w:after="0" w:line="480" w:lineRule="auto"/>
        <w:jc w:val="both"/>
        <w:rPr>
          <w:rFonts w:ascii="Times New Roman" w:hAnsi="Times New Roman" w:cs="Times New Roman"/>
          <w:sz w:val="24"/>
          <w:szCs w:val="24"/>
        </w:rPr>
      </w:pPr>
    </w:p>
    <w:p w14:paraId="1BFCCE8F" w14:textId="77777777" w:rsidR="00511203" w:rsidRPr="001F566E" w:rsidRDefault="005C50B5" w:rsidP="00890789">
      <w:pPr>
        <w:spacing w:after="0" w:line="480" w:lineRule="auto"/>
        <w:jc w:val="both"/>
      </w:pPr>
      <w:r w:rsidRPr="001F566E">
        <w:rPr>
          <w:rFonts w:ascii="Times New Roman" w:hAnsi="Times New Roman" w:cs="Times New Roman"/>
          <w:sz w:val="24"/>
          <w:szCs w:val="24"/>
          <w:lang w:val="en-CA"/>
        </w:rPr>
        <w:t>Car trips</w:t>
      </w:r>
      <w:r w:rsidR="00511203" w:rsidRPr="001F566E">
        <w:rPr>
          <w:rFonts w:ascii="Times New Roman" w:hAnsi="Times New Roman" w:cs="Times New Roman"/>
          <w:sz w:val="24"/>
          <w:szCs w:val="24"/>
          <w:lang w:val="en-CA"/>
        </w:rPr>
        <w:t xml:space="preserve"> </w:t>
      </w:r>
      <w:r w:rsidRPr="001F566E">
        <w:rPr>
          <w:rFonts w:ascii="Times New Roman" w:hAnsi="Times New Roman" w:cs="Times New Roman"/>
          <w:sz w:val="24"/>
          <w:szCs w:val="24"/>
          <w:lang w:val="en-CA"/>
        </w:rPr>
        <w:t>of</w:t>
      </w:r>
      <w:r w:rsidR="00511203" w:rsidRPr="001F566E">
        <w:rPr>
          <w:rFonts w:ascii="Times New Roman" w:hAnsi="Times New Roman" w:cs="Times New Roman"/>
          <w:sz w:val="24"/>
          <w:szCs w:val="24"/>
          <w:lang w:val="en-CA"/>
        </w:rPr>
        <w:t xml:space="preserve"> the </w:t>
      </w:r>
      <w:r w:rsidR="00F46BD2">
        <w:rPr>
          <w:rFonts w:ascii="Times New Roman" w:hAnsi="Times New Roman" w:cs="Times New Roman"/>
          <w:sz w:val="24"/>
          <w:szCs w:val="24"/>
          <w:lang w:val="en-CA"/>
        </w:rPr>
        <w:t>Y2061</w:t>
      </w:r>
      <w:r w:rsidR="00735850" w:rsidRPr="001F566E">
        <w:rPr>
          <w:rFonts w:ascii="Times New Roman" w:hAnsi="Times New Roman" w:cs="Times New Roman"/>
          <w:sz w:val="24"/>
          <w:szCs w:val="24"/>
          <w:lang w:val="en-CA"/>
        </w:rPr>
        <w:t xml:space="preserve"> </w:t>
      </w:r>
      <w:r w:rsidR="006570D9" w:rsidRPr="001F566E">
        <w:rPr>
          <w:rFonts w:ascii="Times New Roman" w:hAnsi="Times New Roman" w:cs="Times New Roman"/>
          <w:sz w:val="24"/>
          <w:szCs w:val="24"/>
          <w:lang w:val="en-CA"/>
        </w:rPr>
        <w:t>Optimal</w:t>
      </w:r>
      <w:r w:rsidR="000456F7" w:rsidRPr="001F566E">
        <w:rPr>
          <w:rFonts w:ascii="Times New Roman" w:hAnsi="Times New Roman" w:cs="Times New Roman"/>
          <w:sz w:val="24"/>
          <w:szCs w:val="24"/>
          <w:lang w:val="en-CA"/>
        </w:rPr>
        <w:t xml:space="preserve"> </w:t>
      </w:r>
      <w:r w:rsidR="00511203" w:rsidRPr="001F566E">
        <w:rPr>
          <w:rFonts w:ascii="Times New Roman" w:hAnsi="Times New Roman" w:cs="Times New Roman"/>
          <w:sz w:val="24"/>
          <w:szCs w:val="24"/>
          <w:lang w:val="en-CA"/>
        </w:rPr>
        <w:t>scenario without teleworking/schooling differed from the BAU due to the increase of the population of each municipality and mode share changes</w:t>
      </w:r>
      <w:r w:rsidR="00735850" w:rsidRPr="001F566E">
        <w:rPr>
          <w:rFonts w:ascii="Times New Roman" w:hAnsi="Times New Roman" w:cs="Times New Roman"/>
          <w:sz w:val="24"/>
          <w:szCs w:val="24"/>
          <w:lang w:val="en-CA"/>
        </w:rPr>
        <w:t xml:space="preserve"> (</w:t>
      </w:r>
      <w:r w:rsidR="000456F7" w:rsidRPr="001F566E">
        <w:rPr>
          <w:rFonts w:ascii="Times New Roman" w:hAnsi="Times New Roman" w:cs="Times New Roman"/>
          <w:sz w:val="24"/>
          <w:szCs w:val="24"/>
          <w:lang w:val="en-CA"/>
        </w:rPr>
        <w:t xml:space="preserve">note that </w:t>
      </w:r>
      <w:r w:rsidR="00735850" w:rsidRPr="001F566E">
        <w:rPr>
          <w:rFonts w:ascii="Times New Roman" w:hAnsi="Times New Roman" w:cs="Times New Roman"/>
          <w:sz w:val="24"/>
          <w:szCs w:val="24"/>
          <w:lang w:val="en-CA"/>
        </w:rPr>
        <w:t xml:space="preserve">no mode choice model is applied to estimate </w:t>
      </w:r>
      <w:r w:rsidR="00F46BD2">
        <w:rPr>
          <w:rFonts w:ascii="Times New Roman" w:hAnsi="Times New Roman" w:cs="Times New Roman"/>
          <w:sz w:val="24"/>
          <w:szCs w:val="24"/>
          <w:lang w:val="en-CA"/>
        </w:rPr>
        <w:t>Y2061</w:t>
      </w:r>
      <w:r w:rsidR="00735850" w:rsidRPr="001F566E">
        <w:rPr>
          <w:rFonts w:ascii="Times New Roman" w:hAnsi="Times New Roman" w:cs="Times New Roman"/>
          <w:sz w:val="24"/>
          <w:szCs w:val="24"/>
          <w:lang w:val="en-CA"/>
        </w:rPr>
        <w:t xml:space="preserve"> modes</w:t>
      </w:r>
      <w:r w:rsidR="002944C8" w:rsidRPr="001F566E">
        <w:rPr>
          <w:rFonts w:ascii="Times New Roman" w:hAnsi="Times New Roman" w:cs="Times New Roman"/>
          <w:sz w:val="24"/>
          <w:szCs w:val="24"/>
          <w:lang w:val="en-CA"/>
        </w:rPr>
        <w:t xml:space="preserve"> but that the scenarios imposed mode shift</w:t>
      </w:r>
      <w:r w:rsidR="00735850" w:rsidRPr="001F566E">
        <w:rPr>
          <w:rFonts w:ascii="Times New Roman" w:hAnsi="Times New Roman" w:cs="Times New Roman"/>
          <w:sz w:val="24"/>
          <w:szCs w:val="24"/>
          <w:lang w:val="en-CA"/>
        </w:rPr>
        <w:t>)</w:t>
      </w:r>
      <w:r w:rsidR="00511203" w:rsidRPr="001F566E">
        <w:rPr>
          <w:rFonts w:ascii="Times New Roman" w:hAnsi="Times New Roman" w:cs="Times New Roman"/>
          <w:sz w:val="24"/>
          <w:szCs w:val="24"/>
          <w:lang w:val="en-CA"/>
        </w:rPr>
        <w:t>.</w:t>
      </w:r>
      <w:r w:rsidR="00511203" w:rsidRPr="00F33A42">
        <w:rPr>
          <w:rFonts w:ascii="Times New Roman" w:hAnsi="Times New Roman" w:cs="Times New Roman"/>
          <w:sz w:val="24"/>
          <w:szCs w:val="24"/>
          <w:lang w:val="en-CA"/>
        </w:rPr>
        <w:t xml:space="preserve"> </w:t>
      </w:r>
      <w:r w:rsidRPr="00F33A42">
        <w:rPr>
          <w:rFonts w:ascii="Times New Roman" w:hAnsi="Times New Roman" w:cs="Times New Roman"/>
          <w:sz w:val="24"/>
          <w:szCs w:val="24"/>
          <w:lang w:val="en-CA"/>
        </w:rPr>
        <w:t>However</w:t>
      </w:r>
      <w:r w:rsidR="00B5604A">
        <w:rPr>
          <w:rFonts w:ascii="Times New Roman" w:hAnsi="Times New Roman" w:cs="Times New Roman"/>
          <w:sz w:val="24"/>
          <w:szCs w:val="24"/>
          <w:lang w:val="en-CA"/>
        </w:rPr>
        <w:t>,</w:t>
      </w:r>
      <w:r w:rsidRPr="00F33A42">
        <w:rPr>
          <w:rFonts w:ascii="Times New Roman" w:hAnsi="Times New Roman" w:cs="Times New Roman"/>
          <w:sz w:val="24"/>
          <w:szCs w:val="24"/>
          <w:lang w:val="en-CA"/>
        </w:rPr>
        <w:t xml:space="preserve"> w</w:t>
      </w:r>
      <w:r w:rsidR="00511203" w:rsidRPr="001F566E">
        <w:rPr>
          <w:rFonts w:ascii="Times New Roman" w:hAnsi="Times New Roman" w:cs="Times New Roman"/>
          <w:sz w:val="24"/>
          <w:szCs w:val="24"/>
          <w:lang w:val="en-CA"/>
        </w:rPr>
        <w:t xml:space="preserve">hen applying the mode shares of the </w:t>
      </w:r>
      <w:r w:rsidR="006570D9" w:rsidRPr="001F566E">
        <w:rPr>
          <w:rFonts w:ascii="Times New Roman" w:hAnsi="Times New Roman" w:cs="Times New Roman"/>
          <w:sz w:val="24"/>
          <w:szCs w:val="24"/>
          <w:lang w:val="en-CA"/>
        </w:rPr>
        <w:t>Optimal</w:t>
      </w:r>
      <w:r w:rsidR="000456F7" w:rsidRPr="001F566E">
        <w:rPr>
          <w:rFonts w:ascii="Times New Roman" w:hAnsi="Times New Roman" w:cs="Times New Roman"/>
          <w:sz w:val="24"/>
          <w:szCs w:val="24"/>
          <w:lang w:val="en-CA"/>
        </w:rPr>
        <w:t xml:space="preserve"> </w:t>
      </w:r>
      <w:r w:rsidR="00511203" w:rsidRPr="001F566E">
        <w:rPr>
          <w:rFonts w:ascii="Times New Roman" w:hAnsi="Times New Roman" w:cs="Times New Roman"/>
          <w:sz w:val="24"/>
          <w:szCs w:val="24"/>
          <w:lang w:val="en-CA"/>
        </w:rPr>
        <w:t>scenario without teleworking/schooling to the BAU (</w:t>
      </w:r>
      <w:r w:rsidR="00DF6DB4" w:rsidRPr="001F566E">
        <w:rPr>
          <w:rFonts w:ascii="Times New Roman" w:hAnsi="Times New Roman" w:cs="Times New Roman"/>
          <w:sz w:val="24"/>
          <w:szCs w:val="24"/>
          <w:lang w:val="en-CA"/>
        </w:rPr>
        <w:t xml:space="preserve">used as </w:t>
      </w:r>
      <w:r w:rsidR="00511203" w:rsidRPr="001F566E">
        <w:rPr>
          <w:rFonts w:ascii="Times New Roman" w:hAnsi="Times New Roman" w:cs="Times New Roman"/>
          <w:sz w:val="24"/>
          <w:szCs w:val="24"/>
          <w:lang w:val="en-CA"/>
        </w:rPr>
        <w:t>a sensitivity analysis</w:t>
      </w:r>
      <w:r w:rsidR="000456F7" w:rsidRPr="001F566E">
        <w:rPr>
          <w:rFonts w:ascii="Times New Roman" w:hAnsi="Times New Roman" w:cs="Times New Roman"/>
          <w:sz w:val="24"/>
          <w:szCs w:val="24"/>
          <w:lang w:val="en-CA"/>
        </w:rPr>
        <w:t>, without the urban densification</w:t>
      </w:r>
      <w:r w:rsidR="00511203" w:rsidRPr="001F566E">
        <w:rPr>
          <w:rFonts w:ascii="Times New Roman" w:hAnsi="Times New Roman" w:cs="Times New Roman"/>
          <w:sz w:val="24"/>
          <w:szCs w:val="24"/>
          <w:lang w:val="en-CA"/>
        </w:rPr>
        <w:t xml:space="preserve">), we found that the mode share change explained an important part </w:t>
      </w:r>
      <w:r w:rsidR="00F83B60" w:rsidRPr="001F566E">
        <w:rPr>
          <w:rFonts w:ascii="Times New Roman" w:hAnsi="Times New Roman" w:cs="Times New Roman"/>
          <w:sz w:val="24"/>
          <w:szCs w:val="24"/>
          <w:lang w:val="en-CA"/>
        </w:rPr>
        <w:t xml:space="preserve">(i.e. 75%) </w:t>
      </w:r>
      <w:r w:rsidR="00511203" w:rsidRPr="001F566E">
        <w:rPr>
          <w:rFonts w:ascii="Times New Roman" w:hAnsi="Times New Roman" w:cs="Times New Roman"/>
          <w:sz w:val="24"/>
          <w:szCs w:val="24"/>
          <w:lang w:val="en-CA"/>
        </w:rPr>
        <w:t xml:space="preserve">of the difference in </w:t>
      </w:r>
      <w:r w:rsidRPr="001F566E">
        <w:rPr>
          <w:rFonts w:ascii="Times New Roman" w:hAnsi="Times New Roman" w:cs="Times New Roman"/>
          <w:sz w:val="24"/>
          <w:szCs w:val="24"/>
          <w:lang w:val="en-CA"/>
        </w:rPr>
        <w:t>car trips</w:t>
      </w:r>
      <w:r w:rsidR="00511203" w:rsidRPr="001F566E">
        <w:rPr>
          <w:rFonts w:ascii="Times New Roman" w:hAnsi="Times New Roman" w:cs="Times New Roman"/>
          <w:sz w:val="24"/>
          <w:szCs w:val="24"/>
          <w:lang w:val="en-CA"/>
        </w:rPr>
        <w:t xml:space="preserve"> of the </w:t>
      </w:r>
      <w:r w:rsidR="006570D9" w:rsidRPr="001F566E">
        <w:rPr>
          <w:rFonts w:ascii="Times New Roman" w:hAnsi="Times New Roman" w:cs="Times New Roman"/>
          <w:sz w:val="24"/>
          <w:szCs w:val="24"/>
          <w:lang w:val="en-CA"/>
        </w:rPr>
        <w:t>Optimal</w:t>
      </w:r>
      <w:r w:rsidR="000456F7" w:rsidRPr="001F566E">
        <w:rPr>
          <w:rFonts w:ascii="Times New Roman" w:hAnsi="Times New Roman" w:cs="Times New Roman"/>
          <w:sz w:val="24"/>
          <w:szCs w:val="24"/>
          <w:lang w:val="en-CA"/>
        </w:rPr>
        <w:t xml:space="preserve"> </w:t>
      </w:r>
      <w:r w:rsidR="00511203" w:rsidRPr="001F566E">
        <w:rPr>
          <w:rFonts w:ascii="Times New Roman" w:hAnsi="Times New Roman" w:cs="Times New Roman"/>
          <w:sz w:val="24"/>
          <w:szCs w:val="24"/>
          <w:lang w:val="en-CA"/>
        </w:rPr>
        <w:t xml:space="preserve">scenario vs the BAU, i.e. more than the urban densification </w:t>
      </w:r>
      <w:r w:rsidRPr="001F566E">
        <w:rPr>
          <w:rFonts w:ascii="Times New Roman" w:hAnsi="Times New Roman" w:cs="Times New Roman"/>
          <w:sz w:val="24"/>
          <w:szCs w:val="24"/>
          <w:lang w:val="en-CA"/>
        </w:rPr>
        <w:t xml:space="preserve">(i.e. 25%) </w:t>
      </w:r>
      <w:r w:rsidR="00511203" w:rsidRPr="001F566E">
        <w:rPr>
          <w:rFonts w:ascii="Times New Roman" w:hAnsi="Times New Roman" w:cs="Times New Roman"/>
          <w:sz w:val="24"/>
          <w:szCs w:val="24"/>
          <w:lang w:val="en-CA"/>
        </w:rPr>
        <w:t xml:space="preserve">also included in the </w:t>
      </w:r>
      <w:r w:rsidR="006570D9" w:rsidRPr="001F566E">
        <w:rPr>
          <w:rFonts w:ascii="Times New Roman" w:hAnsi="Times New Roman" w:cs="Times New Roman"/>
          <w:sz w:val="24"/>
          <w:szCs w:val="24"/>
          <w:lang w:val="en-CA"/>
        </w:rPr>
        <w:t>Optimal</w:t>
      </w:r>
      <w:r w:rsidR="000456F7" w:rsidRPr="001F566E">
        <w:rPr>
          <w:rFonts w:ascii="Times New Roman" w:hAnsi="Times New Roman" w:cs="Times New Roman"/>
          <w:sz w:val="24"/>
          <w:szCs w:val="24"/>
          <w:lang w:val="en-CA"/>
        </w:rPr>
        <w:t xml:space="preserve"> </w:t>
      </w:r>
      <w:r w:rsidR="00511203" w:rsidRPr="001F566E">
        <w:rPr>
          <w:rFonts w:ascii="Times New Roman" w:hAnsi="Times New Roman" w:cs="Times New Roman"/>
          <w:sz w:val="24"/>
          <w:szCs w:val="24"/>
          <w:lang w:val="en-CA"/>
        </w:rPr>
        <w:t xml:space="preserve">scenarios (see </w:t>
      </w:r>
      <w:r w:rsidR="00707C1F">
        <w:rPr>
          <w:rFonts w:ascii="Times New Roman" w:hAnsi="Times New Roman" w:cs="Times New Roman"/>
          <w:b/>
          <w:sz w:val="24"/>
          <w:szCs w:val="24"/>
          <w:lang w:val="en-CA"/>
        </w:rPr>
        <w:t>SI</w:t>
      </w:r>
      <w:r w:rsidR="006D0551" w:rsidRPr="001F566E">
        <w:rPr>
          <w:rFonts w:ascii="Times New Roman" w:hAnsi="Times New Roman" w:cs="Times New Roman"/>
          <w:b/>
          <w:sz w:val="24"/>
          <w:szCs w:val="24"/>
          <w:lang w:val="en-CA"/>
        </w:rPr>
        <w:t>, section</w:t>
      </w:r>
      <w:r w:rsidR="006D0551" w:rsidRPr="00F33A42">
        <w:rPr>
          <w:rFonts w:ascii="Times New Roman" w:hAnsi="Times New Roman" w:cs="Times New Roman"/>
          <w:b/>
          <w:sz w:val="24"/>
          <w:szCs w:val="24"/>
          <w:lang w:val="en-CA"/>
        </w:rPr>
        <w:t xml:space="preserve"> </w:t>
      </w:r>
      <w:r w:rsidR="007A753D" w:rsidRPr="00F33A42">
        <w:rPr>
          <w:rFonts w:ascii="Times New Roman" w:hAnsi="Times New Roman" w:cs="Times New Roman"/>
          <w:b/>
          <w:sz w:val="24"/>
          <w:szCs w:val="24"/>
          <w:lang w:val="en-CA"/>
        </w:rPr>
        <w:t>4</w:t>
      </w:r>
      <w:r w:rsidR="00511203" w:rsidRPr="001F566E">
        <w:rPr>
          <w:rFonts w:ascii="Times New Roman" w:hAnsi="Times New Roman" w:cs="Times New Roman"/>
          <w:sz w:val="24"/>
          <w:szCs w:val="24"/>
          <w:lang w:val="en-CA"/>
        </w:rPr>
        <w:t>).</w:t>
      </w:r>
    </w:p>
    <w:p w14:paraId="4C8D0FB4" w14:textId="77777777" w:rsidR="00511203" w:rsidRPr="001F566E" w:rsidRDefault="00511203" w:rsidP="00890789">
      <w:pPr>
        <w:spacing w:after="0" w:line="480" w:lineRule="auto"/>
        <w:jc w:val="both"/>
        <w:rPr>
          <w:rFonts w:ascii="Times New Roman" w:hAnsi="Times New Roman" w:cs="Times New Roman"/>
          <w:sz w:val="24"/>
          <w:szCs w:val="24"/>
          <w:lang w:val="en-CA"/>
        </w:rPr>
      </w:pPr>
    </w:p>
    <w:p w14:paraId="5AA0385E" w14:textId="77777777" w:rsidR="00511203" w:rsidRPr="001F566E" w:rsidRDefault="0007060D" w:rsidP="00890789">
      <w:pPr>
        <w:spacing w:after="0" w:line="480" w:lineRule="auto"/>
        <w:jc w:val="both"/>
      </w:pPr>
      <w:r w:rsidRPr="001F566E">
        <w:rPr>
          <w:rFonts w:ascii="Times New Roman" w:hAnsi="Times New Roman" w:cs="Times New Roman"/>
          <w:sz w:val="24"/>
          <w:szCs w:val="24"/>
          <w:lang w:val="en-CA"/>
        </w:rPr>
        <w:t xml:space="preserve">NO2 </w:t>
      </w:r>
      <w:r w:rsidR="00511203" w:rsidRPr="001F566E">
        <w:rPr>
          <w:rFonts w:ascii="Times New Roman" w:hAnsi="Times New Roman" w:cs="Times New Roman"/>
          <w:sz w:val="24"/>
          <w:szCs w:val="24"/>
          <w:lang w:val="en-CA"/>
        </w:rPr>
        <w:t xml:space="preserve">levels were slightly lower in the </w:t>
      </w:r>
      <w:r w:rsidR="006570D9" w:rsidRPr="001F566E">
        <w:rPr>
          <w:rFonts w:ascii="Times New Roman" w:hAnsi="Times New Roman" w:cs="Times New Roman"/>
          <w:sz w:val="24"/>
          <w:szCs w:val="24"/>
          <w:lang w:val="en-CA"/>
        </w:rPr>
        <w:t>Optimal</w:t>
      </w:r>
      <w:r w:rsidR="000456F7" w:rsidRPr="001F566E">
        <w:rPr>
          <w:rFonts w:ascii="Times New Roman" w:hAnsi="Times New Roman" w:cs="Times New Roman"/>
          <w:sz w:val="24"/>
          <w:szCs w:val="24"/>
          <w:lang w:val="en-CA"/>
        </w:rPr>
        <w:t xml:space="preserve"> </w:t>
      </w:r>
      <w:r w:rsidR="00511203" w:rsidRPr="001F566E">
        <w:rPr>
          <w:rFonts w:ascii="Times New Roman" w:hAnsi="Times New Roman" w:cs="Times New Roman"/>
          <w:sz w:val="24"/>
          <w:szCs w:val="24"/>
          <w:lang w:val="en-CA"/>
        </w:rPr>
        <w:t xml:space="preserve">scenarios compared to the BAU, and more importantly for veh </w:t>
      </w:r>
      <w:r w:rsidR="00901397">
        <w:rPr>
          <w:rFonts w:ascii="Times New Roman" w:hAnsi="Times New Roman" w:cs="Times New Roman"/>
          <w:sz w:val="24"/>
          <w:szCs w:val="24"/>
          <w:lang w:val="en-CA"/>
        </w:rPr>
        <w:t>fleet</w:t>
      </w:r>
      <w:r w:rsidRPr="001F566E">
        <w:rPr>
          <w:rFonts w:ascii="Times New Roman" w:hAnsi="Times New Roman" w:cs="Times New Roman"/>
          <w:sz w:val="24"/>
          <w:szCs w:val="24"/>
          <w:lang w:val="en-CA"/>
        </w:rPr>
        <w:t>2</w:t>
      </w:r>
      <w:r w:rsidR="00511203" w:rsidRPr="001F566E">
        <w:rPr>
          <w:rFonts w:ascii="Times New Roman" w:hAnsi="Times New Roman" w:cs="Times New Roman"/>
          <w:sz w:val="24"/>
          <w:szCs w:val="24"/>
          <w:lang w:val="en-CA"/>
        </w:rPr>
        <w:t xml:space="preserve"> vs </w:t>
      </w:r>
      <w:r w:rsidRPr="001F566E">
        <w:rPr>
          <w:rFonts w:ascii="Times New Roman" w:hAnsi="Times New Roman" w:cs="Times New Roman"/>
          <w:sz w:val="24"/>
          <w:szCs w:val="24"/>
          <w:lang w:val="en-CA"/>
        </w:rPr>
        <w:t>1. More pronounced differences were seen for GHG emissions</w:t>
      </w:r>
      <w:r w:rsidR="002D745B" w:rsidRPr="001F566E">
        <w:rPr>
          <w:rFonts w:ascii="Times New Roman" w:hAnsi="Times New Roman" w:cs="Times New Roman"/>
          <w:sz w:val="24"/>
          <w:szCs w:val="24"/>
          <w:lang w:val="en-CA"/>
        </w:rPr>
        <w:t xml:space="preserve"> than for NO2 concentrations (</w:t>
      </w:r>
      <w:r w:rsidR="002D745B" w:rsidRPr="001F566E">
        <w:rPr>
          <w:rFonts w:ascii="Times New Roman" w:hAnsi="Times New Roman" w:cs="Times New Roman"/>
          <w:b/>
          <w:sz w:val="24"/>
          <w:szCs w:val="24"/>
          <w:lang w:val="en-CA"/>
        </w:rPr>
        <w:t xml:space="preserve">Table </w:t>
      </w:r>
      <w:r w:rsidR="0019057E" w:rsidRPr="001F566E">
        <w:rPr>
          <w:rFonts w:ascii="Times New Roman" w:hAnsi="Times New Roman" w:cs="Times New Roman"/>
          <w:b/>
          <w:sz w:val="24"/>
          <w:szCs w:val="24"/>
          <w:lang w:val="en-CA"/>
        </w:rPr>
        <w:t>1</w:t>
      </w:r>
      <w:r w:rsidR="002D745B" w:rsidRPr="001F566E">
        <w:rPr>
          <w:rFonts w:ascii="Times New Roman" w:hAnsi="Times New Roman" w:cs="Times New Roman"/>
          <w:sz w:val="24"/>
          <w:szCs w:val="24"/>
          <w:lang w:val="en-CA"/>
        </w:rPr>
        <w:t>).</w:t>
      </w:r>
    </w:p>
    <w:p w14:paraId="4F9F4F08" w14:textId="77777777" w:rsidR="00F00A9B" w:rsidRPr="001F566E" w:rsidRDefault="00F00A9B" w:rsidP="00890789">
      <w:pPr>
        <w:spacing w:after="0" w:line="480" w:lineRule="auto"/>
        <w:jc w:val="both"/>
        <w:rPr>
          <w:rFonts w:ascii="Times New Roman" w:hAnsi="Times New Roman" w:cs="Times New Roman"/>
          <w:sz w:val="24"/>
          <w:szCs w:val="24"/>
          <w:lang w:val="en-CA"/>
        </w:rPr>
      </w:pPr>
    </w:p>
    <w:p w14:paraId="2DA7BA6D" w14:textId="77777777" w:rsidR="00511203" w:rsidRPr="001F566E" w:rsidRDefault="00511203" w:rsidP="00890789">
      <w:pPr>
        <w:spacing w:after="0" w:line="480" w:lineRule="auto"/>
        <w:jc w:val="both"/>
        <w:rPr>
          <w:rFonts w:ascii="Times New Roman" w:hAnsi="Times New Roman" w:cs="Times New Roman"/>
          <w:sz w:val="24"/>
          <w:szCs w:val="24"/>
          <w:lang w:val="en-CA"/>
        </w:rPr>
      </w:pPr>
      <w:r w:rsidRPr="001F566E">
        <w:rPr>
          <w:rFonts w:ascii="Times New Roman" w:hAnsi="Times New Roman" w:cs="Times New Roman"/>
          <w:sz w:val="24"/>
          <w:szCs w:val="24"/>
          <w:lang w:val="en-CA"/>
        </w:rPr>
        <w:t xml:space="preserve">There were regional variations, in the differences in car and public transit use per capita, between the </w:t>
      </w:r>
      <w:r w:rsidR="006570D9" w:rsidRPr="001F566E">
        <w:rPr>
          <w:rFonts w:ascii="Times New Roman" w:hAnsi="Times New Roman" w:cs="Times New Roman"/>
          <w:sz w:val="24"/>
          <w:szCs w:val="24"/>
          <w:lang w:val="en-CA"/>
        </w:rPr>
        <w:t>Optimal</w:t>
      </w:r>
      <w:r w:rsidR="000456F7" w:rsidRPr="001F566E">
        <w:rPr>
          <w:rFonts w:ascii="Times New Roman" w:hAnsi="Times New Roman" w:cs="Times New Roman"/>
          <w:sz w:val="24"/>
          <w:szCs w:val="24"/>
          <w:lang w:val="en-CA"/>
        </w:rPr>
        <w:t xml:space="preserve"> </w:t>
      </w:r>
      <w:r w:rsidRPr="001F566E">
        <w:rPr>
          <w:rFonts w:ascii="Times New Roman" w:hAnsi="Times New Roman" w:cs="Times New Roman"/>
          <w:sz w:val="24"/>
          <w:szCs w:val="24"/>
          <w:lang w:val="en-CA"/>
        </w:rPr>
        <w:t xml:space="preserve">scenario without teleworking/schooling and the BAU; greater contrasts in car mode share between the two scenarios were seen in the urban core than </w:t>
      </w:r>
      <w:r w:rsidR="00DF6DB4" w:rsidRPr="001F566E">
        <w:rPr>
          <w:rFonts w:ascii="Times New Roman" w:hAnsi="Times New Roman" w:cs="Times New Roman"/>
          <w:sz w:val="24"/>
          <w:szCs w:val="24"/>
          <w:lang w:val="en-CA"/>
        </w:rPr>
        <w:t xml:space="preserve">in </w:t>
      </w:r>
      <w:r w:rsidRPr="001F566E">
        <w:rPr>
          <w:rFonts w:ascii="Times New Roman" w:hAnsi="Times New Roman" w:cs="Times New Roman"/>
          <w:sz w:val="24"/>
          <w:szCs w:val="24"/>
          <w:lang w:val="en-CA"/>
        </w:rPr>
        <w:t xml:space="preserve">the suburbs (urban -0.38 vs </w:t>
      </w:r>
      <w:r w:rsidRPr="001F566E">
        <w:rPr>
          <w:rFonts w:ascii="Times New Roman" w:hAnsi="Times New Roman" w:cs="Times New Roman"/>
          <w:sz w:val="24"/>
          <w:szCs w:val="24"/>
          <w:lang w:val="en-CA"/>
        </w:rPr>
        <w:lastRenderedPageBreak/>
        <w:t>suburbs -0.29 per capita) (</w:t>
      </w:r>
      <w:r w:rsidRPr="001F566E">
        <w:rPr>
          <w:rFonts w:ascii="Times New Roman" w:hAnsi="Times New Roman" w:cs="Times New Roman"/>
          <w:b/>
          <w:sz w:val="24"/>
          <w:szCs w:val="24"/>
          <w:lang w:val="en-CA"/>
        </w:rPr>
        <w:t xml:space="preserve">Table </w:t>
      </w:r>
      <w:r w:rsidR="00707C1F">
        <w:rPr>
          <w:rFonts w:ascii="Times New Roman" w:hAnsi="Times New Roman" w:cs="Times New Roman"/>
          <w:b/>
          <w:sz w:val="24"/>
          <w:szCs w:val="24"/>
          <w:lang w:val="en-CA"/>
        </w:rPr>
        <w:t>S</w:t>
      </w:r>
      <w:r w:rsidR="007A753D" w:rsidRPr="001F566E">
        <w:rPr>
          <w:rFonts w:ascii="Times New Roman" w:hAnsi="Times New Roman" w:cs="Times New Roman"/>
          <w:b/>
          <w:sz w:val="24"/>
          <w:szCs w:val="24"/>
          <w:lang w:val="en-CA"/>
        </w:rPr>
        <w:t>6</w:t>
      </w:r>
      <w:r w:rsidRPr="00F33A42">
        <w:rPr>
          <w:rFonts w:ascii="Times New Roman" w:hAnsi="Times New Roman" w:cs="Times New Roman"/>
          <w:sz w:val="24"/>
          <w:szCs w:val="24"/>
          <w:lang w:val="en-CA"/>
        </w:rPr>
        <w:t xml:space="preserve">). However, these contrasts were linked to much more pronounced differences in the absolute numbers of trips and distances by car for people of the suburbs. This was also true for the </w:t>
      </w:r>
      <w:r w:rsidR="006570D9" w:rsidRPr="00F33A42">
        <w:rPr>
          <w:rFonts w:ascii="Times New Roman" w:hAnsi="Times New Roman" w:cs="Times New Roman"/>
          <w:sz w:val="24"/>
          <w:szCs w:val="24"/>
          <w:lang w:val="en-CA"/>
        </w:rPr>
        <w:t>Optimal</w:t>
      </w:r>
      <w:r w:rsidR="00F559B4" w:rsidRPr="001F566E">
        <w:rPr>
          <w:rFonts w:ascii="Times New Roman" w:hAnsi="Times New Roman" w:cs="Times New Roman"/>
          <w:sz w:val="24"/>
          <w:szCs w:val="24"/>
          <w:lang w:val="en-CA"/>
        </w:rPr>
        <w:t xml:space="preserve"> </w:t>
      </w:r>
      <w:r w:rsidRPr="001F566E">
        <w:rPr>
          <w:rFonts w:ascii="Times New Roman" w:hAnsi="Times New Roman" w:cs="Times New Roman"/>
          <w:sz w:val="24"/>
          <w:szCs w:val="24"/>
          <w:lang w:val="en-CA"/>
        </w:rPr>
        <w:t xml:space="preserve">scenario with teleworking/schooling. </w:t>
      </w:r>
      <w:r w:rsidR="0004447E" w:rsidRPr="001F566E">
        <w:rPr>
          <w:rFonts w:ascii="Times New Roman" w:hAnsi="Times New Roman" w:cs="Times New Roman"/>
          <w:sz w:val="24"/>
          <w:szCs w:val="24"/>
          <w:lang w:val="en-CA"/>
        </w:rPr>
        <w:t xml:space="preserve">The difference in the </w:t>
      </w:r>
      <w:r w:rsidRPr="001F566E">
        <w:rPr>
          <w:rFonts w:ascii="Times New Roman" w:hAnsi="Times New Roman" w:cs="Times New Roman"/>
          <w:sz w:val="24"/>
          <w:szCs w:val="24"/>
          <w:lang w:val="en-CA"/>
        </w:rPr>
        <w:t xml:space="preserve">NO2 between the two scenarios </w:t>
      </w:r>
      <w:r w:rsidR="0004447E" w:rsidRPr="001F566E">
        <w:rPr>
          <w:rFonts w:ascii="Times New Roman" w:hAnsi="Times New Roman" w:cs="Times New Roman"/>
          <w:sz w:val="24"/>
          <w:szCs w:val="24"/>
          <w:lang w:val="en-CA"/>
        </w:rPr>
        <w:t xml:space="preserve">was however similar in </w:t>
      </w:r>
      <w:r w:rsidRPr="001F566E">
        <w:rPr>
          <w:rFonts w:ascii="Times New Roman" w:hAnsi="Times New Roman" w:cs="Times New Roman"/>
          <w:sz w:val="24"/>
          <w:szCs w:val="24"/>
          <w:lang w:val="en-CA"/>
        </w:rPr>
        <w:t xml:space="preserve">the urban core </w:t>
      </w:r>
      <w:r w:rsidR="0004447E" w:rsidRPr="001F566E">
        <w:rPr>
          <w:rFonts w:ascii="Times New Roman" w:hAnsi="Times New Roman" w:cs="Times New Roman"/>
          <w:sz w:val="24"/>
          <w:szCs w:val="24"/>
          <w:lang w:val="en-CA"/>
        </w:rPr>
        <w:t>and</w:t>
      </w:r>
      <w:r w:rsidRPr="001F566E">
        <w:rPr>
          <w:rFonts w:ascii="Times New Roman" w:hAnsi="Times New Roman" w:cs="Times New Roman"/>
          <w:sz w:val="24"/>
          <w:szCs w:val="24"/>
          <w:lang w:val="en-CA"/>
        </w:rPr>
        <w:t xml:space="preserve"> the suburbs (</w:t>
      </w:r>
      <w:r w:rsidRPr="001F566E">
        <w:rPr>
          <w:rFonts w:ascii="Times New Roman" w:hAnsi="Times New Roman" w:cs="Times New Roman"/>
          <w:b/>
          <w:sz w:val="24"/>
          <w:szCs w:val="24"/>
          <w:lang w:val="en-CA"/>
        </w:rPr>
        <w:t xml:space="preserve">Table </w:t>
      </w:r>
      <w:r w:rsidR="00707C1F">
        <w:rPr>
          <w:rFonts w:ascii="Times New Roman" w:hAnsi="Times New Roman" w:cs="Times New Roman"/>
          <w:b/>
          <w:sz w:val="24"/>
          <w:szCs w:val="24"/>
          <w:lang w:val="en-CA"/>
        </w:rPr>
        <w:t>S</w:t>
      </w:r>
      <w:r w:rsidR="007A753D" w:rsidRPr="001F566E">
        <w:rPr>
          <w:rFonts w:ascii="Times New Roman" w:hAnsi="Times New Roman" w:cs="Times New Roman"/>
          <w:b/>
          <w:sz w:val="24"/>
          <w:szCs w:val="24"/>
          <w:lang w:val="en-CA"/>
        </w:rPr>
        <w:t>6</w:t>
      </w:r>
      <w:r w:rsidRPr="001F566E">
        <w:rPr>
          <w:rFonts w:ascii="Times New Roman" w:hAnsi="Times New Roman" w:cs="Times New Roman"/>
          <w:sz w:val="24"/>
          <w:szCs w:val="24"/>
          <w:lang w:val="en-CA"/>
        </w:rPr>
        <w:t>),</w:t>
      </w:r>
      <w:r w:rsidRPr="00F33A42">
        <w:rPr>
          <w:rFonts w:ascii="Times New Roman" w:hAnsi="Times New Roman" w:cs="Times New Roman"/>
          <w:sz w:val="24"/>
          <w:szCs w:val="24"/>
          <w:lang w:val="en-CA"/>
        </w:rPr>
        <w:t xml:space="preserve"> although levels were always higher in the urban core (</w:t>
      </w:r>
      <w:r w:rsidR="0004447E" w:rsidRPr="001F566E">
        <w:rPr>
          <w:rFonts w:ascii="Times New Roman" w:hAnsi="Times New Roman" w:cs="Times New Roman"/>
          <w:sz w:val="24"/>
          <w:szCs w:val="24"/>
          <w:lang w:val="en-CA"/>
        </w:rPr>
        <w:t xml:space="preserve">veh </w:t>
      </w:r>
      <w:r w:rsidR="00901397">
        <w:rPr>
          <w:rFonts w:ascii="Times New Roman" w:hAnsi="Times New Roman" w:cs="Times New Roman"/>
          <w:sz w:val="24"/>
          <w:szCs w:val="24"/>
          <w:lang w:val="en-CA"/>
        </w:rPr>
        <w:t>fleet</w:t>
      </w:r>
      <w:r w:rsidR="0004447E" w:rsidRPr="001F566E">
        <w:rPr>
          <w:rFonts w:ascii="Times New Roman" w:hAnsi="Times New Roman" w:cs="Times New Roman"/>
          <w:sz w:val="24"/>
          <w:szCs w:val="24"/>
          <w:lang w:val="en-CA"/>
        </w:rPr>
        <w:t xml:space="preserve">1: </w:t>
      </w:r>
      <w:r w:rsidR="001F0D1A" w:rsidRPr="001F566E">
        <w:rPr>
          <w:rFonts w:ascii="Times New Roman" w:hAnsi="Times New Roman" w:cs="Times New Roman"/>
          <w:sz w:val="24"/>
          <w:szCs w:val="24"/>
          <w:lang w:val="en-CA"/>
        </w:rPr>
        <w:t>urban</w:t>
      </w:r>
      <w:r w:rsidR="0004447E" w:rsidRPr="001F566E">
        <w:rPr>
          <w:rFonts w:ascii="Times New Roman" w:hAnsi="Times New Roman" w:cs="Times New Roman"/>
          <w:sz w:val="24"/>
          <w:szCs w:val="24"/>
          <w:lang w:val="en-CA"/>
        </w:rPr>
        <w:t xml:space="preserve"> core</w:t>
      </w:r>
      <w:r w:rsidR="001F0D1A" w:rsidRPr="001F566E">
        <w:rPr>
          <w:rFonts w:ascii="Times New Roman" w:hAnsi="Times New Roman" w:cs="Times New Roman"/>
          <w:sz w:val="24"/>
          <w:szCs w:val="24"/>
          <w:lang w:val="en-CA"/>
        </w:rPr>
        <w:t xml:space="preserve"> </w:t>
      </w:r>
      <w:r w:rsidR="005C50B5" w:rsidRPr="001F566E">
        <w:rPr>
          <w:rFonts w:ascii="Times New Roman" w:hAnsi="Times New Roman" w:cs="Times New Roman"/>
          <w:sz w:val="24"/>
          <w:szCs w:val="24"/>
          <w:lang w:val="en-CA"/>
        </w:rPr>
        <w:t xml:space="preserve">BAU </w:t>
      </w:r>
      <w:r w:rsidRPr="001F566E">
        <w:rPr>
          <w:rFonts w:ascii="Times New Roman" w:hAnsi="Times New Roman" w:cs="Times New Roman"/>
          <w:sz w:val="24"/>
          <w:szCs w:val="24"/>
          <w:lang w:val="en-CA"/>
        </w:rPr>
        <w:t>8.</w:t>
      </w:r>
      <w:r w:rsidR="003F5CCE" w:rsidRPr="001F566E">
        <w:rPr>
          <w:rFonts w:ascii="Times New Roman" w:hAnsi="Times New Roman" w:cs="Times New Roman"/>
          <w:sz w:val="24"/>
          <w:szCs w:val="24"/>
          <w:lang w:val="en-CA"/>
        </w:rPr>
        <w:t>5</w:t>
      </w:r>
      <w:r w:rsidR="006C2A78" w:rsidRPr="001F566E">
        <w:rPr>
          <w:rFonts w:ascii="Times New Roman" w:hAnsi="Times New Roman" w:cs="Times New Roman"/>
          <w:sz w:val="24"/>
          <w:szCs w:val="24"/>
          <w:lang w:val="en-CA"/>
        </w:rPr>
        <w:t xml:space="preserve"> ppb</w:t>
      </w:r>
      <w:r w:rsidRPr="001F566E">
        <w:rPr>
          <w:rFonts w:ascii="Times New Roman" w:hAnsi="Times New Roman" w:cs="Times New Roman"/>
          <w:sz w:val="24"/>
          <w:szCs w:val="24"/>
          <w:lang w:val="en-CA"/>
        </w:rPr>
        <w:t xml:space="preserve"> </w:t>
      </w:r>
      <w:r w:rsidR="006C2A78" w:rsidRPr="001F566E">
        <w:rPr>
          <w:rFonts w:ascii="Times New Roman" w:hAnsi="Times New Roman" w:cs="Times New Roman"/>
          <w:sz w:val="24"/>
          <w:szCs w:val="24"/>
          <w:lang w:val="en-CA"/>
        </w:rPr>
        <w:t xml:space="preserve">vs </w:t>
      </w:r>
      <w:r w:rsidR="006570D9" w:rsidRPr="001F566E">
        <w:rPr>
          <w:rFonts w:ascii="Times New Roman" w:hAnsi="Times New Roman" w:cs="Times New Roman"/>
          <w:sz w:val="24"/>
          <w:szCs w:val="24"/>
          <w:lang w:val="en-CA"/>
        </w:rPr>
        <w:t>Optimal</w:t>
      </w:r>
      <w:r w:rsidR="00C93BE7">
        <w:rPr>
          <w:rFonts w:ascii="Times New Roman" w:hAnsi="Times New Roman" w:cs="Times New Roman"/>
          <w:sz w:val="24"/>
          <w:szCs w:val="24"/>
          <w:lang w:val="en-CA"/>
        </w:rPr>
        <w:t xml:space="preserve"> </w:t>
      </w:r>
      <w:r w:rsidRPr="001F566E">
        <w:rPr>
          <w:rFonts w:ascii="Times New Roman" w:hAnsi="Times New Roman" w:cs="Times New Roman"/>
          <w:sz w:val="24"/>
          <w:szCs w:val="24"/>
          <w:lang w:val="en-CA"/>
        </w:rPr>
        <w:t>7.</w:t>
      </w:r>
      <w:r w:rsidR="0004447E" w:rsidRPr="001F566E">
        <w:rPr>
          <w:rFonts w:ascii="Times New Roman" w:hAnsi="Times New Roman" w:cs="Times New Roman"/>
          <w:sz w:val="24"/>
          <w:szCs w:val="24"/>
          <w:lang w:val="en-CA"/>
        </w:rPr>
        <w:t>8 ppb</w:t>
      </w:r>
      <w:r w:rsidR="006C2A78" w:rsidRPr="001F566E">
        <w:rPr>
          <w:rFonts w:ascii="Times New Roman" w:hAnsi="Times New Roman" w:cs="Times New Roman"/>
          <w:sz w:val="24"/>
          <w:szCs w:val="24"/>
          <w:lang w:val="en-CA"/>
        </w:rPr>
        <w:t xml:space="preserve">; </w:t>
      </w:r>
      <w:r w:rsidR="005C50B5" w:rsidRPr="001F566E">
        <w:rPr>
          <w:rFonts w:ascii="Times New Roman" w:hAnsi="Times New Roman" w:cs="Times New Roman"/>
          <w:sz w:val="24"/>
          <w:szCs w:val="24"/>
          <w:lang w:val="en-CA"/>
        </w:rPr>
        <w:t>suburbs BAU</w:t>
      </w:r>
      <w:r w:rsidR="005C50B5" w:rsidRPr="001F566E">
        <w:rPr>
          <w:rFonts w:ascii="Times New Roman" w:hAnsi="Times New Roman" w:cs="Times New Roman"/>
          <w:color w:val="FF0000"/>
          <w:sz w:val="24"/>
          <w:szCs w:val="24"/>
          <w:lang w:val="en-CA"/>
        </w:rPr>
        <w:t xml:space="preserve"> </w:t>
      </w:r>
      <w:r w:rsidR="0004447E" w:rsidRPr="001F566E">
        <w:rPr>
          <w:rFonts w:ascii="Times New Roman" w:hAnsi="Times New Roman" w:cs="Times New Roman"/>
          <w:sz w:val="24"/>
          <w:szCs w:val="24"/>
          <w:lang w:val="en-CA"/>
        </w:rPr>
        <w:t>7.</w:t>
      </w:r>
      <w:r w:rsidR="002944C8" w:rsidRPr="001F566E">
        <w:rPr>
          <w:rFonts w:ascii="Times New Roman" w:hAnsi="Times New Roman" w:cs="Times New Roman"/>
          <w:sz w:val="24"/>
          <w:szCs w:val="24"/>
          <w:lang w:val="en-CA"/>
        </w:rPr>
        <w:t>1</w:t>
      </w:r>
      <w:r w:rsidR="0004447E" w:rsidRPr="001F566E">
        <w:rPr>
          <w:rFonts w:ascii="Times New Roman" w:hAnsi="Times New Roman" w:cs="Times New Roman"/>
          <w:sz w:val="24"/>
          <w:szCs w:val="24"/>
          <w:lang w:val="en-CA"/>
        </w:rPr>
        <w:t xml:space="preserve"> ppb vs 6.5 ppb</w:t>
      </w:r>
      <w:r w:rsidRPr="001F566E">
        <w:rPr>
          <w:rFonts w:ascii="Times New Roman" w:hAnsi="Times New Roman" w:cs="Times New Roman"/>
          <w:sz w:val="24"/>
          <w:szCs w:val="24"/>
          <w:lang w:val="en-CA"/>
        </w:rPr>
        <w:t xml:space="preserve">).  </w:t>
      </w:r>
    </w:p>
    <w:p w14:paraId="16A7BD3E" w14:textId="77777777" w:rsidR="00B53A82" w:rsidRPr="001F566E" w:rsidRDefault="00B53A82" w:rsidP="00890789">
      <w:pPr>
        <w:spacing w:after="0" w:line="480" w:lineRule="auto"/>
        <w:jc w:val="both"/>
        <w:rPr>
          <w:rFonts w:ascii="Times New Roman" w:hAnsi="Times New Roman" w:cs="Times New Roman"/>
          <w:sz w:val="24"/>
          <w:szCs w:val="24"/>
          <w:lang w:val="en-CA"/>
        </w:rPr>
      </w:pPr>
    </w:p>
    <w:p w14:paraId="3C13BE9A" w14:textId="77777777" w:rsidR="00B53A82" w:rsidRPr="001F566E" w:rsidRDefault="00B53A82" w:rsidP="00890789">
      <w:pPr>
        <w:spacing w:after="0" w:line="480" w:lineRule="auto"/>
        <w:jc w:val="both"/>
      </w:pPr>
      <w:r w:rsidRPr="001F566E">
        <w:rPr>
          <w:rFonts w:ascii="Times New Roman" w:hAnsi="Times New Roman" w:cs="Times New Roman"/>
          <w:sz w:val="24"/>
          <w:szCs w:val="24"/>
          <w:lang w:val="en-CA"/>
        </w:rPr>
        <w:t xml:space="preserve">The GHG emissions of </w:t>
      </w:r>
      <w:r w:rsidR="00F46BD2">
        <w:rPr>
          <w:rFonts w:ascii="Times New Roman" w:hAnsi="Times New Roman" w:cs="Times New Roman"/>
          <w:sz w:val="24"/>
          <w:szCs w:val="24"/>
          <w:lang w:val="en-CA"/>
        </w:rPr>
        <w:t>Y2061</w:t>
      </w:r>
      <w:r w:rsidRPr="001F566E">
        <w:rPr>
          <w:rFonts w:ascii="Times New Roman" w:hAnsi="Times New Roman" w:cs="Times New Roman"/>
          <w:sz w:val="24"/>
          <w:szCs w:val="24"/>
          <w:lang w:val="en-CA"/>
        </w:rPr>
        <w:t xml:space="preserve"> were lower for the BAU with high electric vehicle penetration (i.e. 50%) than for the </w:t>
      </w:r>
      <w:r w:rsidR="006570D9" w:rsidRPr="001F566E">
        <w:rPr>
          <w:rFonts w:ascii="Times New Roman" w:hAnsi="Times New Roman" w:cs="Times New Roman"/>
          <w:sz w:val="24"/>
          <w:szCs w:val="24"/>
          <w:lang w:val="en-CA"/>
        </w:rPr>
        <w:t>Optimal</w:t>
      </w:r>
      <w:r w:rsidR="00F559B4" w:rsidRPr="001F566E">
        <w:rPr>
          <w:rFonts w:ascii="Times New Roman" w:hAnsi="Times New Roman" w:cs="Times New Roman"/>
          <w:sz w:val="24"/>
          <w:szCs w:val="24"/>
          <w:lang w:val="en-CA"/>
        </w:rPr>
        <w:t xml:space="preserve"> </w:t>
      </w:r>
      <w:r w:rsidRPr="001F566E">
        <w:rPr>
          <w:rFonts w:ascii="Times New Roman" w:hAnsi="Times New Roman" w:cs="Times New Roman"/>
          <w:sz w:val="24"/>
          <w:szCs w:val="24"/>
          <w:lang w:val="en-CA"/>
        </w:rPr>
        <w:t xml:space="preserve">scenario (with urban densification and decreased car mode) that only considered </w:t>
      </w:r>
      <w:r w:rsidRPr="001F566E">
        <w:rPr>
          <w:rFonts w:ascii="Times New Roman" w:hAnsi="Times New Roman" w:cs="Times New Roman"/>
          <w:iCs/>
          <w:sz w:val="24"/>
          <w:szCs w:val="24"/>
        </w:rPr>
        <w:t>fuel efficiency and emission control technologies</w:t>
      </w:r>
      <w:r w:rsidR="00735850" w:rsidRPr="001F566E">
        <w:rPr>
          <w:rFonts w:ascii="Times New Roman" w:hAnsi="Times New Roman" w:cs="Times New Roman"/>
          <w:iCs/>
          <w:sz w:val="24"/>
          <w:szCs w:val="24"/>
        </w:rPr>
        <w:t xml:space="preserve"> up to </w:t>
      </w:r>
      <w:r w:rsidR="00F46BD2">
        <w:rPr>
          <w:rFonts w:ascii="Times New Roman" w:hAnsi="Times New Roman" w:cs="Times New Roman"/>
          <w:iCs/>
          <w:sz w:val="24"/>
          <w:szCs w:val="24"/>
        </w:rPr>
        <w:t>Y2031</w:t>
      </w:r>
      <w:r w:rsidRPr="001F566E">
        <w:rPr>
          <w:rFonts w:ascii="Times New Roman" w:hAnsi="Times New Roman" w:cs="Times New Roman"/>
          <w:iCs/>
          <w:sz w:val="24"/>
          <w:szCs w:val="24"/>
        </w:rPr>
        <w:t>.</w:t>
      </w:r>
    </w:p>
    <w:p w14:paraId="5C83F3EF" w14:textId="77777777" w:rsidR="00511203" w:rsidRPr="001F566E" w:rsidRDefault="00511203" w:rsidP="00890789">
      <w:pPr>
        <w:spacing w:after="0" w:line="480" w:lineRule="auto"/>
        <w:jc w:val="both"/>
        <w:rPr>
          <w:rFonts w:ascii="Times New Roman" w:hAnsi="Times New Roman" w:cs="Times New Roman"/>
          <w:sz w:val="24"/>
          <w:szCs w:val="24"/>
          <w:lang w:val="en-CA"/>
        </w:rPr>
      </w:pPr>
    </w:p>
    <w:p w14:paraId="4D31F76F" w14:textId="77777777" w:rsidR="00F03B06" w:rsidRDefault="00511203" w:rsidP="00270D39">
      <w:pPr>
        <w:spacing w:after="0" w:line="480" w:lineRule="auto"/>
        <w:jc w:val="both"/>
        <w:rPr>
          <w:rFonts w:ascii="Times New Roman" w:hAnsi="Times New Roman" w:cs="Times New Roman"/>
          <w:sz w:val="24"/>
          <w:szCs w:val="24"/>
          <w:lang w:val="en-CA"/>
        </w:rPr>
      </w:pPr>
      <w:r w:rsidRPr="001F566E">
        <w:rPr>
          <w:rFonts w:ascii="Times New Roman" w:hAnsi="Times New Roman" w:cs="Times New Roman"/>
          <w:sz w:val="24"/>
          <w:szCs w:val="24"/>
          <w:lang w:val="en-CA"/>
        </w:rPr>
        <w:t xml:space="preserve">Large health benefits of active transport were seen </w:t>
      </w:r>
      <w:r w:rsidR="0019057E" w:rsidRPr="001F566E">
        <w:rPr>
          <w:rFonts w:ascii="Times New Roman" w:hAnsi="Times New Roman" w:cs="Times New Roman"/>
          <w:sz w:val="24"/>
          <w:szCs w:val="24"/>
          <w:lang w:val="en-CA"/>
        </w:rPr>
        <w:t>for those with a residence</w:t>
      </w:r>
      <w:r w:rsidR="0019057E" w:rsidRPr="00F33A42">
        <w:rPr>
          <w:rFonts w:ascii="Times New Roman" w:hAnsi="Times New Roman" w:cs="Times New Roman"/>
          <w:sz w:val="24"/>
          <w:szCs w:val="24"/>
          <w:lang w:val="en-CA"/>
        </w:rPr>
        <w:t xml:space="preserve"> </w:t>
      </w:r>
      <w:r w:rsidRPr="00F33A42">
        <w:rPr>
          <w:rFonts w:ascii="Times New Roman" w:hAnsi="Times New Roman" w:cs="Times New Roman"/>
          <w:sz w:val="24"/>
          <w:szCs w:val="24"/>
          <w:lang w:val="en-CA"/>
        </w:rPr>
        <w:t xml:space="preserve">in the urban core for the </w:t>
      </w:r>
      <w:r w:rsidR="006570D9" w:rsidRPr="001F566E">
        <w:rPr>
          <w:rFonts w:ascii="Times New Roman" w:hAnsi="Times New Roman" w:cs="Times New Roman"/>
          <w:sz w:val="24"/>
          <w:szCs w:val="24"/>
          <w:lang w:val="en-CA"/>
        </w:rPr>
        <w:t>Optimal</w:t>
      </w:r>
      <w:r w:rsidR="00CF2EE4" w:rsidRPr="001F566E">
        <w:rPr>
          <w:rFonts w:ascii="Times New Roman" w:hAnsi="Times New Roman" w:cs="Times New Roman"/>
          <w:sz w:val="24"/>
          <w:szCs w:val="24"/>
          <w:lang w:val="en-CA"/>
        </w:rPr>
        <w:t xml:space="preserve"> </w:t>
      </w:r>
      <w:r w:rsidRPr="001F566E">
        <w:rPr>
          <w:rFonts w:ascii="Times New Roman" w:hAnsi="Times New Roman" w:cs="Times New Roman"/>
          <w:sz w:val="24"/>
          <w:szCs w:val="24"/>
          <w:lang w:val="en-CA"/>
        </w:rPr>
        <w:t>scenarios compared to the BAU. However</w:t>
      </w:r>
      <w:r w:rsidR="00B5604A">
        <w:rPr>
          <w:rFonts w:ascii="Times New Roman" w:hAnsi="Times New Roman" w:cs="Times New Roman"/>
          <w:sz w:val="24"/>
          <w:szCs w:val="24"/>
          <w:lang w:val="en-CA"/>
        </w:rPr>
        <w:t>,</w:t>
      </w:r>
      <w:r w:rsidRPr="001F566E">
        <w:rPr>
          <w:rFonts w:ascii="Times New Roman" w:hAnsi="Times New Roman" w:cs="Times New Roman"/>
          <w:sz w:val="24"/>
          <w:szCs w:val="24"/>
          <w:lang w:val="en-CA"/>
        </w:rPr>
        <w:t xml:space="preserve"> those benefits were accompanied by higher impacts of air pollution and by road traumas in the urban core (see </w:t>
      </w:r>
      <w:r w:rsidR="00707C1F">
        <w:rPr>
          <w:rFonts w:ascii="Times New Roman" w:hAnsi="Times New Roman" w:cs="Times New Roman"/>
          <w:b/>
          <w:sz w:val="24"/>
          <w:szCs w:val="24"/>
          <w:lang w:val="en-CA"/>
        </w:rPr>
        <w:t>SI</w:t>
      </w:r>
      <w:r w:rsidR="009E2B13" w:rsidRPr="001F566E">
        <w:rPr>
          <w:rFonts w:ascii="Times New Roman" w:hAnsi="Times New Roman" w:cs="Times New Roman"/>
          <w:b/>
          <w:sz w:val="24"/>
          <w:szCs w:val="24"/>
          <w:lang w:val="en-CA"/>
        </w:rPr>
        <w:t xml:space="preserve">, </w:t>
      </w:r>
      <w:r w:rsidR="00892A70" w:rsidRPr="001F566E">
        <w:rPr>
          <w:rFonts w:ascii="Times New Roman" w:hAnsi="Times New Roman" w:cs="Times New Roman"/>
          <w:b/>
          <w:sz w:val="24"/>
          <w:szCs w:val="24"/>
          <w:lang w:val="en-CA"/>
        </w:rPr>
        <w:t xml:space="preserve">section </w:t>
      </w:r>
      <w:r w:rsidR="0098182D">
        <w:rPr>
          <w:rFonts w:ascii="Times New Roman" w:hAnsi="Times New Roman" w:cs="Times New Roman"/>
          <w:b/>
          <w:sz w:val="24"/>
          <w:szCs w:val="24"/>
          <w:lang w:val="en-CA"/>
        </w:rPr>
        <w:t>5</w:t>
      </w:r>
      <w:r w:rsidR="007A753D" w:rsidRPr="00F33A42">
        <w:rPr>
          <w:rFonts w:ascii="Times New Roman" w:hAnsi="Times New Roman" w:cs="Times New Roman"/>
          <w:b/>
          <w:sz w:val="24"/>
          <w:szCs w:val="24"/>
          <w:lang w:val="en-CA"/>
        </w:rPr>
        <w:t xml:space="preserve">, Table </w:t>
      </w:r>
      <w:r w:rsidR="00707C1F">
        <w:rPr>
          <w:rFonts w:ascii="Times New Roman" w:hAnsi="Times New Roman" w:cs="Times New Roman"/>
          <w:b/>
          <w:sz w:val="24"/>
          <w:szCs w:val="24"/>
          <w:lang w:val="en-CA"/>
        </w:rPr>
        <w:t>S</w:t>
      </w:r>
      <w:r w:rsidR="007A753D" w:rsidRPr="00F33A42">
        <w:rPr>
          <w:rFonts w:ascii="Times New Roman" w:hAnsi="Times New Roman" w:cs="Times New Roman"/>
          <w:b/>
          <w:sz w:val="24"/>
          <w:szCs w:val="24"/>
          <w:lang w:val="en-CA"/>
        </w:rPr>
        <w:t>9</w:t>
      </w:r>
      <w:r w:rsidRPr="00F33A42">
        <w:rPr>
          <w:rFonts w:ascii="Times New Roman" w:hAnsi="Times New Roman" w:cs="Times New Roman"/>
          <w:sz w:val="24"/>
          <w:szCs w:val="24"/>
          <w:lang w:val="en-CA"/>
        </w:rPr>
        <w:t xml:space="preserve">); on the contrary, impacts of air pollutant levels and road traumas were lower in the suburbs compared to the BAU. Globally, </w:t>
      </w:r>
      <w:r w:rsidR="00906123" w:rsidRPr="001F566E">
        <w:rPr>
          <w:rFonts w:ascii="Times New Roman" w:hAnsi="Times New Roman" w:cs="Times New Roman"/>
          <w:sz w:val="24"/>
          <w:szCs w:val="24"/>
          <w:lang w:val="en-CA"/>
        </w:rPr>
        <w:t xml:space="preserve">most of the </w:t>
      </w:r>
      <w:r w:rsidR="00F46BD2">
        <w:rPr>
          <w:rFonts w:ascii="Times New Roman" w:hAnsi="Times New Roman" w:cs="Times New Roman"/>
          <w:sz w:val="24"/>
          <w:szCs w:val="24"/>
          <w:lang w:val="en-CA"/>
        </w:rPr>
        <w:t>Y2061</w:t>
      </w:r>
      <w:r w:rsidR="00906123" w:rsidRPr="001F566E">
        <w:rPr>
          <w:rFonts w:ascii="Times New Roman" w:hAnsi="Times New Roman" w:cs="Times New Roman"/>
          <w:sz w:val="24"/>
          <w:szCs w:val="24"/>
          <w:lang w:val="en-CA"/>
        </w:rPr>
        <w:t xml:space="preserve"> impacts of the BAU </w:t>
      </w:r>
      <w:r w:rsidR="0019057E" w:rsidRPr="001F566E">
        <w:rPr>
          <w:rFonts w:ascii="Times New Roman" w:hAnsi="Times New Roman" w:cs="Times New Roman"/>
          <w:sz w:val="24"/>
          <w:szCs w:val="24"/>
          <w:lang w:val="en-CA"/>
        </w:rPr>
        <w:t xml:space="preserve">were </w:t>
      </w:r>
      <w:r w:rsidR="00906123" w:rsidRPr="001F566E">
        <w:rPr>
          <w:rFonts w:ascii="Times New Roman" w:hAnsi="Times New Roman" w:cs="Times New Roman"/>
          <w:sz w:val="24"/>
          <w:szCs w:val="24"/>
          <w:lang w:val="en-CA"/>
        </w:rPr>
        <w:t xml:space="preserve">due to road traumas, and </w:t>
      </w:r>
      <w:r w:rsidR="00241EC0" w:rsidRPr="001F566E">
        <w:rPr>
          <w:rFonts w:ascii="Times New Roman" w:hAnsi="Times New Roman" w:cs="Times New Roman"/>
          <w:sz w:val="24"/>
          <w:szCs w:val="24"/>
          <w:lang w:val="en-CA"/>
        </w:rPr>
        <w:t xml:space="preserve">the </w:t>
      </w:r>
      <w:r w:rsidR="006570D9" w:rsidRPr="001F566E">
        <w:rPr>
          <w:rFonts w:ascii="Times New Roman" w:hAnsi="Times New Roman" w:cs="Times New Roman"/>
          <w:sz w:val="24"/>
          <w:szCs w:val="24"/>
          <w:lang w:val="en-CA"/>
        </w:rPr>
        <w:t>Optimal</w:t>
      </w:r>
      <w:r w:rsidR="0019057E" w:rsidRPr="001F566E">
        <w:rPr>
          <w:rFonts w:ascii="Times New Roman" w:hAnsi="Times New Roman" w:cs="Times New Roman"/>
          <w:sz w:val="24"/>
          <w:szCs w:val="24"/>
          <w:lang w:val="en-CA"/>
        </w:rPr>
        <w:t xml:space="preserve"> </w:t>
      </w:r>
      <w:r w:rsidR="00241EC0" w:rsidRPr="001F566E">
        <w:rPr>
          <w:rFonts w:ascii="Times New Roman" w:hAnsi="Times New Roman" w:cs="Times New Roman"/>
          <w:sz w:val="24"/>
          <w:szCs w:val="24"/>
          <w:lang w:val="en-CA"/>
        </w:rPr>
        <w:t>scenario would reduce the</w:t>
      </w:r>
      <w:r w:rsidR="00906123" w:rsidRPr="001F566E">
        <w:rPr>
          <w:rFonts w:ascii="Times New Roman" w:hAnsi="Times New Roman" w:cs="Times New Roman"/>
          <w:sz w:val="24"/>
          <w:szCs w:val="24"/>
          <w:lang w:val="en-CA"/>
        </w:rPr>
        <w:t>se</w:t>
      </w:r>
      <w:r w:rsidR="00241EC0" w:rsidRPr="001F566E">
        <w:rPr>
          <w:rFonts w:ascii="Times New Roman" w:hAnsi="Times New Roman" w:cs="Times New Roman"/>
          <w:sz w:val="24"/>
          <w:szCs w:val="24"/>
          <w:lang w:val="en-CA"/>
        </w:rPr>
        <w:t xml:space="preserve"> impacts by 3</w:t>
      </w:r>
      <w:r w:rsidR="00BA1538">
        <w:rPr>
          <w:rFonts w:ascii="Times New Roman" w:hAnsi="Times New Roman" w:cs="Times New Roman"/>
          <w:sz w:val="24"/>
          <w:szCs w:val="24"/>
          <w:lang w:val="en-CA"/>
        </w:rPr>
        <w:t>3</w:t>
      </w:r>
      <w:r w:rsidR="00241EC0" w:rsidRPr="001F566E">
        <w:rPr>
          <w:rFonts w:ascii="Times New Roman" w:hAnsi="Times New Roman" w:cs="Times New Roman"/>
          <w:sz w:val="24"/>
          <w:szCs w:val="24"/>
          <w:lang w:val="en-CA"/>
        </w:rPr>
        <w:t xml:space="preserve">% DALY </w:t>
      </w:r>
      <w:r w:rsidRPr="001F566E">
        <w:rPr>
          <w:rFonts w:ascii="Times New Roman" w:hAnsi="Times New Roman" w:cs="Times New Roman"/>
          <w:sz w:val="24"/>
          <w:szCs w:val="24"/>
          <w:lang w:val="en-CA"/>
        </w:rPr>
        <w:t xml:space="preserve">(see </w:t>
      </w:r>
      <w:r w:rsidR="00241EC0" w:rsidRPr="001F566E">
        <w:rPr>
          <w:rFonts w:ascii="Times New Roman" w:hAnsi="Times New Roman" w:cs="Times New Roman"/>
          <w:b/>
          <w:sz w:val="24"/>
          <w:szCs w:val="24"/>
          <w:lang w:val="en-CA"/>
        </w:rPr>
        <w:t xml:space="preserve">section </w:t>
      </w:r>
      <w:r w:rsidR="00707C1F">
        <w:rPr>
          <w:rFonts w:ascii="Times New Roman" w:hAnsi="Times New Roman" w:cs="Times New Roman"/>
          <w:b/>
          <w:sz w:val="24"/>
          <w:szCs w:val="24"/>
          <w:lang w:val="en-CA"/>
        </w:rPr>
        <w:t>5</w:t>
      </w:r>
      <w:r w:rsidR="00241EC0" w:rsidRPr="001F566E">
        <w:rPr>
          <w:rFonts w:ascii="Times New Roman" w:hAnsi="Times New Roman" w:cs="Times New Roman"/>
          <w:sz w:val="24"/>
          <w:szCs w:val="24"/>
          <w:lang w:val="en-CA"/>
        </w:rPr>
        <w:t xml:space="preserve"> of </w:t>
      </w:r>
      <w:r w:rsidR="00707C1F">
        <w:rPr>
          <w:rFonts w:ascii="Times New Roman" w:hAnsi="Times New Roman" w:cs="Times New Roman"/>
          <w:b/>
          <w:sz w:val="24"/>
          <w:szCs w:val="24"/>
          <w:lang w:val="en-CA"/>
        </w:rPr>
        <w:t>SI</w:t>
      </w:r>
      <w:r w:rsidR="00707C1F" w:rsidRPr="001F566E">
        <w:rPr>
          <w:rFonts w:ascii="Times New Roman" w:hAnsi="Times New Roman" w:cs="Times New Roman"/>
          <w:sz w:val="24"/>
          <w:szCs w:val="24"/>
          <w:lang w:val="en-CA"/>
        </w:rPr>
        <w:t xml:space="preserve"> </w:t>
      </w:r>
      <w:r w:rsidRPr="001F566E">
        <w:rPr>
          <w:rFonts w:ascii="Times New Roman" w:hAnsi="Times New Roman" w:cs="Times New Roman"/>
          <w:sz w:val="24"/>
          <w:szCs w:val="24"/>
          <w:lang w:val="en-CA"/>
        </w:rPr>
        <w:t xml:space="preserve">and </w:t>
      </w:r>
      <w:r w:rsidRPr="001F566E">
        <w:rPr>
          <w:rFonts w:ascii="Times New Roman" w:hAnsi="Times New Roman" w:cs="Times New Roman"/>
          <w:b/>
          <w:sz w:val="24"/>
          <w:szCs w:val="24"/>
          <w:lang w:val="en-CA"/>
        </w:rPr>
        <w:t xml:space="preserve">Table </w:t>
      </w:r>
      <w:r w:rsidR="0019057E" w:rsidRPr="001F566E">
        <w:rPr>
          <w:rFonts w:ascii="Times New Roman" w:hAnsi="Times New Roman" w:cs="Times New Roman"/>
          <w:b/>
          <w:sz w:val="24"/>
          <w:szCs w:val="24"/>
          <w:lang w:val="en-CA"/>
        </w:rPr>
        <w:t>2</w:t>
      </w:r>
      <w:r w:rsidRPr="00F33A42">
        <w:rPr>
          <w:rFonts w:ascii="Times New Roman" w:hAnsi="Times New Roman" w:cs="Times New Roman"/>
          <w:sz w:val="24"/>
          <w:szCs w:val="24"/>
          <w:lang w:val="en-CA"/>
        </w:rPr>
        <w:t>).</w:t>
      </w:r>
    </w:p>
    <w:p w14:paraId="10EE2E7A" w14:textId="77777777" w:rsidR="00F03B06" w:rsidRDefault="00F03B06" w:rsidP="00270D39">
      <w:pPr>
        <w:spacing w:after="0" w:line="480" w:lineRule="auto"/>
        <w:jc w:val="both"/>
        <w:rPr>
          <w:rFonts w:ascii="Times New Roman" w:hAnsi="Times New Roman" w:cs="Times New Roman"/>
          <w:sz w:val="24"/>
          <w:szCs w:val="24"/>
          <w:lang w:val="en-CA"/>
        </w:rPr>
      </w:pPr>
    </w:p>
    <w:p w14:paraId="1C79A6EF" w14:textId="77777777" w:rsidR="00687056" w:rsidRPr="001F566E" w:rsidRDefault="00687056" w:rsidP="00270D39">
      <w:pPr>
        <w:spacing w:after="0" w:line="480" w:lineRule="auto"/>
        <w:jc w:val="both"/>
      </w:pPr>
      <w:r w:rsidRPr="001F566E">
        <w:rPr>
          <w:rFonts w:ascii="Times New Roman" w:hAnsi="Times New Roman" w:cs="Times New Roman"/>
          <w:b/>
          <w:sz w:val="24"/>
          <w:szCs w:val="24"/>
        </w:rPr>
        <w:t>Table 2</w:t>
      </w:r>
      <w:r w:rsidRPr="001F566E">
        <w:rPr>
          <w:rFonts w:ascii="Times New Roman" w:hAnsi="Times New Roman" w:cs="Times New Roman"/>
          <w:sz w:val="24"/>
          <w:szCs w:val="24"/>
        </w:rPr>
        <w:t xml:space="preserve">. Health burden linked to transportation between the Business as Usual (BAU) and the Optimal scenarios for residents of regions of the greater Montreal in </w:t>
      </w:r>
      <w:r w:rsidR="00F46BD2">
        <w:rPr>
          <w:rFonts w:ascii="Times New Roman" w:hAnsi="Times New Roman" w:cs="Times New Roman"/>
          <w:sz w:val="24"/>
          <w:szCs w:val="24"/>
        </w:rPr>
        <w:t>Y2061</w:t>
      </w:r>
      <w:r w:rsidRPr="001F566E">
        <w:rPr>
          <w:rFonts w:ascii="Times New Roman" w:hAnsi="Times New Roman" w:cs="Times New Roman"/>
          <w:sz w:val="24"/>
          <w:szCs w:val="24"/>
        </w:rPr>
        <w:t>.</w:t>
      </w:r>
    </w:p>
    <w:p w14:paraId="0205E38A" w14:textId="77777777" w:rsidR="00687056" w:rsidRPr="001F566E" w:rsidRDefault="00687056" w:rsidP="00890789">
      <w:pPr>
        <w:spacing w:after="0" w:line="48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984"/>
        <w:gridCol w:w="1701"/>
        <w:gridCol w:w="1844"/>
        <w:gridCol w:w="1844"/>
      </w:tblGrid>
      <w:tr w:rsidR="007D14C4" w:rsidRPr="00220233" w14:paraId="3EC5F1BA" w14:textId="77777777" w:rsidTr="00270D39">
        <w:tc>
          <w:tcPr>
            <w:tcW w:w="2802" w:type="dxa"/>
            <w:shd w:val="clear" w:color="auto" w:fill="auto"/>
          </w:tcPr>
          <w:p w14:paraId="36F6C7E7" w14:textId="77777777" w:rsidR="007D14C4" w:rsidRPr="00220233" w:rsidRDefault="007D14C4" w:rsidP="00890789">
            <w:pPr>
              <w:spacing w:after="0" w:line="480" w:lineRule="auto"/>
              <w:jc w:val="center"/>
              <w:rPr>
                <w:rFonts w:ascii="Times New Roman" w:hAnsi="Times New Roman" w:cs="Times New Roman"/>
                <w:sz w:val="20"/>
                <w:szCs w:val="20"/>
              </w:rPr>
            </w:pPr>
            <w:r w:rsidRPr="00220233">
              <w:rPr>
                <w:rFonts w:ascii="Times New Roman" w:hAnsi="Times New Roman" w:cs="Times New Roman"/>
                <w:b/>
                <w:sz w:val="20"/>
                <w:szCs w:val="20"/>
                <w:lang w:val="pt-BR"/>
              </w:rPr>
              <w:t>Health outcome</w:t>
            </w:r>
          </w:p>
        </w:tc>
        <w:tc>
          <w:tcPr>
            <w:tcW w:w="5529" w:type="dxa"/>
            <w:gridSpan w:val="3"/>
            <w:shd w:val="clear" w:color="auto" w:fill="auto"/>
          </w:tcPr>
          <w:p w14:paraId="345FA730" w14:textId="77777777" w:rsidR="007D14C4" w:rsidRPr="00220233" w:rsidRDefault="007D14C4" w:rsidP="00890789">
            <w:pPr>
              <w:spacing w:after="0" w:line="480" w:lineRule="auto"/>
              <w:jc w:val="center"/>
              <w:rPr>
                <w:rFonts w:ascii="Times New Roman" w:hAnsi="Times New Roman" w:cs="Times New Roman"/>
                <w:sz w:val="20"/>
                <w:szCs w:val="20"/>
              </w:rPr>
            </w:pPr>
            <w:r w:rsidRPr="00220233">
              <w:rPr>
                <w:rFonts w:ascii="Times New Roman" w:hAnsi="Times New Roman" w:cs="Times New Roman"/>
                <w:sz w:val="20"/>
                <w:szCs w:val="20"/>
                <w:lang w:val="pt-BR"/>
              </w:rPr>
              <w:t>DALYS (DALY per 100,000 inhabitants)</w:t>
            </w:r>
            <w:r w:rsidRPr="00220233">
              <w:rPr>
                <w:rFonts w:ascii="Times New Roman" w:hAnsi="Times New Roman" w:cs="Times New Roman"/>
                <w:sz w:val="20"/>
                <w:szCs w:val="20"/>
                <w:vertAlign w:val="superscript"/>
                <w:lang w:val="pt-BR"/>
              </w:rPr>
              <w:t>1</w:t>
            </w:r>
          </w:p>
        </w:tc>
        <w:tc>
          <w:tcPr>
            <w:tcW w:w="1844" w:type="dxa"/>
          </w:tcPr>
          <w:p w14:paraId="549DA4BE" w14:textId="77777777" w:rsidR="007D14C4" w:rsidRPr="00220233" w:rsidRDefault="007D14C4" w:rsidP="00890789">
            <w:pPr>
              <w:spacing w:after="0" w:line="480" w:lineRule="auto"/>
              <w:jc w:val="center"/>
              <w:rPr>
                <w:rFonts w:ascii="Times New Roman" w:hAnsi="Times New Roman" w:cs="Times New Roman"/>
                <w:sz w:val="20"/>
                <w:szCs w:val="20"/>
                <w:lang w:val="pt-BR"/>
              </w:rPr>
            </w:pPr>
            <w:r>
              <w:rPr>
                <w:rFonts w:ascii="Times New Roman" w:hAnsi="Times New Roman" w:cs="Times New Roman"/>
                <w:sz w:val="20"/>
                <w:szCs w:val="20"/>
                <w:lang w:val="pt-BR"/>
              </w:rPr>
              <w:t>DALYS (%)</w:t>
            </w:r>
          </w:p>
        </w:tc>
      </w:tr>
      <w:tr w:rsidR="007D14C4" w:rsidRPr="00220233" w14:paraId="5C4BFA39" w14:textId="77777777" w:rsidTr="00270D39">
        <w:tc>
          <w:tcPr>
            <w:tcW w:w="2802" w:type="dxa"/>
            <w:shd w:val="clear" w:color="auto" w:fill="auto"/>
          </w:tcPr>
          <w:p w14:paraId="4AD74B34" w14:textId="77777777" w:rsidR="007D14C4" w:rsidRPr="00220233" w:rsidRDefault="007D14C4" w:rsidP="00890789">
            <w:pPr>
              <w:spacing w:after="0" w:line="480" w:lineRule="auto"/>
              <w:rPr>
                <w:rFonts w:ascii="Times New Roman" w:hAnsi="Times New Roman" w:cs="Times New Roman"/>
                <w:sz w:val="20"/>
                <w:szCs w:val="20"/>
              </w:rPr>
            </w:pPr>
            <w:r w:rsidRPr="00220233">
              <w:rPr>
                <w:rFonts w:ascii="Times New Roman" w:hAnsi="Times New Roman" w:cs="Times New Roman"/>
                <w:b/>
                <w:sz w:val="20"/>
                <w:szCs w:val="20"/>
                <w:lang w:val="pt-BR"/>
              </w:rPr>
              <w:t xml:space="preserve">Optimal vs BAU </w:t>
            </w:r>
          </w:p>
        </w:tc>
        <w:tc>
          <w:tcPr>
            <w:tcW w:w="1984" w:type="dxa"/>
            <w:shd w:val="clear" w:color="auto" w:fill="auto"/>
          </w:tcPr>
          <w:p w14:paraId="406CF38A" w14:textId="77777777" w:rsidR="007D14C4" w:rsidRPr="00220233" w:rsidRDefault="007D14C4" w:rsidP="00890789">
            <w:pPr>
              <w:spacing w:after="0" w:line="480" w:lineRule="auto"/>
              <w:jc w:val="center"/>
              <w:rPr>
                <w:rFonts w:ascii="Times New Roman" w:hAnsi="Times New Roman" w:cs="Times New Roman"/>
                <w:sz w:val="20"/>
                <w:szCs w:val="20"/>
              </w:rPr>
            </w:pPr>
            <w:r w:rsidRPr="00220233">
              <w:rPr>
                <w:rFonts w:ascii="Times New Roman" w:hAnsi="Times New Roman" w:cs="Times New Roman"/>
                <w:b/>
                <w:sz w:val="20"/>
                <w:szCs w:val="20"/>
                <w:lang w:val="pt-BR"/>
              </w:rPr>
              <w:t>Urban core</w:t>
            </w:r>
          </w:p>
        </w:tc>
        <w:tc>
          <w:tcPr>
            <w:tcW w:w="1701" w:type="dxa"/>
            <w:shd w:val="clear" w:color="auto" w:fill="auto"/>
          </w:tcPr>
          <w:p w14:paraId="2EC7D352" w14:textId="77777777" w:rsidR="007D14C4" w:rsidRPr="00220233" w:rsidRDefault="007D14C4" w:rsidP="00890789">
            <w:pPr>
              <w:spacing w:after="0" w:line="480" w:lineRule="auto"/>
              <w:jc w:val="center"/>
              <w:rPr>
                <w:rFonts w:ascii="Times New Roman" w:hAnsi="Times New Roman" w:cs="Times New Roman"/>
                <w:sz w:val="20"/>
                <w:szCs w:val="20"/>
              </w:rPr>
            </w:pPr>
            <w:r w:rsidRPr="00220233">
              <w:rPr>
                <w:rFonts w:ascii="Times New Roman" w:hAnsi="Times New Roman" w:cs="Times New Roman"/>
                <w:b/>
                <w:sz w:val="20"/>
                <w:szCs w:val="20"/>
                <w:lang w:val="pt-BR"/>
              </w:rPr>
              <w:t>Suburb</w:t>
            </w:r>
          </w:p>
        </w:tc>
        <w:tc>
          <w:tcPr>
            <w:tcW w:w="1844" w:type="dxa"/>
            <w:shd w:val="clear" w:color="auto" w:fill="auto"/>
          </w:tcPr>
          <w:p w14:paraId="4302B0A1" w14:textId="77777777" w:rsidR="007D14C4" w:rsidRPr="00220233" w:rsidRDefault="007D14C4" w:rsidP="00890789">
            <w:pPr>
              <w:spacing w:after="0" w:line="480" w:lineRule="auto"/>
              <w:jc w:val="center"/>
              <w:rPr>
                <w:rFonts w:ascii="Times New Roman" w:hAnsi="Times New Roman" w:cs="Times New Roman"/>
                <w:sz w:val="20"/>
                <w:szCs w:val="20"/>
              </w:rPr>
            </w:pPr>
            <w:r w:rsidRPr="00220233">
              <w:rPr>
                <w:rFonts w:ascii="Times New Roman" w:hAnsi="Times New Roman" w:cs="Times New Roman"/>
                <w:b/>
                <w:sz w:val="20"/>
                <w:szCs w:val="20"/>
                <w:lang w:val="pt-BR"/>
              </w:rPr>
              <w:t>Montreal region</w:t>
            </w:r>
          </w:p>
        </w:tc>
        <w:tc>
          <w:tcPr>
            <w:tcW w:w="1844" w:type="dxa"/>
          </w:tcPr>
          <w:p w14:paraId="593EE109" w14:textId="77777777" w:rsidR="007D14C4" w:rsidRPr="00220233" w:rsidRDefault="007D14C4" w:rsidP="00890789">
            <w:pPr>
              <w:spacing w:after="0" w:line="480" w:lineRule="auto"/>
              <w:jc w:val="center"/>
              <w:rPr>
                <w:rFonts w:ascii="Times New Roman" w:hAnsi="Times New Roman" w:cs="Times New Roman"/>
                <w:b/>
                <w:sz w:val="20"/>
                <w:szCs w:val="20"/>
                <w:lang w:val="pt-BR"/>
              </w:rPr>
            </w:pPr>
            <w:r w:rsidRPr="00220233">
              <w:rPr>
                <w:rFonts w:ascii="Times New Roman" w:hAnsi="Times New Roman" w:cs="Times New Roman"/>
                <w:b/>
                <w:sz w:val="20"/>
                <w:szCs w:val="20"/>
                <w:lang w:val="pt-BR"/>
              </w:rPr>
              <w:t>Montreal region</w:t>
            </w:r>
          </w:p>
        </w:tc>
      </w:tr>
      <w:tr w:rsidR="007D14C4" w:rsidRPr="00CE41E5" w14:paraId="58D74F92" w14:textId="77777777" w:rsidTr="00270D39">
        <w:tc>
          <w:tcPr>
            <w:tcW w:w="2802" w:type="dxa"/>
            <w:shd w:val="clear" w:color="auto" w:fill="auto"/>
          </w:tcPr>
          <w:p w14:paraId="69CB4262" w14:textId="77777777" w:rsidR="007D14C4" w:rsidRPr="00220233" w:rsidRDefault="007D14C4" w:rsidP="00890789">
            <w:pPr>
              <w:spacing w:after="0" w:line="480" w:lineRule="auto"/>
              <w:jc w:val="right"/>
              <w:rPr>
                <w:rFonts w:ascii="Times New Roman" w:hAnsi="Times New Roman" w:cs="Times New Roman"/>
                <w:sz w:val="20"/>
                <w:szCs w:val="20"/>
              </w:rPr>
            </w:pPr>
            <w:r w:rsidRPr="00220233">
              <w:rPr>
                <w:rFonts w:ascii="Times New Roman" w:hAnsi="Times New Roman" w:cs="Times New Roman"/>
                <w:sz w:val="20"/>
                <w:szCs w:val="20"/>
                <w:lang w:val="pt-BR"/>
              </w:rPr>
              <w:lastRenderedPageBreak/>
              <w:t>Road injuries</w:t>
            </w:r>
          </w:p>
        </w:tc>
        <w:tc>
          <w:tcPr>
            <w:tcW w:w="1984" w:type="dxa"/>
            <w:shd w:val="clear" w:color="auto" w:fill="auto"/>
          </w:tcPr>
          <w:p w14:paraId="35BE9619" w14:textId="77777777" w:rsidR="007D14C4" w:rsidRPr="00890789" w:rsidRDefault="007D14C4" w:rsidP="00890789">
            <w:pPr>
              <w:spacing w:after="0" w:line="480" w:lineRule="auto"/>
              <w:jc w:val="center"/>
              <w:rPr>
                <w:rFonts w:ascii="Times New Roman" w:hAnsi="Times New Roman" w:cs="Times New Roman"/>
                <w:sz w:val="20"/>
                <w:szCs w:val="20"/>
                <w:lang w:val="pt-BR"/>
              </w:rPr>
            </w:pPr>
            <w:r w:rsidRPr="00220233">
              <w:rPr>
                <w:rFonts w:ascii="Times New Roman" w:hAnsi="Times New Roman" w:cs="Times New Roman"/>
                <w:sz w:val="20"/>
                <w:szCs w:val="20"/>
                <w:lang w:val="pt-BR"/>
              </w:rPr>
              <w:t>+5,</w:t>
            </w:r>
            <w:r>
              <w:rPr>
                <w:rFonts w:ascii="Times New Roman" w:hAnsi="Times New Roman" w:cs="Times New Roman"/>
                <w:sz w:val="20"/>
                <w:szCs w:val="20"/>
                <w:lang w:val="pt-BR"/>
              </w:rPr>
              <w:t>110</w:t>
            </w:r>
            <w:r w:rsidRPr="00220233">
              <w:rPr>
                <w:rFonts w:ascii="Times New Roman" w:hAnsi="Times New Roman" w:cs="Times New Roman"/>
                <w:sz w:val="20"/>
                <w:szCs w:val="20"/>
                <w:lang w:val="pt-BR"/>
              </w:rPr>
              <w:t xml:space="preserve"> (-</w:t>
            </w:r>
            <w:r>
              <w:rPr>
                <w:rFonts w:ascii="Times New Roman" w:hAnsi="Times New Roman" w:cs="Times New Roman"/>
                <w:sz w:val="20"/>
                <w:szCs w:val="20"/>
                <w:lang w:val="pt-BR"/>
              </w:rPr>
              <w:t>27</w:t>
            </w:r>
            <w:r w:rsidRPr="00220233">
              <w:rPr>
                <w:rFonts w:ascii="Times New Roman" w:hAnsi="Times New Roman" w:cs="Times New Roman"/>
                <w:sz w:val="20"/>
                <w:szCs w:val="20"/>
                <w:lang w:val="pt-BR"/>
              </w:rPr>
              <w:t>)</w:t>
            </w:r>
          </w:p>
        </w:tc>
        <w:tc>
          <w:tcPr>
            <w:tcW w:w="1701" w:type="dxa"/>
            <w:shd w:val="clear" w:color="auto" w:fill="auto"/>
          </w:tcPr>
          <w:p w14:paraId="6B911785" w14:textId="77777777" w:rsidR="007D14C4" w:rsidRPr="00890789" w:rsidRDefault="007D14C4" w:rsidP="00890789">
            <w:pPr>
              <w:spacing w:after="0" w:line="480" w:lineRule="auto"/>
              <w:jc w:val="center"/>
              <w:rPr>
                <w:rFonts w:ascii="Times New Roman" w:hAnsi="Times New Roman" w:cs="Times New Roman"/>
                <w:sz w:val="20"/>
                <w:szCs w:val="20"/>
                <w:lang w:val="pt-BR"/>
              </w:rPr>
            </w:pPr>
            <w:r w:rsidRPr="00220233">
              <w:rPr>
                <w:rFonts w:ascii="Times New Roman" w:hAnsi="Times New Roman" w:cs="Times New Roman"/>
                <w:sz w:val="20"/>
                <w:szCs w:val="20"/>
                <w:lang w:val="pt-BR"/>
              </w:rPr>
              <w:t>-7,1</w:t>
            </w:r>
            <w:r>
              <w:rPr>
                <w:rFonts w:ascii="Times New Roman" w:hAnsi="Times New Roman" w:cs="Times New Roman"/>
                <w:sz w:val="20"/>
                <w:szCs w:val="20"/>
                <w:lang w:val="pt-BR"/>
              </w:rPr>
              <w:t>01</w:t>
            </w:r>
            <w:r w:rsidRPr="00220233">
              <w:rPr>
                <w:rFonts w:ascii="Times New Roman" w:hAnsi="Times New Roman" w:cs="Times New Roman"/>
                <w:sz w:val="20"/>
                <w:szCs w:val="20"/>
                <w:lang w:val="pt-BR"/>
              </w:rPr>
              <w:t xml:space="preserve"> </w:t>
            </w:r>
            <w:r w:rsidRPr="00541C36">
              <w:rPr>
                <w:rFonts w:ascii="Times New Roman" w:hAnsi="Times New Roman" w:cs="Times New Roman"/>
                <w:sz w:val="20"/>
                <w:szCs w:val="20"/>
                <w:lang w:val="pt-BR"/>
              </w:rPr>
              <w:t>(-12)</w:t>
            </w:r>
          </w:p>
        </w:tc>
        <w:tc>
          <w:tcPr>
            <w:tcW w:w="1844" w:type="dxa"/>
            <w:shd w:val="clear" w:color="auto" w:fill="auto"/>
          </w:tcPr>
          <w:p w14:paraId="38402C5F" w14:textId="77777777" w:rsidR="007D14C4" w:rsidRPr="00890789" w:rsidRDefault="007D14C4" w:rsidP="00890789">
            <w:pPr>
              <w:spacing w:after="0" w:line="480" w:lineRule="auto"/>
              <w:jc w:val="center"/>
              <w:rPr>
                <w:rFonts w:ascii="Times New Roman" w:hAnsi="Times New Roman" w:cs="Times New Roman"/>
                <w:sz w:val="20"/>
                <w:szCs w:val="20"/>
                <w:lang w:val="pt-BR"/>
              </w:rPr>
            </w:pPr>
            <w:r w:rsidRPr="00220233">
              <w:rPr>
                <w:rFonts w:ascii="Times New Roman" w:hAnsi="Times New Roman" w:cs="Times New Roman"/>
                <w:sz w:val="20"/>
                <w:szCs w:val="20"/>
                <w:lang w:val="pt-BR"/>
              </w:rPr>
              <w:t>-</w:t>
            </w:r>
            <w:r>
              <w:rPr>
                <w:rFonts w:ascii="Times New Roman" w:hAnsi="Times New Roman" w:cs="Times New Roman"/>
                <w:sz w:val="20"/>
                <w:szCs w:val="20"/>
                <w:lang w:val="pt-BR"/>
              </w:rPr>
              <w:t>1,991</w:t>
            </w:r>
            <w:r w:rsidRPr="00220233">
              <w:rPr>
                <w:rFonts w:ascii="Times New Roman" w:hAnsi="Times New Roman" w:cs="Times New Roman"/>
                <w:sz w:val="20"/>
                <w:szCs w:val="20"/>
                <w:lang w:val="pt-BR"/>
              </w:rPr>
              <w:t xml:space="preserve"> </w:t>
            </w:r>
          </w:p>
        </w:tc>
        <w:tc>
          <w:tcPr>
            <w:tcW w:w="1844" w:type="dxa"/>
          </w:tcPr>
          <w:p w14:paraId="10F31773" w14:textId="77777777" w:rsidR="007D14C4" w:rsidRPr="00CE41E5" w:rsidRDefault="00F300F3" w:rsidP="00890789">
            <w:pPr>
              <w:spacing w:after="0" w:line="480" w:lineRule="auto"/>
              <w:jc w:val="center"/>
              <w:rPr>
                <w:rFonts w:ascii="Times New Roman" w:hAnsi="Times New Roman" w:cs="Times New Roman"/>
                <w:sz w:val="20"/>
                <w:szCs w:val="20"/>
                <w:lang w:val="pt-BR"/>
              </w:rPr>
            </w:pPr>
            <w:r w:rsidRPr="00CE41E5">
              <w:rPr>
                <w:rFonts w:ascii="Times New Roman" w:hAnsi="Times New Roman" w:cs="Times New Roman"/>
                <w:sz w:val="20"/>
                <w:szCs w:val="20"/>
                <w:lang w:val="pt-BR"/>
              </w:rPr>
              <w:t>-6</w:t>
            </w:r>
          </w:p>
        </w:tc>
      </w:tr>
      <w:tr w:rsidR="007D14C4" w:rsidRPr="00CE41E5" w14:paraId="1B48FF74" w14:textId="77777777" w:rsidTr="00270D39">
        <w:tc>
          <w:tcPr>
            <w:tcW w:w="2802" w:type="dxa"/>
            <w:shd w:val="clear" w:color="auto" w:fill="auto"/>
          </w:tcPr>
          <w:p w14:paraId="5714881A" w14:textId="77777777" w:rsidR="007D14C4" w:rsidRPr="00220233" w:rsidRDefault="007D14C4" w:rsidP="00890789">
            <w:pPr>
              <w:spacing w:after="0" w:line="480" w:lineRule="auto"/>
              <w:jc w:val="right"/>
              <w:rPr>
                <w:rFonts w:ascii="Times New Roman" w:hAnsi="Times New Roman" w:cs="Times New Roman"/>
                <w:sz w:val="20"/>
                <w:szCs w:val="20"/>
                <w:lang w:val="pt-BR"/>
              </w:rPr>
            </w:pPr>
            <w:r w:rsidRPr="00220233">
              <w:rPr>
                <w:rFonts w:ascii="Times New Roman" w:hAnsi="Times New Roman" w:cs="Times New Roman"/>
                <w:sz w:val="20"/>
                <w:szCs w:val="20"/>
                <w:lang w:val="pt-BR"/>
              </w:rPr>
              <w:t xml:space="preserve">Air pollution   veh </w:t>
            </w:r>
            <w:r>
              <w:rPr>
                <w:rFonts w:ascii="Times New Roman" w:hAnsi="Times New Roman" w:cs="Times New Roman"/>
                <w:sz w:val="20"/>
                <w:szCs w:val="20"/>
                <w:lang w:val="pt-BR"/>
              </w:rPr>
              <w:t>fleet</w:t>
            </w:r>
            <w:r w:rsidRPr="00220233">
              <w:rPr>
                <w:rFonts w:ascii="Times New Roman" w:hAnsi="Times New Roman" w:cs="Times New Roman"/>
                <w:sz w:val="20"/>
                <w:szCs w:val="20"/>
                <w:lang w:val="pt-BR"/>
              </w:rPr>
              <w:t xml:space="preserve">1 </w:t>
            </w:r>
          </w:p>
          <w:p w14:paraId="49B63525" w14:textId="77777777" w:rsidR="007D14C4" w:rsidRPr="00220233" w:rsidRDefault="007D14C4" w:rsidP="00901397">
            <w:pPr>
              <w:spacing w:after="0" w:line="480" w:lineRule="auto"/>
              <w:jc w:val="right"/>
              <w:rPr>
                <w:rFonts w:ascii="Times New Roman" w:hAnsi="Times New Roman" w:cs="Times New Roman"/>
                <w:sz w:val="20"/>
                <w:szCs w:val="20"/>
                <w:lang w:val="pt-BR"/>
              </w:rPr>
            </w:pPr>
            <w:r w:rsidRPr="00220233">
              <w:rPr>
                <w:rFonts w:ascii="Times New Roman" w:hAnsi="Times New Roman" w:cs="Times New Roman"/>
                <w:sz w:val="20"/>
                <w:szCs w:val="20"/>
                <w:lang w:val="pt-BR"/>
              </w:rPr>
              <w:t xml:space="preserve">veh </w:t>
            </w:r>
            <w:r>
              <w:rPr>
                <w:rFonts w:ascii="Times New Roman" w:hAnsi="Times New Roman" w:cs="Times New Roman"/>
                <w:sz w:val="20"/>
                <w:szCs w:val="20"/>
                <w:lang w:val="pt-BR"/>
              </w:rPr>
              <w:t>fleet2</w:t>
            </w:r>
            <w:r w:rsidRPr="00220233" w:rsidDel="00901397">
              <w:rPr>
                <w:rFonts w:ascii="Times New Roman" w:hAnsi="Times New Roman" w:cs="Times New Roman"/>
                <w:sz w:val="20"/>
                <w:szCs w:val="20"/>
                <w:lang w:val="pt-BR"/>
              </w:rPr>
              <w:t xml:space="preserve"> </w:t>
            </w:r>
          </w:p>
        </w:tc>
        <w:tc>
          <w:tcPr>
            <w:tcW w:w="1984" w:type="dxa"/>
            <w:shd w:val="clear" w:color="auto" w:fill="auto"/>
          </w:tcPr>
          <w:p w14:paraId="6E21B543" w14:textId="77777777" w:rsidR="007D14C4" w:rsidRPr="00890789" w:rsidRDefault="007D14C4" w:rsidP="00890789">
            <w:pPr>
              <w:spacing w:after="0" w:line="480" w:lineRule="auto"/>
              <w:jc w:val="center"/>
              <w:rPr>
                <w:rFonts w:ascii="Times New Roman" w:hAnsi="Times New Roman" w:cs="Times New Roman"/>
                <w:sz w:val="20"/>
                <w:szCs w:val="20"/>
                <w:lang w:val="pt-BR"/>
              </w:rPr>
            </w:pPr>
            <w:r w:rsidRPr="00220233">
              <w:rPr>
                <w:rFonts w:ascii="Times New Roman" w:hAnsi="Times New Roman" w:cs="Times New Roman"/>
                <w:sz w:val="20"/>
                <w:szCs w:val="20"/>
                <w:lang w:val="pt-BR"/>
              </w:rPr>
              <w:t>+1,247 (-19)</w:t>
            </w:r>
          </w:p>
          <w:p w14:paraId="1E33CFF7" w14:textId="77777777" w:rsidR="007D14C4" w:rsidRPr="00890789" w:rsidRDefault="007D14C4" w:rsidP="00890789">
            <w:pPr>
              <w:spacing w:after="0" w:line="480" w:lineRule="auto"/>
              <w:jc w:val="center"/>
              <w:rPr>
                <w:rFonts w:ascii="Times New Roman" w:hAnsi="Times New Roman" w:cs="Times New Roman"/>
                <w:sz w:val="20"/>
                <w:szCs w:val="20"/>
                <w:lang w:val="pt-BR"/>
              </w:rPr>
            </w:pPr>
            <w:r w:rsidRPr="00220233">
              <w:rPr>
                <w:rFonts w:ascii="Times New Roman" w:hAnsi="Times New Roman" w:cs="Times New Roman"/>
                <w:sz w:val="20"/>
                <w:szCs w:val="20"/>
                <w:lang w:val="pt-BR"/>
              </w:rPr>
              <w:t>+1,171 (-12)</w:t>
            </w:r>
          </w:p>
        </w:tc>
        <w:tc>
          <w:tcPr>
            <w:tcW w:w="1701" w:type="dxa"/>
            <w:shd w:val="clear" w:color="auto" w:fill="auto"/>
          </w:tcPr>
          <w:p w14:paraId="44BDFDB0" w14:textId="77777777" w:rsidR="007D14C4" w:rsidRPr="00890789" w:rsidRDefault="007D14C4" w:rsidP="00890789">
            <w:pPr>
              <w:spacing w:after="0" w:line="480" w:lineRule="auto"/>
              <w:jc w:val="center"/>
              <w:rPr>
                <w:rFonts w:ascii="Times New Roman" w:hAnsi="Times New Roman" w:cs="Times New Roman"/>
                <w:sz w:val="20"/>
                <w:szCs w:val="20"/>
                <w:lang w:val="pt-BR"/>
              </w:rPr>
            </w:pPr>
            <w:r w:rsidRPr="00220233">
              <w:rPr>
                <w:rFonts w:ascii="Times New Roman" w:hAnsi="Times New Roman" w:cs="Times New Roman"/>
                <w:sz w:val="20"/>
                <w:szCs w:val="20"/>
                <w:lang w:val="pt-BR"/>
              </w:rPr>
              <w:t>-1,743  (-4)</w:t>
            </w:r>
          </w:p>
          <w:p w14:paraId="47BA234D" w14:textId="77777777" w:rsidR="007D14C4" w:rsidRPr="00890789" w:rsidRDefault="007D14C4" w:rsidP="00890789">
            <w:pPr>
              <w:spacing w:after="0" w:line="480" w:lineRule="auto"/>
              <w:jc w:val="center"/>
              <w:rPr>
                <w:rFonts w:ascii="Times New Roman" w:hAnsi="Times New Roman" w:cs="Times New Roman"/>
                <w:sz w:val="20"/>
                <w:szCs w:val="20"/>
                <w:lang w:val="pt-BR"/>
              </w:rPr>
            </w:pPr>
            <w:r w:rsidRPr="00220233">
              <w:rPr>
                <w:rFonts w:ascii="Times New Roman" w:hAnsi="Times New Roman" w:cs="Times New Roman"/>
                <w:sz w:val="20"/>
                <w:szCs w:val="20"/>
                <w:lang w:val="pt-BR"/>
              </w:rPr>
              <w:t>-1,423 (+2)</w:t>
            </w:r>
          </w:p>
        </w:tc>
        <w:tc>
          <w:tcPr>
            <w:tcW w:w="1844" w:type="dxa"/>
            <w:shd w:val="clear" w:color="auto" w:fill="auto"/>
          </w:tcPr>
          <w:p w14:paraId="4AE91D0F" w14:textId="77777777" w:rsidR="007D14C4" w:rsidRPr="00890789" w:rsidRDefault="007D14C4" w:rsidP="00890789">
            <w:pPr>
              <w:spacing w:after="0" w:line="480" w:lineRule="auto"/>
              <w:jc w:val="center"/>
              <w:rPr>
                <w:rFonts w:ascii="Times New Roman" w:hAnsi="Times New Roman" w:cs="Times New Roman"/>
                <w:sz w:val="20"/>
                <w:szCs w:val="20"/>
                <w:lang w:val="pt-BR"/>
              </w:rPr>
            </w:pPr>
            <w:r w:rsidRPr="00220233">
              <w:rPr>
                <w:rFonts w:ascii="Times New Roman" w:hAnsi="Times New Roman" w:cs="Times New Roman"/>
                <w:sz w:val="20"/>
                <w:szCs w:val="20"/>
                <w:lang w:val="pt-BR"/>
              </w:rPr>
              <w:t>-496</w:t>
            </w:r>
          </w:p>
          <w:p w14:paraId="6C0CAB5A" w14:textId="77777777" w:rsidR="007D14C4" w:rsidRPr="00890789" w:rsidRDefault="007D14C4" w:rsidP="00890789">
            <w:pPr>
              <w:spacing w:after="0" w:line="480" w:lineRule="auto"/>
              <w:jc w:val="center"/>
              <w:rPr>
                <w:rFonts w:ascii="Times New Roman" w:hAnsi="Times New Roman" w:cs="Times New Roman"/>
                <w:sz w:val="20"/>
                <w:szCs w:val="20"/>
                <w:lang w:val="pt-BR"/>
              </w:rPr>
            </w:pPr>
            <w:r w:rsidRPr="00220233">
              <w:rPr>
                <w:rFonts w:ascii="Times New Roman" w:hAnsi="Times New Roman" w:cs="Times New Roman"/>
                <w:sz w:val="20"/>
                <w:szCs w:val="20"/>
                <w:lang w:val="pt-BR"/>
              </w:rPr>
              <w:t>-252</w:t>
            </w:r>
          </w:p>
        </w:tc>
        <w:tc>
          <w:tcPr>
            <w:tcW w:w="1844" w:type="dxa"/>
          </w:tcPr>
          <w:p w14:paraId="3D1692E8" w14:textId="77777777" w:rsidR="007D14C4" w:rsidRPr="00CE41E5" w:rsidRDefault="00F300F3" w:rsidP="00890789">
            <w:pPr>
              <w:spacing w:after="0" w:line="480" w:lineRule="auto"/>
              <w:jc w:val="center"/>
              <w:rPr>
                <w:rFonts w:ascii="Times New Roman" w:hAnsi="Times New Roman" w:cs="Times New Roman"/>
                <w:sz w:val="20"/>
                <w:szCs w:val="20"/>
                <w:lang w:val="pt-BR"/>
              </w:rPr>
            </w:pPr>
            <w:r w:rsidRPr="00CE41E5">
              <w:rPr>
                <w:rFonts w:ascii="Times New Roman" w:hAnsi="Times New Roman" w:cs="Times New Roman"/>
                <w:sz w:val="20"/>
                <w:szCs w:val="20"/>
                <w:lang w:val="pt-BR"/>
              </w:rPr>
              <w:t>-6</w:t>
            </w:r>
          </w:p>
          <w:p w14:paraId="260EA7D3" w14:textId="77777777" w:rsidR="00F300F3" w:rsidRPr="00CE41E5" w:rsidRDefault="00F300F3" w:rsidP="00890789">
            <w:pPr>
              <w:spacing w:after="0" w:line="480" w:lineRule="auto"/>
              <w:jc w:val="center"/>
              <w:rPr>
                <w:rFonts w:ascii="Times New Roman" w:hAnsi="Times New Roman" w:cs="Times New Roman"/>
                <w:sz w:val="20"/>
                <w:szCs w:val="20"/>
                <w:lang w:val="pt-BR"/>
              </w:rPr>
            </w:pPr>
            <w:r w:rsidRPr="00CE41E5">
              <w:rPr>
                <w:rFonts w:ascii="Times New Roman" w:hAnsi="Times New Roman" w:cs="Times New Roman"/>
                <w:sz w:val="20"/>
                <w:szCs w:val="20"/>
                <w:lang w:val="pt-BR"/>
              </w:rPr>
              <w:t>-3</w:t>
            </w:r>
          </w:p>
        </w:tc>
      </w:tr>
      <w:tr w:rsidR="007D14C4" w:rsidRPr="00CE41E5" w14:paraId="5B6EBC6D" w14:textId="77777777" w:rsidTr="00270D39">
        <w:trPr>
          <w:trHeight w:val="449"/>
        </w:trPr>
        <w:tc>
          <w:tcPr>
            <w:tcW w:w="2802" w:type="dxa"/>
            <w:shd w:val="clear" w:color="auto" w:fill="auto"/>
          </w:tcPr>
          <w:p w14:paraId="5A7CC8A6" w14:textId="77777777" w:rsidR="007D14C4" w:rsidRPr="00220233" w:rsidRDefault="007D14C4" w:rsidP="00890789">
            <w:pPr>
              <w:spacing w:after="0" w:line="480" w:lineRule="auto"/>
              <w:jc w:val="right"/>
              <w:rPr>
                <w:rFonts w:ascii="Times New Roman" w:hAnsi="Times New Roman" w:cs="Times New Roman"/>
                <w:sz w:val="20"/>
                <w:szCs w:val="20"/>
              </w:rPr>
            </w:pPr>
            <w:r w:rsidRPr="00220233">
              <w:rPr>
                <w:rFonts w:ascii="Times New Roman" w:hAnsi="Times New Roman" w:cs="Times New Roman"/>
                <w:sz w:val="20"/>
                <w:szCs w:val="20"/>
                <w:lang w:val="pt-BR"/>
              </w:rPr>
              <w:t>Active transportation</w:t>
            </w:r>
          </w:p>
        </w:tc>
        <w:tc>
          <w:tcPr>
            <w:tcW w:w="1984" w:type="dxa"/>
            <w:shd w:val="clear" w:color="auto" w:fill="auto"/>
          </w:tcPr>
          <w:p w14:paraId="002A7B66" w14:textId="77777777" w:rsidR="007D14C4" w:rsidRPr="00890789" w:rsidRDefault="007D14C4" w:rsidP="00890789">
            <w:pPr>
              <w:spacing w:after="0" w:line="480" w:lineRule="auto"/>
              <w:jc w:val="center"/>
              <w:rPr>
                <w:rFonts w:ascii="Times New Roman" w:hAnsi="Times New Roman" w:cs="Times New Roman"/>
                <w:sz w:val="20"/>
                <w:szCs w:val="20"/>
                <w:lang w:val="pt-BR"/>
              </w:rPr>
            </w:pPr>
            <w:r w:rsidRPr="00220233">
              <w:rPr>
                <w:rFonts w:ascii="Times New Roman" w:hAnsi="Times New Roman" w:cs="Times New Roman"/>
                <w:sz w:val="20"/>
                <w:szCs w:val="20"/>
                <w:lang w:val="pt-BR"/>
              </w:rPr>
              <w:t>-6,387 (-90)</w:t>
            </w:r>
          </w:p>
        </w:tc>
        <w:tc>
          <w:tcPr>
            <w:tcW w:w="1701" w:type="dxa"/>
            <w:shd w:val="clear" w:color="auto" w:fill="auto"/>
          </w:tcPr>
          <w:p w14:paraId="78CCAB87" w14:textId="77777777" w:rsidR="007D14C4" w:rsidRPr="00890789" w:rsidRDefault="007D14C4" w:rsidP="00890789">
            <w:pPr>
              <w:spacing w:after="0" w:line="480" w:lineRule="auto"/>
              <w:jc w:val="center"/>
              <w:rPr>
                <w:rFonts w:ascii="Times New Roman" w:hAnsi="Times New Roman" w:cs="Times New Roman"/>
                <w:sz w:val="20"/>
                <w:szCs w:val="20"/>
                <w:lang w:val="pt-BR"/>
              </w:rPr>
            </w:pPr>
            <w:r w:rsidRPr="00220233">
              <w:rPr>
                <w:rFonts w:ascii="Times New Roman" w:hAnsi="Times New Roman" w:cs="Times New Roman"/>
                <w:sz w:val="20"/>
                <w:szCs w:val="20"/>
                <w:lang w:val="pt-BR"/>
              </w:rPr>
              <w:t>-433 (-92)</w:t>
            </w:r>
          </w:p>
        </w:tc>
        <w:tc>
          <w:tcPr>
            <w:tcW w:w="1844" w:type="dxa"/>
            <w:shd w:val="clear" w:color="auto" w:fill="auto"/>
          </w:tcPr>
          <w:p w14:paraId="5EDD5214" w14:textId="77777777" w:rsidR="007D14C4" w:rsidRPr="00890789" w:rsidRDefault="007D14C4" w:rsidP="00890789">
            <w:pPr>
              <w:spacing w:after="0" w:line="480" w:lineRule="auto"/>
              <w:jc w:val="center"/>
              <w:rPr>
                <w:rFonts w:ascii="Times New Roman" w:hAnsi="Times New Roman" w:cs="Times New Roman"/>
                <w:sz w:val="20"/>
                <w:szCs w:val="20"/>
                <w:lang w:val="pt-BR"/>
              </w:rPr>
            </w:pPr>
            <w:r w:rsidRPr="00220233">
              <w:rPr>
                <w:rFonts w:ascii="Times New Roman" w:hAnsi="Times New Roman" w:cs="Times New Roman"/>
                <w:sz w:val="20"/>
                <w:szCs w:val="20"/>
                <w:lang w:val="pt-BR"/>
              </w:rPr>
              <w:t>-6,819</w:t>
            </w:r>
          </w:p>
        </w:tc>
        <w:tc>
          <w:tcPr>
            <w:tcW w:w="1844" w:type="dxa"/>
          </w:tcPr>
          <w:p w14:paraId="6BA2B10A" w14:textId="77777777" w:rsidR="007D14C4" w:rsidRPr="00CE41E5" w:rsidRDefault="00F300F3" w:rsidP="00890789">
            <w:pPr>
              <w:spacing w:after="0" w:line="480" w:lineRule="auto"/>
              <w:jc w:val="center"/>
              <w:rPr>
                <w:rFonts w:ascii="Times New Roman" w:hAnsi="Times New Roman" w:cs="Times New Roman"/>
                <w:sz w:val="20"/>
                <w:szCs w:val="20"/>
                <w:lang w:val="pt-BR"/>
              </w:rPr>
            </w:pPr>
            <w:r w:rsidRPr="00CE41E5">
              <w:rPr>
                <w:rFonts w:ascii="Times New Roman" w:hAnsi="Times New Roman" w:cs="Times New Roman"/>
                <w:sz w:val="20"/>
                <w:szCs w:val="20"/>
                <w:lang w:val="pt-BR"/>
              </w:rPr>
              <w:t>59</w:t>
            </w:r>
          </w:p>
        </w:tc>
      </w:tr>
      <w:tr w:rsidR="007D14C4" w:rsidRPr="00CE41E5" w14:paraId="48808751" w14:textId="77777777" w:rsidTr="00270D39">
        <w:trPr>
          <w:trHeight w:val="327"/>
        </w:trPr>
        <w:tc>
          <w:tcPr>
            <w:tcW w:w="2802" w:type="dxa"/>
            <w:shd w:val="clear" w:color="auto" w:fill="auto"/>
          </w:tcPr>
          <w:p w14:paraId="423F7BBD" w14:textId="77777777" w:rsidR="007D14C4" w:rsidRPr="00220233" w:rsidRDefault="007D14C4" w:rsidP="00890789">
            <w:pPr>
              <w:spacing w:after="0" w:line="480" w:lineRule="auto"/>
              <w:jc w:val="right"/>
              <w:rPr>
                <w:rFonts w:ascii="Times New Roman" w:hAnsi="Times New Roman" w:cs="Times New Roman"/>
                <w:sz w:val="20"/>
                <w:szCs w:val="20"/>
                <w:lang w:val="pt-BR"/>
              </w:rPr>
            </w:pPr>
            <w:r w:rsidRPr="00220233">
              <w:rPr>
                <w:rFonts w:ascii="Times New Roman" w:hAnsi="Times New Roman" w:cs="Times New Roman"/>
                <w:sz w:val="20"/>
                <w:szCs w:val="20"/>
                <w:lang w:val="pt-BR"/>
              </w:rPr>
              <w:t xml:space="preserve">All outcomes    veh </w:t>
            </w:r>
            <w:r>
              <w:rPr>
                <w:rFonts w:ascii="Times New Roman" w:hAnsi="Times New Roman" w:cs="Times New Roman"/>
                <w:sz w:val="20"/>
                <w:szCs w:val="20"/>
                <w:lang w:val="pt-BR"/>
              </w:rPr>
              <w:t>fleet</w:t>
            </w:r>
            <w:r w:rsidRPr="00220233">
              <w:rPr>
                <w:rFonts w:ascii="Times New Roman" w:hAnsi="Times New Roman" w:cs="Times New Roman"/>
                <w:sz w:val="20"/>
                <w:szCs w:val="20"/>
                <w:lang w:val="pt-BR"/>
              </w:rPr>
              <w:t xml:space="preserve">1  </w:t>
            </w:r>
          </w:p>
        </w:tc>
        <w:tc>
          <w:tcPr>
            <w:tcW w:w="1984" w:type="dxa"/>
            <w:shd w:val="clear" w:color="auto" w:fill="auto"/>
          </w:tcPr>
          <w:p w14:paraId="187AC8D8" w14:textId="77777777" w:rsidR="007D14C4" w:rsidRPr="00220233" w:rsidRDefault="007D14C4" w:rsidP="00890789">
            <w:pPr>
              <w:spacing w:after="0" w:line="480" w:lineRule="auto"/>
              <w:jc w:val="center"/>
              <w:rPr>
                <w:rFonts w:ascii="Times New Roman" w:hAnsi="Times New Roman" w:cs="Times New Roman"/>
                <w:sz w:val="20"/>
                <w:szCs w:val="20"/>
                <w:lang w:val="pt-BR"/>
              </w:rPr>
            </w:pPr>
            <w:r>
              <w:rPr>
                <w:rFonts w:ascii="Times New Roman" w:hAnsi="Times New Roman" w:cs="Times New Roman"/>
                <w:sz w:val="20"/>
                <w:szCs w:val="20"/>
                <w:lang w:val="pt-BR"/>
              </w:rPr>
              <w:t>-</w:t>
            </w:r>
            <w:r w:rsidRPr="00220233">
              <w:rPr>
                <w:rFonts w:ascii="Times New Roman" w:hAnsi="Times New Roman" w:cs="Times New Roman"/>
                <w:sz w:val="20"/>
                <w:szCs w:val="20"/>
                <w:lang w:val="pt-BR"/>
              </w:rPr>
              <w:t xml:space="preserve">52   </w:t>
            </w:r>
          </w:p>
        </w:tc>
        <w:tc>
          <w:tcPr>
            <w:tcW w:w="1701" w:type="dxa"/>
            <w:shd w:val="clear" w:color="auto" w:fill="auto"/>
          </w:tcPr>
          <w:p w14:paraId="3977CF60" w14:textId="77777777" w:rsidR="007D14C4" w:rsidRPr="00220233" w:rsidRDefault="007D14C4" w:rsidP="00890789">
            <w:pPr>
              <w:spacing w:after="0" w:line="480" w:lineRule="auto"/>
              <w:jc w:val="center"/>
              <w:rPr>
                <w:rFonts w:ascii="Times New Roman" w:hAnsi="Times New Roman" w:cs="Times New Roman"/>
                <w:sz w:val="20"/>
                <w:szCs w:val="20"/>
                <w:lang w:val="pt-BR"/>
              </w:rPr>
            </w:pPr>
            <w:r w:rsidRPr="00220233">
              <w:rPr>
                <w:rFonts w:ascii="Times New Roman" w:hAnsi="Times New Roman" w:cs="Times New Roman"/>
                <w:sz w:val="20"/>
                <w:szCs w:val="20"/>
                <w:lang w:val="pt-BR"/>
              </w:rPr>
              <w:t xml:space="preserve">  -9,29</w:t>
            </w:r>
            <w:r>
              <w:rPr>
                <w:rFonts w:ascii="Times New Roman" w:hAnsi="Times New Roman" w:cs="Times New Roman"/>
                <w:sz w:val="20"/>
                <w:szCs w:val="20"/>
                <w:lang w:val="pt-BR"/>
              </w:rPr>
              <w:t>4</w:t>
            </w:r>
          </w:p>
        </w:tc>
        <w:tc>
          <w:tcPr>
            <w:tcW w:w="1844" w:type="dxa"/>
            <w:shd w:val="clear" w:color="auto" w:fill="auto"/>
          </w:tcPr>
          <w:p w14:paraId="445B6599" w14:textId="77777777" w:rsidR="007D14C4" w:rsidRPr="00220233" w:rsidRDefault="007D14C4" w:rsidP="00890789">
            <w:pPr>
              <w:spacing w:after="0" w:line="480" w:lineRule="auto"/>
              <w:jc w:val="center"/>
              <w:rPr>
                <w:rFonts w:ascii="Times New Roman" w:hAnsi="Times New Roman" w:cs="Times New Roman"/>
                <w:sz w:val="20"/>
                <w:szCs w:val="20"/>
                <w:lang w:val="pt-BR"/>
              </w:rPr>
            </w:pPr>
            <w:r w:rsidRPr="00220233">
              <w:rPr>
                <w:rFonts w:ascii="Times New Roman" w:hAnsi="Times New Roman" w:cs="Times New Roman"/>
                <w:sz w:val="20"/>
                <w:szCs w:val="20"/>
                <w:lang w:val="pt-BR"/>
              </w:rPr>
              <w:t>-9,34</w:t>
            </w:r>
            <w:r>
              <w:rPr>
                <w:rFonts w:ascii="Times New Roman" w:hAnsi="Times New Roman" w:cs="Times New Roman"/>
                <w:sz w:val="20"/>
                <w:szCs w:val="20"/>
                <w:lang w:val="pt-BR"/>
              </w:rPr>
              <w:t>5</w:t>
            </w:r>
          </w:p>
        </w:tc>
        <w:tc>
          <w:tcPr>
            <w:tcW w:w="1844" w:type="dxa"/>
          </w:tcPr>
          <w:p w14:paraId="0155829E" w14:textId="77777777" w:rsidR="007D14C4" w:rsidRPr="00CE41E5" w:rsidRDefault="00F300F3" w:rsidP="00890789">
            <w:pPr>
              <w:spacing w:after="0" w:line="480" w:lineRule="auto"/>
              <w:jc w:val="center"/>
              <w:rPr>
                <w:rFonts w:ascii="Times New Roman" w:hAnsi="Times New Roman" w:cs="Times New Roman"/>
                <w:sz w:val="20"/>
                <w:szCs w:val="20"/>
                <w:lang w:val="pt-BR"/>
              </w:rPr>
            </w:pPr>
            <w:r w:rsidRPr="00CE41E5">
              <w:rPr>
                <w:rFonts w:ascii="Times New Roman" w:hAnsi="Times New Roman" w:cs="Times New Roman"/>
                <w:sz w:val="20"/>
                <w:szCs w:val="20"/>
                <w:lang w:val="pt-BR"/>
              </w:rPr>
              <w:t>-36</w:t>
            </w:r>
          </w:p>
        </w:tc>
      </w:tr>
      <w:tr w:rsidR="007D14C4" w:rsidRPr="00CE41E5" w14:paraId="2E90F744" w14:textId="77777777" w:rsidTr="00270D39">
        <w:trPr>
          <w:trHeight w:val="274"/>
        </w:trPr>
        <w:tc>
          <w:tcPr>
            <w:tcW w:w="2802" w:type="dxa"/>
            <w:shd w:val="clear" w:color="auto" w:fill="auto"/>
          </w:tcPr>
          <w:p w14:paraId="05D416CE" w14:textId="77777777" w:rsidR="007D14C4" w:rsidRPr="00220233" w:rsidRDefault="007D14C4" w:rsidP="00890789">
            <w:pPr>
              <w:spacing w:after="0" w:line="480" w:lineRule="auto"/>
              <w:jc w:val="right"/>
              <w:rPr>
                <w:rFonts w:ascii="Times New Roman" w:hAnsi="Times New Roman" w:cs="Times New Roman"/>
                <w:sz w:val="20"/>
                <w:szCs w:val="20"/>
                <w:lang w:val="pt-BR"/>
              </w:rPr>
            </w:pPr>
            <w:r w:rsidRPr="00220233">
              <w:rPr>
                <w:rFonts w:ascii="Times New Roman" w:hAnsi="Times New Roman" w:cs="Times New Roman"/>
                <w:sz w:val="20"/>
                <w:szCs w:val="20"/>
                <w:lang w:val="pt-BR"/>
              </w:rPr>
              <w:t xml:space="preserve">  veh </w:t>
            </w:r>
            <w:r>
              <w:rPr>
                <w:rFonts w:ascii="Times New Roman" w:hAnsi="Times New Roman" w:cs="Times New Roman"/>
                <w:sz w:val="20"/>
                <w:szCs w:val="20"/>
                <w:lang w:val="pt-BR"/>
              </w:rPr>
              <w:t>fleet</w:t>
            </w:r>
            <w:r w:rsidRPr="00220233">
              <w:rPr>
                <w:rFonts w:ascii="Times New Roman" w:hAnsi="Times New Roman" w:cs="Times New Roman"/>
                <w:sz w:val="20"/>
                <w:szCs w:val="20"/>
                <w:lang w:val="pt-BR"/>
              </w:rPr>
              <w:t>2</w:t>
            </w:r>
          </w:p>
        </w:tc>
        <w:tc>
          <w:tcPr>
            <w:tcW w:w="1984" w:type="dxa"/>
            <w:shd w:val="clear" w:color="auto" w:fill="auto"/>
          </w:tcPr>
          <w:p w14:paraId="347B9CC0" w14:textId="77777777" w:rsidR="007D14C4" w:rsidRDefault="007D14C4" w:rsidP="00890789">
            <w:pPr>
              <w:spacing w:after="0" w:line="480" w:lineRule="auto"/>
              <w:jc w:val="center"/>
              <w:rPr>
                <w:rFonts w:ascii="Times New Roman" w:hAnsi="Times New Roman" w:cs="Times New Roman"/>
                <w:sz w:val="20"/>
                <w:szCs w:val="20"/>
                <w:lang w:val="pt-BR"/>
              </w:rPr>
            </w:pPr>
            <w:r>
              <w:rPr>
                <w:rFonts w:ascii="Times New Roman" w:hAnsi="Times New Roman" w:cs="Times New Roman"/>
                <w:sz w:val="20"/>
                <w:szCs w:val="20"/>
                <w:lang w:val="pt-BR"/>
              </w:rPr>
              <w:t>-</w:t>
            </w:r>
            <w:r w:rsidRPr="00220233">
              <w:rPr>
                <w:rFonts w:ascii="Times New Roman" w:hAnsi="Times New Roman" w:cs="Times New Roman"/>
                <w:sz w:val="20"/>
                <w:szCs w:val="20"/>
                <w:lang w:val="pt-BR"/>
              </w:rPr>
              <w:t xml:space="preserve">127  </w:t>
            </w:r>
          </w:p>
        </w:tc>
        <w:tc>
          <w:tcPr>
            <w:tcW w:w="1701" w:type="dxa"/>
            <w:shd w:val="clear" w:color="auto" w:fill="auto"/>
          </w:tcPr>
          <w:p w14:paraId="05394945" w14:textId="77777777" w:rsidR="007D14C4" w:rsidRPr="00220233" w:rsidRDefault="007D14C4" w:rsidP="00890789">
            <w:pPr>
              <w:spacing w:after="0" w:line="480" w:lineRule="auto"/>
              <w:jc w:val="center"/>
              <w:rPr>
                <w:rFonts w:ascii="Times New Roman" w:hAnsi="Times New Roman" w:cs="Times New Roman"/>
                <w:sz w:val="20"/>
                <w:szCs w:val="20"/>
                <w:lang w:val="pt-BR"/>
              </w:rPr>
            </w:pPr>
            <w:r w:rsidRPr="00220233">
              <w:rPr>
                <w:rFonts w:ascii="Times New Roman" w:hAnsi="Times New Roman" w:cs="Times New Roman"/>
                <w:sz w:val="20"/>
                <w:szCs w:val="20"/>
                <w:lang w:val="pt-BR"/>
              </w:rPr>
              <w:t xml:space="preserve">    -8,97</w:t>
            </w:r>
            <w:r>
              <w:rPr>
                <w:rFonts w:ascii="Times New Roman" w:hAnsi="Times New Roman" w:cs="Times New Roman"/>
                <w:sz w:val="20"/>
                <w:szCs w:val="20"/>
                <w:lang w:val="pt-BR"/>
              </w:rPr>
              <w:t>5</w:t>
            </w:r>
          </w:p>
        </w:tc>
        <w:tc>
          <w:tcPr>
            <w:tcW w:w="1844" w:type="dxa"/>
            <w:shd w:val="clear" w:color="auto" w:fill="auto"/>
          </w:tcPr>
          <w:p w14:paraId="01BC958A" w14:textId="77777777" w:rsidR="007D14C4" w:rsidRPr="00220233" w:rsidRDefault="007D14C4" w:rsidP="00890789">
            <w:pPr>
              <w:spacing w:after="0" w:line="480" w:lineRule="auto"/>
              <w:jc w:val="center"/>
              <w:rPr>
                <w:rFonts w:ascii="Times New Roman" w:hAnsi="Times New Roman" w:cs="Times New Roman"/>
                <w:sz w:val="20"/>
                <w:szCs w:val="20"/>
                <w:lang w:val="pt-BR"/>
              </w:rPr>
            </w:pPr>
            <w:r w:rsidRPr="00220233">
              <w:rPr>
                <w:rFonts w:ascii="Times New Roman" w:hAnsi="Times New Roman" w:cs="Times New Roman"/>
                <w:sz w:val="20"/>
                <w:szCs w:val="20"/>
                <w:lang w:val="pt-BR"/>
              </w:rPr>
              <w:t>-9,10</w:t>
            </w:r>
            <w:r>
              <w:rPr>
                <w:rFonts w:ascii="Times New Roman" w:hAnsi="Times New Roman" w:cs="Times New Roman"/>
                <w:sz w:val="20"/>
                <w:szCs w:val="20"/>
                <w:lang w:val="pt-BR"/>
              </w:rPr>
              <w:t>1</w:t>
            </w:r>
          </w:p>
        </w:tc>
        <w:tc>
          <w:tcPr>
            <w:tcW w:w="1844" w:type="dxa"/>
          </w:tcPr>
          <w:p w14:paraId="3AC18ED3" w14:textId="77777777" w:rsidR="007D14C4" w:rsidRPr="00CE41E5" w:rsidRDefault="00F300F3" w:rsidP="00890789">
            <w:pPr>
              <w:spacing w:after="0" w:line="480" w:lineRule="auto"/>
              <w:jc w:val="center"/>
              <w:rPr>
                <w:rFonts w:ascii="Times New Roman" w:hAnsi="Times New Roman" w:cs="Times New Roman"/>
                <w:sz w:val="20"/>
                <w:szCs w:val="20"/>
                <w:lang w:val="pt-BR"/>
              </w:rPr>
            </w:pPr>
            <w:r w:rsidRPr="00CE41E5">
              <w:rPr>
                <w:rFonts w:ascii="Times New Roman" w:hAnsi="Times New Roman" w:cs="Times New Roman"/>
                <w:sz w:val="20"/>
                <w:szCs w:val="20"/>
                <w:lang w:val="pt-BR"/>
              </w:rPr>
              <w:t>-33</w:t>
            </w:r>
          </w:p>
        </w:tc>
      </w:tr>
      <w:tr w:rsidR="007D14C4" w:rsidRPr="00CE41E5" w14:paraId="4ABB5EF2" w14:textId="77777777" w:rsidTr="00270D39">
        <w:trPr>
          <w:trHeight w:val="284"/>
        </w:trPr>
        <w:tc>
          <w:tcPr>
            <w:tcW w:w="2802" w:type="dxa"/>
            <w:shd w:val="clear" w:color="auto" w:fill="auto"/>
          </w:tcPr>
          <w:p w14:paraId="0A6AC88B" w14:textId="77777777" w:rsidR="007D14C4" w:rsidRPr="00220233" w:rsidRDefault="007D14C4" w:rsidP="00890789">
            <w:pPr>
              <w:spacing w:after="0" w:line="480" w:lineRule="auto"/>
              <w:rPr>
                <w:rFonts w:ascii="Times New Roman" w:hAnsi="Times New Roman" w:cs="Times New Roman"/>
                <w:sz w:val="20"/>
                <w:szCs w:val="20"/>
              </w:rPr>
            </w:pPr>
            <w:r w:rsidRPr="00220233">
              <w:rPr>
                <w:rFonts w:ascii="Times New Roman" w:hAnsi="Times New Roman" w:cs="Times New Roman"/>
                <w:b/>
                <w:sz w:val="20"/>
                <w:szCs w:val="20"/>
                <w:lang w:val="pt-BR"/>
              </w:rPr>
              <w:t>Optimal with teleworking &amp; schooling vs BAU</w:t>
            </w:r>
          </w:p>
        </w:tc>
        <w:tc>
          <w:tcPr>
            <w:tcW w:w="1984" w:type="dxa"/>
            <w:shd w:val="clear" w:color="auto" w:fill="auto"/>
          </w:tcPr>
          <w:p w14:paraId="3D9C31FF" w14:textId="77777777" w:rsidR="007D14C4" w:rsidRPr="00220233" w:rsidRDefault="007D14C4" w:rsidP="00890789">
            <w:pPr>
              <w:spacing w:after="0" w:line="480" w:lineRule="auto"/>
              <w:jc w:val="center"/>
              <w:rPr>
                <w:rFonts w:ascii="Times New Roman" w:hAnsi="Times New Roman" w:cs="Times New Roman"/>
                <w:sz w:val="20"/>
                <w:szCs w:val="20"/>
                <w:lang w:val="pt-BR"/>
              </w:rPr>
            </w:pPr>
          </w:p>
        </w:tc>
        <w:tc>
          <w:tcPr>
            <w:tcW w:w="1701" w:type="dxa"/>
            <w:shd w:val="clear" w:color="auto" w:fill="auto"/>
          </w:tcPr>
          <w:p w14:paraId="2C36D1A3" w14:textId="77777777" w:rsidR="007D14C4" w:rsidRPr="00220233" w:rsidRDefault="007D14C4" w:rsidP="00890789">
            <w:pPr>
              <w:spacing w:after="0" w:line="480" w:lineRule="auto"/>
              <w:jc w:val="center"/>
              <w:rPr>
                <w:rFonts w:ascii="Times New Roman" w:hAnsi="Times New Roman" w:cs="Times New Roman"/>
                <w:sz w:val="20"/>
                <w:szCs w:val="20"/>
                <w:lang w:val="pt-BR"/>
              </w:rPr>
            </w:pPr>
          </w:p>
        </w:tc>
        <w:tc>
          <w:tcPr>
            <w:tcW w:w="1844" w:type="dxa"/>
            <w:shd w:val="clear" w:color="auto" w:fill="auto"/>
          </w:tcPr>
          <w:p w14:paraId="4E15376D" w14:textId="77777777" w:rsidR="007D14C4" w:rsidRPr="00220233" w:rsidRDefault="007D14C4" w:rsidP="00890789">
            <w:pPr>
              <w:spacing w:after="0" w:line="480" w:lineRule="auto"/>
              <w:jc w:val="center"/>
              <w:rPr>
                <w:rFonts w:ascii="Times New Roman" w:hAnsi="Times New Roman" w:cs="Times New Roman"/>
                <w:sz w:val="20"/>
                <w:szCs w:val="20"/>
                <w:lang w:val="pt-BR"/>
              </w:rPr>
            </w:pPr>
          </w:p>
        </w:tc>
        <w:tc>
          <w:tcPr>
            <w:tcW w:w="1844" w:type="dxa"/>
          </w:tcPr>
          <w:p w14:paraId="1EFC28F1" w14:textId="77777777" w:rsidR="007D14C4" w:rsidRPr="00CE41E5" w:rsidRDefault="007D14C4" w:rsidP="00890789">
            <w:pPr>
              <w:spacing w:after="0" w:line="480" w:lineRule="auto"/>
              <w:jc w:val="center"/>
              <w:rPr>
                <w:rFonts w:ascii="Times New Roman" w:hAnsi="Times New Roman" w:cs="Times New Roman"/>
                <w:sz w:val="20"/>
                <w:szCs w:val="20"/>
                <w:lang w:val="pt-BR"/>
              </w:rPr>
            </w:pPr>
          </w:p>
        </w:tc>
      </w:tr>
      <w:tr w:rsidR="007D14C4" w:rsidRPr="00CE41E5" w14:paraId="007EB623" w14:textId="77777777" w:rsidTr="00270D39">
        <w:tc>
          <w:tcPr>
            <w:tcW w:w="2802" w:type="dxa"/>
            <w:shd w:val="clear" w:color="auto" w:fill="auto"/>
          </w:tcPr>
          <w:p w14:paraId="11364900" w14:textId="77777777" w:rsidR="007D14C4" w:rsidRPr="00220233" w:rsidRDefault="007D14C4" w:rsidP="00890789">
            <w:pPr>
              <w:spacing w:after="0" w:line="480" w:lineRule="auto"/>
              <w:jc w:val="right"/>
              <w:rPr>
                <w:rFonts w:ascii="Times New Roman" w:hAnsi="Times New Roman" w:cs="Times New Roman"/>
                <w:sz w:val="20"/>
                <w:szCs w:val="20"/>
              </w:rPr>
            </w:pPr>
            <w:r w:rsidRPr="00220233">
              <w:rPr>
                <w:rFonts w:ascii="Times New Roman" w:hAnsi="Times New Roman" w:cs="Times New Roman"/>
                <w:sz w:val="20"/>
                <w:szCs w:val="20"/>
                <w:lang w:val="pt-BR"/>
              </w:rPr>
              <w:t>Road injuries</w:t>
            </w:r>
          </w:p>
        </w:tc>
        <w:tc>
          <w:tcPr>
            <w:tcW w:w="1984" w:type="dxa"/>
            <w:shd w:val="clear" w:color="auto" w:fill="auto"/>
          </w:tcPr>
          <w:p w14:paraId="6A9B4BBB" w14:textId="77777777" w:rsidR="007D14C4" w:rsidRPr="00890789" w:rsidRDefault="007D14C4" w:rsidP="00890789">
            <w:pPr>
              <w:spacing w:after="0" w:line="480" w:lineRule="auto"/>
              <w:jc w:val="center"/>
              <w:rPr>
                <w:rFonts w:ascii="Times New Roman" w:hAnsi="Times New Roman" w:cs="Times New Roman"/>
                <w:sz w:val="20"/>
                <w:szCs w:val="20"/>
                <w:lang w:val="pt-BR"/>
              </w:rPr>
            </w:pPr>
            <w:r w:rsidRPr="00220233">
              <w:rPr>
                <w:rFonts w:ascii="Times New Roman" w:hAnsi="Times New Roman" w:cs="Times New Roman"/>
                <w:sz w:val="20"/>
                <w:szCs w:val="20"/>
                <w:lang w:val="pt-BR"/>
              </w:rPr>
              <w:t>+1,</w:t>
            </w:r>
            <w:r>
              <w:rPr>
                <w:rFonts w:ascii="Times New Roman" w:hAnsi="Times New Roman" w:cs="Times New Roman"/>
                <w:sz w:val="20"/>
                <w:szCs w:val="20"/>
                <w:lang w:val="pt-BR"/>
              </w:rPr>
              <w:t>818</w:t>
            </w:r>
            <w:r w:rsidRPr="00220233">
              <w:rPr>
                <w:rFonts w:ascii="Times New Roman" w:hAnsi="Times New Roman" w:cs="Times New Roman"/>
                <w:sz w:val="20"/>
                <w:szCs w:val="20"/>
                <w:lang w:val="pt-BR"/>
              </w:rPr>
              <w:t xml:space="preserve"> (-13</w:t>
            </w:r>
            <w:r>
              <w:rPr>
                <w:rFonts w:ascii="Times New Roman" w:hAnsi="Times New Roman" w:cs="Times New Roman"/>
                <w:sz w:val="20"/>
                <w:szCs w:val="20"/>
                <w:lang w:val="pt-BR"/>
              </w:rPr>
              <w:t>4</w:t>
            </w:r>
            <w:r w:rsidRPr="00220233">
              <w:rPr>
                <w:rFonts w:ascii="Times New Roman" w:hAnsi="Times New Roman" w:cs="Times New Roman"/>
                <w:sz w:val="20"/>
                <w:szCs w:val="20"/>
                <w:lang w:val="pt-BR"/>
              </w:rPr>
              <w:t>)</w:t>
            </w:r>
          </w:p>
        </w:tc>
        <w:tc>
          <w:tcPr>
            <w:tcW w:w="1701" w:type="dxa"/>
            <w:shd w:val="clear" w:color="auto" w:fill="auto"/>
          </w:tcPr>
          <w:p w14:paraId="62B530C1" w14:textId="77777777" w:rsidR="007D14C4" w:rsidRPr="00890789" w:rsidRDefault="007D14C4" w:rsidP="00890789">
            <w:pPr>
              <w:spacing w:after="0" w:line="480" w:lineRule="auto"/>
              <w:jc w:val="center"/>
              <w:rPr>
                <w:rFonts w:ascii="Times New Roman" w:hAnsi="Times New Roman" w:cs="Times New Roman"/>
                <w:sz w:val="20"/>
                <w:szCs w:val="20"/>
                <w:lang w:val="pt-BR"/>
              </w:rPr>
            </w:pPr>
            <w:r w:rsidRPr="00220233">
              <w:rPr>
                <w:rFonts w:ascii="Times New Roman" w:hAnsi="Times New Roman" w:cs="Times New Roman"/>
                <w:sz w:val="20"/>
                <w:szCs w:val="20"/>
                <w:lang w:val="pt-BR"/>
              </w:rPr>
              <w:t>-10,</w:t>
            </w:r>
            <w:r>
              <w:rPr>
                <w:rFonts w:ascii="Times New Roman" w:hAnsi="Times New Roman" w:cs="Times New Roman"/>
                <w:sz w:val="20"/>
                <w:szCs w:val="20"/>
                <w:lang w:val="pt-BR"/>
              </w:rPr>
              <w:t>605</w:t>
            </w:r>
            <w:r w:rsidRPr="00220233">
              <w:rPr>
                <w:rFonts w:ascii="Times New Roman" w:hAnsi="Times New Roman" w:cs="Times New Roman"/>
                <w:sz w:val="20"/>
                <w:szCs w:val="20"/>
                <w:lang w:val="pt-BR"/>
              </w:rPr>
              <w:t xml:space="preserve"> (-17</w:t>
            </w:r>
            <w:r>
              <w:rPr>
                <w:rFonts w:ascii="Times New Roman" w:hAnsi="Times New Roman" w:cs="Times New Roman"/>
                <w:sz w:val="20"/>
                <w:szCs w:val="20"/>
                <w:lang w:val="pt-BR"/>
              </w:rPr>
              <w:t>1</w:t>
            </w:r>
            <w:r w:rsidRPr="00220233">
              <w:rPr>
                <w:rFonts w:ascii="Times New Roman" w:hAnsi="Times New Roman" w:cs="Times New Roman"/>
                <w:sz w:val="20"/>
                <w:szCs w:val="20"/>
                <w:lang w:val="pt-BR"/>
              </w:rPr>
              <w:t>)</w:t>
            </w:r>
          </w:p>
        </w:tc>
        <w:tc>
          <w:tcPr>
            <w:tcW w:w="1844" w:type="dxa"/>
            <w:shd w:val="clear" w:color="auto" w:fill="auto"/>
          </w:tcPr>
          <w:p w14:paraId="5C1C4490" w14:textId="77777777" w:rsidR="007D14C4" w:rsidRPr="00890789" w:rsidRDefault="007D14C4" w:rsidP="00890789">
            <w:pPr>
              <w:spacing w:after="0" w:line="480" w:lineRule="auto"/>
              <w:jc w:val="center"/>
              <w:rPr>
                <w:rFonts w:ascii="Times New Roman" w:hAnsi="Times New Roman" w:cs="Times New Roman"/>
                <w:sz w:val="20"/>
                <w:szCs w:val="20"/>
                <w:lang w:val="pt-BR"/>
              </w:rPr>
            </w:pPr>
            <w:r w:rsidRPr="00220233">
              <w:rPr>
                <w:rFonts w:ascii="Times New Roman" w:hAnsi="Times New Roman" w:cs="Times New Roman"/>
                <w:sz w:val="20"/>
                <w:szCs w:val="20"/>
                <w:lang w:val="pt-BR"/>
              </w:rPr>
              <w:t>-9,032</w:t>
            </w:r>
          </w:p>
        </w:tc>
        <w:tc>
          <w:tcPr>
            <w:tcW w:w="1844" w:type="dxa"/>
          </w:tcPr>
          <w:p w14:paraId="437F2A18" w14:textId="77777777" w:rsidR="007D14C4" w:rsidRPr="00CE41E5" w:rsidRDefault="00F300F3" w:rsidP="00890789">
            <w:pPr>
              <w:spacing w:after="0" w:line="480" w:lineRule="auto"/>
              <w:jc w:val="center"/>
              <w:rPr>
                <w:rFonts w:ascii="Times New Roman" w:hAnsi="Times New Roman" w:cs="Times New Roman"/>
                <w:sz w:val="20"/>
                <w:szCs w:val="20"/>
                <w:lang w:val="pt-BR"/>
              </w:rPr>
            </w:pPr>
            <w:r w:rsidRPr="00CE41E5">
              <w:rPr>
                <w:rFonts w:ascii="Times New Roman" w:hAnsi="Times New Roman" w:cs="Times New Roman"/>
                <w:sz w:val="20"/>
                <w:szCs w:val="20"/>
                <w:lang w:val="pt-BR"/>
              </w:rPr>
              <w:t>-28</w:t>
            </w:r>
          </w:p>
        </w:tc>
      </w:tr>
      <w:tr w:rsidR="007D14C4" w:rsidRPr="00CE41E5" w14:paraId="774AE985" w14:textId="77777777" w:rsidTr="00270D39">
        <w:tc>
          <w:tcPr>
            <w:tcW w:w="2802" w:type="dxa"/>
            <w:shd w:val="clear" w:color="auto" w:fill="auto"/>
          </w:tcPr>
          <w:p w14:paraId="181E00E8" w14:textId="77777777" w:rsidR="007D14C4" w:rsidRPr="00220233" w:rsidRDefault="007D14C4" w:rsidP="00890789">
            <w:pPr>
              <w:spacing w:after="0" w:line="480" w:lineRule="auto"/>
              <w:jc w:val="right"/>
              <w:rPr>
                <w:rFonts w:ascii="Times New Roman" w:hAnsi="Times New Roman" w:cs="Times New Roman"/>
                <w:sz w:val="20"/>
                <w:szCs w:val="20"/>
                <w:lang w:val="pt-BR"/>
              </w:rPr>
            </w:pPr>
            <w:r w:rsidRPr="00220233">
              <w:rPr>
                <w:rFonts w:ascii="Times New Roman" w:hAnsi="Times New Roman" w:cs="Times New Roman"/>
                <w:sz w:val="20"/>
                <w:szCs w:val="20"/>
                <w:lang w:val="pt-BR"/>
              </w:rPr>
              <w:t>Air pollution veh</w:t>
            </w:r>
            <w:r>
              <w:rPr>
                <w:rFonts w:ascii="Times New Roman" w:hAnsi="Times New Roman" w:cs="Times New Roman"/>
                <w:sz w:val="20"/>
                <w:szCs w:val="20"/>
                <w:lang w:val="pt-BR"/>
              </w:rPr>
              <w:t xml:space="preserve"> fleet</w:t>
            </w:r>
            <w:r w:rsidRPr="00220233">
              <w:rPr>
                <w:rFonts w:ascii="Times New Roman" w:hAnsi="Times New Roman" w:cs="Times New Roman"/>
                <w:sz w:val="20"/>
                <w:szCs w:val="20"/>
                <w:lang w:val="pt-BR"/>
              </w:rPr>
              <w:t xml:space="preserve">1 </w:t>
            </w:r>
          </w:p>
        </w:tc>
        <w:tc>
          <w:tcPr>
            <w:tcW w:w="1984" w:type="dxa"/>
            <w:shd w:val="clear" w:color="auto" w:fill="auto"/>
          </w:tcPr>
          <w:p w14:paraId="521593DB" w14:textId="77777777" w:rsidR="007D14C4" w:rsidRPr="00890789" w:rsidRDefault="007D14C4" w:rsidP="00890789">
            <w:pPr>
              <w:spacing w:after="0" w:line="480" w:lineRule="auto"/>
              <w:jc w:val="center"/>
              <w:rPr>
                <w:rFonts w:ascii="Times New Roman" w:hAnsi="Times New Roman" w:cs="Times New Roman"/>
                <w:sz w:val="20"/>
                <w:szCs w:val="20"/>
                <w:lang w:val="pt-BR"/>
              </w:rPr>
            </w:pPr>
            <w:r w:rsidRPr="00890789">
              <w:rPr>
                <w:rFonts w:ascii="Times New Roman" w:hAnsi="Times New Roman" w:cs="Times New Roman"/>
                <w:sz w:val="20"/>
                <w:szCs w:val="20"/>
                <w:lang w:val="pt-BR"/>
              </w:rPr>
              <w:t>+946 (-29)</w:t>
            </w:r>
          </w:p>
        </w:tc>
        <w:tc>
          <w:tcPr>
            <w:tcW w:w="1701" w:type="dxa"/>
            <w:shd w:val="clear" w:color="auto" w:fill="auto"/>
          </w:tcPr>
          <w:p w14:paraId="20D61A28" w14:textId="77777777" w:rsidR="007D14C4" w:rsidRPr="00890789" w:rsidRDefault="007D14C4" w:rsidP="00890789">
            <w:pPr>
              <w:spacing w:after="0" w:line="480" w:lineRule="auto"/>
              <w:jc w:val="center"/>
              <w:rPr>
                <w:rFonts w:ascii="Times New Roman" w:hAnsi="Times New Roman" w:cs="Times New Roman"/>
                <w:sz w:val="20"/>
                <w:szCs w:val="20"/>
                <w:lang w:val="pt-BR"/>
              </w:rPr>
            </w:pPr>
            <w:r w:rsidRPr="00890789">
              <w:rPr>
                <w:rFonts w:ascii="Times New Roman" w:hAnsi="Times New Roman" w:cs="Times New Roman"/>
                <w:sz w:val="20"/>
                <w:szCs w:val="20"/>
                <w:lang w:val="pt-BR"/>
              </w:rPr>
              <w:t>-1,882 (-11)</w:t>
            </w:r>
          </w:p>
        </w:tc>
        <w:tc>
          <w:tcPr>
            <w:tcW w:w="1844" w:type="dxa"/>
            <w:shd w:val="clear" w:color="auto" w:fill="auto"/>
          </w:tcPr>
          <w:p w14:paraId="50B62761" w14:textId="77777777" w:rsidR="007D14C4" w:rsidRPr="00890789" w:rsidRDefault="007D14C4" w:rsidP="00890789">
            <w:pPr>
              <w:spacing w:after="0" w:line="480" w:lineRule="auto"/>
              <w:jc w:val="center"/>
              <w:rPr>
                <w:rFonts w:ascii="Times New Roman" w:hAnsi="Times New Roman" w:cs="Times New Roman"/>
                <w:sz w:val="20"/>
                <w:szCs w:val="20"/>
                <w:lang w:val="pt-BR"/>
              </w:rPr>
            </w:pPr>
            <w:r w:rsidRPr="00890789">
              <w:rPr>
                <w:rFonts w:ascii="Times New Roman" w:hAnsi="Times New Roman" w:cs="Times New Roman"/>
                <w:sz w:val="20"/>
                <w:szCs w:val="20"/>
                <w:lang w:val="pt-BR"/>
              </w:rPr>
              <w:t>-936</w:t>
            </w:r>
          </w:p>
        </w:tc>
        <w:tc>
          <w:tcPr>
            <w:tcW w:w="1844" w:type="dxa"/>
          </w:tcPr>
          <w:p w14:paraId="77118C93" w14:textId="77777777" w:rsidR="007D14C4" w:rsidRPr="00CE41E5" w:rsidRDefault="00F300F3" w:rsidP="00890789">
            <w:pPr>
              <w:spacing w:after="0" w:line="480" w:lineRule="auto"/>
              <w:jc w:val="center"/>
              <w:rPr>
                <w:rFonts w:ascii="Times New Roman" w:hAnsi="Times New Roman" w:cs="Times New Roman"/>
                <w:sz w:val="20"/>
                <w:szCs w:val="20"/>
                <w:lang w:val="pt-BR"/>
              </w:rPr>
            </w:pPr>
            <w:r w:rsidRPr="00CE41E5">
              <w:rPr>
                <w:rFonts w:ascii="Times New Roman" w:hAnsi="Times New Roman" w:cs="Times New Roman"/>
                <w:sz w:val="20"/>
                <w:szCs w:val="20"/>
                <w:lang w:val="pt-BR"/>
              </w:rPr>
              <w:t>-11</w:t>
            </w:r>
          </w:p>
        </w:tc>
      </w:tr>
      <w:tr w:rsidR="007D14C4" w:rsidRPr="00CE41E5" w14:paraId="016CDBC5" w14:textId="77777777" w:rsidTr="00270D39">
        <w:tc>
          <w:tcPr>
            <w:tcW w:w="2802" w:type="dxa"/>
            <w:shd w:val="clear" w:color="auto" w:fill="auto"/>
          </w:tcPr>
          <w:p w14:paraId="0FED98EB" w14:textId="77777777" w:rsidR="007D14C4" w:rsidRPr="00220233" w:rsidRDefault="007D14C4" w:rsidP="00890789">
            <w:pPr>
              <w:spacing w:after="0" w:line="480" w:lineRule="auto"/>
              <w:jc w:val="right"/>
              <w:rPr>
                <w:rFonts w:ascii="Times New Roman" w:hAnsi="Times New Roman" w:cs="Times New Roman"/>
                <w:sz w:val="20"/>
                <w:szCs w:val="20"/>
              </w:rPr>
            </w:pPr>
            <w:r w:rsidRPr="00220233">
              <w:rPr>
                <w:rFonts w:ascii="Times New Roman" w:hAnsi="Times New Roman" w:cs="Times New Roman"/>
                <w:sz w:val="20"/>
                <w:szCs w:val="20"/>
                <w:lang w:val="pt-BR"/>
              </w:rPr>
              <w:t>Active transportation</w:t>
            </w:r>
          </w:p>
        </w:tc>
        <w:tc>
          <w:tcPr>
            <w:tcW w:w="1984" w:type="dxa"/>
            <w:shd w:val="clear" w:color="auto" w:fill="auto"/>
          </w:tcPr>
          <w:p w14:paraId="29101DC1" w14:textId="77777777" w:rsidR="007D14C4" w:rsidRPr="00890789" w:rsidRDefault="007D14C4" w:rsidP="00890789">
            <w:pPr>
              <w:spacing w:after="0" w:line="480" w:lineRule="auto"/>
              <w:jc w:val="center"/>
              <w:rPr>
                <w:rFonts w:ascii="Times New Roman" w:hAnsi="Times New Roman" w:cs="Times New Roman"/>
                <w:sz w:val="20"/>
                <w:szCs w:val="20"/>
                <w:lang w:val="pt-BR"/>
              </w:rPr>
            </w:pPr>
            <w:r w:rsidRPr="00220233">
              <w:rPr>
                <w:rFonts w:ascii="Times New Roman" w:hAnsi="Times New Roman" w:cs="Times New Roman"/>
                <w:sz w:val="20"/>
                <w:szCs w:val="20"/>
                <w:lang w:val="pt-BR"/>
              </w:rPr>
              <w:t>-3674 (-2)</w:t>
            </w:r>
          </w:p>
        </w:tc>
        <w:tc>
          <w:tcPr>
            <w:tcW w:w="1701" w:type="dxa"/>
            <w:shd w:val="clear" w:color="auto" w:fill="auto"/>
          </w:tcPr>
          <w:p w14:paraId="6A52394C" w14:textId="77777777" w:rsidR="007D14C4" w:rsidRPr="00890789" w:rsidRDefault="007D14C4" w:rsidP="00890789">
            <w:pPr>
              <w:spacing w:after="0" w:line="480" w:lineRule="auto"/>
              <w:jc w:val="center"/>
              <w:rPr>
                <w:rFonts w:ascii="Times New Roman" w:hAnsi="Times New Roman" w:cs="Times New Roman"/>
                <w:sz w:val="20"/>
                <w:szCs w:val="20"/>
                <w:lang w:val="pt-BR"/>
              </w:rPr>
            </w:pPr>
            <w:r w:rsidRPr="00220233">
              <w:rPr>
                <w:rFonts w:ascii="Times New Roman" w:hAnsi="Times New Roman" w:cs="Times New Roman"/>
                <w:sz w:val="20"/>
                <w:szCs w:val="20"/>
                <w:lang w:val="pt-BR"/>
              </w:rPr>
              <w:t>+657 (-43)</w:t>
            </w:r>
          </w:p>
        </w:tc>
        <w:tc>
          <w:tcPr>
            <w:tcW w:w="1844" w:type="dxa"/>
            <w:shd w:val="clear" w:color="auto" w:fill="auto"/>
          </w:tcPr>
          <w:p w14:paraId="6F6CFDAF" w14:textId="77777777" w:rsidR="007D14C4" w:rsidRPr="00890789" w:rsidRDefault="007D14C4" w:rsidP="00890789">
            <w:pPr>
              <w:spacing w:after="0" w:line="480" w:lineRule="auto"/>
              <w:jc w:val="center"/>
              <w:rPr>
                <w:rFonts w:ascii="Times New Roman" w:hAnsi="Times New Roman" w:cs="Times New Roman"/>
                <w:sz w:val="20"/>
                <w:szCs w:val="20"/>
                <w:lang w:val="pt-BR"/>
              </w:rPr>
            </w:pPr>
            <w:r w:rsidRPr="00220233">
              <w:rPr>
                <w:rFonts w:ascii="Times New Roman" w:hAnsi="Times New Roman" w:cs="Times New Roman"/>
                <w:sz w:val="20"/>
                <w:szCs w:val="20"/>
                <w:lang w:val="pt-BR"/>
              </w:rPr>
              <w:t>-3018</w:t>
            </w:r>
          </w:p>
        </w:tc>
        <w:tc>
          <w:tcPr>
            <w:tcW w:w="1844" w:type="dxa"/>
          </w:tcPr>
          <w:p w14:paraId="434D240D" w14:textId="77777777" w:rsidR="007D14C4" w:rsidRPr="00CE41E5" w:rsidRDefault="00F300F3" w:rsidP="00890789">
            <w:pPr>
              <w:spacing w:after="0" w:line="480" w:lineRule="auto"/>
              <w:jc w:val="center"/>
              <w:rPr>
                <w:rFonts w:ascii="Times New Roman" w:hAnsi="Times New Roman" w:cs="Times New Roman"/>
                <w:sz w:val="20"/>
                <w:szCs w:val="20"/>
                <w:lang w:val="pt-BR"/>
              </w:rPr>
            </w:pPr>
            <w:r w:rsidRPr="00CE41E5">
              <w:rPr>
                <w:rFonts w:ascii="Times New Roman" w:hAnsi="Times New Roman" w:cs="Times New Roman"/>
                <w:sz w:val="20"/>
                <w:szCs w:val="20"/>
                <w:lang w:val="pt-BR"/>
              </w:rPr>
              <w:t>26</w:t>
            </w:r>
          </w:p>
        </w:tc>
      </w:tr>
      <w:tr w:rsidR="007D14C4" w:rsidRPr="00CE41E5" w14:paraId="6425DB72" w14:textId="77777777" w:rsidTr="00270D39">
        <w:tc>
          <w:tcPr>
            <w:tcW w:w="2802" w:type="dxa"/>
            <w:shd w:val="clear" w:color="auto" w:fill="auto"/>
          </w:tcPr>
          <w:p w14:paraId="4837CE43" w14:textId="77777777" w:rsidR="007D14C4" w:rsidRPr="00220233" w:rsidRDefault="007D14C4" w:rsidP="00890789">
            <w:pPr>
              <w:spacing w:after="0" w:line="480" w:lineRule="auto"/>
              <w:rPr>
                <w:rFonts w:ascii="Times New Roman" w:hAnsi="Times New Roman" w:cs="Times New Roman"/>
                <w:sz w:val="20"/>
                <w:szCs w:val="20"/>
              </w:rPr>
            </w:pPr>
            <w:r>
              <w:rPr>
                <w:rFonts w:ascii="Times New Roman" w:hAnsi="Times New Roman" w:cs="Times New Roman"/>
                <w:sz w:val="20"/>
                <w:szCs w:val="20"/>
                <w:lang w:val="pt-BR"/>
              </w:rPr>
              <w:t xml:space="preserve">        </w:t>
            </w:r>
            <w:r w:rsidRPr="00220233">
              <w:rPr>
                <w:rFonts w:ascii="Times New Roman" w:hAnsi="Times New Roman" w:cs="Times New Roman"/>
                <w:sz w:val="20"/>
                <w:szCs w:val="20"/>
                <w:lang w:val="pt-BR"/>
              </w:rPr>
              <w:t xml:space="preserve">All outcomes   </w:t>
            </w:r>
            <w:r>
              <w:rPr>
                <w:rFonts w:ascii="Times New Roman" w:hAnsi="Times New Roman" w:cs="Times New Roman"/>
                <w:sz w:val="20"/>
                <w:szCs w:val="20"/>
                <w:lang w:val="pt-BR"/>
              </w:rPr>
              <w:t>(</w:t>
            </w:r>
            <w:r w:rsidRPr="00220233">
              <w:rPr>
                <w:rFonts w:ascii="Times New Roman" w:hAnsi="Times New Roman" w:cs="Times New Roman"/>
                <w:sz w:val="20"/>
                <w:szCs w:val="20"/>
                <w:lang w:val="pt-BR"/>
              </w:rPr>
              <w:t xml:space="preserve">veh </w:t>
            </w:r>
            <w:r>
              <w:rPr>
                <w:rFonts w:ascii="Times New Roman" w:hAnsi="Times New Roman" w:cs="Times New Roman"/>
                <w:sz w:val="20"/>
                <w:szCs w:val="20"/>
                <w:lang w:val="pt-BR"/>
              </w:rPr>
              <w:t>fleet</w:t>
            </w:r>
            <w:r w:rsidRPr="00220233">
              <w:rPr>
                <w:rFonts w:ascii="Times New Roman" w:hAnsi="Times New Roman" w:cs="Times New Roman"/>
                <w:sz w:val="20"/>
                <w:szCs w:val="20"/>
                <w:lang w:val="pt-BR"/>
              </w:rPr>
              <w:t>1</w:t>
            </w:r>
            <w:r>
              <w:rPr>
                <w:rFonts w:ascii="Times New Roman" w:hAnsi="Times New Roman" w:cs="Times New Roman"/>
                <w:sz w:val="20"/>
                <w:szCs w:val="20"/>
                <w:lang w:val="pt-BR"/>
              </w:rPr>
              <w:t>)</w:t>
            </w:r>
            <w:r w:rsidRPr="00220233">
              <w:rPr>
                <w:rFonts w:ascii="Times New Roman" w:hAnsi="Times New Roman" w:cs="Times New Roman"/>
                <w:sz w:val="20"/>
                <w:szCs w:val="20"/>
                <w:lang w:val="pt-BR"/>
              </w:rPr>
              <w:t xml:space="preserve"> </w:t>
            </w:r>
          </w:p>
        </w:tc>
        <w:tc>
          <w:tcPr>
            <w:tcW w:w="1984" w:type="dxa"/>
            <w:shd w:val="clear" w:color="auto" w:fill="auto"/>
          </w:tcPr>
          <w:p w14:paraId="1FF0B4F0" w14:textId="77777777" w:rsidR="007D14C4" w:rsidRPr="000D5F04" w:rsidRDefault="007D14C4" w:rsidP="00890789">
            <w:pPr>
              <w:spacing w:after="0" w:line="480" w:lineRule="auto"/>
              <w:jc w:val="center"/>
              <w:rPr>
                <w:rFonts w:ascii="Times New Roman" w:hAnsi="Times New Roman" w:cs="Times New Roman"/>
                <w:sz w:val="20"/>
                <w:szCs w:val="20"/>
                <w:lang w:val="pt-BR"/>
              </w:rPr>
            </w:pPr>
            <w:r w:rsidRPr="000D5F04">
              <w:rPr>
                <w:rFonts w:ascii="Times New Roman" w:hAnsi="Times New Roman" w:cs="Times New Roman"/>
                <w:sz w:val="20"/>
                <w:szCs w:val="20"/>
                <w:lang w:val="pt-BR"/>
              </w:rPr>
              <w:t>-917</w:t>
            </w:r>
          </w:p>
        </w:tc>
        <w:tc>
          <w:tcPr>
            <w:tcW w:w="1701" w:type="dxa"/>
            <w:shd w:val="clear" w:color="auto" w:fill="auto"/>
          </w:tcPr>
          <w:p w14:paraId="705A1CE6" w14:textId="77777777" w:rsidR="007D14C4" w:rsidRPr="000D5F04" w:rsidRDefault="007D14C4" w:rsidP="00890789">
            <w:pPr>
              <w:spacing w:after="0" w:line="480" w:lineRule="auto"/>
              <w:jc w:val="center"/>
              <w:rPr>
                <w:rFonts w:ascii="Times New Roman" w:hAnsi="Times New Roman" w:cs="Times New Roman"/>
                <w:sz w:val="20"/>
                <w:szCs w:val="20"/>
                <w:lang w:val="pt-BR"/>
              </w:rPr>
            </w:pPr>
            <w:r w:rsidRPr="000D5F04">
              <w:rPr>
                <w:rFonts w:ascii="Times New Roman" w:hAnsi="Times New Roman" w:cs="Times New Roman"/>
                <w:sz w:val="20"/>
                <w:szCs w:val="20"/>
                <w:lang w:val="pt-BR"/>
              </w:rPr>
              <w:t>-11,847</w:t>
            </w:r>
          </w:p>
        </w:tc>
        <w:tc>
          <w:tcPr>
            <w:tcW w:w="1844" w:type="dxa"/>
            <w:shd w:val="clear" w:color="auto" w:fill="auto"/>
          </w:tcPr>
          <w:p w14:paraId="4C1388DB" w14:textId="77777777" w:rsidR="007D14C4" w:rsidRPr="000D5F04" w:rsidRDefault="007D14C4" w:rsidP="00890789">
            <w:pPr>
              <w:spacing w:after="0" w:line="480" w:lineRule="auto"/>
              <w:jc w:val="center"/>
              <w:rPr>
                <w:rFonts w:ascii="Times New Roman" w:hAnsi="Times New Roman" w:cs="Times New Roman"/>
                <w:sz w:val="20"/>
                <w:szCs w:val="20"/>
                <w:lang w:val="pt-BR"/>
              </w:rPr>
            </w:pPr>
            <w:r w:rsidRPr="000D5F04">
              <w:rPr>
                <w:rFonts w:ascii="Times New Roman" w:hAnsi="Times New Roman" w:cs="Times New Roman"/>
                <w:sz w:val="20"/>
                <w:szCs w:val="20"/>
                <w:lang w:val="pt-BR"/>
              </w:rPr>
              <w:t>-12,765</w:t>
            </w:r>
          </w:p>
        </w:tc>
        <w:tc>
          <w:tcPr>
            <w:tcW w:w="1844" w:type="dxa"/>
          </w:tcPr>
          <w:p w14:paraId="24762994" w14:textId="77777777" w:rsidR="007D14C4" w:rsidRPr="00CE41E5" w:rsidRDefault="00F300F3" w:rsidP="00890789">
            <w:pPr>
              <w:spacing w:after="0" w:line="480" w:lineRule="auto"/>
              <w:jc w:val="center"/>
              <w:rPr>
                <w:rFonts w:ascii="Times New Roman" w:hAnsi="Times New Roman" w:cs="Times New Roman"/>
                <w:sz w:val="20"/>
                <w:szCs w:val="20"/>
                <w:lang w:val="pt-BR"/>
              </w:rPr>
            </w:pPr>
            <w:r w:rsidRPr="00CE41E5">
              <w:rPr>
                <w:rFonts w:ascii="Times New Roman" w:hAnsi="Times New Roman" w:cs="Times New Roman"/>
                <w:sz w:val="20"/>
                <w:szCs w:val="20"/>
                <w:lang w:val="pt-BR"/>
              </w:rPr>
              <w:t>-45</w:t>
            </w:r>
          </w:p>
        </w:tc>
      </w:tr>
    </w:tbl>
    <w:p w14:paraId="1B608599" w14:textId="77777777" w:rsidR="00687056" w:rsidRPr="00220233" w:rsidRDefault="00687056" w:rsidP="00890789">
      <w:pPr>
        <w:spacing w:after="0" w:line="480" w:lineRule="auto"/>
        <w:jc w:val="both"/>
        <w:rPr>
          <w:sz w:val="20"/>
          <w:szCs w:val="20"/>
        </w:rPr>
      </w:pPr>
      <w:r w:rsidRPr="00220233">
        <w:rPr>
          <w:rFonts w:ascii="Times New Roman" w:hAnsi="Times New Roman" w:cs="Times New Roman"/>
          <w:sz w:val="20"/>
          <w:szCs w:val="20"/>
          <w:vertAlign w:val="superscript"/>
        </w:rPr>
        <w:t xml:space="preserve">1 </w:t>
      </w:r>
      <w:r w:rsidRPr="00220233">
        <w:rPr>
          <w:rFonts w:ascii="Times New Roman" w:hAnsi="Times New Roman" w:cs="Times New Roman"/>
          <w:sz w:val="20"/>
          <w:szCs w:val="20"/>
        </w:rPr>
        <w:t>Negative DALY means a reduction of the burden</w:t>
      </w:r>
    </w:p>
    <w:p w14:paraId="60F2089C" w14:textId="77777777" w:rsidR="00B51486" w:rsidRPr="00890789" w:rsidRDefault="00B51486" w:rsidP="00890789">
      <w:pPr>
        <w:spacing w:after="0" w:line="480" w:lineRule="auto"/>
        <w:jc w:val="both"/>
        <w:rPr>
          <w:rFonts w:ascii="Times New Roman" w:hAnsi="Times New Roman" w:cs="Times New Roman"/>
          <w:sz w:val="24"/>
          <w:szCs w:val="24"/>
        </w:rPr>
      </w:pPr>
      <w:bookmarkStart w:id="0" w:name="_GoBack"/>
      <w:bookmarkEnd w:id="0"/>
    </w:p>
    <w:p w14:paraId="40413432" w14:textId="77777777" w:rsidR="00687056" w:rsidRPr="001F566E" w:rsidRDefault="00687056" w:rsidP="00890789">
      <w:pPr>
        <w:spacing w:after="0" w:line="480" w:lineRule="auto"/>
        <w:jc w:val="both"/>
        <w:rPr>
          <w:rFonts w:ascii="Times New Roman" w:hAnsi="Times New Roman" w:cs="Times New Roman"/>
          <w:sz w:val="24"/>
          <w:szCs w:val="24"/>
          <w:lang w:val="en-CA"/>
        </w:rPr>
      </w:pPr>
    </w:p>
    <w:p w14:paraId="207C2EBE" w14:textId="77777777" w:rsidR="00511203" w:rsidRPr="001F566E" w:rsidRDefault="00511203" w:rsidP="00890789">
      <w:pPr>
        <w:spacing w:after="0" w:line="480" w:lineRule="auto"/>
        <w:jc w:val="both"/>
      </w:pPr>
      <w:r w:rsidRPr="001F566E">
        <w:rPr>
          <w:rFonts w:ascii="Times New Roman" w:hAnsi="Times New Roman" w:cs="Times New Roman"/>
          <w:b/>
          <w:sz w:val="24"/>
          <w:szCs w:val="24"/>
          <w:lang w:val="en-CA"/>
        </w:rPr>
        <w:t xml:space="preserve">3.2 Comparisons between </w:t>
      </w:r>
      <w:r w:rsidR="00F46BD2">
        <w:rPr>
          <w:rFonts w:ascii="Times New Roman" w:hAnsi="Times New Roman" w:cs="Times New Roman"/>
          <w:b/>
          <w:sz w:val="24"/>
          <w:szCs w:val="24"/>
          <w:lang w:val="en-CA"/>
        </w:rPr>
        <w:t>Y2031</w:t>
      </w:r>
      <w:r w:rsidRPr="001F566E">
        <w:rPr>
          <w:rFonts w:ascii="Times New Roman" w:hAnsi="Times New Roman" w:cs="Times New Roman"/>
          <w:b/>
          <w:sz w:val="24"/>
          <w:szCs w:val="24"/>
          <w:lang w:val="en-CA"/>
        </w:rPr>
        <w:t xml:space="preserve"> and </w:t>
      </w:r>
      <w:r w:rsidR="00F46BD2">
        <w:rPr>
          <w:rFonts w:ascii="Times New Roman" w:hAnsi="Times New Roman" w:cs="Times New Roman"/>
          <w:b/>
          <w:sz w:val="24"/>
          <w:szCs w:val="24"/>
          <w:lang w:val="en-CA"/>
        </w:rPr>
        <w:t>Y2061</w:t>
      </w:r>
    </w:p>
    <w:p w14:paraId="5719FAED" w14:textId="77777777" w:rsidR="00511203" w:rsidRPr="00F33A42" w:rsidRDefault="00511203" w:rsidP="00890789">
      <w:pPr>
        <w:spacing w:after="0" w:line="480" w:lineRule="auto"/>
        <w:jc w:val="both"/>
      </w:pPr>
      <w:r w:rsidRPr="001F566E">
        <w:rPr>
          <w:rFonts w:ascii="Times New Roman" w:hAnsi="Times New Roman" w:cs="Times New Roman"/>
          <w:sz w:val="24"/>
          <w:szCs w:val="24"/>
          <w:lang w:val="en-CA"/>
        </w:rPr>
        <w:t xml:space="preserve">Compared to </w:t>
      </w:r>
      <w:r w:rsidR="00D80B97" w:rsidRPr="001F566E">
        <w:rPr>
          <w:rFonts w:ascii="Times New Roman" w:hAnsi="Times New Roman" w:cs="Times New Roman"/>
          <w:sz w:val="24"/>
          <w:szCs w:val="24"/>
          <w:lang w:val="en-CA"/>
        </w:rPr>
        <w:t xml:space="preserve">the </w:t>
      </w:r>
      <w:r w:rsidRPr="001F566E">
        <w:rPr>
          <w:rFonts w:ascii="Times New Roman" w:hAnsi="Times New Roman" w:cs="Times New Roman"/>
          <w:sz w:val="24"/>
          <w:szCs w:val="24"/>
          <w:lang w:val="en-CA"/>
        </w:rPr>
        <w:t xml:space="preserve">BAU 2031 (see </w:t>
      </w:r>
      <w:r w:rsidR="0098182D">
        <w:rPr>
          <w:rFonts w:ascii="Times New Roman" w:hAnsi="Times New Roman" w:cs="Times New Roman"/>
          <w:b/>
          <w:sz w:val="24"/>
          <w:szCs w:val="24"/>
          <w:lang w:val="en-CA"/>
        </w:rPr>
        <w:t>SI</w:t>
      </w:r>
      <w:r w:rsidRPr="001F566E">
        <w:rPr>
          <w:rFonts w:ascii="Times New Roman" w:hAnsi="Times New Roman" w:cs="Times New Roman"/>
          <w:sz w:val="24"/>
          <w:szCs w:val="24"/>
          <w:lang w:val="en-CA"/>
        </w:rPr>
        <w:t xml:space="preserve">, </w:t>
      </w:r>
      <w:r w:rsidR="009E2B13" w:rsidRPr="001F566E">
        <w:rPr>
          <w:rFonts w:ascii="Times New Roman" w:hAnsi="Times New Roman" w:cs="Times New Roman"/>
          <w:b/>
          <w:sz w:val="24"/>
          <w:szCs w:val="24"/>
          <w:lang w:val="en-CA"/>
        </w:rPr>
        <w:t>section</w:t>
      </w:r>
      <w:r w:rsidR="009E2B13" w:rsidRPr="00F33A42">
        <w:rPr>
          <w:rFonts w:ascii="Times New Roman" w:hAnsi="Times New Roman" w:cs="Times New Roman"/>
          <w:b/>
          <w:sz w:val="24"/>
          <w:szCs w:val="24"/>
          <w:lang w:val="en-CA"/>
        </w:rPr>
        <w:t xml:space="preserve"> </w:t>
      </w:r>
      <w:r w:rsidR="00892A70" w:rsidRPr="00F33A42">
        <w:rPr>
          <w:rFonts w:ascii="Times New Roman" w:hAnsi="Times New Roman" w:cs="Times New Roman"/>
          <w:b/>
          <w:sz w:val="24"/>
          <w:szCs w:val="24"/>
          <w:lang w:val="en-CA"/>
        </w:rPr>
        <w:t>5</w:t>
      </w:r>
      <w:r w:rsidRPr="001F566E">
        <w:rPr>
          <w:rFonts w:ascii="Times New Roman" w:hAnsi="Times New Roman" w:cs="Times New Roman"/>
          <w:sz w:val="24"/>
          <w:szCs w:val="24"/>
          <w:lang w:val="en-CA"/>
        </w:rPr>
        <w:t xml:space="preserve">), proportions of car and public transit modes of the </w:t>
      </w:r>
      <w:r w:rsidR="00F46BD2">
        <w:rPr>
          <w:rFonts w:ascii="Times New Roman" w:hAnsi="Times New Roman" w:cs="Times New Roman"/>
          <w:sz w:val="24"/>
          <w:szCs w:val="24"/>
          <w:lang w:val="en-CA"/>
        </w:rPr>
        <w:t>Y2061</w:t>
      </w:r>
      <w:r w:rsidRPr="001F566E">
        <w:rPr>
          <w:rFonts w:ascii="Times New Roman" w:hAnsi="Times New Roman" w:cs="Times New Roman"/>
          <w:sz w:val="24"/>
          <w:szCs w:val="24"/>
          <w:lang w:val="en-CA"/>
        </w:rPr>
        <w:t xml:space="preserve"> BAU </w:t>
      </w:r>
      <w:r w:rsidR="00D80B97" w:rsidRPr="001F566E">
        <w:rPr>
          <w:rFonts w:ascii="Times New Roman" w:hAnsi="Times New Roman" w:cs="Times New Roman"/>
          <w:sz w:val="24"/>
          <w:szCs w:val="24"/>
          <w:lang w:val="en-CA"/>
        </w:rPr>
        <w:t>(</w:t>
      </w:r>
      <w:r w:rsidR="00D80B97" w:rsidRPr="001F566E">
        <w:rPr>
          <w:rFonts w:ascii="Times New Roman" w:hAnsi="Times New Roman" w:cs="Times New Roman"/>
          <w:b/>
          <w:sz w:val="24"/>
          <w:szCs w:val="24"/>
          <w:lang w:val="en-CA"/>
        </w:rPr>
        <w:t xml:space="preserve">Table </w:t>
      </w:r>
      <w:r w:rsidR="0019057E" w:rsidRPr="001F566E">
        <w:rPr>
          <w:rFonts w:ascii="Times New Roman" w:hAnsi="Times New Roman" w:cs="Times New Roman"/>
          <w:b/>
          <w:sz w:val="24"/>
          <w:szCs w:val="24"/>
          <w:lang w:val="en-CA"/>
        </w:rPr>
        <w:t>1</w:t>
      </w:r>
      <w:r w:rsidR="00D80B97" w:rsidRPr="001F566E">
        <w:rPr>
          <w:rFonts w:ascii="Times New Roman" w:hAnsi="Times New Roman" w:cs="Times New Roman"/>
          <w:sz w:val="24"/>
          <w:szCs w:val="24"/>
          <w:lang w:val="en-CA"/>
        </w:rPr>
        <w:t xml:space="preserve">) </w:t>
      </w:r>
      <w:r w:rsidRPr="001F566E">
        <w:rPr>
          <w:rFonts w:ascii="Times New Roman" w:hAnsi="Times New Roman" w:cs="Times New Roman"/>
          <w:sz w:val="24"/>
          <w:szCs w:val="24"/>
          <w:lang w:val="en-CA"/>
        </w:rPr>
        <w:t xml:space="preserve">were quite similar but </w:t>
      </w:r>
      <w:r w:rsidR="001F566E">
        <w:rPr>
          <w:rFonts w:ascii="Times New Roman" w:hAnsi="Times New Roman" w:cs="Times New Roman"/>
          <w:sz w:val="24"/>
          <w:szCs w:val="24"/>
          <w:lang w:val="en-CA"/>
        </w:rPr>
        <w:t>kilometers</w:t>
      </w:r>
      <w:r w:rsidRPr="001F566E">
        <w:rPr>
          <w:rFonts w:ascii="Times New Roman" w:hAnsi="Times New Roman" w:cs="Times New Roman"/>
          <w:sz w:val="24"/>
          <w:szCs w:val="24"/>
          <w:lang w:val="en-CA"/>
        </w:rPr>
        <w:t xml:space="preserve"> travelled by car and for public transit increased. Regarding the comparison of the </w:t>
      </w:r>
      <w:r w:rsidR="00F46BD2">
        <w:rPr>
          <w:rFonts w:ascii="Times New Roman" w:hAnsi="Times New Roman" w:cs="Times New Roman"/>
          <w:sz w:val="24"/>
          <w:szCs w:val="24"/>
          <w:lang w:val="en-CA"/>
        </w:rPr>
        <w:t>Y2031</w:t>
      </w:r>
      <w:r w:rsidRPr="001F566E">
        <w:rPr>
          <w:rFonts w:ascii="Times New Roman" w:hAnsi="Times New Roman" w:cs="Times New Roman"/>
          <w:sz w:val="24"/>
          <w:szCs w:val="24"/>
          <w:lang w:val="en-CA"/>
        </w:rPr>
        <w:t xml:space="preserve"> Central and the </w:t>
      </w:r>
      <w:r w:rsidR="00F46BD2">
        <w:rPr>
          <w:rFonts w:ascii="Times New Roman" w:hAnsi="Times New Roman" w:cs="Times New Roman"/>
          <w:sz w:val="24"/>
          <w:szCs w:val="24"/>
          <w:lang w:val="en-CA"/>
        </w:rPr>
        <w:t>Y2061</w:t>
      </w:r>
      <w:r w:rsidRPr="001F566E">
        <w:rPr>
          <w:rFonts w:ascii="Times New Roman" w:hAnsi="Times New Roman" w:cs="Times New Roman"/>
          <w:sz w:val="24"/>
          <w:szCs w:val="24"/>
          <w:lang w:val="en-CA"/>
        </w:rPr>
        <w:t xml:space="preserve"> </w:t>
      </w:r>
      <w:r w:rsidR="006570D9" w:rsidRPr="001F566E">
        <w:rPr>
          <w:rFonts w:ascii="Times New Roman" w:hAnsi="Times New Roman" w:cs="Times New Roman"/>
          <w:sz w:val="24"/>
          <w:szCs w:val="24"/>
          <w:lang w:val="en-CA"/>
        </w:rPr>
        <w:t>Optimal</w:t>
      </w:r>
      <w:r w:rsidR="0019057E" w:rsidRPr="001F566E">
        <w:rPr>
          <w:rFonts w:ascii="Times New Roman" w:hAnsi="Times New Roman" w:cs="Times New Roman"/>
          <w:sz w:val="24"/>
          <w:szCs w:val="24"/>
          <w:lang w:val="en-CA"/>
        </w:rPr>
        <w:t xml:space="preserve"> </w:t>
      </w:r>
      <w:r w:rsidRPr="001F566E">
        <w:rPr>
          <w:rFonts w:ascii="Times New Roman" w:hAnsi="Times New Roman" w:cs="Times New Roman"/>
          <w:sz w:val="24"/>
          <w:szCs w:val="24"/>
          <w:lang w:val="en-CA"/>
        </w:rPr>
        <w:t xml:space="preserve">scenario (with densification in the urban core and changes in mode shares), </w:t>
      </w:r>
      <w:r w:rsidR="001F566E">
        <w:rPr>
          <w:rFonts w:ascii="Times New Roman" w:hAnsi="Times New Roman" w:cs="Times New Roman"/>
          <w:sz w:val="24"/>
          <w:szCs w:val="24"/>
          <w:lang w:val="en-CA"/>
        </w:rPr>
        <w:t>kilometers</w:t>
      </w:r>
      <w:r w:rsidRPr="001F566E">
        <w:rPr>
          <w:rFonts w:ascii="Times New Roman" w:hAnsi="Times New Roman" w:cs="Times New Roman"/>
          <w:sz w:val="24"/>
          <w:szCs w:val="24"/>
          <w:lang w:val="en-CA"/>
        </w:rPr>
        <w:t xml:space="preserve"> travelled by car decreased (mostly in the suburbs) and km travelled for public transit increased (mostly in the urban core). The total health burden </w:t>
      </w:r>
      <w:r w:rsidRPr="00F33A42">
        <w:rPr>
          <w:rFonts w:ascii="Times New Roman" w:hAnsi="Times New Roman" w:cs="Times New Roman"/>
          <w:sz w:val="24"/>
          <w:szCs w:val="24"/>
          <w:lang w:val="en-CA"/>
        </w:rPr>
        <w:t xml:space="preserve">also increased by about </w:t>
      </w:r>
      <w:r w:rsidR="003B331D">
        <w:rPr>
          <w:rFonts w:ascii="Times New Roman" w:hAnsi="Times New Roman" w:cs="Times New Roman"/>
          <w:color w:val="FF0000"/>
          <w:sz w:val="24"/>
          <w:szCs w:val="24"/>
          <w:lang w:val="en-CA"/>
        </w:rPr>
        <w:t>11</w:t>
      </w:r>
      <w:r w:rsidRPr="001F566E">
        <w:rPr>
          <w:rFonts w:ascii="Times New Roman" w:hAnsi="Times New Roman" w:cs="Times New Roman"/>
          <w:sz w:val="24"/>
          <w:szCs w:val="24"/>
          <w:lang w:val="en-CA"/>
        </w:rPr>
        <w:t>%</w:t>
      </w:r>
      <w:r w:rsidRPr="00F33A42">
        <w:rPr>
          <w:rFonts w:ascii="Times New Roman" w:hAnsi="Times New Roman" w:cs="Times New Roman"/>
          <w:sz w:val="24"/>
          <w:szCs w:val="24"/>
          <w:lang w:val="en-CA"/>
        </w:rPr>
        <w:t xml:space="preserve"> from the </w:t>
      </w:r>
      <w:r w:rsidR="00F46BD2">
        <w:rPr>
          <w:rFonts w:ascii="Times New Roman" w:hAnsi="Times New Roman" w:cs="Times New Roman"/>
          <w:sz w:val="24"/>
          <w:szCs w:val="24"/>
          <w:lang w:val="en-CA"/>
        </w:rPr>
        <w:t>Y2031</w:t>
      </w:r>
      <w:r w:rsidRPr="00F33A42">
        <w:rPr>
          <w:rFonts w:ascii="Times New Roman" w:hAnsi="Times New Roman" w:cs="Times New Roman"/>
          <w:sz w:val="24"/>
          <w:szCs w:val="24"/>
          <w:lang w:val="en-CA"/>
        </w:rPr>
        <w:t xml:space="preserve"> BAU vs the BAU 2061 (see </w:t>
      </w:r>
      <w:r w:rsidR="00297A54">
        <w:rPr>
          <w:rFonts w:ascii="Times New Roman" w:hAnsi="Times New Roman" w:cs="Times New Roman"/>
          <w:b/>
          <w:sz w:val="24"/>
          <w:szCs w:val="24"/>
          <w:lang w:val="en-CA"/>
        </w:rPr>
        <w:t xml:space="preserve">Table </w:t>
      </w:r>
      <w:r w:rsidR="0098182D" w:rsidRPr="00890789">
        <w:rPr>
          <w:rFonts w:ascii="Times New Roman" w:hAnsi="Times New Roman" w:cs="Times New Roman"/>
          <w:b/>
          <w:sz w:val="24"/>
          <w:szCs w:val="24"/>
          <w:lang w:val="en-CA"/>
        </w:rPr>
        <w:t>S</w:t>
      </w:r>
      <w:r w:rsidR="00297A54" w:rsidRPr="0098182D">
        <w:rPr>
          <w:rFonts w:ascii="Times New Roman" w:hAnsi="Times New Roman" w:cs="Times New Roman"/>
          <w:b/>
          <w:sz w:val="24"/>
          <w:szCs w:val="24"/>
          <w:lang w:val="en-CA"/>
        </w:rPr>
        <w:t>9</w:t>
      </w:r>
      <w:r w:rsidRPr="001F566E">
        <w:rPr>
          <w:rFonts w:ascii="Times New Roman" w:hAnsi="Times New Roman" w:cs="Times New Roman"/>
          <w:sz w:val="24"/>
          <w:szCs w:val="24"/>
          <w:lang w:val="en-CA"/>
        </w:rPr>
        <w:t>).</w:t>
      </w:r>
    </w:p>
    <w:p w14:paraId="1ABC3004" w14:textId="77777777" w:rsidR="00511203" w:rsidRPr="001F566E" w:rsidRDefault="00511203" w:rsidP="00890789">
      <w:pPr>
        <w:spacing w:after="0" w:line="480" w:lineRule="auto"/>
        <w:jc w:val="both"/>
        <w:rPr>
          <w:rFonts w:ascii="Times New Roman" w:hAnsi="Times New Roman" w:cs="Times New Roman"/>
          <w:sz w:val="24"/>
          <w:szCs w:val="24"/>
        </w:rPr>
      </w:pPr>
    </w:p>
    <w:p w14:paraId="408ABBBB" w14:textId="77777777" w:rsidR="00511203" w:rsidRPr="001F566E" w:rsidRDefault="00511203" w:rsidP="00890789">
      <w:pPr>
        <w:spacing w:after="0" w:line="480" w:lineRule="auto"/>
        <w:jc w:val="both"/>
      </w:pPr>
      <w:r w:rsidRPr="001F566E">
        <w:rPr>
          <w:rFonts w:ascii="Times New Roman" w:hAnsi="Times New Roman" w:cs="Times New Roman"/>
          <w:b/>
          <w:sz w:val="24"/>
          <w:szCs w:val="24"/>
        </w:rPr>
        <w:t>4. DISCUSSION</w:t>
      </w:r>
    </w:p>
    <w:p w14:paraId="2550CA34" w14:textId="77777777" w:rsidR="00241EC0" w:rsidRPr="00F33A42" w:rsidRDefault="00511203" w:rsidP="00890789">
      <w:pPr>
        <w:spacing w:after="0" w:line="480" w:lineRule="auto"/>
        <w:jc w:val="both"/>
        <w:rPr>
          <w:rFonts w:ascii="Times New Roman" w:hAnsi="Times New Roman" w:cs="Times New Roman"/>
          <w:sz w:val="24"/>
          <w:szCs w:val="24"/>
          <w:lang w:val="en-CA"/>
        </w:rPr>
      </w:pPr>
      <w:r w:rsidRPr="001F566E">
        <w:rPr>
          <w:rFonts w:ascii="Times New Roman" w:hAnsi="Times New Roman" w:cs="Times New Roman"/>
          <w:sz w:val="24"/>
          <w:szCs w:val="24"/>
        </w:rPr>
        <w:lastRenderedPageBreak/>
        <w:t>We assessed the adverse impacts and the health benefits associated with transportation mode, land use</w:t>
      </w:r>
      <w:r w:rsidR="00241EC0" w:rsidRPr="001F566E">
        <w:rPr>
          <w:rFonts w:ascii="Times New Roman" w:hAnsi="Times New Roman" w:cs="Times New Roman"/>
          <w:sz w:val="24"/>
          <w:szCs w:val="24"/>
        </w:rPr>
        <w:t xml:space="preserve"> (</w:t>
      </w:r>
      <w:r w:rsidR="004C3EED" w:rsidRPr="001F566E">
        <w:rPr>
          <w:rFonts w:ascii="Times New Roman" w:hAnsi="Times New Roman" w:cs="Times New Roman"/>
          <w:sz w:val="24"/>
          <w:szCs w:val="24"/>
        </w:rPr>
        <w:t xml:space="preserve">urban core </w:t>
      </w:r>
      <w:r w:rsidR="00241EC0" w:rsidRPr="001F566E">
        <w:rPr>
          <w:rFonts w:ascii="Times New Roman" w:hAnsi="Times New Roman" w:cs="Times New Roman"/>
          <w:sz w:val="24"/>
          <w:szCs w:val="24"/>
        </w:rPr>
        <w:t>densification)</w:t>
      </w:r>
      <w:r w:rsidRPr="001F566E">
        <w:rPr>
          <w:rFonts w:ascii="Times New Roman" w:hAnsi="Times New Roman" w:cs="Times New Roman"/>
          <w:sz w:val="24"/>
          <w:szCs w:val="24"/>
        </w:rPr>
        <w:t xml:space="preserve"> and emission scenarios in the metropolitan Montreal region in </w:t>
      </w:r>
      <w:r w:rsidR="00B0416C">
        <w:rPr>
          <w:rFonts w:ascii="Times New Roman" w:hAnsi="Times New Roman" w:cs="Times New Roman"/>
          <w:sz w:val="24"/>
          <w:szCs w:val="24"/>
        </w:rPr>
        <w:t>Y2061</w:t>
      </w:r>
      <w:r w:rsidRPr="001F566E">
        <w:rPr>
          <w:rFonts w:ascii="Times New Roman" w:hAnsi="Times New Roman" w:cs="Times New Roman"/>
          <w:sz w:val="24"/>
          <w:szCs w:val="24"/>
        </w:rPr>
        <w:t xml:space="preserve">. According to our results, if past </w:t>
      </w:r>
      <w:r w:rsidR="00DF6DB4" w:rsidRPr="001F566E">
        <w:rPr>
          <w:rFonts w:ascii="Times New Roman" w:hAnsi="Times New Roman" w:cs="Times New Roman"/>
          <w:sz w:val="24"/>
          <w:szCs w:val="24"/>
        </w:rPr>
        <w:t xml:space="preserve">trends </w:t>
      </w:r>
      <w:r w:rsidRPr="001F566E">
        <w:rPr>
          <w:rFonts w:ascii="Times New Roman" w:hAnsi="Times New Roman" w:cs="Times New Roman"/>
          <w:sz w:val="24"/>
          <w:szCs w:val="24"/>
        </w:rPr>
        <w:t xml:space="preserve">are </w:t>
      </w:r>
      <w:r w:rsidR="00DF6DB4" w:rsidRPr="001F566E">
        <w:rPr>
          <w:rFonts w:ascii="Times New Roman" w:hAnsi="Times New Roman" w:cs="Times New Roman"/>
          <w:sz w:val="24"/>
          <w:szCs w:val="24"/>
        </w:rPr>
        <w:t xml:space="preserve">continued </w:t>
      </w:r>
      <w:r w:rsidRPr="001F566E">
        <w:rPr>
          <w:rFonts w:ascii="Times New Roman" w:hAnsi="Times New Roman" w:cs="Times New Roman"/>
          <w:sz w:val="24"/>
          <w:szCs w:val="24"/>
        </w:rPr>
        <w:t xml:space="preserve">(i.e. according to our BAU scenarios), </w:t>
      </w:r>
      <w:r w:rsidR="001F566E">
        <w:rPr>
          <w:rFonts w:ascii="Times New Roman" w:hAnsi="Times New Roman" w:cs="Times New Roman"/>
          <w:sz w:val="24"/>
          <w:szCs w:val="24"/>
        </w:rPr>
        <w:t>kilometers</w:t>
      </w:r>
      <w:r w:rsidRPr="001F566E">
        <w:rPr>
          <w:rFonts w:ascii="Times New Roman" w:hAnsi="Times New Roman" w:cs="Times New Roman"/>
          <w:sz w:val="24"/>
          <w:szCs w:val="24"/>
        </w:rPr>
        <w:t xml:space="preserve"> travelled by car and air pollution will continue to increase from </w:t>
      </w:r>
      <w:r w:rsidR="00F46BD2">
        <w:rPr>
          <w:rFonts w:ascii="Times New Roman" w:hAnsi="Times New Roman" w:cs="Times New Roman"/>
          <w:sz w:val="24"/>
          <w:szCs w:val="24"/>
        </w:rPr>
        <w:t>Y2031</w:t>
      </w:r>
      <w:r w:rsidRPr="001F566E">
        <w:rPr>
          <w:rFonts w:ascii="Times New Roman" w:hAnsi="Times New Roman" w:cs="Times New Roman"/>
          <w:sz w:val="24"/>
          <w:szCs w:val="24"/>
        </w:rPr>
        <w:t xml:space="preserve"> due to the increase in the population of municipalities and corresponding mode shares. A </w:t>
      </w:r>
      <w:r w:rsidR="00B51486" w:rsidRPr="001F566E">
        <w:rPr>
          <w:rFonts w:ascii="Times New Roman" w:hAnsi="Times New Roman" w:cs="Times New Roman"/>
          <w:sz w:val="24"/>
          <w:szCs w:val="24"/>
        </w:rPr>
        <w:t>reduction in car share accompanied with</w:t>
      </w:r>
      <w:r w:rsidR="00FB5EBD" w:rsidRPr="001F566E">
        <w:rPr>
          <w:rFonts w:ascii="Times New Roman" w:hAnsi="Times New Roman" w:cs="Times New Roman"/>
          <w:sz w:val="24"/>
          <w:szCs w:val="24"/>
        </w:rPr>
        <w:t xml:space="preserve"> </w:t>
      </w:r>
      <w:r w:rsidR="00746A71" w:rsidRPr="001F566E">
        <w:rPr>
          <w:rFonts w:ascii="Times New Roman" w:hAnsi="Times New Roman" w:cs="Times New Roman"/>
          <w:sz w:val="24"/>
          <w:szCs w:val="24"/>
        </w:rPr>
        <w:t>50%</w:t>
      </w:r>
      <w:r w:rsidRPr="001F566E">
        <w:rPr>
          <w:rFonts w:ascii="Times New Roman" w:hAnsi="Times New Roman" w:cs="Times New Roman"/>
          <w:sz w:val="24"/>
          <w:szCs w:val="24"/>
        </w:rPr>
        <w:t xml:space="preserve"> electric vehicle use could </w:t>
      </w:r>
      <w:r w:rsidR="00B51486" w:rsidRPr="001F566E">
        <w:rPr>
          <w:rFonts w:ascii="Times New Roman" w:hAnsi="Times New Roman" w:cs="Times New Roman"/>
          <w:sz w:val="24"/>
          <w:szCs w:val="24"/>
        </w:rPr>
        <w:t>marginal</w:t>
      </w:r>
      <w:r w:rsidR="001E6C83" w:rsidRPr="001F566E">
        <w:rPr>
          <w:rFonts w:ascii="Times New Roman" w:hAnsi="Times New Roman" w:cs="Times New Roman"/>
          <w:sz w:val="24"/>
          <w:szCs w:val="24"/>
        </w:rPr>
        <w:t>ly</w:t>
      </w:r>
      <w:r w:rsidR="00B51486" w:rsidRPr="001F566E">
        <w:rPr>
          <w:rFonts w:ascii="Times New Roman" w:hAnsi="Times New Roman" w:cs="Times New Roman"/>
          <w:sz w:val="24"/>
          <w:szCs w:val="24"/>
        </w:rPr>
        <w:t xml:space="preserve"> </w:t>
      </w:r>
      <w:r w:rsidRPr="001F566E">
        <w:rPr>
          <w:rFonts w:ascii="Times New Roman" w:hAnsi="Times New Roman" w:cs="Times New Roman"/>
          <w:sz w:val="24"/>
          <w:szCs w:val="24"/>
        </w:rPr>
        <w:t xml:space="preserve">reduce the health impacts of air pollution, while urban core densification and decreased car use </w:t>
      </w:r>
      <w:r w:rsidR="00B51486" w:rsidRPr="001F566E">
        <w:rPr>
          <w:rFonts w:ascii="Times New Roman" w:hAnsi="Times New Roman" w:cs="Times New Roman"/>
          <w:sz w:val="24"/>
          <w:szCs w:val="24"/>
        </w:rPr>
        <w:t xml:space="preserve">(such as in our </w:t>
      </w:r>
      <w:r w:rsidR="006570D9" w:rsidRPr="001F566E">
        <w:rPr>
          <w:rFonts w:ascii="Times New Roman" w:hAnsi="Times New Roman" w:cs="Times New Roman"/>
          <w:sz w:val="24"/>
          <w:szCs w:val="24"/>
        </w:rPr>
        <w:t>Optimal</w:t>
      </w:r>
      <w:r w:rsidR="001E6C83" w:rsidRPr="001F566E">
        <w:rPr>
          <w:rFonts w:ascii="Times New Roman" w:hAnsi="Times New Roman" w:cs="Times New Roman"/>
          <w:sz w:val="24"/>
          <w:szCs w:val="24"/>
        </w:rPr>
        <w:t xml:space="preserve"> </w:t>
      </w:r>
      <w:r w:rsidR="00B51486" w:rsidRPr="001F566E">
        <w:rPr>
          <w:rFonts w:ascii="Times New Roman" w:hAnsi="Times New Roman" w:cs="Times New Roman"/>
          <w:sz w:val="24"/>
          <w:szCs w:val="24"/>
        </w:rPr>
        <w:t xml:space="preserve">scenario) would </w:t>
      </w:r>
      <w:r w:rsidRPr="001F566E">
        <w:rPr>
          <w:rFonts w:ascii="Times New Roman" w:hAnsi="Times New Roman" w:cs="Times New Roman"/>
          <w:sz w:val="24"/>
          <w:szCs w:val="24"/>
        </w:rPr>
        <w:t xml:space="preserve">limit the </w:t>
      </w:r>
      <w:r w:rsidR="001F566E">
        <w:rPr>
          <w:rFonts w:ascii="Times New Roman" w:hAnsi="Times New Roman" w:cs="Times New Roman"/>
          <w:sz w:val="24"/>
          <w:szCs w:val="24"/>
        </w:rPr>
        <w:t>kilometers</w:t>
      </w:r>
      <w:r w:rsidRPr="001F566E">
        <w:rPr>
          <w:rFonts w:ascii="Times New Roman" w:hAnsi="Times New Roman" w:cs="Times New Roman"/>
          <w:sz w:val="24"/>
          <w:szCs w:val="24"/>
        </w:rPr>
        <w:t xml:space="preserve"> travelled by car and increase health benefits of active transport. Teleworking/schooling may offset some of those benefits as people may become </w:t>
      </w:r>
      <w:r w:rsidR="00B51486" w:rsidRPr="001F566E">
        <w:rPr>
          <w:rFonts w:ascii="Times New Roman" w:hAnsi="Times New Roman" w:cs="Times New Roman"/>
          <w:sz w:val="24"/>
          <w:szCs w:val="24"/>
        </w:rPr>
        <w:t>more sedentary</w:t>
      </w:r>
      <w:r w:rsidRPr="001F566E">
        <w:rPr>
          <w:rFonts w:ascii="Times New Roman" w:hAnsi="Times New Roman" w:cs="Times New Roman"/>
          <w:sz w:val="24"/>
          <w:szCs w:val="24"/>
        </w:rPr>
        <w:t>.</w:t>
      </w:r>
      <w:r w:rsidR="00241EC0" w:rsidRPr="001F566E">
        <w:rPr>
          <w:rFonts w:ascii="Times New Roman" w:hAnsi="Times New Roman" w:cs="Times New Roman"/>
          <w:sz w:val="24"/>
          <w:szCs w:val="24"/>
        </w:rPr>
        <w:t xml:space="preserve"> </w:t>
      </w:r>
      <w:r w:rsidR="00916481" w:rsidRPr="001F566E">
        <w:rPr>
          <w:rFonts w:ascii="Times New Roman" w:hAnsi="Times New Roman" w:cs="Times New Roman"/>
          <w:sz w:val="24"/>
          <w:szCs w:val="24"/>
        </w:rPr>
        <w:t xml:space="preserve">Reduction of GHG emissions would be highest with </w:t>
      </w:r>
      <w:r w:rsidR="00746A71" w:rsidRPr="001F566E">
        <w:rPr>
          <w:rFonts w:ascii="Times New Roman" w:hAnsi="Times New Roman" w:cs="Times New Roman"/>
          <w:sz w:val="24"/>
          <w:szCs w:val="24"/>
        </w:rPr>
        <w:t xml:space="preserve">50% </w:t>
      </w:r>
      <w:r w:rsidR="00916481" w:rsidRPr="001F566E">
        <w:rPr>
          <w:rFonts w:ascii="Times New Roman" w:hAnsi="Times New Roman" w:cs="Times New Roman"/>
          <w:sz w:val="24"/>
          <w:szCs w:val="24"/>
        </w:rPr>
        <w:t>electric vehicle penetration</w:t>
      </w:r>
      <w:r w:rsidR="0097399E" w:rsidRPr="001F566E">
        <w:rPr>
          <w:rFonts w:ascii="Times New Roman" w:hAnsi="Times New Roman" w:cs="Times New Roman"/>
          <w:sz w:val="24"/>
          <w:szCs w:val="24"/>
        </w:rPr>
        <w:t xml:space="preserve">, and likely larger if emission factors for </w:t>
      </w:r>
      <w:r w:rsidR="00B0416C">
        <w:rPr>
          <w:rFonts w:ascii="Times New Roman" w:hAnsi="Times New Roman" w:cs="Times New Roman"/>
          <w:sz w:val="24"/>
          <w:szCs w:val="24"/>
        </w:rPr>
        <w:t>Y2061</w:t>
      </w:r>
      <w:r w:rsidR="0097399E" w:rsidRPr="001F566E">
        <w:rPr>
          <w:rFonts w:ascii="Times New Roman" w:hAnsi="Times New Roman" w:cs="Times New Roman"/>
          <w:sz w:val="24"/>
          <w:szCs w:val="24"/>
        </w:rPr>
        <w:t xml:space="preserve"> (not </w:t>
      </w:r>
      <w:r w:rsidR="00F46BD2">
        <w:rPr>
          <w:rFonts w:ascii="Times New Roman" w:hAnsi="Times New Roman" w:cs="Times New Roman"/>
          <w:sz w:val="24"/>
          <w:szCs w:val="24"/>
        </w:rPr>
        <w:t>Y2031</w:t>
      </w:r>
      <w:r w:rsidR="0097399E" w:rsidRPr="00F33A42">
        <w:rPr>
          <w:rFonts w:ascii="Times New Roman" w:hAnsi="Times New Roman" w:cs="Times New Roman"/>
          <w:sz w:val="24"/>
          <w:szCs w:val="24"/>
        </w:rPr>
        <w:t>) were used</w:t>
      </w:r>
      <w:r w:rsidR="00916481" w:rsidRPr="00F33A42">
        <w:rPr>
          <w:rFonts w:ascii="Times New Roman" w:hAnsi="Times New Roman" w:cs="Times New Roman"/>
          <w:sz w:val="24"/>
          <w:szCs w:val="24"/>
        </w:rPr>
        <w:t>.</w:t>
      </w:r>
      <w:r w:rsidR="00916481" w:rsidRPr="001F566E">
        <w:rPr>
          <w:rFonts w:ascii="Times New Roman" w:hAnsi="Times New Roman" w:cs="Times New Roman"/>
          <w:sz w:val="24"/>
          <w:szCs w:val="24"/>
        </w:rPr>
        <w:t xml:space="preserve"> </w:t>
      </w:r>
      <w:r w:rsidR="00241EC0" w:rsidRPr="001F566E">
        <w:rPr>
          <w:rFonts w:ascii="Times New Roman" w:hAnsi="Times New Roman" w:cs="Times New Roman"/>
          <w:sz w:val="24"/>
          <w:szCs w:val="24"/>
        </w:rPr>
        <w:t>Nonetheless</w:t>
      </w:r>
      <w:r w:rsidR="00241EC0" w:rsidRPr="001F566E">
        <w:rPr>
          <w:rFonts w:ascii="Times New Roman" w:hAnsi="Times New Roman" w:cs="Times New Roman"/>
          <w:sz w:val="24"/>
          <w:szCs w:val="24"/>
          <w:lang w:val="en-CA"/>
        </w:rPr>
        <w:t>, our assessment</w:t>
      </w:r>
      <w:r w:rsidR="00906123" w:rsidRPr="001F566E">
        <w:rPr>
          <w:rFonts w:ascii="Times New Roman" w:hAnsi="Times New Roman" w:cs="Times New Roman"/>
          <w:sz w:val="24"/>
          <w:szCs w:val="24"/>
          <w:lang w:val="en-CA"/>
        </w:rPr>
        <w:t>s</w:t>
      </w:r>
      <w:r w:rsidR="00241EC0" w:rsidRPr="001F566E">
        <w:rPr>
          <w:rFonts w:ascii="Times New Roman" w:hAnsi="Times New Roman" w:cs="Times New Roman"/>
          <w:sz w:val="24"/>
          <w:szCs w:val="24"/>
          <w:lang w:val="en-CA"/>
        </w:rPr>
        <w:t xml:space="preserve"> </w:t>
      </w:r>
      <w:r w:rsidR="00906123" w:rsidRPr="001F566E">
        <w:rPr>
          <w:rFonts w:ascii="Times New Roman" w:hAnsi="Times New Roman" w:cs="Times New Roman"/>
          <w:sz w:val="24"/>
          <w:szCs w:val="24"/>
          <w:lang w:val="en-CA"/>
        </w:rPr>
        <w:t xml:space="preserve">also </w:t>
      </w:r>
      <w:r w:rsidR="00241EC0" w:rsidRPr="001F566E">
        <w:rPr>
          <w:rFonts w:ascii="Times New Roman" w:hAnsi="Times New Roman" w:cs="Times New Roman"/>
          <w:sz w:val="24"/>
          <w:szCs w:val="24"/>
          <w:lang w:val="en-CA"/>
        </w:rPr>
        <w:t>suggest that drastic densification (all the new population would be located in the urban core) and measures to decrease car share (e.g. from 76% to 62% in the suburbs) would not substantially reduce impacts of transportation (maximum reduction of the burden by 3</w:t>
      </w:r>
      <w:r w:rsidR="002944C8" w:rsidRPr="001F566E">
        <w:rPr>
          <w:rFonts w:ascii="Times New Roman" w:hAnsi="Times New Roman" w:cs="Times New Roman"/>
          <w:sz w:val="24"/>
          <w:szCs w:val="24"/>
          <w:lang w:val="en-CA"/>
        </w:rPr>
        <w:t>7</w:t>
      </w:r>
      <w:r w:rsidR="00241EC0" w:rsidRPr="001F566E">
        <w:rPr>
          <w:rFonts w:ascii="Times New Roman" w:hAnsi="Times New Roman" w:cs="Times New Roman"/>
          <w:sz w:val="24"/>
          <w:szCs w:val="24"/>
          <w:lang w:val="en-CA"/>
        </w:rPr>
        <w:t xml:space="preserve">%). </w:t>
      </w:r>
      <w:r w:rsidR="00906123" w:rsidRPr="001F566E">
        <w:rPr>
          <w:rFonts w:ascii="Times New Roman" w:hAnsi="Times New Roman" w:cs="Times New Roman"/>
          <w:sz w:val="24"/>
          <w:szCs w:val="24"/>
          <w:lang w:val="en-CA"/>
        </w:rPr>
        <w:t>We also</w:t>
      </w:r>
      <w:r w:rsidR="00241EC0" w:rsidRPr="001F566E">
        <w:rPr>
          <w:rFonts w:ascii="Times New Roman" w:hAnsi="Times New Roman" w:cs="Times New Roman"/>
          <w:sz w:val="24"/>
          <w:szCs w:val="24"/>
          <w:lang w:val="en-CA"/>
        </w:rPr>
        <w:t xml:space="preserve"> show that car share would be more affected by measures targeting car us</w:t>
      </w:r>
      <w:r w:rsidR="00906123" w:rsidRPr="001F566E">
        <w:rPr>
          <w:rFonts w:ascii="Times New Roman" w:hAnsi="Times New Roman" w:cs="Times New Roman"/>
          <w:sz w:val="24"/>
          <w:szCs w:val="24"/>
          <w:lang w:val="en-CA"/>
        </w:rPr>
        <w:t xml:space="preserve">e, than by urban </w:t>
      </w:r>
      <w:r w:rsidR="004C3EED" w:rsidRPr="001F566E">
        <w:rPr>
          <w:rFonts w:ascii="Times New Roman" w:hAnsi="Times New Roman" w:cs="Times New Roman"/>
          <w:sz w:val="24"/>
          <w:szCs w:val="24"/>
          <w:lang w:val="en-CA"/>
        </w:rPr>
        <w:t xml:space="preserve">core </w:t>
      </w:r>
      <w:r w:rsidR="00906123" w:rsidRPr="001F566E">
        <w:rPr>
          <w:rFonts w:ascii="Times New Roman" w:hAnsi="Times New Roman" w:cs="Times New Roman"/>
          <w:sz w:val="24"/>
          <w:szCs w:val="24"/>
          <w:lang w:val="en-CA"/>
        </w:rPr>
        <w:t>densification</w:t>
      </w:r>
      <w:r w:rsidR="00906123" w:rsidRPr="00F33A42">
        <w:rPr>
          <w:rFonts w:ascii="Times New Roman" w:hAnsi="Times New Roman" w:cs="Times New Roman"/>
          <w:sz w:val="24"/>
          <w:szCs w:val="24"/>
          <w:lang w:val="en-CA"/>
        </w:rPr>
        <w:t>. Given that most of the health burden of transportation relates to road traumas, maximum gains would thus be obtained by measures aimed at targeting car use.</w:t>
      </w:r>
    </w:p>
    <w:p w14:paraId="2769FB7E" w14:textId="77777777" w:rsidR="00241EC0" w:rsidRPr="001F566E" w:rsidRDefault="00241EC0" w:rsidP="00890789">
      <w:pPr>
        <w:spacing w:after="0" w:line="480" w:lineRule="auto"/>
        <w:jc w:val="both"/>
        <w:rPr>
          <w:rFonts w:ascii="Times New Roman" w:hAnsi="Times New Roman" w:cs="Times New Roman"/>
          <w:sz w:val="24"/>
          <w:szCs w:val="24"/>
          <w:lang w:val="en-CA"/>
        </w:rPr>
      </w:pPr>
    </w:p>
    <w:p w14:paraId="27E1D902" w14:textId="77777777" w:rsidR="00511203" w:rsidRPr="001F566E" w:rsidRDefault="00511203" w:rsidP="00890789">
      <w:pPr>
        <w:spacing w:after="0" w:line="480" w:lineRule="auto"/>
        <w:jc w:val="both"/>
      </w:pPr>
      <w:r w:rsidRPr="001F566E">
        <w:rPr>
          <w:rFonts w:ascii="Times New Roman" w:hAnsi="Times New Roman" w:cs="Times New Roman"/>
          <w:sz w:val="24"/>
          <w:szCs w:val="24"/>
          <w:lang w:val="en-CA"/>
        </w:rPr>
        <w:t xml:space="preserve">These observations for the far horizon of </w:t>
      </w:r>
      <w:r w:rsidR="00B0416C">
        <w:rPr>
          <w:rFonts w:ascii="Times New Roman" w:hAnsi="Times New Roman" w:cs="Times New Roman"/>
          <w:sz w:val="24"/>
          <w:szCs w:val="24"/>
          <w:lang w:val="en-CA"/>
        </w:rPr>
        <w:t>Y2061</w:t>
      </w:r>
      <w:r w:rsidRPr="001F566E">
        <w:rPr>
          <w:rFonts w:ascii="Times New Roman" w:hAnsi="Times New Roman" w:cs="Times New Roman"/>
          <w:sz w:val="24"/>
          <w:szCs w:val="24"/>
          <w:lang w:val="en-CA"/>
        </w:rPr>
        <w:t xml:space="preserve"> are in line with the current literature on the impacts of land use and transportation scenarios, for a horizon of 5 to 20 years (e.g. Woodcock et al</w:t>
      </w:r>
      <w:r w:rsidR="00B5604A">
        <w:rPr>
          <w:rFonts w:ascii="Times New Roman" w:hAnsi="Times New Roman" w:cs="Times New Roman"/>
          <w:sz w:val="24"/>
          <w:szCs w:val="24"/>
          <w:lang w:val="en-CA"/>
        </w:rPr>
        <w:t>, 2009</w:t>
      </w:r>
      <w:r w:rsidRPr="001F566E">
        <w:rPr>
          <w:rFonts w:ascii="Times New Roman" w:hAnsi="Times New Roman" w:cs="Times New Roman"/>
          <w:sz w:val="24"/>
          <w:szCs w:val="24"/>
          <w:lang w:val="en-CA"/>
        </w:rPr>
        <w:t>). They reinforce the fact that major changes in urban planning</w:t>
      </w:r>
      <w:r w:rsidR="0021483C" w:rsidRPr="001F566E">
        <w:rPr>
          <w:rFonts w:ascii="Times New Roman" w:hAnsi="Times New Roman" w:cs="Times New Roman"/>
          <w:sz w:val="24"/>
          <w:szCs w:val="24"/>
          <w:lang w:val="en-CA"/>
        </w:rPr>
        <w:t xml:space="preserve"> </w:t>
      </w:r>
      <w:r w:rsidRPr="001F566E">
        <w:rPr>
          <w:rFonts w:ascii="Times New Roman" w:hAnsi="Times New Roman" w:cs="Times New Roman"/>
          <w:sz w:val="24"/>
          <w:szCs w:val="24"/>
          <w:lang w:val="en-CA"/>
        </w:rPr>
        <w:t>practices</w:t>
      </w:r>
      <w:r w:rsidR="0021483C" w:rsidRPr="001F566E">
        <w:rPr>
          <w:rFonts w:ascii="Times New Roman" w:hAnsi="Times New Roman" w:cs="Times New Roman"/>
          <w:sz w:val="24"/>
          <w:szCs w:val="24"/>
          <w:lang w:val="en-CA"/>
        </w:rPr>
        <w:t xml:space="preserve">, </w:t>
      </w:r>
      <w:r w:rsidR="00E46AC1" w:rsidRPr="001F566E">
        <w:rPr>
          <w:rFonts w:ascii="Times New Roman" w:hAnsi="Times New Roman" w:cs="Times New Roman"/>
          <w:sz w:val="24"/>
          <w:szCs w:val="24"/>
          <w:lang w:val="en-CA"/>
        </w:rPr>
        <w:t>in addition to</w:t>
      </w:r>
      <w:r w:rsidR="0021483C" w:rsidRPr="001F566E">
        <w:rPr>
          <w:rFonts w:ascii="Times New Roman" w:hAnsi="Times New Roman" w:cs="Times New Roman"/>
          <w:sz w:val="24"/>
          <w:szCs w:val="24"/>
          <w:lang w:val="en-CA"/>
        </w:rPr>
        <w:t xml:space="preserve"> </w:t>
      </w:r>
      <w:r w:rsidR="00E46AC1" w:rsidRPr="001F566E">
        <w:rPr>
          <w:rFonts w:ascii="Times New Roman" w:hAnsi="Times New Roman" w:cs="Times New Roman"/>
          <w:sz w:val="24"/>
          <w:szCs w:val="24"/>
          <w:lang w:val="en-CA"/>
        </w:rPr>
        <w:t xml:space="preserve">the supply of </w:t>
      </w:r>
      <w:r w:rsidR="0021483C" w:rsidRPr="001F566E">
        <w:rPr>
          <w:rFonts w:ascii="Times New Roman" w:hAnsi="Times New Roman" w:cs="Times New Roman"/>
          <w:sz w:val="24"/>
          <w:szCs w:val="24"/>
          <w:lang w:val="en-CA"/>
        </w:rPr>
        <w:t xml:space="preserve">transportation </w:t>
      </w:r>
      <w:r w:rsidR="00E46AC1" w:rsidRPr="001F566E">
        <w:rPr>
          <w:rFonts w:ascii="Times New Roman" w:hAnsi="Times New Roman" w:cs="Times New Roman"/>
          <w:sz w:val="24"/>
          <w:szCs w:val="24"/>
          <w:lang w:val="en-CA"/>
        </w:rPr>
        <w:t>services,</w:t>
      </w:r>
      <w:r w:rsidRPr="001F566E">
        <w:rPr>
          <w:rFonts w:ascii="Times New Roman" w:hAnsi="Times New Roman" w:cs="Times New Roman"/>
          <w:sz w:val="24"/>
          <w:szCs w:val="24"/>
          <w:lang w:val="en-CA"/>
        </w:rPr>
        <w:t xml:space="preserve"> are needed as early as possible, to reduce environmental and health impacts of land use and transportation. Densification in urban areas, and a stop to the </w:t>
      </w:r>
      <w:r w:rsidRPr="001F566E">
        <w:rPr>
          <w:rFonts w:ascii="Times New Roman" w:hAnsi="Times New Roman" w:cs="Times New Roman"/>
          <w:sz w:val="24"/>
          <w:szCs w:val="24"/>
          <w:lang w:val="en-CA"/>
        </w:rPr>
        <w:lastRenderedPageBreak/>
        <w:t>building of new roads would also be more in line with the protection of sensitive environments in the outskirts of cities thus maintaining important ecological services.</w:t>
      </w:r>
    </w:p>
    <w:p w14:paraId="1E4ED91A" w14:textId="77777777" w:rsidR="00511203" w:rsidRPr="001F566E" w:rsidRDefault="00511203" w:rsidP="00890789">
      <w:pPr>
        <w:spacing w:after="0" w:line="480" w:lineRule="auto"/>
        <w:jc w:val="both"/>
        <w:rPr>
          <w:rFonts w:ascii="Times New Roman" w:hAnsi="Times New Roman" w:cs="Times New Roman"/>
          <w:sz w:val="24"/>
          <w:szCs w:val="24"/>
        </w:rPr>
      </w:pPr>
    </w:p>
    <w:p w14:paraId="51EB76D6" w14:textId="77777777" w:rsidR="00511203" w:rsidRPr="00F33A42" w:rsidRDefault="00511203" w:rsidP="00890789">
      <w:pPr>
        <w:pStyle w:val="CommentText1"/>
        <w:spacing w:after="0" w:line="480" w:lineRule="auto"/>
        <w:jc w:val="both"/>
      </w:pPr>
      <w:r w:rsidRPr="001F566E">
        <w:rPr>
          <w:rFonts w:ascii="Times New Roman" w:hAnsi="Times New Roman" w:cs="Times New Roman"/>
          <w:sz w:val="24"/>
          <w:szCs w:val="24"/>
        </w:rPr>
        <w:t xml:space="preserve">Our work is </w:t>
      </w:r>
      <w:r w:rsidR="00A31146" w:rsidRPr="001F566E">
        <w:rPr>
          <w:rFonts w:ascii="Times New Roman" w:hAnsi="Times New Roman" w:cs="Times New Roman"/>
          <w:sz w:val="24"/>
          <w:szCs w:val="24"/>
        </w:rPr>
        <w:t xml:space="preserve">based on </w:t>
      </w:r>
      <w:r w:rsidRPr="001F566E">
        <w:rPr>
          <w:rFonts w:ascii="Times New Roman" w:hAnsi="Times New Roman" w:cs="Times New Roman"/>
          <w:sz w:val="24"/>
          <w:szCs w:val="24"/>
        </w:rPr>
        <w:t xml:space="preserve">a number of premises. First, we assumed that it was possible for the entire new population to reside in the urban core for our </w:t>
      </w:r>
      <w:r w:rsidR="006570D9" w:rsidRPr="001F566E">
        <w:rPr>
          <w:rFonts w:ascii="Times New Roman" w:hAnsi="Times New Roman" w:cs="Times New Roman"/>
          <w:sz w:val="24"/>
          <w:szCs w:val="24"/>
        </w:rPr>
        <w:t>Optimal</w:t>
      </w:r>
      <w:r w:rsidR="001E6C83" w:rsidRPr="001F566E">
        <w:rPr>
          <w:rFonts w:ascii="Times New Roman" w:hAnsi="Times New Roman" w:cs="Times New Roman"/>
          <w:sz w:val="24"/>
          <w:szCs w:val="24"/>
        </w:rPr>
        <w:t xml:space="preserve"> </w:t>
      </w:r>
      <w:r w:rsidRPr="001F566E">
        <w:rPr>
          <w:rFonts w:ascii="Times New Roman" w:hAnsi="Times New Roman" w:cs="Times New Roman"/>
          <w:sz w:val="24"/>
          <w:szCs w:val="24"/>
        </w:rPr>
        <w:t xml:space="preserve">scenarios, irrespective of the lodging capacity. </w:t>
      </w:r>
      <w:r w:rsidR="00FB5EBD" w:rsidRPr="001F566E">
        <w:rPr>
          <w:rFonts w:ascii="Times New Roman" w:hAnsi="Times New Roman" w:cs="Times New Roman"/>
          <w:sz w:val="24"/>
          <w:szCs w:val="24"/>
        </w:rPr>
        <w:t>F</w:t>
      </w:r>
      <w:r w:rsidR="00E46AC1" w:rsidRPr="001F566E">
        <w:rPr>
          <w:rFonts w:ascii="Times New Roman" w:hAnsi="Times New Roman" w:cs="Times New Roman"/>
          <w:sz w:val="24"/>
          <w:szCs w:val="24"/>
        </w:rPr>
        <w:t xml:space="preserve">or our </w:t>
      </w:r>
      <w:r w:rsidR="006570D9" w:rsidRPr="001F566E">
        <w:rPr>
          <w:rFonts w:ascii="Times New Roman" w:hAnsi="Times New Roman" w:cs="Times New Roman"/>
          <w:sz w:val="24"/>
          <w:szCs w:val="24"/>
        </w:rPr>
        <w:t>Optimal</w:t>
      </w:r>
      <w:r w:rsidR="001E6C83" w:rsidRPr="001F566E">
        <w:rPr>
          <w:rFonts w:ascii="Times New Roman" w:hAnsi="Times New Roman" w:cs="Times New Roman"/>
          <w:sz w:val="24"/>
          <w:szCs w:val="24"/>
        </w:rPr>
        <w:t xml:space="preserve"> </w:t>
      </w:r>
      <w:r w:rsidR="00E46AC1" w:rsidRPr="001F566E">
        <w:rPr>
          <w:rFonts w:ascii="Times New Roman" w:hAnsi="Times New Roman" w:cs="Times New Roman"/>
          <w:sz w:val="24"/>
          <w:szCs w:val="24"/>
        </w:rPr>
        <w:t>scenario</w:t>
      </w:r>
      <w:r w:rsidR="001E6C83" w:rsidRPr="001F566E">
        <w:rPr>
          <w:rFonts w:ascii="Times New Roman" w:hAnsi="Times New Roman" w:cs="Times New Roman"/>
          <w:sz w:val="24"/>
          <w:szCs w:val="24"/>
        </w:rPr>
        <w:t>s</w:t>
      </w:r>
      <w:r w:rsidR="00E46AC1" w:rsidRPr="001F566E">
        <w:rPr>
          <w:rFonts w:ascii="Times New Roman" w:hAnsi="Times New Roman" w:cs="Times New Roman"/>
          <w:sz w:val="24"/>
          <w:szCs w:val="24"/>
        </w:rPr>
        <w:t>, the new population in the urban core</w:t>
      </w:r>
      <w:r w:rsidR="008A4186" w:rsidRPr="001F566E">
        <w:rPr>
          <w:rFonts w:ascii="Times New Roman" w:hAnsi="Times New Roman" w:cs="Times New Roman"/>
          <w:sz w:val="24"/>
          <w:szCs w:val="24"/>
        </w:rPr>
        <w:t xml:space="preserve"> is very high (</w:t>
      </w:r>
      <w:r w:rsidR="00437BA1" w:rsidRPr="001F566E">
        <w:rPr>
          <w:rFonts w:ascii="Times New Roman" w:hAnsi="Times New Roman" w:cs="Times New Roman"/>
          <w:sz w:val="24"/>
          <w:szCs w:val="24"/>
        </w:rPr>
        <w:t xml:space="preserve">~1.3M additional individuals </w:t>
      </w:r>
      <w:r w:rsidR="008A4186" w:rsidRPr="001F566E">
        <w:rPr>
          <w:rFonts w:ascii="Times New Roman" w:hAnsi="Times New Roman" w:cs="Times New Roman"/>
          <w:sz w:val="24"/>
          <w:szCs w:val="24"/>
        </w:rPr>
        <w:t>f</w:t>
      </w:r>
      <w:r w:rsidR="00437BA1" w:rsidRPr="001F566E">
        <w:rPr>
          <w:rFonts w:ascii="Times New Roman" w:hAnsi="Times New Roman" w:cs="Times New Roman"/>
          <w:sz w:val="24"/>
          <w:szCs w:val="24"/>
        </w:rPr>
        <w:t>rom 2008 to 2061</w:t>
      </w:r>
      <w:r w:rsidR="008A4186" w:rsidRPr="001F566E">
        <w:rPr>
          <w:rFonts w:ascii="Times New Roman" w:hAnsi="Times New Roman" w:cs="Times New Roman"/>
          <w:sz w:val="24"/>
          <w:szCs w:val="24"/>
        </w:rPr>
        <w:t xml:space="preserve">) and only </w:t>
      </w:r>
      <w:r w:rsidRPr="001F566E">
        <w:rPr>
          <w:rFonts w:ascii="Times New Roman" w:hAnsi="Times New Roman" w:cs="Times New Roman"/>
          <w:sz w:val="24"/>
          <w:szCs w:val="24"/>
        </w:rPr>
        <w:t xml:space="preserve">very drastic measures, such as an important increase in high rise buildings, could enable such </w:t>
      </w:r>
      <w:r w:rsidR="006570D9" w:rsidRPr="001F566E">
        <w:rPr>
          <w:rFonts w:ascii="Times New Roman" w:hAnsi="Times New Roman" w:cs="Times New Roman"/>
          <w:sz w:val="24"/>
          <w:szCs w:val="24"/>
        </w:rPr>
        <w:t>Optimal</w:t>
      </w:r>
      <w:r w:rsidR="001E6C83" w:rsidRPr="001F566E">
        <w:rPr>
          <w:rFonts w:ascii="Times New Roman" w:hAnsi="Times New Roman" w:cs="Times New Roman"/>
          <w:sz w:val="24"/>
          <w:szCs w:val="24"/>
        </w:rPr>
        <w:t xml:space="preserve"> </w:t>
      </w:r>
      <w:r w:rsidRPr="001F566E">
        <w:rPr>
          <w:rFonts w:ascii="Times New Roman" w:hAnsi="Times New Roman" w:cs="Times New Roman"/>
          <w:sz w:val="24"/>
          <w:szCs w:val="24"/>
        </w:rPr>
        <w:t>scenarios.</w:t>
      </w:r>
      <w:r w:rsidR="00746A71" w:rsidRPr="001F566E">
        <w:rPr>
          <w:rFonts w:ascii="Times New Roman" w:hAnsi="Times New Roman" w:cs="Times New Roman"/>
          <w:sz w:val="24"/>
          <w:szCs w:val="24"/>
        </w:rPr>
        <w:t xml:space="preserve"> However</w:t>
      </w:r>
      <w:r w:rsidR="00986225" w:rsidRPr="001F566E">
        <w:rPr>
          <w:rFonts w:ascii="Times New Roman" w:hAnsi="Times New Roman" w:cs="Times New Roman"/>
          <w:sz w:val="24"/>
          <w:szCs w:val="24"/>
        </w:rPr>
        <w:t>,</w:t>
      </w:r>
      <w:r w:rsidR="00746A71" w:rsidRPr="001F566E">
        <w:rPr>
          <w:rFonts w:ascii="Times New Roman" w:hAnsi="Times New Roman" w:cs="Times New Roman"/>
          <w:sz w:val="24"/>
          <w:szCs w:val="24"/>
        </w:rPr>
        <w:t xml:space="preserve"> we could hypothesize that all the new population would be located in other areas </w:t>
      </w:r>
      <w:r w:rsidR="001E6C83" w:rsidRPr="001F566E">
        <w:rPr>
          <w:rFonts w:ascii="Times New Roman" w:hAnsi="Times New Roman" w:cs="Times New Roman"/>
          <w:sz w:val="24"/>
          <w:szCs w:val="24"/>
        </w:rPr>
        <w:t xml:space="preserve">than the current urban core </w:t>
      </w:r>
      <w:r w:rsidR="00746A71" w:rsidRPr="001F566E">
        <w:rPr>
          <w:rFonts w:ascii="Times New Roman" w:hAnsi="Times New Roman" w:cs="Times New Roman"/>
          <w:sz w:val="24"/>
          <w:szCs w:val="24"/>
        </w:rPr>
        <w:t>but where they would contribute similar trips</w:t>
      </w:r>
      <w:r w:rsidR="001E6C83" w:rsidRPr="00F33A42">
        <w:rPr>
          <w:rFonts w:ascii="Times New Roman" w:hAnsi="Times New Roman" w:cs="Times New Roman"/>
          <w:sz w:val="24"/>
          <w:szCs w:val="24"/>
        </w:rPr>
        <w:t>.</w:t>
      </w:r>
    </w:p>
    <w:p w14:paraId="513AD904" w14:textId="77777777" w:rsidR="00511203" w:rsidRPr="001F566E" w:rsidRDefault="00511203" w:rsidP="00890789">
      <w:pPr>
        <w:pStyle w:val="CommentText1"/>
        <w:spacing w:after="0" w:line="480" w:lineRule="auto"/>
        <w:jc w:val="both"/>
        <w:rPr>
          <w:rFonts w:ascii="Times New Roman" w:hAnsi="Times New Roman" w:cs="Times New Roman"/>
          <w:sz w:val="24"/>
          <w:szCs w:val="24"/>
        </w:rPr>
      </w:pPr>
    </w:p>
    <w:p w14:paraId="59A45029" w14:textId="77777777" w:rsidR="00511203" w:rsidRPr="001F566E" w:rsidRDefault="00511203" w:rsidP="00890789">
      <w:pPr>
        <w:pStyle w:val="CommentText1"/>
        <w:spacing w:after="0" w:line="480" w:lineRule="auto"/>
        <w:jc w:val="both"/>
      </w:pPr>
      <w:r w:rsidRPr="001F566E">
        <w:rPr>
          <w:rFonts w:ascii="Times New Roman" w:hAnsi="Times New Roman" w:cs="Times New Roman"/>
          <w:sz w:val="24"/>
          <w:szCs w:val="24"/>
        </w:rPr>
        <w:t xml:space="preserve">Second, we modelled future movements </w:t>
      </w:r>
      <w:r w:rsidR="008A4186" w:rsidRPr="001F566E">
        <w:rPr>
          <w:rFonts w:ascii="Times New Roman" w:hAnsi="Times New Roman" w:cs="Times New Roman"/>
          <w:sz w:val="24"/>
          <w:szCs w:val="24"/>
        </w:rPr>
        <w:t>only considering household travel; we thus neglected impacts of commercial vehicles. Additionally</w:t>
      </w:r>
      <w:r w:rsidR="00286A81">
        <w:rPr>
          <w:rFonts w:ascii="Times New Roman" w:hAnsi="Times New Roman" w:cs="Times New Roman"/>
          <w:sz w:val="24"/>
          <w:szCs w:val="24"/>
        </w:rPr>
        <w:t>,</w:t>
      </w:r>
      <w:r w:rsidR="008A4186" w:rsidRPr="001F566E">
        <w:rPr>
          <w:rFonts w:ascii="Times New Roman" w:hAnsi="Times New Roman" w:cs="Times New Roman"/>
          <w:sz w:val="24"/>
          <w:szCs w:val="24"/>
        </w:rPr>
        <w:t xml:space="preserve"> we modelled movements </w:t>
      </w:r>
      <w:r w:rsidRPr="001F566E">
        <w:rPr>
          <w:rFonts w:ascii="Times New Roman" w:hAnsi="Times New Roman" w:cs="Times New Roman"/>
          <w:sz w:val="24"/>
          <w:szCs w:val="24"/>
        </w:rPr>
        <w:t xml:space="preserve">of the </w:t>
      </w:r>
      <w:r w:rsidR="00B0416C">
        <w:rPr>
          <w:rFonts w:ascii="Times New Roman" w:hAnsi="Times New Roman" w:cs="Times New Roman"/>
          <w:sz w:val="24"/>
          <w:szCs w:val="24"/>
        </w:rPr>
        <w:t>Y2061</w:t>
      </w:r>
      <w:r w:rsidRPr="001F566E">
        <w:rPr>
          <w:rFonts w:ascii="Times New Roman" w:hAnsi="Times New Roman" w:cs="Times New Roman"/>
          <w:sz w:val="24"/>
          <w:szCs w:val="24"/>
        </w:rPr>
        <w:t xml:space="preserve"> population assuming that the mode shares by municipalities </w:t>
      </w:r>
      <w:r w:rsidR="00DF6DB4" w:rsidRPr="001F566E">
        <w:rPr>
          <w:rFonts w:ascii="Times New Roman" w:hAnsi="Times New Roman" w:cs="Times New Roman"/>
          <w:sz w:val="24"/>
          <w:szCs w:val="24"/>
        </w:rPr>
        <w:t xml:space="preserve">would </w:t>
      </w:r>
      <w:r w:rsidRPr="001F566E">
        <w:rPr>
          <w:rFonts w:ascii="Times New Roman" w:hAnsi="Times New Roman" w:cs="Times New Roman"/>
          <w:sz w:val="24"/>
          <w:szCs w:val="24"/>
        </w:rPr>
        <w:t xml:space="preserve">not change from </w:t>
      </w:r>
      <w:r w:rsidR="00F46BD2">
        <w:rPr>
          <w:rFonts w:ascii="Times New Roman" w:hAnsi="Times New Roman" w:cs="Times New Roman"/>
          <w:sz w:val="24"/>
          <w:szCs w:val="24"/>
        </w:rPr>
        <w:t>Y2031</w:t>
      </w:r>
      <w:r w:rsidRPr="001F566E">
        <w:rPr>
          <w:rFonts w:ascii="Times New Roman" w:hAnsi="Times New Roman" w:cs="Times New Roman"/>
          <w:sz w:val="24"/>
          <w:szCs w:val="24"/>
        </w:rPr>
        <w:t xml:space="preserve"> to </w:t>
      </w:r>
      <w:r w:rsidR="00B0416C">
        <w:rPr>
          <w:rFonts w:ascii="Times New Roman" w:hAnsi="Times New Roman" w:cs="Times New Roman"/>
          <w:sz w:val="24"/>
          <w:szCs w:val="24"/>
        </w:rPr>
        <w:t>Y2061</w:t>
      </w:r>
      <w:r w:rsidRPr="001F566E">
        <w:rPr>
          <w:rFonts w:ascii="Times New Roman" w:hAnsi="Times New Roman" w:cs="Times New Roman"/>
          <w:sz w:val="24"/>
          <w:szCs w:val="24"/>
        </w:rPr>
        <w:t xml:space="preserve"> by age group (except those forced by the mode shares of the scenarios). It</w:t>
      </w:r>
      <w:r w:rsidRPr="001F566E">
        <w:rPr>
          <w:rFonts w:ascii="Times New Roman" w:hAnsi="Times New Roman" w:cs="Times New Roman"/>
          <w:sz w:val="24"/>
          <w:szCs w:val="24"/>
          <w:lang w:val="en-CA"/>
        </w:rPr>
        <w:t xml:space="preserve"> was not possible to have reliable estimates of mode shares by municipality, age and sex, given the small number of individuals</w:t>
      </w:r>
      <w:r w:rsidR="001E6C83" w:rsidRPr="001F566E">
        <w:rPr>
          <w:rFonts w:ascii="Times New Roman" w:hAnsi="Times New Roman" w:cs="Times New Roman"/>
          <w:sz w:val="24"/>
          <w:szCs w:val="24"/>
          <w:lang w:val="en-CA"/>
        </w:rPr>
        <w:t xml:space="preserve"> of the OD survey</w:t>
      </w:r>
      <w:r w:rsidRPr="001F566E">
        <w:rPr>
          <w:rFonts w:ascii="Times New Roman" w:hAnsi="Times New Roman" w:cs="Times New Roman"/>
          <w:sz w:val="24"/>
          <w:szCs w:val="24"/>
          <w:lang w:val="en-CA"/>
        </w:rPr>
        <w:t xml:space="preserve"> per age group and municipality for active and public transit modes. Therefore, total movements projected for </w:t>
      </w:r>
      <w:r w:rsidR="00B0416C">
        <w:rPr>
          <w:rFonts w:ascii="Times New Roman" w:hAnsi="Times New Roman" w:cs="Times New Roman"/>
          <w:sz w:val="24"/>
          <w:szCs w:val="24"/>
          <w:lang w:val="en-CA"/>
        </w:rPr>
        <w:t>Y2061</w:t>
      </w:r>
      <w:r w:rsidRPr="001F566E">
        <w:rPr>
          <w:rFonts w:ascii="Times New Roman" w:hAnsi="Times New Roman" w:cs="Times New Roman"/>
          <w:sz w:val="24"/>
          <w:szCs w:val="24"/>
          <w:lang w:val="en-CA"/>
        </w:rPr>
        <w:t xml:space="preserve"> reflect the modification in age between </w:t>
      </w:r>
      <w:r w:rsidR="00F46BD2">
        <w:rPr>
          <w:rFonts w:ascii="Times New Roman" w:hAnsi="Times New Roman" w:cs="Times New Roman"/>
          <w:sz w:val="24"/>
          <w:szCs w:val="24"/>
          <w:lang w:val="en-CA"/>
        </w:rPr>
        <w:t>Y2031</w:t>
      </w:r>
      <w:r w:rsidRPr="001F566E">
        <w:rPr>
          <w:rFonts w:ascii="Times New Roman" w:hAnsi="Times New Roman" w:cs="Times New Roman"/>
          <w:sz w:val="24"/>
          <w:szCs w:val="24"/>
          <w:lang w:val="en-CA"/>
        </w:rPr>
        <w:t xml:space="preserve"> and </w:t>
      </w:r>
      <w:r w:rsidR="00B0416C">
        <w:rPr>
          <w:rFonts w:ascii="Times New Roman" w:hAnsi="Times New Roman" w:cs="Times New Roman"/>
          <w:sz w:val="24"/>
          <w:szCs w:val="24"/>
          <w:lang w:val="en-CA"/>
        </w:rPr>
        <w:t>Y2061</w:t>
      </w:r>
      <w:r w:rsidRPr="001F566E">
        <w:rPr>
          <w:rFonts w:ascii="Times New Roman" w:hAnsi="Times New Roman" w:cs="Times New Roman"/>
          <w:sz w:val="24"/>
          <w:szCs w:val="24"/>
          <w:lang w:val="en-CA"/>
        </w:rPr>
        <w:t xml:space="preserve">, but neglect changes </w:t>
      </w:r>
      <w:r w:rsidR="00592D75" w:rsidRPr="001F566E">
        <w:rPr>
          <w:rFonts w:ascii="Times New Roman" w:hAnsi="Times New Roman" w:cs="Times New Roman"/>
          <w:sz w:val="24"/>
          <w:szCs w:val="24"/>
          <w:lang w:val="en-CA"/>
        </w:rPr>
        <w:t xml:space="preserve">on mode shares </w:t>
      </w:r>
      <w:r w:rsidRPr="001F566E">
        <w:rPr>
          <w:rFonts w:ascii="Times New Roman" w:hAnsi="Times New Roman" w:cs="Times New Roman"/>
          <w:sz w:val="24"/>
          <w:szCs w:val="24"/>
          <w:lang w:val="en-CA"/>
        </w:rPr>
        <w:t xml:space="preserve">due to the aging of the population between </w:t>
      </w:r>
      <w:r w:rsidR="00F46BD2">
        <w:rPr>
          <w:rFonts w:ascii="Times New Roman" w:hAnsi="Times New Roman" w:cs="Times New Roman"/>
          <w:sz w:val="24"/>
          <w:szCs w:val="24"/>
          <w:lang w:val="en-CA"/>
        </w:rPr>
        <w:t>Y2031</w:t>
      </w:r>
      <w:r w:rsidRPr="001F566E">
        <w:rPr>
          <w:rFonts w:ascii="Times New Roman" w:hAnsi="Times New Roman" w:cs="Times New Roman"/>
          <w:sz w:val="24"/>
          <w:szCs w:val="24"/>
          <w:lang w:val="en-CA"/>
        </w:rPr>
        <w:t xml:space="preserve"> and </w:t>
      </w:r>
      <w:r w:rsidR="00B0416C">
        <w:rPr>
          <w:rFonts w:ascii="Times New Roman" w:hAnsi="Times New Roman" w:cs="Times New Roman"/>
          <w:sz w:val="24"/>
          <w:szCs w:val="24"/>
          <w:lang w:val="en-CA"/>
        </w:rPr>
        <w:t>Y2061</w:t>
      </w:r>
      <w:r w:rsidRPr="001F566E">
        <w:rPr>
          <w:rFonts w:ascii="Times New Roman" w:hAnsi="Times New Roman" w:cs="Times New Roman"/>
          <w:sz w:val="24"/>
          <w:szCs w:val="24"/>
          <w:lang w:val="en-CA"/>
        </w:rPr>
        <w:t>.</w:t>
      </w:r>
      <w:r w:rsidRPr="00F33A42">
        <w:rPr>
          <w:rFonts w:ascii="Times New Roman" w:hAnsi="Times New Roman" w:cs="Times New Roman"/>
          <w:sz w:val="24"/>
          <w:szCs w:val="24"/>
          <w:lang w:val="en-CA"/>
        </w:rPr>
        <w:t xml:space="preserve"> However, for health benefits of physical transportation, grouping of municipalities allowed us to consider mode share by age and sex.</w:t>
      </w:r>
    </w:p>
    <w:p w14:paraId="0FA40958" w14:textId="77777777" w:rsidR="00511203" w:rsidRPr="001F566E" w:rsidRDefault="00511203" w:rsidP="00890789">
      <w:pPr>
        <w:pStyle w:val="CommentText1"/>
        <w:spacing w:after="0" w:line="480" w:lineRule="auto"/>
        <w:jc w:val="both"/>
        <w:rPr>
          <w:rFonts w:ascii="Times New Roman" w:hAnsi="Times New Roman" w:cs="Times New Roman"/>
          <w:sz w:val="24"/>
          <w:szCs w:val="24"/>
          <w:lang w:val="en-CA"/>
        </w:rPr>
      </w:pPr>
    </w:p>
    <w:p w14:paraId="23071D48" w14:textId="77777777" w:rsidR="00511203" w:rsidRPr="001F566E" w:rsidRDefault="00511203" w:rsidP="00890789">
      <w:pPr>
        <w:pStyle w:val="CommentText1"/>
        <w:spacing w:after="0" w:line="480" w:lineRule="auto"/>
        <w:jc w:val="both"/>
      </w:pPr>
      <w:r w:rsidRPr="001F566E">
        <w:rPr>
          <w:rFonts w:ascii="Times New Roman" w:hAnsi="Times New Roman" w:cs="Times New Roman"/>
          <w:sz w:val="24"/>
          <w:szCs w:val="24"/>
        </w:rPr>
        <w:lastRenderedPageBreak/>
        <w:t xml:space="preserve">Third, given that no mode choice model was used to estimate travel mode in </w:t>
      </w:r>
      <w:r w:rsidR="00B0416C">
        <w:rPr>
          <w:rFonts w:ascii="Times New Roman" w:hAnsi="Times New Roman" w:cs="Times New Roman"/>
          <w:sz w:val="24"/>
          <w:szCs w:val="24"/>
        </w:rPr>
        <w:t>Y2061</w:t>
      </w:r>
      <w:r w:rsidRPr="001F566E">
        <w:rPr>
          <w:rFonts w:ascii="Times New Roman" w:hAnsi="Times New Roman" w:cs="Times New Roman"/>
          <w:sz w:val="24"/>
          <w:szCs w:val="24"/>
        </w:rPr>
        <w:t xml:space="preserve">, we thus assumed by design that time to travel by mode and ratio of travel times remained the same between </w:t>
      </w:r>
      <w:r w:rsidR="00F46BD2">
        <w:rPr>
          <w:rFonts w:ascii="Times New Roman" w:hAnsi="Times New Roman" w:cs="Times New Roman"/>
          <w:sz w:val="24"/>
          <w:szCs w:val="24"/>
        </w:rPr>
        <w:t>Y2031</w:t>
      </w:r>
      <w:r w:rsidRPr="001F566E">
        <w:rPr>
          <w:rFonts w:ascii="Times New Roman" w:hAnsi="Times New Roman" w:cs="Times New Roman"/>
          <w:sz w:val="24"/>
          <w:szCs w:val="24"/>
        </w:rPr>
        <w:t xml:space="preserve"> and </w:t>
      </w:r>
      <w:r w:rsidR="00B0416C">
        <w:rPr>
          <w:rFonts w:ascii="Times New Roman" w:hAnsi="Times New Roman" w:cs="Times New Roman"/>
          <w:sz w:val="24"/>
          <w:szCs w:val="24"/>
        </w:rPr>
        <w:t>Y2061</w:t>
      </w:r>
      <w:r w:rsidRPr="001F566E">
        <w:rPr>
          <w:rFonts w:ascii="Times New Roman" w:hAnsi="Times New Roman" w:cs="Times New Roman"/>
          <w:sz w:val="24"/>
          <w:szCs w:val="24"/>
        </w:rPr>
        <w:t xml:space="preserve">; this implies that we would increase public transit services and road capacity in the future to maintain those travel times. Also, none of our scenario modelled impacts of reduced road capacity. Assuming that travel times would remain the same in </w:t>
      </w:r>
      <w:r w:rsidR="00B0416C">
        <w:rPr>
          <w:rFonts w:ascii="Times New Roman" w:hAnsi="Times New Roman" w:cs="Times New Roman"/>
          <w:sz w:val="24"/>
          <w:szCs w:val="24"/>
        </w:rPr>
        <w:t>Y2061</w:t>
      </w:r>
      <w:r w:rsidRPr="001F566E">
        <w:rPr>
          <w:rFonts w:ascii="Times New Roman" w:hAnsi="Times New Roman" w:cs="Times New Roman"/>
          <w:sz w:val="24"/>
          <w:szCs w:val="24"/>
        </w:rPr>
        <w:t xml:space="preserve"> is not totally unrealistic; it is in line with our mode share predictions for </w:t>
      </w:r>
      <w:r w:rsidR="00F46BD2">
        <w:rPr>
          <w:rFonts w:ascii="Times New Roman" w:hAnsi="Times New Roman" w:cs="Times New Roman"/>
          <w:sz w:val="24"/>
          <w:szCs w:val="24"/>
        </w:rPr>
        <w:t>Y2031</w:t>
      </w:r>
      <w:r w:rsidRPr="001F566E">
        <w:rPr>
          <w:rFonts w:ascii="Times New Roman" w:hAnsi="Times New Roman" w:cs="Times New Roman"/>
          <w:sz w:val="24"/>
          <w:szCs w:val="24"/>
        </w:rPr>
        <w:t>; indeed</w:t>
      </w:r>
      <w:r w:rsidR="00286A81">
        <w:rPr>
          <w:rFonts w:ascii="Times New Roman" w:hAnsi="Times New Roman" w:cs="Times New Roman"/>
          <w:sz w:val="24"/>
          <w:szCs w:val="24"/>
        </w:rPr>
        <w:t>,</w:t>
      </w:r>
      <w:r w:rsidRPr="001F566E">
        <w:rPr>
          <w:rFonts w:ascii="Times New Roman" w:hAnsi="Times New Roman" w:cs="Times New Roman"/>
          <w:sz w:val="24"/>
          <w:szCs w:val="24"/>
        </w:rPr>
        <w:t xml:space="preserve"> mode share</w:t>
      </w:r>
      <w:r w:rsidR="004E6DEC" w:rsidRPr="001F566E">
        <w:rPr>
          <w:rFonts w:ascii="Times New Roman" w:hAnsi="Times New Roman" w:cs="Times New Roman"/>
          <w:sz w:val="24"/>
          <w:szCs w:val="24"/>
        </w:rPr>
        <w:t>s</w:t>
      </w:r>
      <w:r w:rsidRPr="001F566E">
        <w:rPr>
          <w:rFonts w:ascii="Times New Roman" w:hAnsi="Times New Roman" w:cs="Times New Roman"/>
          <w:sz w:val="24"/>
          <w:szCs w:val="24"/>
        </w:rPr>
        <w:t xml:space="preserve"> </w:t>
      </w:r>
      <w:r w:rsidR="008A4186" w:rsidRPr="001F566E">
        <w:rPr>
          <w:rFonts w:ascii="Times New Roman" w:hAnsi="Times New Roman" w:cs="Times New Roman"/>
          <w:sz w:val="24"/>
          <w:szCs w:val="24"/>
        </w:rPr>
        <w:t>by regions (i.e. urban and suburbs)</w:t>
      </w:r>
      <w:r w:rsidRPr="001F566E">
        <w:rPr>
          <w:rFonts w:ascii="Times New Roman" w:hAnsi="Times New Roman" w:cs="Times New Roman"/>
          <w:sz w:val="24"/>
          <w:szCs w:val="24"/>
        </w:rPr>
        <w:t xml:space="preserve"> predicted with a mode choice model were similar for both the BAU and the Central </w:t>
      </w:r>
      <w:r w:rsidR="00F46BD2">
        <w:rPr>
          <w:rFonts w:ascii="Times New Roman" w:hAnsi="Times New Roman" w:cs="Times New Roman"/>
          <w:sz w:val="24"/>
          <w:szCs w:val="24"/>
        </w:rPr>
        <w:t>Y2031</w:t>
      </w:r>
      <w:r w:rsidRPr="001F566E">
        <w:rPr>
          <w:rFonts w:ascii="Times New Roman" w:hAnsi="Times New Roman" w:cs="Times New Roman"/>
          <w:sz w:val="24"/>
          <w:szCs w:val="24"/>
        </w:rPr>
        <w:t xml:space="preserve"> scenario with urban core densification and increased transportation services (see </w:t>
      </w:r>
      <w:r w:rsidR="0098182D">
        <w:rPr>
          <w:rFonts w:ascii="Times New Roman" w:hAnsi="Times New Roman" w:cs="Times New Roman"/>
          <w:b/>
          <w:sz w:val="24"/>
          <w:szCs w:val="24"/>
        </w:rPr>
        <w:t>SI</w:t>
      </w:r>
      <w:r w:rsidR="00F00A9B" w:rsidRPr="001F566E">
        <w:rPr>
          <w:rFonts w:ascii="Times New Roman" w:hAnsi="Times New Roman" w:cs="Times New Roman"/>
          <w:b/>
          <w:sz w:val="24"/>
          <w:szCs w:val="24"/>
        </w:rPr>
        <w:t xml:space="preserve">, Table </w:t>
      </w:r>
      <w:r w:rsidR="0098182D">
        <w:rPr>
          <w:rFonts w:ascii="Times New Roman" w:hAnsi="Times New Roman" w:cs="Times New Roman"/>
          <w:b/>
          <w:sz w:val="24"/>
          <w:szCs w:val="24"/>
        </w:rPr>
        <w:t>S</w:t>
      </w:r>
      <w:r w:rsidR="00F00A9B" w:rsidRPr="001F566E">
        <w:rPr>
          <w:rFonts w:ascii="Times New Roman" w:hAnsi="Times New Roman" w:cs="Times New Roman"/>
          <w:b/>
          <w:sz w:val="24"/>
          <w:szCs w:val="24"/>
        </w:rPr>
        <w:t>7</w:t>
      </w:r>
      <w:r w:rsidRPr="001F566E">
        <w:rPr>
          <w:rFonts w:ascii="Times New Roman" w:hAnsi="Times New Roman" w:cs="Times New Roman"/>
          <w:sz w:val="24"/>
          <w:szCs w:val="24"/>
        </w:rPr>
        <w:t xml:space="preserve">). This may be due to the fact that very large changes in travel times by car would be needed to induce mode changes; this may also reflect limitations of the mode choice model to predict </w:t>
      </w:r>
      <w:r w:rsidR="00F46BD2">
        <w:rPr>
          <w:rFonts w:ascii="Times New Roman" w:hAnsi="Times New Roman" w:cs="Times New Roman"/>
          <w:sz w:val="24"/>
          <w:szCs w:val="24"/>
        </w:rPr>
        <w:t>Y2031</w:t>
      </w:r>
      <w:r w:rsidRPr="001F566E">
        <w:rPr>
          <w:rFonts w:ascii="Times New Roman" w:hAnsi="Times New Roman" w:cs="Times New Roman"/>
          <w:sz w:val="24"/>
          <w:szCs w:val="24"/>
        </w:rPr>
        <w:t xml:space="preserve"> mode shares</w:t>
      </w:r>
      <w:r w:rsidR="00F00A9B" w:rsidRPr="001F566E">
        <w:rPr>
          <w:rFonts w:ascii="Times New Roman" w:hAnsi="Times New Roman" w:cs="Times New Roman"/>
          <w:sz w:val="24"/>
          <w:szCs w:val="24"/>
        </w:rPr>
        <w:t>, and to the</w:t>
      </w:r>
      <w:r w:rsidR="00746A71" w:rsidRPr="001F566E">
        <w:rPr>
          <w:rFonts w:ascii="Times New Roman" w:hAnsi="Times New Roman" w:cs="Times New Roman"/>
          <w:sz w:val="24"/>
          <w:szCs w:val="24"/>
        </w:rPr>
        <w:t xml:space="preserve"> fact that car possession was not targeted in our </w:t>
      </w:r>
      <w:r w:rsidR="00F46BD2">
        <w:rPr>
          <w:rFonts w:ascii="Times New Roman" w:hAnsi="Times New Roman" w:cs="Times New Roman"/>
          <w:sz w:val="24"/>
          <w:szCs w:val="24"/>
        </w:rPr>
        <w:t>Y2031</w:t>
      </w:r>
      <w:r w:rsidR="00746A71" w:rsidRPr="001F566E">
        <w:rPr>
          <w:rFonts w:ascii="Times New Roman" w:hAnsi="Times New Roman" w:cs="Times New Roman"/>
          <w:sz w:val="24"/>
          <w:szCs w:val="24"/>
        </w:rPr>
        <w:t xml:space="preserve"> scenarios</w:t>
      </w:r>
      <w:r w:rsidRPr="001F566E">
        <w:rPr>
          <w:rFonts w:ascii="Times New Roman" w:hAnsi="Times New Roman" w:cs="Times New Roman"/>
          <w:sz w:val="24"/>
          <w:szCs w:val="24"/>
        </w:rPr>
        <w:t>.</w:t>
      </w:r>
      <w:r w:rsidRPr="00F33A42">
        <w:rPr>
          <w:rFonts w:ascii="Times New Roman" w:hAnsi="Times New Roman" w:cs="Times New Roman"/>
          <w:sz w:val="24"/>
          <w:szCs w:val="24"/>
        </w:rPr>
        <w:t xml:space="preserve"> Because travel times were assumed to be the same between </w:t>
      </w:r>
      <w:r w:rsidR="00F46BD2">
        <w:rPr>
          <w:rFonts w:ascii="Times New Roman" w:hAnsi="Times New Roman" w:cs="Times New Roman"/>
          <w:sz w:val="24"/>
          <w:szCs w:val="24"/>
        </w:rPr>
        <w:t>Y2031</w:t>
      </w:r>
      <w:r w:rsidRPr="00F33A42">
        <w:rPr>
          <w:rFonts w:ascii="Times New Roman" w:hAnsi="Times New Roman" w:cs="Times New Roman"/>
          <w:sz w:val="24"/>
          <w:szCs w:val="24"/>
        </w:rPr>
        <w:t xml:space="preserve"> and </w:t>
      </w:r>
      <w:r w:rsidR="00B0416C">
        <w:rPr>
          <w:rFonts w:ascii="Times New Roman" w:hAnsi="Times New Roman" w:cs="Times New Roman"/>
          <w:sz w:val="24"/>
          <w:szCs w:val="24"/>
        </w:rPr>
        <w:t>Y2061</w:t>
      </w:r>
      <w:r w:rsidRPr="00F33A42">
        <w:rPr>
          <w:rFonts w:ascii="Times New Roman" w:hAnsi="Times New Roman" w:cs="Times New Roman"/>
          <w:sz w:val="24"/>
          <w:szCs w:val="24"/>
        </w:rPr>
        <w:t xml:space="preserve">, the </w:t>
      </w:r>
      <w:r w:rsidR="00F46BD2">
        <w:rPr>
          <w:rFonts w:ascii="Times New Roman" w:hAnsi="Times New Roman" w:cs="Times New Roman"/>
          <w:sz w:val="24"/>
          <w:szCs w:val="24"/>
        </w:rPr>
        <w:t>Y2031</w:t>
      </w:r>
      <w:r w:rsidRPr="00F33A42">
        <w:rPr>
          <w:rFonts w:ascii="Times New Roman" w:hAnsi="Times New Roman" w:cs="Times New Roman"/>
          <w:sz w:val="24"/>
          <w:szCs w:val="24"/>
        </w:rPr>
        <w:t xml:space="preserve"> </w:t>
      </w:r>
      <w:r w:rsidR="00EF5608" w:rsidRPr="00F33A42">
        <w:rPr>
          <w:rFonts w:ascii="Times New Roman" w:hAnsi="Times New Roman" w:cs="Times New Roman"/>
          <w:sz w:val="24"/>
          <w:szCs w:val="24"/>
        </w:rPr>
        <w:t xml:space="preserve">trends </w:t>
      </w:r>
      <w:r w:rsidRPr="001F566E">
        <w:rPr>
          <w:rFonts w:ascii="Times New Roman" w:hAnsi="Times New Roman" w:cs="Times New Roman"/>
          <w:sz w:val="24"/>
          <w:szCs w:val="24"/>
        </w:rPr>
        <w:t xml:space="preserve">in mode shares were conserved in </w:t>
      </w:r>
      <w:r w:rsidR="00B0416C">
        <w:rPr>
          <w:rFonts w:ascii="Times New Roman" w:hAnsi="Times New Roman" w:cs="Times New Roman"/>
          <w:sz w:val="24"/>
          <w:szCs w:val="24"/>
        </w:rPr>
        <w:t>Y2061</w:t>
      </w:r>
      <w:r w:rsidRPr="001F566E">
        <w:rPr>
          <w:rFonts w:ascii="Times New Roman" w:hAnsi="Times New Roman" w:cs="Times New Roman"/>
          <w:sz w:val="24"/>
          <w:szCs w:val="24"/>
        </w:rPr>
        <w:t xml:space="preserve"> in the BAU; in the </w:t>
      </w:r>
      <w:r w:rsidR="00B0416C">
        <w:rPr>
          <w:rFonts w:ascii="Times New Roman" w:hAnsi="Times New Roman" w:cs="Times New Roman"/>
          <w:sz w:val="24"/>
          <w:szCs w:val="24"/>
        </w:rPr>
        <w:t>Y2061</w:t>
      </w:r>
      <w:r w:rsidR="00F00A9B" w:rsidRPr="001F566E">
        <w:rPr>
          <w:rFonts w:ascii="Times New Roman" w:hAnsi="Times New Roman" w:cs="Times New Roman"/>
          <w:sz w:val="24"/>
          <w:szCs w:val="24"/>
        </w:rPr>
        <w:t xml:space="preserve"> O</w:t>
      </w:r>
      <w:r w:rsidR="006570D9" w:rsidRPr="001F566E">
        <w:rPr>
          <w:rFonts w:ascii="Times New Roman" w:hAnsi="Times New Roman" w:cs="Times New Roman"/>
          <w:sz w:val="24"/>
          <w:szCs w:val="24"/>
        </w:rPr>
        <w:t>ptimal</w:t>
      </w:r>
      <w:r w:rsidR="00F00A9B" w:rsidRPr="001F566E">
        <w:rPr>
          <w:rFonts w:ascii="Times New Roman" w:hAnsi="Times New Roman" w:cs="Times New Roman"/>
          <w:sz w:val="24"/>
          <w:szCs w:val="24"/>
        </w:rPr>
        <w:t xml:space="preserve"> </w:t>
      </w:r>
      <w:r w:rsidRPr="001F566E">
        <w:rPr>
          <w:rFonts w:ascii="Times New Roman" w:hAnsi="Times New Roman" w:cs="Times New Roman"/>
          <w:sz w:val="24"/>
          <w:szCs w:val="24"/>
        </w:rPr>
        <w:t>scenarios</w:t>
      </w:r>
      <w:r w:rsidR="00F00A9B" w:rsidRPr="001F566E">
        <w:rPr>
          <w:rFonts w:ascii="Times New Roman" w:hAnsi="Times New Roman" w:cs="Times New Roman"/>
          <w:sz w:val="24"/>
          <w:szCs w:val="24"/>
        </w:rPr>
        <w:t>,</w:t>
      </w:r>
      <w:r w:rsidRPr="001F566E">
        <w:rPr>
          <w:rFonts w:ascii="Times New Roman" w:hAnsi="Times New Roman" w:cs="Times New Roman"/>
          <w:sz w:val="24"/>
          <w:szCs w:val="24"/>
        </w:rPr>
        <w:t xml:space="preserve"> we forced the mode shift to reach mode shares in line with those observed in dense areas.</w:t>
      </w:r>
    </w:p>
    <w:p w14:paraId="62FB225B" w14:textId="77777777" w:rsidR="00511203" w:rsidRPr="001F566E" w:rsidRDefault="00511203" w:rsidP="00890789">
      <w:pPr>
        <w:spacing w:after="0" w:line="480" w:lineRule="auto"/>
        <w:jc w:val="both"/>
        <w:rPr>
          <w:rFonts w:ascii="Times New Roman" w:hAnsi="Times New Roman" w:cs="Times New Roman"/>
          <w:sz w:val="24"/>
          <w:szCs w:val="24"/>
          <w:lang w:val="en-CA"/>
        </w:rPr>
      </w:pPr>
    </w:p>
    <w:p w14:paraId="5761D6AC" w14:textId="77777777" w:rsidR="00511203" w:rsidRPr="001F566E" w:rsidRDefault="00511203" w:rsidP="00890789">
      <w:pPr>
        <w:spacing w:after="0" w:line="480" w:lineRule="auto"/>
        <w:jc w:val="both"/>
      </w:pPr>
      <w:r w:rsidRPr="001F566E">
        <w:rPr>
          <w:rFonts w:ascii="Times New Roman" w:hAnsi="Times New Roman" w:cs="Times New Roman"/>
          <w:sz w:val="24"/>
          <w:szCs w:val="24"/>
        </w:rPr>
        <w:t xml:space="preserve">Other limitations include the fact that predicted distances walked in </w:t>
      </w:r>
      <w:r w:rsidR="00B0416C">
        <w:rPr>
          <w:rFonts w:ascii="Times New Roman" w:hAnsi="Times New Roman" w:cs="Times New Roman"/>
          <w:sz w:val="24"/>
          <w:szCs w:val="24"/>
        </w:rPr>
        <w:t>Y2061</w:t>
      </w:r>
      <w:r w:rsidRPr="001F566E">
        <w:rPr>
          <w:rFonts w:ascii="Times New Roman" w:hAnsi="Times New Roman" w:cs="Times New Roman"/>
          <w:sz w:val="24"/>
          <w:szCs w:val="24"/>
        </w:rPr>
        <w:t xml:space="preserve"> were based on </w:t>
      </w:r>
      <w:r w:rsidR="00F46BD2">
        <w:rPr>
          <w:rFonts w:ascii="Times New Roman" w:hAnsi="Times New Roman" w:cs="Times New Roman"/>
          <w:sz w:val="24"/>
          <w:szCs w:val="24"/>
        </w:rPr>
        <w:t>Y2031</w:t>
      </w:r>
      <w:r w:rsidRPr="001F566E">
        <w:rPr>
          <w:rFonts w:ascii="Times New Roman" w:hAnsi="Times New Roman" w:cs="Times New Roman"/>
          <w:sz w:val="24"/>
          <w:szCs w:val="24"/>
        </w:rPr>
        <w:t xml:space="preserve"> distances that were overestimated, as demonstrated in Tetreault et al</w:t>
      </w:r>
      <w:r w:rsidR="00286A81">
        <w:rPr>
          <w:rFonts w:ascii="Times New Roman" w:hAnsi="Times New Roman" w:cs="Times New Roman"/>
          <w:sz w:val="24"/>
          <w:szCs w:val="24"/>
        </w:rPr>
        <w:t xml:space="preserve"> (</w:t>
      </w:r>
      <w:r w:rsidRPr="001F566E">
        <w:rPr>
          <w:rFonts w:ascii="Times New Roman" w:hAnsi="Times New Roman" w:cs="Times New Roman"/>
          <w:sz w:val="24"/>
          <w:szCs w:val="24"/>
        </w:rPr>
        <w:t>2018</w:t>
      </w:r>
      <w:r w:rsidR="00286A81">
        <w:rPr>
          <w:rFonts w:ascii="Times New Roman" w:hAnsi="Times New Roman" w:cs="Times New Roman"/>
          <w:sz w:val="24"/>
          <w:szCs w:val="24"/>
        </w:rPr>
        <w:t>)</w:t>
      </w:r>
      <w:r w:rsidRPr="001F566E">
        <w:rPr>
          <w:rFonts w:ascii="Times New Roman" w:hAnsi="Times New Roman" w:cs="Times New Roman"/>
          <w:sz w:val="24"/>
          <w:szCs w:val="24"/>
        </w:rPr>
        <w:t xml:space="preserve"> (on average people walked 1.3 km per trip vs 0.9 km per trip according to the 2008 survey). All impacts </w:t>
      </w:r>
      <w:r w:rsidR="00F00A9B" w:rsidRPr="001F566E">
        <w:rPr>
          <w:rFonts w:ascii="Times New Roman" w:hAnsi="Times New Roman" w:cs="Times New Roman"/>
          <w:sz w:val="24"/>
          <w:szCs w:val="24"/>
        </w:rPr>
        <w:t xml:space="preserve">were </w:t>
      </w:r>
      <w:r w:rsidRPr="001F566E">
        <w:rPr>
          <w:rFonts w:ascii="Times New Roman" w:hAnsi="Times New Roman" w:cs="Times New Roman"/>
          <w:sz w:val="24"/>
          <w:szCs w:val="24"/>
        </w:rPr>
        <w:t>modelled based on the OD survey conducted in the fall of 2008, and behaviors may vary by season</w:t>
      </w:r>
      <w:r w:rsidR="0064203D">
        <w:rPr>
          <w:rFonts w:ascii="Times New Roman" w:hAnsi="Times New Roman" w:cs="Times New Roman"/>
          <w:sz w:val="24"/>
          <w:szCs w:val="24"/>
        </w:rPr>
        <w:t xml:space="preserve"> or by y</w:t>
      </w:r>
      <w:r w:rsidR="005253FC">
        <w:rPr>
          <w:rFonts w:ascii="Times New Roman" w:hAnsi="Times New Roman" w:cs="Times New Roman"/>
          <w:sz w:val="24"/>
          <w:szCs w:val="24"/>
        </w:rPr>
        <w:t>ear</w:t>
      </w:r>
      <w:r w:rsidRPr="001F566E">
        <w:rPr>
          <w:rFonts w:ascii="Times New Roman" w:hAnsi="Times New Roman" w:cs="Times New Roman"/>
          <w:sz w:val="24"/>
          <w:szCs w:val="24"/>
        </w:rPr>
        <w:t xml:space="preserve">, </w:t>
      </w:r>
      <w:r w:rsidR="005253FC">
        <w:rPr>
          <w:rFonts w:ascii="Times New Roman" w:hAnsi="Times New Roman" w:cs="Times New Roman"/>
          <w:sz w:val="24"/>
          <w:szCs w:val="24"/>
        </w:rPr>
        <w:t>factors</w:t>
      </w:r>
      <w:r w:rsidR="005253FC" w:rsidRPr="001F566E">
        <w:rPr>
          <w:rFonts w:ascii="Times New Roman" w:hAnsi="Times New Roman" w:cs="Times New Roman"/>
          <w:sz w:val="24"/>
          <w:szCs w:val="24"/>
        </w:rPr>
        <w:t xml:space="preserve"> </w:t>
      </w:r>
      <w:r w:rsidRPr="001F566E">
        <w:rPr>
          <w:rFonts w:ascii="Times New Roman" w:hAnsi="Times New Roman" w:cs="Times New Roman"/>
          <w:sz w:val="24"/>
          <w:szCs w:val="24"/>
        </w:rPr>
        <w:t>that we d</w:t>
      </w:r>
      <w:r w:rsidR="008A4186" w:rsidRPr="001F566E">
        <w:rPr>
          <w:rFonts w:ascii="Times New Roman" w:hAnsi="Times New Roman" w:cs="Times New Roman"/>
          <w:sz w:val="24"/>
          <w:szCs w:val="24"/>
        </w:rPr>
        <w:t>id</w:t>
      </w:r>
      <w:r w:rsidRPr="001F566E">
        <w:rPr>
          <w:rFonts w:ascii="Times New Roman" w:hAnsi="Times New Roman" w:cs="Times New Roman"/>
          <w:sz w:val="24"/>
          <w:szCs w:val="24"/>
        </w:rPr>
        <w:t xml:space="preserve"> not consider. Noise and </w:t>
      </w:r>
      <w:r w:rsidR="00F00A9B" w:rsidRPr="001F566E">
        <w:rPr>
          <w:rFonts w:ascii="Times New Roman" w:hAnsi="Times New Roman" w:cs="Times New Roman"/>
          <w:sz w:val="24"/>
          <w:szCs w:val="24"/>
        </w:rPr>
        <w:t>associated effects</w:t>
      </w:r>
      <w:r w:rsidRPr="001F566E">
        <w:rPr>
          <w:rFonts w:ascii="Times New Roman" w:hAnsi="Times New Roman" w:cs="Times New Roman"/>
          <w:sz w:val="24"/>
          <w:szCs w:val="24"/>
        </w:rPr>
        <w:t xml:space="preserve"> were also not considered. </w:t>
      </w:r>
      <w:r w:rsidR="00746A71" w:rsidRPr="001F566E">
        <w:rPr>
          <w:rFonts w:ascii="Times New Roman" w:hAnsi="Times New Roman" w:cs="Times New Roman"/>
          <w:sz w:val="24"/>
          <w:szCs w:val="24"/>
        </w:rPr>
        <w:t xml:space="preserve">Pollutant emissions were based in </w:t>
      </w:r>
      <w:r w:rsidR="00B0416C">
        <w:rPr>
          <w:rFonts w:ascii="Times New Roman" w:hAnsi="Times New Roman" w:cs="Times New Roman"/>
          <w:sz w:val="24"/>
          <w:szCs w:val="24"/>
        </w:rPr>
        <w:t>Y2061</w:t>
      </w:r>
      <w:r w:rsidR="00746A71" w:rsidRPr="001F566E">
        <w:rPr>
          <w:rFonts w:ascii="Times New Roman" w:hAnsi="Times New Roman" w:cs="Times New Roman"/>
          <w:sz w:val="24"/>
          <w:szCs w:val="24"/>
        </w:rPr>
        <w:t xml:space="preserve">, on emission factors of </w:t>
      </w:r>
      <w:r w:rsidR="00F46BD2">
        <w:rPr>
          <w:rFonts w:ascii="Times New Roman" w:hAnsi="Times New Roman" w:cs="Times New Roman"/>
          <w:sz w:val="24"/>
          <w:szCs w:val="24"/>
        </w:rPr>
        <w:t>Y2031</w:t>
      </w:r>
      <w:r w:rsidR="00746A71" w:rsidRPr="001F566E">
        <w:rPr>
          <w:rFonts w:ascii="Times New Roman" w:hAnsi="Times New Roman" w:cs="Times New Roman"/>
          <w:sz w:val="24"/>
          <w:szCs w:val="24"/>
        </w:rPr>
        <w:t>, etc.</w:t>
      </w:r>
    </w:p>
    <w:p w14:paraId="5F75679D" w14:textId="77777777" w:rsidR="00511203" w:rsidRPr="001F566E" w:rsidRDefault="00511203" w:rsidP="00890789">
      <w:pPr>
        <w:spacing w:after="0" w:line="480" w:lineRule="auto"/>
        <w:jc w:val="both"/>
        <w:rPr>
          <w:rFonts w:ascii="Times New Roman" w:hAnsi="Times New Roman" w:cs="Times New Roman"/>
          <w:sz w:val="24"/>
          <w:szCs w:val="24"/>
        </w:rPr>
      </w:pPr>
    </w:p>
    <w:p w14:paraId="3614D7CA" w14:textId="77777777" w:rsidR="00511203" w:rsidRPr="001F566E" w:rsidRDefault="00511203" w:rsidP="00890789">
      <w:pPr>
        <w:spacing w:after="0" w:line="480" w:lineRule="auto"/>
        <w:jc w:val="both"/>
      </w:pPr>
      <w:r w:rsidRPr="001F566E">
        <w:rPr>
          <w:rFonts w:ascii="Times New Roman" w:hAnsi="Times New Roman" w:cs="Times New Roman"/>
          <w:sz w:val="24"/>
          <w:szCs w:val="24"/>
          <w:lang w:val="en-CA"/>
        </w:rPr>
        <w:lastRenderedPageBreak/>
        <w:t xml:space="preserve">Notwithstanding these </w:t>
      </w:r>
      <w:r w:rsidR="0050326F" w:rsidRPr="001F566E">
        <w:rPr>
          <w:rFonts w:ascii="Times New Roman" w:hAnsi="Times New Roman" w:cs="Times New Roman"/>
          <w:sz w:val="24"/>
          <w:szCs w:val="24"/>
          <w:lang w:val="en-CA"/>
        </w:rPr>
        <w:t xml:space="preserve">premises and </w:t>
      </w:r>
      <w:r w:rsidRPr="001F566E">
        <w:rPr>
          <w:rFonts w:ascii="Times New Roman" w:hAnsi="Times New Roman" w:cs="Times New Roman"/>
          <w:sz w:val="24"/>
          <w:szCs w:val="24"/>
          <w:lang w:val="en-CA"/>
        </w:rPr>
        <w:t>limits and others that we do not enumerate here, projecting impacts for many scenarios in the far future, even if roughly estimated, are useful to determine how large, land use and transportation changes must be (i.e. exponential or enormous</w:t>
      </w:r>
      <w:r w:rsidR="003D78AF" w:rsidRPr="001F566E">
        <w:rPr>
          <w:rFonts w:ascii="Times New Roman" w:hAnsi="Times New Roman" w:cs="Times New Roman"/>
          <w:sz w:val="24"/>
          <w:szCs w:val="24"/>
          <w:lang w:val="en-CA"/>
        </w:rPr>
        <w:t>)</w:t>
      </w:r>
      <w:r w:rsidRPr="001F566E">
        <w:rPr>
          <w:rFonts w:ascii="Times New Roman" w:hAnsi="Times New Roman" w:cs="Times New Roman"/>
          <w:sz w:val="24"/>
          <w:szCs w:val="24"/>
          <w:lang w:val="en-CA"/>
        </w:rPr>
        <w:t xml:space="preserve">, to ensure future environmental and health gains. While projecting such impacts requires a sizable amount of background information (as we present here), the integration of multidisciplinary knowledge lays the foundation for future work and additional scenarios. </w:t>
      </w:r>
    </w:p>
    <w:p w14:paraId="58A72D7C" w14:textId="77777777" w:rsidR="00687056" w:rsidRDefault="00687056" w:rsidP="00890789">
      <w:pPr>
        <w:spacing w:after="0" w:line="480" w:lineRule="auto"/>
        <w:jc w:val="both"/>
        <w:rPr>
          <w:rFonts w:ascii="Times New Roman" w:hAnsi="Times New Roman" w:cs="Times New Roman"/>
          <w:b/>
          <w:sz w:val="24"/>
          <w:szCs w:val="24"/>
        </w:rPr>
      </w:pPr>
    </w:p>
    <w:p w14:paraId="2088C45E" w14:textId="77777777" w:rsidR="00511203" w:rsidRPr="001F566E" w:rsidRDefault="00511203" w:rsidP="00890789">
      <w:pPr>
        <w:spacing w:after="0" w:line="480" w:lineRule="auto"/>
        <w:jc w:val="both"/>
        <w:rPr>
          <w:rFonts w:ascii="Times New Roman" w:hAnsi="Times New Roman" w:cs="Times New Roman"/>
          <w:sz w:val="24"/>
          <w:szCs w:val="24"/>
          <w:lang w:val="en-CA"/>
        </w:rPr>
      </w:pPr>
      <w:r w:rsidRPr="001F566E">
        <w:rPr>
          <w:rFonts w:ascii="Times New Roman" w:hAnsi="Times New Roman" w:cs="Times New Roman"/>
          <w:sz w:val="24"/>
          <w:szCs w:val="24"/>
          <w:lang w:val="en-CA"/>
        </w:rPr>
        <w:t>Our assessment</w:t>
      </w:r>
      <w:r w:rsidR="0050326F" w:rsidRPr="001F566E">
        <w:rPr>
          <w:rFonts w:ascii="Times New Roman" w:hAnsi="Times New Roman" w:cs="Times New Roman"/>
          <w:sz w:val="24"/>
          <w:szCs w:val="24"/>
          <w:lang w:val="en-CA"/>
        </w:rPr>
        <w:t>s</w:t>
      </w:r>
      <w:r w:rsidRPr="001F566E">
        <w:rPr>
          <w:rFonts w:ascii="Times New Roman" w:hAnsi="Times New Roman" w:cs="Times New Roman"/>
          <w:sz w:val="24"/>
          <w:szCs w:val="24"/>
          <w:lang w:val="en-CA"/>
        </w:rPr>
        <w:t xml:space="preserve"> suggest that in the far future of </w:t>
      </w:r>
      <w:r w:rsidR="00B0416C">
        <w:rPr>
          <w:rFonts w:ascii="Times New Roman" w:hAnsi="Times New Roman" w:cs="Times New Roman"/>
          <w:sz w:val="24"/>
          <w:szCs w:val="24"/>
          <w:lang w:val="en-CA"/>
        </w:rPr>
        <w:t>Y2061</w:t>
      </w:r>
      <w:r w:rsidRPr="001F566E">
        <w:rPr>
          <w:rFonts w:ascii="Times New Roman" w:hAnsi="Times New Roman" w:cs="Times New Roman"/>
          <w:sz w:val="24"/>
          <w:szCs w:val="24"/>
          <w:lang w:val="en-CA"/>
        </w:rPr>
        <w:t xml:space="preserve">, </w:t>
      </w:r>
      <w:r w:rsidR="006007C6">
        <w:rPr>
          <w:rFonts w:ascii="Times New Roman" w:hAnsi="Times New Roman" w:cs="Times New Roman"/>
          <w:sz w:val="24"/>
          <w:szCs w:val="24"/>
          <w:lang w:val="en-CA"/>
        </w:rPr>
        <w:t xml:space="preserve">in order </w:t>
      </w:r>
      <w:r w:rsidR="0064203D">
        <w:rPr>
          <w:rFonts w:ascii="Times New Roman" w:hAnsi="Times New Roman" w:cs="Times New Roman"/>
          <w:sz w:val="24"/>
          <w:szCs w:val="24"/>
          <w:lang w:val="en-CA"/>
        </w:rPr>
        <w:t xml:space="preserve">to </w:t>
      </w:r>
      <w:r w:rsidR="0064203D" w:rsidRPr="001F566E">
        <w:rPr>
          <w:rFonts w:ascii="Times New Roman" w:hAnsi="Times New Roman" w:cs="Times New Roman"/>
          <w:sz w:val="24"/>
          <w:szCs w:val="24"/>
          <w:lang w:val="en-CA"/>
        </w:rPr>
        <w:t>substantial</w:t>
      </w:r>
      <w:r w:rsidR="0064203D">
        <w:rPr>
          <w:rFonts w:ascii="Times New Roman" w:hAnsi="Times New Roman" w:cs="Times New Roman"/>
          <w:sz w:val="24"/>
          <w:szCs w:val="24"/>
          <w:lang w:val="en-CA"/>
        </w:rPr>
        <w:t>ly reduce</w:t>
      </w:r>
      <w:r w:rsidR="0064203D" w:rsidRPr="001F566E">
        <w:rPr>
          <w:rFonts w:ascii="Times New Roman" w:hAnsi="Times New Roman" w:cs="Times New Roman"/>
          <w:sz w:val="24"/>
          <w:szCs w:val="24"/>
          <w:lang w:val="en-CA"/>
        </w:rPr>
        <w:t xml:space="preserve"> health impacts of transportation</w:t>
      </w:r>
      <w:r w:rsidR="006007C6">
        <w:rPr>
          <w:rFonts w:ascii="Times New Roman" w:hAnsi="Times New Roman" w:cs="Times New Roman"/>
          <w:sz w:val="24"/>
          <w:szCs w:val="24"/>
          <w:lang w:val="en-CA"/>
        </w:rPr>
        <w:t xml:space="preserve">, drastic measures </w:t>
      </w:r>
      <w:r w:rsidR="0064203D">
        <w:rPr>
          <w:rFonts w:ascii="Times New Roman" w:hAnsi="Times New Roman" w:cs="Times New Roman"/>
          <w:sz w:val="24"/>
          <w:szCs w:val="24"/>
          <w:lang w:val="en-CA"/>
        </w:rPr>
        <w:t>to decrease car share</w:t>
      </w:r>
      <w:r w:rsidRPr="001F566E">
        <w:rPr>
          <w:rFonts w:ascii="Times New Roman" w:hAnsi="Times New Roman" w:cs="Times New Roman"/>
          <w:sz w:val="24"/>
          <w:szCs w:val="24"/>
          <w:lang w:val="en-CA"/>
        </w:rPr>
        <w:t xml:space="preserve"> </w:t>
      </w:r>
      <w:r w:rsidR="006007C6">
        <w:rPr>
          <w:rFonts w:ascii="Times New Roman" w:hAnsi="Times New Roman" w:cs="Times New Roman"/>
          <w:sz w:val="24"/>
          <w:szCs w:val="24"/>
          <w:lang w:val="en-CA"/>
        </w:rPr>
        <w:t xml:space="preserve">and </w:t>
      </w:r>
      <w:r w:rsidR="006E30F6">
        <w:rPr>
          <w:rFonts w:ascii="Times New Roman" w:hAnsi="Times New Roman" w:cs="Times New Roman"/>
          <w:sz w:val="24"/>
          <w:szCs w:val="24"/>
          <w:lang w:val="en-CA"/>
        </w:rPr>
        <w:t xml:space="preserve">to </w:t>
      </w:r>
      <w:r w:rsidR="0064203D">
        <w:rPr>
          <w:rFonts w:ascii="Times New Roman" w:hAnsi="Times New Roman" w:cs="Times New Roman"/>
          <w:sz w:val="24"/>
          <w:szCs w:val="24"/>
          <w:lang w:val="en-CA"/>
        </w:rPr>
        <w:t>densif</w:t>
      </w:r>
      <w:r w:rsidR="006E30F6">
        <w:rPr>
          <w:rFonts w:ascii="Times New Roman" w:hAnsi="Times New Roman" w:cs="Times New Roman"/>
          <w:sz w:val="24"/>
          <w:szCs w:val="24"/>
          <w:lang w:val="en-CA"/>
        </w:rPr>
        <w:t>y</w:t>
      </w:r>
      <w:r w:rsidR="0064203D">
        <w:rPr>
          <w:rFonts w:ascii="Times New Roman" w:hAnsi="Times New Roman" w:cs="Times New Roman"/>
          <w:sz w:val="24"/>
          <w:szCs w:val="24"/>
          <w:lang w:val="en-CA"/>
        </w:rPr>
        <w:t xml:space="preserve"> </w:t>
      </w:r>
      <w:r w:rsidRPr="001F566E">
        <w:rPr>
          <w:rFonts w:ascii="Times New Roman" w:hAnsi="Times New Roman" w:cs="Times New Roman"/>
          <w:sz w:val="24"/>
          <w:szCs w:val="24"/>
          <w:lang w:val="en-CA"/>
        </w:rPr>
        <w:t>urban areas</w:t>
      </w:r>
      <w:r w:rsidR="00680EB5">
        <w:rPr>
          <w:rFonts w:ascii="Times New Roman" w:hAnsi="Times New Roman" w:cs="Times New Roman"/>
          <w:sz w:val="24"/>
          <w:szCs w:val="24"/>
          <w:lang w:val="en-CA"/>
        </w:rPr>
        <w:t>,</w:t>
      </w:r>
      <w:r w:rsidRPr="001F566E">
        <w:rPr>
          <w:rFonts w:ascii="Times New Roman" w:hAnsi="Times New Roman" w:cs="Times New Roman"/>
          <w:sz w:val="24"/>
          <w:szCs w:val="24"/>
          <w:lang w:val="en-CA"/>
        </w:rPr>
        <w:t xml:space="preserve"> where jobs and services are available</w:t>
      </w:r>
      <w:r w:rsidR="00680EB5">
        <w:rPr>
          <w:rFonts w:ascii="Times New Roman" w:hAnsi="Times New Roman" w:cs="Times New Roman"/>
          <w:sz w:val="24"/>
          <w:szCs w:val="24"/>
          <w:lang w:val="en-CA"/>
        </w:rPr>
        <w:t>, are necessary</w:t>
      </w:r>
      <w:r w:rsidR="0089313A" w:rsidRPr="001F566E">
        <w:rPr>
          <w:rFonts w:ascii="Times New Roman" w:hAnsi="Times New Roman" w:cs="Times New Roman"/>
          <w:sz w:val="24"/>
          <w:szCs w:val="24"/>
          <w:lang w:val="en-CA"/>
        </w:rPr>
        <w:t>.</w:t>
      </w:r>
    </w:p>
    <w:p w14:paraId="39E20737" w14:textId="77777777" w:rsidR="0050326F" w:rsidRPr="00890789" w:rsidRDefault="0050326F" w:rsidP="00890789">
      <w:pPr>
        <w:tabs>
          <w:tab w:val="left" w:pos="3147"/>
        </w:tabs>
        <w:spacing w:after="0" w:line="480" w:lineRule="auto"/>
        <w:jc w:val="both"/>
        <w:rPr>
          <w:rFonts w:ascii="Times New Roman" w:hAnsi="Times New Roman" w:cs="Times New Roman"/>
          <w:b/>
          <w:sz w:val="24"/>
          <w:szCs w:val="24"/>
          <w:lang w:val="en-CA"/>
        </w:rPr>
      </w:pPr>
    </w:p>
    <w:p w14:paraId="2F3BA43F" w14:textId="77777777" w:rsidR="00D45BC0" w:rsidRDefault="00D45BC0" w:rsidP="00890789">
      <w:pPr>
        <w:tabs>
          <w:tab w:val="left" w:pos="3147"/>
        </w:tabs>
        <w:spacing w:after="0" w:line="480" w:lineRule="auto"/>
        <w:jc w:val="both"/>
        <w:rPr>
          <w:rFonts w:ascii="Times New Roman" w:hAnsi="Times New Roman" w:cs="Times New Roman"/>
          <w:sz w:val="24"/>
          <w:szCs w:val="24"/>
          <w:lang w:val="en-CA"/>
        </w:rPr>
      </w:pPr>
      <w:r w:rsidRPr="00890789">
        <w:rPr>
          <w:rFonts w:ascii="Times New Roman" w:hAnsi="Times New Roman" w:cs="Times New Roman"/>
          <w:b/>
          <w:sz w:val="24"/>
          <w:szCs w:val="24"/>
          <w:lang w:val="en-CA"/>
        </w:rPr>
        <w:t>Supporting Information</w:t>
      </w:r>
      <w:r w:rsidR="0098182D" w:rsidRPr="00890789">
        <w:rPr>
          <w:rFonts w:ascii="Times New Roman" w:hAnsi="Times New Roman" w:cs="Times New Roman"/>
          <w:b/>
          <w:sz w:val="24"/>
          <w:szCs w:val="24"/>
          <w:lang w:val="en-CA"/>
        </w:rPr>
        <w:t xml:space="preserve"> (SI)</w:t>
      </w:r>
      <w:r w:rsidR="0098182D">
        <w:rPr>
          <w:rFonts w:ascii="Times New Roman" w:hAnsi="Times New Roman" w:cs="Times New Roman"/>
          <w:b/>
          <w:sz w:val="24"/>
          <w:szCs w:val="24"/>
          <w:lang w:val="en-CA"/>
        </w:rPr>
        <w:t>:</w:t>
      </w:r>
      <w:r w:rsidRPr="00890789">
        <w:rPr>
          <w:rFonts w:ascii="Times New Roman" w:hAnsi="Times New Roman" w:cs="Times New Roman"/>
          <w:sz w:val="24"/>
          <w:szCs w:val="24"/>
          <w:lang w:val="en-CA"/>
        </w:rPr>
        <w:t xml:space="preserve"> </w:t>
      </w:r>
      <w:r w:rsidR="0098182D" w:rsidRPr="00890789">
        <w:rPr>
          <w:rFonts w:ascii="Times New Roman" w:hAnsi="Times New Roman" w:cs="Times New Roman"/>
          <w:sz w:val="24"/>
          <w:szCs w:val="24"/>
          <w:lang w:val="en-CA"/>
        </w:rPr>
        <w:t>Contains outline of methods, description of scenarios</w:t>
      </w:r>
      <w:r w:rsidR="0098182D">
        <w:rPr>
          <w:rFonts w:ascii="Times New Roman" w:hAnsi="Times New Roman" w:cs="Times New Roman"/>
          <w:sz w:val="24"/>
          <w:szCs w:val="24"/>
          <w:lang w:val="en-CA"/>
        </w:rPr>
        <w:t>,</w:t>
      </w:r>
      <w:r w:rsidR="0098182D" w:rsidRPr="00890789">
        <w:rPr>
          <w:rFonts w:ascii="Times New Roman" w:hAnsi="Times New Roman" w:cs="Times New Roman"/>
          <w:sz w:val="24"/>
          <w:szCs w:val="24"/>
          <w:lang w:val="en-CA"/>
        </w:rPr>
        <w:t xml:space="preserve"> projection</w:t>
      </w:r>
      <w:r w:rsidR="0098182D">
        <w:rPr>
          <w:rFonts w:ascii="Times New Roman" w:hAnsi="Times New Roman" w:cs="Times New Roman"/>
          <w:sz w:val="24"/>
          <w:szCs w:val="24"/>
          <w:lang w:val="en-CA"/>
        </w:rPr>
        <w:t>s</w:t>
      </w:r>
      <w:r w:rsidR="0098182D" w:rsidRPr="00890789">
        <w:rPr>
          <w:rFonts w:ascii="Times New Roman" w:hAnsi="Times New Roman" w:cs="Times New Roman"/>
          <w:sz w:val="24"/>
          <w:szCs w:val="24"/>
          <w:lang w:val="en-CA"/>
        </w:rPr>
        <w:t xml:space="preserve"> of population and transportation demand </w:t>
      </w:r>
      <w:r w:rsidR="0098182D">
        <w:rPr>
          <w:rFonts w:ascii="Times New Roman" w:hAnsi="Times New Roman" w:cs="Times New Roman"/>
          <w:sz w:val="24"/>
          <w:szCs w:val="24"/>
          <w:lang w:val="en-CA"/>
        </w:rPr>
        <w:t xml:space="preserve">for </w:t>
      </w:r>
      <w:r w:rsidR="00F46BD2">
        <w:rPr>
          <w:rFonts w:ascii="Times New Roman" w:hAnsi="Times New Roman" w:cs="Times New Roman"/>
          <w:sz w:val="24"/>
          <w:szCs w:val="24"/>
          <w:lang w:val="en-CA"/>
        </w:rPr>
        <w:t>Y2031</w:t>
      </w:r>
      <w:r w:rsidR="0098182D">
        <w:rPr>
          <w:rFonts w:ascii="Times New Roman" w:hAnsi="Times New Roman" w:cs="Times New Roman"/>
          <w:sz w:val="24"/>
          <w:szCs w:val="24"/>
          <w:lang w:val="en-CA"/>
        </w:rPr>
        <w:t xml:space="preserve"> </w:t>
      </w:r>
      <w:r w:rsidR="0098182D" w:rsidRPr="00890789">
        <w:rPr>
          <w:rFonts w:ascii="Times New Roman" w:hAnsi="Times New Roman" w:cs="Times New Roman"/>
          <w:sz w:val="24"/>
          <w:szCs w:val="24"/>
          <w:lang w:val="en-CA"/>
        </w:rPr>
        <w:t>and additional results</w:t>
      </w:r>
      <w:r w:rsidR="0098182D">
        <w:rPr>
          <w:rFonts w:ascii="Times New Roman" w:hAnsi="Times New Roman" w:cs="Times New Roman"/>
          <w:sz w:val="24"/>
          <w:szCs w:val="24"/>
          <w:lang w:val="en-CA"/>
        </w:rPr>
        <w:t xml:space="preserve"> for </w:t>
      </w:r>
      <w:r w:rsidR="00F46BD2">
        <w:rPr>
          <w:rFonts w:ascii="Times New Roman" w:hAnsi="Times New Roman" w:cs="Times New Roman"/>
          <w:sz w:val="24"/>
          <w:szCs w:val="24"/>
          <w:lang w:val="en-CA"/>
        </w:rPr>
        <w:t>Y2031</w:t>
      </w:r>
      <w:r w:rsidR="0098182D">
        <w:rPr>
          <w:rFonts w:ascii="Times New Roman" w:hAnsi="Times New Roman" w:cs="Times New Roman"/>
          <w:sz w:val="24"/>
          <w:szCs w:val="24"/>
          <w:lang w:val="en-CA"/>
        </w:rPr>
        <w:t xml:space="preserve"> and </w:t>
      </w:r>
      <w:r w:rsidR="00B0416C">
        <w:rPr>
          <w:rFonts w:ascii="Times New Roman" w:hAnsi="Times New Roman" w:cs="Times New Roman"/>
          <w:sz w:val="24"/>
          <w:szCs w:val="24"/>
          <w:lang w:val="en-CA"/>
        </w:rPr>
        <w:t>Y2061</w:t>
      </w:r>
      <w:r w:rsidR="0098182D" w:rsidRPr="00890789">
        <w:rPr>
          <w:rFonts w:ascii="Times New Roman" w:hAnsi="Times New Roman" w:cs="Times New Roman"/>
          <w:sz w:val="24"/>
          <w:szCs w:val="24"/>
          <w:lang w:val="en-CA"/>
        </w:rPr>
        <w:t>.</w:t>
      </w:r>
    </w:p>
    <w:p w14:paraId="1E18C182" w14:textId="77777777" w:rsidR="00581029" w:rsidRDefault="00581029" w:rsidP="00890789">
      <w:pPr>
        <w:tabs>
          <w:tab w:val="left" w:pos="3147"/>
        </w:tabs>
        <w:spacing w:after="0" w:line="480" w:lineRule="auto"/>
        <w:jc w:val="both"/>
        <w:rPr>
          <w:rFonts w:ascii="Times New Roman" w:hAnsi="Times New Roman" w:cs="Times New Roman"/>
          <w:sz w:val="24"/>
          <w:szCs w:val="24"/>
          <w:lang w:val="en-CA"/>
        </w:rPr>
      </w:pPr>
    </w:p>
    <w:p w14:paraId="36C449AE" w14:textId="77777777" w:rsidR="0084575D" w:rsidRDefault="00581029" w:rsidP="0084575D">
      <w:pPr>
        <w:tabs>
          <w:tab w:val="left" w:pos="3147"/>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ACKNOWLEDGEMENT</w:t>
      </w:r>
      <w:r>
        <w:rPr>
          <w:rFonts w:ascii="Times New Roman" w:hAnsi="Times New Roman" w:cs="Times New Roman"/>
          <w:sz w:val="24"/>
          <w:szCs w:val="24"/>
        </w:rPr>
        <w:t xml:space="preserve">: </w:t>
      </w:r>
      <w:r w:rsidRPr="00CF65A6">
        <w:rPr>
          <w:rFonts w:ascii="Times New Roman" w:hAnsi="Times New Roman" w:cs="Times New Roman"/>
          <w:sz w:val="24"/>
          <w:szCs w:val="24"/>
        </w:rPr>
        <w:t>We thank Louiselle Sioui and the Ministry of transportation of Quebec for data access and the support for corre</w:t>
      </w:r>
      <w:r>
        <w:rPr>
          <w:rFonts w:ascii="Times New Roman" w:hAnsi="Times New Roman" w:cs="Times New Roman"/>
          <w:sz w:val="24"/>
          <w:szCs w:val="24"/>
        </w:rPr>
        <w:t>c</w:t>
      </w:r>
      <w:r w:rsidRPr="00CF65A6">
        <w:rPr>
          <w:rFonts w:ascii="Times New Roman" w:hAnsi="Times New Roman" w:cs="Times New Roman"/>
          <w:sz w:val="24"/>
          <w:szCs w:val="24"/>
        </w:rPr>
        <w:t>t data use.</w:t>
      </w:r>
    </w:p>
    <w:p w14:paraId="234B6D8E" w14:textId="77777777" w:rsidR="0084575D" w:rsidRDefault="0084575D" w:rsidP="0084575D">
      <w:pPr>
        <w:tabs>
          <w:tab w:val="left" w:pos="3147"/>
        </w:tabs>
        <w:spacing w:after="0" w:line="480" w:lineRule="auto"/>
        <w:jc w:val="both"/>
        <w:rPr>
          <w:rFonts w:ascii="Times New Roman" w:hAnsi="Times New Roman" w:cs="Times New Roman"/>
          <w:sz w:val="24"/>
          <w:szCs w:val="24"/>
        </w:rPr>
      </w:pPr>
    </w:p>
    <w:p w14:paraId="1FB6B628" w14:textId="77777777" w:rsidR="00511203" w:rsidRPr="00295FF3" w:rsidRDefault="00511203" w:rsidP="0084575D">
      <w:pPr>
        <w:tabs>
          <w:tab w:val="left" w:pos="3147"/>
        </w:tabs>
        <w:spacing w:after="0" w:line="480" w:lineRule="auto"/>
        <w:jc w:val="both"/>
        <w:rPr>
          <w:rFonts w:ascii="Times New Roman" w:hAnsi="Times New Roman" w:cs="Times New Roman"/>
          <w:sz w:val="24"/>
          <w:szCs w:val="24"/>
        </w:rPr>
      </w:pPr>
      <w:r w:rsidRPr="001F566E">
        <w:rPr>
          <w:rFonts w:ascii="Times New Roman" w:hAnsi="Times New Roman" w:cs="Times New Roman"/>
          <w:b/>
          <w:sz w:val="24"/>
          <w:szCs w:val="24"/>
        </w:rPr>
        <w:t>REFERENCES</w:t>
      </w:r>
    </w:p>
    <w:p w14:paraId="3F76E0A4" w14:textId="77777777" w:rsidR="00F300F3" w:rsidRPr="00270D39" w:rsidRDefault="00F300F3" w:rsidP="00890789">
      <w:pPr>
        <w:spacing w:after="0" w:line="480" w:lineRule="auto"/>
        <w:ind w:left="284" w:hanging="284"/>
        <w:rPr>
          <w:rFonts w:ascii="Times New Roman" w:hAnsi="Times New Roman" w:cs="Times New Roman"/>
          <w:sz w:val="24"/>
          <w:szCs w:val="24"/>
          <w:lang w:val="en-CA"/>
        </w:rPr>
      </w:pPr>
      <w:r w:rsidRPr="00270D39">
        <w:rPr>
          <w:rFonts w:ascii="Times New Roman" w:hAnsi="Times New Roman" w:cs="Times New Roman"/>
          <w:sz w:val="24"/>
          <w:szCs w:val="24"/>
          <w:lang w:val="en-CA"/>
        </w:rPr>
        <w:t>AMT, Agence métropolitaine du transport. 2010. Enquête Origine-Destination 2008: La Mobilité Des Personnes Dans La Région de Montréal; Montréal, QC: Secrétariat à l’Enquête Origine-Destination (OD); 210p.</w:t>
      </w:r>
    </w:p>
    <w:p w14:paraId="4E94D1B0" w14:textId="77777777" w:rsidR="00F300F3" w:rsidRDefault="00F300F3" w:rsidP="00890789">
      <w:pPr>
        <w:spacing w:after="0" w:line="480" w:lineRule="auto"/>
        <w:ind w:left="284" w:hanging="284"/>
        <w:rPr>
          <w:rFonts w:ascii="Times New Roman" w:hAnsi="Times New Roman" w:cs="Times New Roman"/>
          <w:sz w:val="24"/>
          <w:szCs w:val="24"/>
          <w:lang w:val="en-CA"/>
        </w:rPr>
      </w:pPr>
      <w:r w:rsidRPr="00270D39">
        <w:rPr>
          <w:rFonts w:ascii="Times New Roman" w:hAnsi="Times New Roman" w:cs="Times New Roman"/>
          <w:sz w:val="24"/>
          <w:szCs w:val="24"/>
          <w:lang w:val="en-CA"/>
        </w:rPr>
        <w:t>Bešinović</w:t>
      </w:r>
      <w:r>
        <w:rPr>
          <w:rFonts w:ascii="Times New Roman" w:hAnsi="Times New Roman" w:cs="Times New Roman"/>
          <w:sz w:val="24"/>
          <w:szCs w:val="24"/>
          <w:lang w:val="en-CA"/>
        </w:rPr>
        <w:t>,</w:t>
      </w:r>
      <w:r w:rsidRPr="00270D39">
        <w:rPr>
          <w:rFonts w:ascii="Times New Roman" w:hAnsi="Times New Roman" w:cs="Times New Roman"/>
          <w:sz w:val="24"/>
          <w:szCs w:val="24"/>
          <w:lang w:val="en-CA"/>
        </w:rPr>
        <w:t> </w:t>
      </w:r>
      <w:r w:rsidRPr="00F300F3">
        <w:rPr>
          <w:rFonts w:ascii="Times New Roman" w:hAnsi="Times New Roman" w:cs="Times New Roman"/>
          <w:sz w:val="24"/>
          <w:szCs w:val="24"/>
          <w:lang w:val="en-CA"/>
        </w:rPr>
        <w:t>N.</w:t>
      </w:r>
      <w:r>
        <w:rPr>
          <w:rFonts w:ascii="Times New Roman" w:hAnsi="Times New Roman" w:cs="Times New Roman"/>
          <w:sz w:val="24"/>
          <w:szCs w:val="24"/>
          <w:lang w:val="en-CA"/>
        </w:rPr>
        <w:t>, 2020.</w:t>
      </w:r>
      <w:r w:rsidRPr="00270D39">
        <w:rPr>
          <w:rFonts w:ascii="Times New Roman" w:hAnsi="Times New Roman" w:cs="Times New Roman"/>
          <w:sz w:val="24"/>
          <w:szCs w:val="24"/>
          <w:lang w:val="en-CA"/>
        </w:rPr>
        <w:t> Resilience in railway transport systems: a literature review and research agenda, Transp</w:t>
      </w:r>
      <w:r>
        <w:rPr>
          <w:rFonts w:ascii="Times New Roman" w:hAnsi="Times New Roman" w:cs="Times New Roman"/>
          <w:sz w:val="24"/>
          <w:szCs w:val="24"/>
          <w:lang w:val="en-CA"/>
        </w:rPr>
        <w:t>.</w:t>
      </w:r>
      <w:r w:rsidRPr="00270D39">
        <w:rPr>
          <w:rFonts w:ascii="Times New Roman" w:hAnsi="Times New Roman" w:cs="Times New Roman"/>
          <w:sz w:val="24"/>
          <w:szCs w:val="24"/>
          <w:lang w:val="en-CA"/>
        </w:rPr>
        <w:t xml:space="preserve"> Rev</w:t>
      </w:r>
      <w:r>
        <w:rPr>
          <w:rFonts w:ascii="Times New Roman" w:hAnsi="Times New Roman" w:cs="Times New Roman"/>
          <w:sz w:val="24"/>
          <w:szCs w:val="24"/>
          <w:lang w:val="en-CA"/>
        </w:rPr>
        <w:t xml:space="preserve"> (in press)</w:t>
      </w:r>
      <w:r w:rsidRPr="00270D39">
        <w:rPr>
          <w:rFonts w:ascii="Times New Roman" w:hAnsi="Times New Roman" w:cs="Times New Roman"/>
          <w:sz w:val="24"/>
          <w:szCs w:val="24"/>
          <w:lang w:val="en-CA"/>
        </w:rPr>
        <w:t>, DOI: </w:t>
      </w:r>
      <w:hyperlink r:id="rId11" w:history="1">
        <w:r w:rsidRPr="00270D39">
          <w:rPr>
            <w:rFonts w:ascii="Times New Roman" w:hAnsi="Times New Roman" w:cs="Times New Roman"/>
            <w:sz w:val="24"/>
            <w:szCs w:val="24"/>
            <w:lang w:val="en-CA"/>
          </w:rPr>
          <w:t>10.1080/01441647.2020.1728419</w:t>
        </w:r>
      </w:hyperlink>
    </w:p>
    <w:p w14:paraId="3E3D2C2C" w14:textId="77777777" w:rsidR="006A378D" w:rsidRPr="00886946" w:rsidRDefault="006A378D" w:rsidP="00890789">
      <w:pPr>
        <w:spacing w:after="0" w:line="480" w:lineRule="auto"/>
        <w:ind w:left="284" w:hanging="284"/>
        <w:rPr>
          <w:rFonts w:ascii="Times New Roman" w:hAnsi="Times New Roman" w:cs="Times New Roman"/>
          <w:sz w:val="24"/>
          <w:szCs w:val="24"/>
          <w:lang w:val="en-CA"/>
        </w:rPr>
      </w:pPr>
      <w:r w:rsidRPr="00886946">
        <w:rPr>
          <w:rFonts w:ascii="Times New Roman" w:hAnsi="Times New Roman" w:cs="Times New Roman"/>
          <w:sz w:val="24"/>
          <w:szCs w:val="24"/>
          <w:lang w:val="en-CA"/>
        </w:rPr>
        <w:lastRenderedPageBreak/>
        <w:t xml:space="preserve">Chatterjee, K., Gordon, A., 2006. Planning for an unpredictable future: Transport in Great Britain in 2030. Transp. Policy 13, 254–264. </w:t>
      </w:r>
    </w:p>
    <w:p w14:paraId="4BD468A7" w14:textId="77777777" w:rsidR="006A378D" w:rsidRPr="00886946" w:rsidRDefault="006A378D" w:rsidP="00890789">
      <w:pPr>
        <w:spacing w:after="0" w:line="480" w:lineRule="auto"/>
        <w:ind w:left="284" w:hanging="284"/>
        <w:rPr>
          <w:rFonts w:ascii="Times New Roman" w:hAnsi="Times New Roman" w:cs="Times New Roman"/>
          <w:sz w:val="24"/>
          <w:szCs w:val="24"/>
          <w:lang w:val="en-CA"/>
        </w:rPr>
      </w:pPr>
      <w:r w:rsidRPr="00886946">
        <w:rPr>
          <w:rFonts w:ascii="Times New Roman" w:hAnsi="Times New Roman" w:cs="Times New Roman"/>
          <w:sz w:val="24"/>
          <w:szCs w:val="24"/>
          <w:lang w:val="en-CA"/>
        </w:rPr>
        <w:t xml:space="preserve">Chaturvedi, V., Kim, S.H., 2015. Long term energy and emission implications of a global shift to electricity-based public rail transportation system. Energy Policy 81, 176–185. </w:t>
      </w:r>
    </w:p>
    <w:p w14:paraId="2EBFB240" w14:textId="77777777" w:rsidR="006A378D" w:rsidRPr="006A378D" w:rsidRDefault="006A378D" w:rsidP="00890789">
      <w:pPr>
        <w:spacing w:after="0" w:line="480" w:lineRule="auto"/>
        <w:ind w:left="284" w:hanging="284"/>
        <w:rPr>
          <w:rFonts w:ascii="Times New Roman" w:hAnsi="Times New Roman" w:cs="Times New Roman"/>
          <w:sz w:val="24"/>
          <w:szCs w:val="24"/>
          <w:lang w:val="fr-CA"/>
        </w:rPr>
      </w:pPr>
      <w:r w:rsidRPr="00886946">
        <w:rPr>
          <w:rFonts w:ascii="Times New Roman" w:hAnsi="Times New Roman" w:cs="Times New Roman"/>
          <w:sz w:val="24"/>
          <w:szCs w:val="24"/>
          <w:lang w:val="en-CA"/>
        </w:rPr>
        <w:t xml:space="preserve">Chen, H., Goldberg, M., Burnett, R.T., Jerrett, M., Wheeler, A., Villeneuve, P.J., 2013. Long-term exposure to traffic-related air pollution and cardiovascular mortality. </w:t>
      </w:r>
      <w:r w:rsidRPr="006A378D">
        <w:rPr>
          <w:rFonts w:ascii="Times New Roman" w:hAnsi="Times New Roman" w:cs="Times New Roman"/>
          <w:sz w:val="24"/>
          <w:szCs w:val="24"/>
          <w:lang w:val="fr-CA"/>
        </w:rPr>
        <w:t xml:space="preserve">Epidemiology 24, 35–43. </w:t>
      </w:r>
    </w:p>
    <w:p w14:paraId="0B260417" w14:textId="77777777" w:rsidR="006A378D" w:rsidRPr="00886946" w:rsidRDefault="006A378D" w:rsidP="00890789">
      <w:pPr>
        <w:spacing w:after="0" w:line="480" w:lineRule="auto"/>
        <w:ind w:left="284" w:hanging="284"/>
        <w:rPr>
          <w:rFonts w:ascii="Times New Roman" w:hAnsi="Times New Roman" w:cs="Times New Roman"/>
          <w:sz w:val="24"/>
          <w:szCs w:val="24"/>
          <w:lang w:val="en-CA"/>
        </w:rPr>
      </w:pPr>
      <w:r w:rsidRPr="00886946">
        <w:rPr>
          <w:rFonts w:ascii="Times New Roman" w:hAnsi="Times New Roman" w:cs="Times New Roman"/>
          <w:sz w:val="24"/>
          <w:szCs w:val="24"/>
          <w:lang w:val="fr-CA"/>
        </w:rPr>
        <w:t xml:space="preserve">De Nazelle, A., Nieuwenhuijsen, M. J., Antó, J. M., Brauer, M., Briggs, D., Braun-Fahrlander, C., Cavill, N., Cooper, A., Desqueyroux, H., Fruin, S. (2011). </w:t>
      </w:r>
      <w:r w:rsidRPr="00886946">
        <w:rPr>
          <w:rFonts w:ascii="Times New Roman" w:hAnsi="Times New Roman" w:cs="Times New Roman"/>
          <w:sz w:val="24"/>
          <w:szCs w:val="24"/>
          <w:lang w:val="en-CA"/>
        </w:rPr>
        <w:t>Improving health through policies that promote active travel: a review of evidence to support integrated health impact assessment. Environment international, 37(4), 766-777.</w:t>
      </w:r>
    </w:p>
    <w:p w14:paraId="4C779ABB" w14:textId="77777777" w:rsidR="006A378D" w:rsidRPr="00886946" w:rsidRDefault="006A378D" w:rsidP="00890789">
      <w:pPr>
        <w:spacing w:after="0" w:line="480" w:lineRule="auto"/>
        <w:ind w:left="284" w:hanging="284"/>
        <w:rPr>
          <w:rFonts w:ascii="Times New Roman" w:hAnsi="Times New Roman" w:cs="Times New Roman"/>
          <w:sz w:val="24"/>
          <w:szCs w:val="24"/>
          <w:lang w:val="en-CA"/>
        </w:rPr>
      </w:pPr>
      <w:r w:rsidRPr="00886946">
        <w:rPr>
          <w:rFonts w:ascii="Times New Roman" w:hAnsi="Times New Roman" w:cs="Times New Roman"/>
          <w:sz w:val="24"/>
          <w:szCs w:val="24"/>
          <w:lang w:val="en-CA"/>
        </w:rPr>
        <w:t xml:space="preserve">Fuller, D., &amp; Morency, P., 2013. A population approach to transportation planning: Reducing exposure to motor-vehicles. J. Environ. Public Health 2013, 2–7. </w:t>
      </w:r>
    </w:p>
    <w:p w14:paraId="2377D080" w14:textId="77777777" w:rsidR="006A378D" w:rsidRPr="00886946" w:rsidRDefault="006A378D" w:rsidP="00890789">
      <w:pPr>
        <w:spacing w:after="0" w:line="480" w:lineRule="auto"/>
        <w:ind w:left="284" w:hanging="284"/>
        <w:rPr>
          <w:rFonts w:ascii="Times New Roman" w:hAnsi="Times New Roman" w:cs="Times New Roman"/>
          <w:sz w:val="24"/>
          <w:szCs w:val="24"/>
          <w:lang w:val="en-CA"/>
        </w:rPr>
      </w:pPr>
      <w:r w:rsidRPr="00886946">
        <w:rPr>
          <w:rFonts w:ascii="Times New Roman" w:hAnsi="Times New Roman" w:cs="Times New Roman"/>
          <w:sz w:val="24"/>
          <w:szCs w:val="24"/>
          <w:lang w:val="en-CA"/>
        </w:rPr>
        <w:t xml:space="preserve">Han, H., Lin, L., 2017. Predicting growth of city’s built-up land based on scenario planning. Int. Rev. Spat. Plan. Sustain. Dev. 5, 80–92. </w:t>
      </w:r>
    </w:p>
    <w:p w14:paraId="46868CCD" w14:textId="77777777" w:rsidR="006A378D" w:rsidRPr="00886946" w:rsidRDefault="006A378D" w:rsidP="00890789">
      <w:pPr>
        <w:spacing w:after="0" w:line="480" w:lineRule="auto"/>
        <w:ind w:left="284" w:hanging="284"/>
        <w:rPr>
          <w:rFonts w:ascii="Times New Roman" w:hAnsi="Times New Roman" w:cs="Times New Roman"/>
          <w:sz w:val="24"/>
          <w:szCs w:val="24"/>
          <w:lang w:val="en-CA"/>
        </w:rPr>
      </w:pPr>
      <w:r w:rsidRPr="00886946">
        <w:rPr>
          <w:rFonts w:ascii="Times New Roman" w:hAnsi="Times New Roman" w:cs="Times New Roman"/>
          <w:sz w:val="24"/>
          <w:szCs w:val="24"/>
          <w:lang w:val="en-CA"/>
        </w:rPr>
        <w:t xml:space="preserve">Hanley, J., 2001. A heuristic approach to the formulas for population attributable fraction. Journal of Epidemiology &amp; Community Health, 55(7), 508-514. </w:t>
      </w:r>
    </w:p>
    <w:p w14:paraId="32D46732" w14:textId="77777777" w:rsidR="00F300F3" w:rsidRPr="00886946" w:rsidRDefault="00F300F3" w:rsidP="00F300F3">
      <w:pPr>
        <w:spacing w:after="0" w:line="480" w:lineRule="auto"/>
        <w:ind w:left="284" w:hanging="284"/>
        <w:rPr>
          <w:rFonts w:ascii="Times New Roman" w:hAnsi="Times New Roman" w:cs="Times New Roman"/>
          <w:sz w:val="24"/>
          <w:szCs w:val="24"/>
          <w:lang w:val="en-CA"/>
        </w:rPr>
      </w:pPr>
      <w:r w:rsidRPr="00886946">
        <w:rPr>
          <w:rFonts w:ascii="Times New Roman" w:hAnsi="Times New Roman" w:cs="Times New Roman"/>
          <w:sz w:val="24"/>
          <w:szCs w:val="24"/>
          <w:lang w:val="en-CA"/>
        </w:rPr>
        <w:t>HEI (Health Effects Institute Panel on the Health Effects of Traffic-Related Air Pollution). 2010. Traffic-Related Air Pollution: A Critical Review of the Literature on Emissions, Exposure, and Health Effects. HEI Special Report 17. Boston.</w:t>
      </w:r>
    </w:p>
    <w:p w14:paraId="1987B106" w14:textId="77777777" w:rsidR="006A378D" w:rsidRPr="00886946" w:rsidRDefault="006A378D" w:rsidP="00890789">
      <w:pPr>
        <w:spacing w:after="0" w:line="480" w:lineRule="auto"/>
        <w:ind w:left="284" w:hanging="284"/>
        <w:rPr>
          <w:rFonts w:ascii="Times New Roman" w:hAnsi="Times New Roman" w:cs="Times New Roman"/>
          <w:sz w:val="24"/>
          <w:szCs w:val="24"/>
          <w:lang w:val="en-CA"/>
        </w:rPr>
      </w:pPr>
      <w:r w:rsidRPr="00886946">
        <w:rPr>
          <w:rFonts w:ascii="Times New Roman" w:hAnsi="Times New Roman" w:cs="Times New Roman"/>
          <w:sz w:val="24"/>
          <w:szCs w:val="24"/>
          <w:lang w:val="en-CA"/>
        </w:rPr>
        <w:t xml:space="preserve">Hydro-Québec. 2017.  CO2 Emissions and Hydro-Québec Electricity, 1990-2017. Montreal,. Retrieved from https://www.hydroquebec.com/data/developpement-durable/pdf/co2-emissions-electricity-2017.pdf. </w:t>
      </w:r>
    </w:p>
    <w:p w14:paraId="059EEE14" w14:textId="77777777" w:rsidR="006A378D" w:rsidRPr="00886946" w:rsidRDefault="006A378D" w:rsidP="00890789">
      <w:pPr>
        <w:spacing w:after="0" w:line="480" w:lineRule="auto"/>
        <w:ind w:left="284" w:hanging="284"/>
        <w:rPr>
          <w:rFonts w:ascii="Times New Roman" w:hAnsi="Times New Roman" w:cs="Times New Roman"/>
          <w:sz w:val="24"/>
          <w:szCs w:val="24"/>
          <w:lang w:val="en-CA"/>
        </w:rPr>
      </w:pPr>
      <w:r w:rsidRPr="006A378D">
        <w:rPr>
          <w:rFonts w:ascii="Times New Roman" w:hAnsi="Times New Roman" w:cs="Times New Roman"/>
          <w:sz w:val="24"/>
          <w:szCs w:val="24"/>
          <w:lang w:val="fr-CA"/>
        </w:rPr>
        <w:lastRenderedPageBreak/>
        <w:t xml:space="preserve">ISQ - Institut de la Statistique du Quebec., 2014. Perspectives démographiques du Québec et des régions, 2011-2061. </w:t>
      </w:r>
      <w:r w:rsidRPr="00886946">
        <w:rPr>
          <w:rFonts w:ascii="Times New Roman" w:hAnsi="Times New Roman" w:cs="Times New Roman"/>
          <w:sz w:val="24"/>
          <w:szCs w:val="24"/>
          <w:lang w:val="en-CA"/>
        </w:rPr>
        <w:t>Quebec. Retrieved from http://www.stat.gouv.qc.ca/statistiques/population-demographie/perspectives/perspectives-2011-2061.pdf</w:t>
      </w:r>
    </w:p>
    <w:p w14:paraId="3D201FE6" w14:textId="77777777" w:rsidR="006A378D" w:rsidRPr="00886946" w:rsidRDefault="006A378D" w:rsidP="00890789">
      <w:pPr>
        <w:spacing w:after="0" w:line="480" w:lineRule="auto"/>
        <w:ind w:left="284" w:hanging="284"/>
        <w:rPr>
          <w:rFonts w:ascii="Times New Roman" w:hAnsi="Times New Roman" w:cs="Times New Roman"/>
          <w:sz w:val="24"/>
          <w:szCs w:val="24"/>
          <w:lang w:val="en-CA"/>
        </w:rPr>
      </w:pPr>
      <w:r w:rsidRPr="00886946">
        <w:rPr>
          <w:rFonts w:ascii="Times New Roman" w:hAnsi="Times New Roman" w:cs="Times New Roman"/>
          <w:sz w:val="24"/>
          <w:szCs w:val="24"/>
          <w:lang w:val="en-CA"/>
        </w:rPr>
        <w:t>Jeon, C. Y., Lokken, R. P., Hu, F. B., &amp; Van Dam, R. M., 2007. Physical activity of moderate intensity and risk of type 2 diabetes: a systematic review. Diabetes care, 30(3), 744-752.</w:t>
      </w:r>
    </w:p>
    <w:p w14:paraId="1474A1F5" w14:textId="77777777" w:rsidR="006A378D" w:rsidRPr="00886946" w:rsidRDefault="006A378D" w:rsidP="00890789">
      <w:pPr>
        <w:spacing w:after="0" w:line="480" w:lineRule="auto"/>
        <w:ind w:left="284" w:hanging="284"/>
        <w:rPr>
          <w:rFonts w:ascii="Times New Roman" w:hAnsi="Times New Roman" w:cs="Times New Roman"/>
          <w:sz w:val="24"/>
          <w:szCs w:val="24"/>
          <w:lang w:val="en-CA"/>
        </w:rPr>
      </w:pPr>
      <w:r w:rsidRPr="00886946">
        <w:rPr>
          <w:rFonts w:ascii="Times New Roman" w:hAnsi="Times New Roman" w:cs="Times New Roman"/>
          <w:sz w:val="24"/>
          <w:szCs w:val="24"/>
          <w:lang w:val="en-CA"/>
        </w:rPr>
        <w:t>Lee, D.I.-M., Shiroma, E.J., Lobelo, F., Puska, P., Blair, S.N., Katzmarzyk, P.T., 2012. Effect of physical inactivity on major non-communicable diseases worldwide: an analysis of burden of disease and life expectancy. Lancet 380, 219–229.</w:t>
      </w:r>
    </w:p>
    <w:p w14:paraId="597600F4" w14:textId="77777777" w:rsidR="006A378D" w:rsidRPr="00886946" w:rsidRDefault="006A378D" w:rsidP="00890789">
      <w:pPr>
        <w:spacing w:after="0" w:line="480" w:lineRule="auto"/>
        <w:ind w:left="284" w:hanging="284"/>
        <w:rPr>
          <w:rFonts w:ascii="Times New Roman" w:hAnsi="Times New Roman" w:cs="Times New Roman"/>
          <w:sz w:val="24"/>
          <w:szCs w:val="24"/>
          <w:lang w:val="en-CA"/>
        </w:rPr>
      </w:pPr>
      <w:r w:rsidRPr="00886946">
        <w:rPr>
          <w:rFonts w:ascii="Times New Roman" w:hAnsi="Times New Roman" w:cs="Times New Roman"/>
          <w:sz w:val="24"/>
          <w:szCs w:val="24"/>
          <w:lang w:val="en-CA"/>
        </w:rPr>
        <w:t xml:space="preserve">Ma, J., Mitchell, G., Heppenstall, A., 2015. Exploring transport carbon futures using population microsimulation and travel diaries: Beijing to 2030. Transp. Res. Part D Transp. Environ. 37, 108–122. </w:t>
      </w:r>
    </w:p>
    <w:p w14:paraId="1F0F7F63" w14:textId="77777777" w:rsidR="004B6B76" w:rsidRDefault="00F300F3" w:rsidP="00890789">
      <w:pPr>
        <w:spacing w:after="0" w:line="480" w:lineRule="auto"/>
        <w:ind w:left="284" w:hanging="284"/>
        <w:rPr>
          <w:rFonts w:ascii="Times New Roman" w:hAnsi="Times New Roman" w:cs="Times New Roman"/>
          <w:sz w:val="24"/>
          <w:szCs w:val="24"/>
          <w:lang w:val="en-CA"/>
        </w:rPr>
      </w:pPr>
      <w:r w:rsidRPr="00F300F3">
        <w:rPr>
          <w:rFonts w:ascii="Times New Roman" w:hAnsi="Times New Roman" w:cs="Times New Roman"/>
          <w:sz w:val="24"/>
          <w:szCs w:val="24"/>
          <w:lang w:val="en-CA"/>
        </w:rPr>
        <w:t>Nicholas, W,, Vidyanti, I., Caesar, E., Maizlish, N., 2019. Routine Assessment of Health Impacts of Local Transportation Plans: A Case Study From the City of Los Angeles. Am J Public Health 109(3):490-496</w:t>
      </w:r>
      <w:r w:rsidR="004B6B76">
        <w:rPr>
          <w:rFonts w:ascii="Times New Roman" w:hAnsi="Times New Roman" w:cs="Times New Roman"/>
          <w:sz w:val="24"/>
          <w:szCs w:val="24"/>
          <w:lang w:val="en-CA"/>
        </w:rPr>
        <w:t>.</w:t>
      </w:r>
    </w:p>
    <w:p w14:paraId="3096BE46" w14:textId="77777777" w:rsidR="006A378D" w:rsidRPr="00886946" w:rsidRDefault="006A378D" w:rsidP="00890789">
      <w:pPr>
        <w:spacing w:after="0" w:line="480" w:lineRule="auto"/>
        <w:ind w:left="284" w:hanging="284"/>
        <w:rPr>
          <w:rFonts w:ascii="Times New Roman" w:hAnsi="Times New Roman" w:cs="Times New Roman"/>
          <w:sz w:val="24"/>
          <w:szCs w:val="24"/>
          <w:lang w:val="en-CA"/>
        </w:rPr>
      </w:pPr>
      <w:r w:rsidRPr="00886946">
        <w:rPr>
          <w:rFonts w:ascii="Times New Roman" w:hAnsi="Times New Roman" w:cs="Times New Roman"/>
          <w:sz w:val="24"/>
          <w:szCs w:val="24"/>
          <w:lang w:val="en-CA"/>
        </w:rPr>
        <w:t>SAAQ., 2010. Bilan routier 2006 - 2010.   Retrieved from https://saaq.gouv.qc.ca/en/saaq/documents/road-safety-record/</w:t>
      </w:r>
    </w:p>
    <w:p w14:paraId="220E5DF2" w14:textId="77777777" w:rsidR="006A378D" w:rsidRPr="00886946" w:rsidRDefault="006A378D" w:rsidP="00890789">
      <w:pPr>
        <w:spacing w:after="0" w:line="480" w:lineRule="auto"/>
        <w:ind w:left="284" w:hanging="284"/>
        <w:rPr>
          <w:rFonts w:ascii="Times New Roman" w:hAnsi="Times New Roman" w:cs="Times New Roman"/>
          <w:sz w:val="24"/>
          <w:szCs w:val="24"/>
          <w:lang w:val="en-CA"/>
        </w:rPr>
      </w:pPr>
      <w:r w:rsidRPr="00886946">
        <w:rPr>
          <w:rFonts w:ascii="Times New Roman" w:hAnsi="Times New Roman" w:cs="Times New Roman"/>
          <w:sz w:val="24"/>
          <w:szCs w:val="24"/>
          <w:lang w:val="en-CA"/>
        </w:rPr>
        <w:t>Samir, K., &amp; Lutz, W., 2017. The human core of the shared socioeconomic pathways: Population scenarios by age, sex and level of education for all countries to 2100. Global Environmental Change, 42, 181-192.</w:t>
      </w:r>
    </w:p>
    <w:p w14:paraId="1C36D094" w14:textId="77777777" w:rsidR="006A378D" w:rsidRPr="00886946" w:rsidRDefault="006A378D" w:rsidP="00890789">
      <w:pPr>
        <w:spacing w:after="0" w:line="480" w:lineRule="auto"/>
        <w:ind w:left="284" w:hanging="284"/>
        <w:rPr>
          <w:rFonts w:ascii="Times New Roman" w:hAnsi="Times New Roman" w:cs="Times New Roman"/>
          <w:sz w:val="24"/>
          <w:szCs w:val="24"/>
          <w:lang w:val="en-CA"/>
        </w:rPr>
      </w:pPr>
      <w:r w:rsidRPr="00886946">
        <w:rPr>
          <w:rFonts w:ascii="Times New Roman" w:hAnsi="Times New Roman" w:cs="Times New Roman"/>
          <w:sz w:val="24"/>
          <w:szCs w:val="24"/>
          <w:lang w:val="en-CA"/>
        </w:rPr>
        <w:t>Sattelmair, J., Pertman, J., Ding, E. L., Kohl III, H. W., Haskell, W., &amp; Lee, I.-M., 2011. Dose response between physical activity and risk of coronary heart disease: a meta-analysis. Circulation, 124(7), 789-795.</w:t>
      </w:r>
    </w:p>
    <w:p w14:paraId="7DEC7210" w14:textId="77777777" w:rsidR="006A378D" w:rsidRPr="00886946" w:rsidRDefault="006A378D" w:rsidP="00890789">
      <w:pPr>
        <w:spacing w:after="0" w:line="480" w:lineRule="auto"/>
        <w:ind w:left="284" w:hanging="284"/>
        <w:rPr>
          <w:rFonts w:ascii="Times New Roman" w:hAnsi="Times New Roman" w:cs="Times New Roman"/>
          <w:sz w:val="24"/>
          <w:szCs w:val="24"/>
          <w:lang w:val="en-CA"/>
        </w:rPr>
      </w:pPr>
      <w:r w:rsidRPr="00886946">
        <w:rPr>
          <w:rFonts w:ascii="Times New Roman" w:hAnsi="Times New Roman" w:cs="Times New Roman"/>
          <w:sz w:val="24"/>
          <w:szCs w:val="24"/>
          <w:lang w:val="en-CA"/>
        </w:rPr>
        <w:lastRenderedPageBreak/>
        <w:t>Schafer, A., &amp; Victor, D. G., 2000. The future mobility of the world population. Transportation Research Part A: Policy and Practice, 34(3), 171-205.</w:t>
      </w:r>
    </w:p>
    <w:p w14:paraId="72E0C7C5" w14:textId="77777777" w:rsidR="006A378D" w:rsidRPr="006A378D" w:rsidRDefault="006A378D" w:rsidP="00890789">
      <w:pPr>
        <w:spacing w:after="0" w:line="480" w:lineRule="auto"/>
        <w:ind w:left="284" w:hanging="284"/>
        <w:rPr>
          <w:rFonts w:ascii="Times New Roman" w:hAnsi="Times New Roman" w:cs="Times New Roman"/>
          <w:sz w:val="24"/>
          <w:szCs w:val="24"/>
          <w:lang w:val="fr-CA"/>
        </w:rPr>
      </w:pPr>
      <w:r w:rsidRPr="00886946">
        <w:rPr>
          <w:rFonts w:ascii="Times New Roman" w:hAnsi="Times New Roman" w:cs="Times New Roman"/>
          <w:sz w:val="24"/>
          <w:szCs w:val="24"/>
          <w:lang w:val="en-CA"/>
        </w:rPr>
        <w:t xml:space="preserve">Sider, T., Alam, A., Zukari, M., Dugum, H., Goldstein, N., Eluru, N., &amp; Hatzopoulou, M., 2013. Land-use and socio-economics as determinants of traffic emissions and individual exposure to air pollution. </w:t>
      </w:r>
      <w:r w:rsidRPr="006A378D">
        <w:rPr>
          <w:rFonts w:ascii="Times New Roman" w:hAnsi="Times New Roman" w:cs="Times New Roman"/>
          <w:sz w:val="24"/>
          <w:szCs w:val="24"/>
          <w:lang w:val="fr-CA"/>
        </w:rPr>
        <w:t>Journal of Transport Geography, 33, 230-239.</w:t>
      </w:r>
    </w:p>
    <w:p w14:paraId="345CC96D" w14:textId="77777777" w:rsidR="006A378D" w:rsidRPr="00886946" w:rsidRDefault="006A378D" w:rsidP="00890789">
      <w:pPr>
        <w:spacing w:after="0" w:line="480" w:lineRule="auto"/>
        <w:ind w:left="284" w:hanging="284"/>
        <w:rPr>
          <w:rFonts w:ascii="Times New Roman" w:hAnsi="Times New Roman" w:cs="Times New Roman"/>
          <w:sz w:val="24"/>
          <w:szCs w:val="24"/>
          <w:lang w:val="en-CA"/>
        </w:rPr>
      </w:pPr>
      <w:r w:rsidRPr="006A378D">
        <w:rPr>
          <w:rFonts w:ascii="Times New Roman" w:hAnsi="Times New Roman" w:cs="Times New Roman"/>
          <w:sz w:val="24"/>
          <w:szCs w:val="24"/>
          <w:lang w:val="fr-CA"/>
        </w:rPr>
        <w:t xml:space="preserve">Société de transport de Montréal., 2012. Strategic plan 2020. </w:t>
      </w:r>
      <w:r w:rsidRPr="00886946">
        <w:rPr>
          <w:rFonts w:ascii="Times New Roman" w:hAnsi="Times New Roman" w:cs="Times New Roman"/>
          <w:sz w:val="24"/>
          <w:szCs w:val="24"/>
          <w:lang w:val="en-CA"/>
        </w:rPr>
        <w:t>Retrieved from https://www.stm.info/sites/default/files/pdf/en/a-plan_strategique2020.pdf</w:t>
      </w:r>
    </w:p>
    <w:p w14:paraId="66A833FC" w14:textId="77777777" w:rsidR="006A378D" w:rsidRPr="00886946" w:rsidRDefault="006A378D" w:rsidP="00890789">
      <w:pPr>
        <w:spacing w:after="0" w:line="480" w:lineRule="auto"/>
        <w:ind w:left="284" w:hanging="284"/>
        <w:rPr>
          <w:rFonts w:ascii="Times New Roman" w:hAnsi="Times New Roman" w:cs="Times New Roman"/>
          <w:sz w:val="24"/>
          <w:szCs w:val="24"/>
          <w:lang w:val="en-CA"/>
        </w:rPr>
      </w:pPr>
      <w:r w:rsidRPr="00886946">
        <w:rPr>
          <w:rFonts w:ascii="Times New Roman" w:hAnsi="Times New Roman" w:cs="Times New Roman"/>
          <w:sz w:val="24"/>
          <w:szCs w:val="24"/>
          <w:lang w:val="en-CA"/>
        </w:rPr>
        <w:t>Statistics Canada., 2017. Population size and growth in Canada: Key results from the 2016 Census. Retrieved from https://www150.statcan.gc.ca/n1/en/daily-quotidien/170208/dq170208a-eng.pdf?st=SsLyoaNr</w:t>
      </w:r>
    </w:p>
    <w:p w14:paraId="5DDF3F22" w14:textId="77777777" w:rsidR="006A378D" w:rsidRPr="00886946" w:rsidRDefault="006A378D" w:rsidP="00890789">
      <w:pPr>
        <w:spacing w:after="0" w:line="480" w:lineRule="auto"/>
        <w:ind w:left="284" w:hanging="284"/>
        <w:rPr>
          <w:rFonts w:ascii="Times New Roman" w:hAnsi="Times New Roman" w:cs="Times New Roman"/>
          <w:sz w:val="24"/>
          <w:szCs w:val="24"/>
          <w:lang w:val="en-CA"/>
        </w:rPr>
      </w:pPr>
      <w:r w:rsidRPr="006A378D">
        <w:rPr>
          <w:rFonts w:ascii="Times New Roman" w:hAnsi="Times New Roman" w:cs="Times New Roman"/>
          <w:sz w:val="24"/>
          <w:szCs w:val="24"/>
          <w:lang w:val="fr-CA"/>
        </w:rPr>
        <w:t xml:space="preserve">Tanguay, G. A., &amp; Lachapelle, U., 2018. Impacts potentiels du télétravail sur les comportements en transport, la santé et les heures travaillées au Québec. </w:t>
      </w:r>
      <w:r w:rsidRPr="00886946">
        <w:rPr>
          <w:rFonts w:ascii="Times New Roman" w:hAnsi="Times New Roman" w:cs="Times New Roman"/>
          <w:sz w:val="24"/>
          <w:szCs w:val="24"/>
          <w:lang w:val="en-CA"/>
        </w:rPr>
        <w:t>Retrieved from https://cirano.qc.ca/files/publications/2018RP-05.pdf</w:t>
      </w:r>
    </w:p>
    <w:p w14:paraId="5885ED77" w14:textId="77777777" w:rsidR="006A378D" w:rsidRPr="00886946" w:rsidRDefault="006A378D" w:rsidP="00890789">
      <w:pPr>
        <w:spacing w:after="0" w:line="480" w:lineRule="auto"/>
        <w:ind w:left="284" w:hanging="284"/>
        <w:rPr>
          <w:rFonts w:ascii="Times New Roman" w:hAnsi="Times New Roman" w:cs="Times New Roman"/>
          <w:sz w:val="24"/>
          <w:szCs w:val="24"/>
          <w:lang w:val="en-CA"/>
        </w:rPr>
      </w:pPr>
      <w:r w:rsidRPr="00886946">
        <w:rPr>
          <w:rFonts w:ascii="Times New Roman" w:hAnsi="Times New Roman" w:cs="Times New Roman"/>
          <w:sz w:val="24"/>
          <w:szCs w:val="24"/>
          <w:lang w:val="en-CA"/>
        </w:rPr>
        <w:t xml:space="preserve">Tessum, C.W., Hill, J.D., Marshall, J.D., 2014. Life cycle air quality impacts of conventional and alternative light-duty transportation in the United States. Proc. Natl. Acad. Sci. U. S. A. 111, 18490–5. </w:t>
      </w:r>
    </w:p>
    <w:p w14:paraId="24F3E093" w14:textId="77777777" w:rsidR="006A378D" w:rsidRPr="00886946" w:rsidRDefault="006A378D" w:rsidP="00890789">
      <w:pPr>
        <w:spacing w:after="0" w:line="480" w:lineRule="auto"/>
        <w:ind w:left="284" w:hanging="284"/>
        <w:rPr>
          <w:rFonts w:ascii="Times New Roman" w:hAnsi="Times New Roman" w:cs="Times New Roman"/>
          <w:sz w:val="24"/>
          <w:szCs w:val="24"/>
          <w:lang w:val="en-CA"/>
        </w:rPr>
      </w:pPr>
      <w:r w:rsidRPr="00886946">
        <w:rPr>
          <w:rFonts w:ascii="Times New Roman" w:hAnsi="Times New Roman" w:cs="Times New Roman"/>
          <w:sz w:val="24"/>
          <w:szCs w:val="24"/>
          <w:lang w:val="en-CA"/>
        </w:rPr>
        <w:t>Tetreault, L.-F., Doucet, M., Gamache, P., Fournier, M., Brand, A., Kosatsky, T., &amp; Smargiassi, A., 2016. Childhood exposure to ambient air pollutants and the onset of asthma: an administrative cohort study in Québec. Environmental Health Perspectives, 124(8), 1276-1282.</w:t>
      </w:r>
    </w:p>
    <w:p w14:paraId="3AFB21EC" w14:textId="77777777" w:rsidR="006A378D" w:rsidRPr="00886946" w:rsidRDefault="006A378D" w:rsidP="00890789">
      <w:pPr>
        <w:spacing w:after="0" w:line="480" w:lineRule="auto"/>
        <w:ind w:left="284" w:hanging="284"/>
        <w:rPr>
          <w:rFonts w:ascii="Times New Roman" w:hAnsi="Times New Roman" w:cs="Times New Roman"/>
          <w:sz w:val="24"/>
          <w:szCs w:val="24"/>
          <w:lang w:val="en-CA"/>
        </w:rPr>
      </w:pPr>
      <w:r w:rsidRPr="00886946">
        <w:rPr>
          <w:rFonts w:ascii="Times New Roman" w:hAnsi="Times New Roman" w:cs="Times New Roman"/>
          <w:sz w:val="24"/>
          <w:szCs w:val="24"/>
          <w:lang w:val="en-CA"/>
        </w:rPr>
        <w:t xml:space="preserve">Tetreault, L.F., Eluru, N., Hatzopoulou, M., Morency, P., Plante, C., Morency, C., Reynaud, F., Shekarrizfard, M., Shamsunnahar, Y., Faghih Imani, A., Drouin, L., Pelletier, A., Goudreau, </w:t>
      </w:r>
      <w:r w:rsidRPr="00886946">
        <w:rPr>
          <w:rFonts w:ascii="Times New Roman" w:hAnsi="Times New Roman" w:cs="Times New Roman"/>
          <w:sz w:val="24"/>
          <w:szCs w:val="24"/>
          <w:lang w:val="en-CA"/>
        </w:rPr>
        <w:lastRenderedPageBreak/>
        <w:t xml:space="preserve">S., Tessier, F., Gauvin, L., Smargiassi, A., 2018. Estimating the health benefits of planned public transit investments in Montreal. Environ. Res. 160, 412–419. </w:t>
      </w:r>
    </w:p>
    <w:p w14:paraId="4F512F41" w14:textId="77777777" w:rsidR="006A378D" w:rsidRPr="00886946" w:rsidRDefault="006A378D" w:rsidP="00890789">
      <w:pPr>
        <w:spacing w:after="0" w:line="480" w:lineRule="auto"/>
        <w:ind w:left="284" w:hanging="284"/>
        <w:rPr>
          <w:rFonts w:ascii="Times New Roman" w:hAnsi="Times New Roman" w:cs="Times New Roman"/>
          <w:sz w:val="24"/>
          <w:szCs w:val="24"/>
          <w:lang w:val="en-CA"/>
        </w:rPr>
      </w:pPr>
      <w:r w:rsidRPr="00886946">
        <w:rPr>
          <w:rFonts w:ascii="Times New Roman" w:hAnsi="Times New Roman" w:cs="Times New Roman"/>
          <w:sz w:val="24"/>
          <w:szCs w:val="24"/>
          <w:lang w:val="en-CA"/>
        </w:rPr>
        <w:t>Van Kempen, E., Casas, M., Pershagen, G., Foraster, M., 2018. WHO Environmental Noise Guidelines for the European Region: A Systematic Review on Environmental Noise and Cardiovascular and Metabolic Effects: A Summary. Int. J. Environ. Res. Public Health. 22, 15(2).</w:t>
      </w:r>
    </w:p>
    <w:p w14:paraId="788EA641" w14:textId="77777777" w:rsidR="006A378D" w:rsidRPr="00886946" w:rsidRDefault="006A378D" w:rsidP="00890789">
      <w:pPr>
        <w:spacing w:after="0" w:line="480" w:lineRule="auto"/>
        <w:ind w:left="284" w:hanging="284"/>
        <w:rPr>
          <w:rFonts w:ascii="Times New Roman" w:hAnsi="Times New Roman" w:cs="Times New Roman"/>
          <w:sz w:val="24"/>
          <w:szCs w:val="24"/>
          <w:lang w:val="en-CA"/>
        </w:rPr>
      </w:pPr>
      <w:r w:rsidRPr="00886946">
        <w:rPr>
          <w:rFonts w:ascii="Times New Roman" w:hAnsi="Times New Roman" w:cs="Times New Roman"/>
          <w:sz w:val="24"/>
          <w:szCs w:val="24"/>
          <w:lang w:val="en-CA"/>
        </w:rPr>
        <w:t xml:space="preserve">Vermeiren, K., Van Rompaey, A., Loopmans, M., Serwajja, E., Mukwaya, P., 2012. Urban growth of Kampala, Uganda: Pattern analysis and scenario development. Landsc. Urban Plan. 106, 199–206. </w:t>
      </w:r>
    </w:p>
    <w:p w14:paraId="138CFD0F" w14:textId="77777777" w:rsidR="006A378D" w:rsidRPr="00886946" w:rsidRDefault="006A378D" w:rsidP="00890789">
      <w:pPr>
        <w:spacing w:after="0" w:line="480" w:lineRule="auto"/>
        <w:ind w:left="284" w:hanging="284"/>
        <w:rPr>
          <w:rFonts w:ascii="Times New Roman" w:hAnsi="Times New Roman" w:cs="Times New Roman"/>
          <w:sz w:val="24"/>
          <w:szCs w:val="24"/>
          <w:lang w:val="en-CA"/>
        </w:rPr>
      </w:pPr>
      <w:r w:rsidRPr="00886946">
        <w:rPr>
          <w:rFonts w:ascii="Times New Roman" w:hAnsi="Times New Roman" w:cs="Times New Roman"/>
          <w:sz w:val="24"/>
          <w:szCs w:val="24"/>
          <w:lang w:val="en-CA"/>
        </w:rPr>
        <w:t xml:space="preserve">Wang, A., Stogios, C., Gai, Y., Vaughan, J., Ozonder, G., Lee, S. J., Posen, D., Miller, E.J., Hatzopoulou, M., 2018. Automated, electric, or both ? Investigating the effects of transportation and technology scenarios on metropolitan greenhouse gas emissions. Sustainable Cities and Society 40, 524–533.  </w:t>
      </w:r>
    </w:p>
    <w:p w14:paraId="22D4DC3A" w14:textId="77777777" w:rsidR="006A378D" w:rsidRPr="00886946" w:rsidRDefault="006A378D" w:rsidP="00890789">
      <w:pPr>
        <w:spacing w:after="0" w:line="480" w:lineRule="auto"/>
        <w:ind w:left="284" w:hanging="284"/>
        <w:rPr>
          <w:rFonts w:ascii="Times New Roman" w:hAnsi="Times New Roman" w:cs="Times New Roman"/>
          <w:sz w:val="24"/>
          <w:szCs w:val="24"/>
          <w:lang w:val="en-CA"/>
        </w:rPr>
      </w:pPr>
      <w:r w:rsidRPr="00886946">
        <w:rPr>
          <w:rFonts w:ascii="Times New Roman" w:hAnsi="Times New Roman" w:cs="Times New Roman"/>
          <w:sz w:val="24"/>
          <w:szCs w:val="24"/>
          <w:lang w:val="en-CA"/>
        </w:rPr>
        <w:t xml:space="preserve">WHO, 2013. WHO methods and data sources for global burden of disease estimates 2000-2011 Retrieved from </w:t>
      </w:r>
      <w:hyperlink r:id="rId12" w:history="1">
        <w:r w:rsidRPr="00886946">
          <w:rPr>
            <w:rStyle w:val="Hyperlink"/>
            <w:rFonts w:ascii="Times New Roman" w:hAnsi="Times New Roman" w:cs="Times New Roman"/>
            <w:sz w:val="24"/>
            <w:szCs w:val="24"/>
            <w:lang w:val="en-CA"/>
          </w:rPr>
          <w:t>https://www.who.int/healthinfo/statistics/GlobalDALYmethods_2000_2011.pdf</w:t>
        </w:r>
      </w:hyperlink>
    </w:p>
    <w:p w14:paraId="5B116440" w14:textId="77777777" w:rsidR="006A378D" w:rsidRPr="00886946" w:rsidRDefault="006A378D" w:rsidP="00890789">
      <w:pPr>
        <w:spacing w:after="0" w:line="480" w:lineRule="auto"/>
        <w:ind w:left="284" w:hanging="284"/>
        <w:rPr>
          <w:rFonts w:ascii="Times New Roman" w:hAnsi="Times New Roman" w:cs="Times New Roman"/>
          <w:sz w:val="24"/>
          <w:szCs w:val="24"/>
          <w:lang w:val="en-CA"/>
        </w:rPr>
      </w:pPr>
      <w:r w:rsidRPr="00886946">
        <w:rPr>
          <w:rFonts w:ascii="Times New Roman" w:hAnsi="Times New Roman" w:cs="Times New Roman"/>
          <w:sz w:val="24"/>
          <w:szCs w:val="24"/>
          <w:lang w:val="en-CA"/>
        </w:rPr>
        <w:t>Wolin, K. Y., Yan, Y., Colditz, G. A., &amp; Lee, I., 2009. Physical activity and colon cancer prevention: a meta-analysis. British journal of cancer, 100(4), 611.</w:t>
      </w:r>
    </w:p>
    <w:p w14:paraId="453FDA85" w14:textId="77777777" w:rsidR="006A378D" w:rsidRPr="00886946" w:rsidRDefault="006A378D" w:rsidP="00890789">
      <w:pPr>
        <w:spacing w:after="0" w:line="480" w:lineRule="auto"/>
        <w:ind w:left="284" w:hanging="284"/>
        <w:rPr>
          <w:rFonts w:ascii="Times New Roman" w:hAnsi="Times New Roman" w:cs="Times New Roman"/>
          <w:sz w:val="24"/>
          <w:szCs w:val="24"/>
        </w:rPr>
      </w:pPr>
      <w:r w:rsidRPr="00886946">
        <w:rPr>
          <w:rFonts w:ascii="Times New Roman" w:hAnsi="Times New Roman" w:cs="Times New Roman"/>
          <w:sz w:val="24"/>
          <w:szCs w:val="24"/>
          <w:lang w:val="en-CA"/>
        </w:rPr>
        <w:t xml:space="preserve">Woodcock, J., Edwards, P., Tonne, C., Armstrong, B.G., Ashiru, O., Banister, D., Beevers, S., Chalabi, Z., Chowdhury, Z., Cohen, A., Franco, O.H., Haines, A., Hickman, R., Lindsay, G., Mittal, I., Mohan, D., Tiwari, G., Woodward, A., Roberts, I., 2009. Public health benefits of strategies to reduce greenhouse-gas emissions: urban land transport. </w:t>
      </w:r>
      <w:r w:rsidRPr="00886946">
        <w:rPr>
          <w:rFonts w:ascii="Times New Roman" w:hAnsi="Times New Roman" w:cs="Times New Roman"/>
          <w:sz w:val="24"/>
          <w:szCs w:val="24"/>
        </w:rPr>
        <w:t xml:space="preserve">Lancet 374, 1930–1943. </w:t>
      </w:r>
    </w:p>
    <w:p w14:paraId="3DAEF00A" w14:textId="77777777" w:rsidR="006A378D" w:rsidRPr="00886946" w:rsidRDefault="006A378D" w:rsidP="00890789">
      <w:pPr>
        <w:spacing w:after="0" w:line="480" w:lineRule="auto"/>
        <w:ind w:left="284" w:hanging="284"/>
        <w:rPr>
          <w:rFonts w:ascii="Times New Roman" w:hAnsi="Times New Roman" w:cs="Times New Roman"/>
          <w:sz w:val="24"/>
          <w:szCs w:val="24"/>
          <w:lang w:val="en-CA"/>
        </w:rPr>
      </w:pPr>
      <w:r w:rsidRPr="006A378D">
        <w:rPr>
          <w:rFonts w:ascii="Times New Roman" w:hAnsi="Times New Roman" w:cs="Times New Roman"/>
          <w:sz w:val="24"/>
          <w:szCs w:val="24"/>
          <w:lang w:val="en-CA"/>
        </w:rPr>
        <w:t xml:space="preserve">Wu, Y., Zhang, D., Kang, S., 2013. </w:t>
      </w:r>
      <w:r w:rsidRPr="00886946">
        <w:rPr>
          <w:rFonts w:ascii="Times New Roman" w:hAnsi="Times New Roman" w:cs="Times New Roman"/>
          <w:sz w:val="24"/>
          <w:szCs w:val="24"/>
          <w:lang w:val="en-CA"/>
        </w:rPr>
        <w:t>Physical activity and risk of breast cancer: a metaanalysis</w:t>
      </w:r>
    </w:p>
    <w:p w14:paraId="7B3B93A9" w14:textId="77777777" w:rsidR="006A378D" w:rsidRPr="00886946" w:rsidRDefault="006A378D" w:rsidP="00890789">
      <w:pPr>
        <w:spacing w:after="0" w:line="480" w:lineRule="auto"/>
        <w:ind w:left="284" w:hanging="284"/>
        <w:rPr>
          <w:rFonts w:ascii="Times New Roman" w:hAnsi="Times New Roman" w:cs="Times New Roman"/>
          <w:sz w:val="24"/>
          <w:szCs w:val="24"/>
          <w:lang w:val="en-CA"/>
        </w:rPr>
      </w:pPr>
      <w:r w:rsidRPr="00886946">
        <w:rPr>
          <w:rFonts w:ascii="Times New Roman" w:hAnsi="Times New Roman" w:cs="Times New Roman"/>
          <w:sz w:val="24"/>
          <w:szCs w:val="24"/>
          <w:lang w:val="en-CA"/>
        </w:rPr>
        <w:lastRenderedPageBreak/>
        <w:t>of prospective studies. Breast Cancer Res. Treat. 137 (3), 869–882.</w:t>
      </w:r>
    </w:p>
    <w:p w14:paraId="379CA70B" w14:textId="77777777" w:rsidR="006A378D" w:rsidRPr="00886946" w:rsidRDefault="006A378D" w:rsidP="00890789">
      <w:pPr>
        <w:spacing w:after="0" w:line="480" w:lineRule="auto"/>
        <w:ind w:left="284" w:hanging="284"/>
        <w:rPr>
          <w:rFonts w:ascii="Times New Roman" w:hAnsi="Times New Roman" w:cs="Times New Roman"/>
          <w:sz w:val="24"/>
          <w:szCs w:val="24"/>
          <w:lang w:val="en-CA"/>
        </w:rPr>
      </w:pPr>
      <w:r w:rsidRPr="00886946">
        <w:rPr>
          <w:rFonts w:ascii="Times New Roman" w:hAnsi="Times New Roman" w:cs="Times New Roman"/>
          <w:sz w:val="24"/>
          <w:szCs w:val="24"/>
        </w:rPr>
        <w:t xml:space="preserve">Xue, X., Ren, Y., Cui, S., Lin, J., Huang, W., Zhou, J., 2015. </w:t>
      </w:r>
      <w:r w:rsidRPr="00886946">
        <w:rPr>
          <w:rFonts w:ascii="Times New Roman" w:hAnsi="Times New Roman" w:cs="Times New Roman"/>
          <w:sz w:val="24"/>
          <w:szCs w:val="24"/>
          <w:lang w:val="en-CA"/>
        </w:rPr>
        <w:t xml:space="preserve">Integrated analysis of GHGs and public health damage mitigation for developing urban road transportation strategies. Transp. Res. Part D Transp. Environ. 35, 84–103. </w:t>
      </w:r>
    </w:p>
    <w:p w14:paraId="0FC11329" w14:textId="77777777" w:rsidR="00986225" w:rsidRPr="00F33A42" w:rsidRDefault="00986225" w:rsidP="00890789">
      <w:pPr>
        <w:widowControl w:val="0"/>
        <w:autoSpaceDE w:val="0"/>
        <w:autoSpaceDN w:val="0"/>
        <w:adjustRightInd w:val="0"/>
        <w:spacing w:line="480" w:lineRule="auto"/>
        <w:ind w:left="480" w:hanging="480"/>
        <w:rPr>
          <w:rFonts w:ascii="Times New Roman" w:hAnsi="Times New Roman" w:cs="Times New Roman"/>
          <w:sz w:val="24"/>
          <w:szCs w:val="24"/>
        </w:rPr>
      </w:pPr>
    </w:p>
    <w:p w14:paraId="7D08CE47" w14:textId="77777777" w:rsidR="002944C8" w:rsidRPr="001F566E" w:rsidRDefault="002944C8" w:rsidP="00890789">
      <w:pPr>
        <w:spacing w:after="0" w:line="480" w:lineRule="auto"/>
        <w:jc w:val="both"/>
        <w:rPr>
          <w:rFonts w:ascii="Times New Roman" w:hAnsi="Times New Roman" w:cs="Times New Roman"/>
          <w:b/>
          <w:sz w:val="24"/>
          <w:szCs w:val="24"/>
        </w:rPr>
      </w:pPr>
    </w:p>
    <w:p w14:paraId="55DE7772" w14:textId="77777777" w:rsidR="002944C8" w:rsidRPr="001F566E" w:rsidRDefault="002944C8" w:rsidP="00890789">
      <w:pPr>
        <w:spacing w:after="0" w:line="480" w:lineRule="auto"/>
        <w:jc w:val="both"/>
      </w:pPr>
    </w:p>
    <w:p w14:paraId="529941C8" w14:textId="77777777" w:rsidR="00F00A9B" w:rsidRDefault="00F00A9B" w:rsidP="00890789">
      <w:pPr>
        <w:spacing w:line="480" w:lineRule="auto"/>
      </w:pPr>
    </w:p>
    <w:sectPr w:rsidR="00F00A9B" w:rsidSect="00D46735">
      <w:footerReference w:type="default" r:id="rId13"/>
      <w:pgSz w:w="12240" w:h="15840"/>
      <w:pgMar w:top="1440" w:right="1440" w:bottom="1440" w:left="1440" w:header="720" w:footer="720"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99896" w14:textId="77777777" w:rsidR="003F55E4" w:rsidRDefault="003F55E4">
      <w:pPr>
        <w:spacing w:after="0" w:line="240" w:lineRule="auto"/>
      </w:pPr>
      <w:r>
        <w:separator/>
      </w:r>
    </w:p>
  </w:endnote>
  <w:endnote w:type="continuationSeparator" w:id="0">
    <w:p w14:paraId="4CFBB0E7" w14:textId="77777777" w:rsidR="003F55E4" w:rsidRDefault="003F5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ont351">
    <w:altName w:val="Times New Roman"/>
    <w:charset w:val="01"/>
    <w:family w:val="auto"/>
    <w:pitch w:val="variable"/>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Noto Sans CJK SC Regular">
    <w:charset w:val="01"/>
    <w:family w:val="auto"/>
    <w:pitch w:val="variable"/>
  </w:font>
  <w:font w:name="Lohit Devanagari">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1F2F5" w14:textId="60D05F2A" w:rsidR="00F33A42" w:rsidRDefault="00F33A42">
    <w:pPr>
      <w:pStyle w:val="Footer"/>
      <w:jc w:val="right"/>
    </w:pPr>
    <w:r>
      <w:fldChar w:fldCharType="begin"/>
    </w:r>
    <w:r>
      <w:instrText xml:space="preserve"> PAGE </w:instrText>
    </w:r>
    <w:r>
      <w:fldChar w:fldCharType="separate"/>
    </w:r>
    <w:r w:rsidR="00CE41E5">
      <w:rPr>
        <w:noProof/>
      </w:rPr>
      <w:t>30</w:t>
    </w:r>
    <w:r>
      <w:fldChar w:fldCharType="end"/>
    </w:r>
  </w:p>
  <w:p w14:paraId="77A26A5B" w14:textId="77777777" w:rsidR="00F33A42" w:rsidRDefault="00F33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B356E" w14:textId="77777777" w:rsidR="003F55E4" w:rsidRDefault="003F55E4">
      <w:pPr>
        <w:spacing w:after="0" w:line="240" w:lineRule="auto"/>
      </w:pPr>
      <w:r>
        <w:separator/>
      </w:r>
    </w:p>
  </w:footnote>
  <w:footnote w:type="continuationSeparator" w:id="0">
    <w:p w14:paraId="2B045C5C" w14:textId="77777777" w:rsidR="003F55E4" w:rsidRDefault="003F5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2FA8"/>
    <w:multiLevelType w:val="hybridMultilevel"/>
    <w:tmpl w:val="EF02E6C8"/>
    <w:lvl w:ilvl="0" w:tplc="0C0C000F">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54"/>
    <w:rsid w:val="00005EEE"/>
    <w:rsid w:val="00016210"/>
    <w:rsid w:val="00026AEF"/>
    <w:rsid w:val="00030ED7"/>
    <w:rsid w:val="000326F0"/>
    <w:rsid w:val="00036951"/>
    <w:rsid w:val="0004447E"/>
    <w:rsid w:val="000456F7"/>
    <w:rsid w:val="0007060D"/>
    <w:rsid w:val="00076525"/>
    <w:rsid w:val="000B0FB1"/>
    <w:rsid w:val="000C5A92"/>
    <w:rsid w:val="000D1301"/>
    <w:rsid w:val="000D5F04"/>
    <w:rsid w:val="000F0096"/>
    <w:rsid w:val="0010069D"/>
    <w:rsid w:val="001047F5"/>
    <w:rsid w:val="00105333"/>
    <w:rsid w:val="00111DF4"/>
    <w:rsid w:val="00126084"/>
    <w:rsid w:val="00136983"/>
    <w:rsid w:val="00145D14"/>
    <w:rsid w:val="00152000"/>
    <w:rsid w:val="00160A8B"/>
    <w:rsid w:val="00163CF1"/>
    <w:rsid w:val="00167418"/>
    <w:rsid w:val="00176054"/>
    <w:rsid w:val="00182001"/>
    <w:rsid w:val="0019057E"/>
    <w:rsid w:val="001A77D6"/>
    <w:rsid w:val="001B01AB"/>
    <w:rsid w:val="001B6E73"/>
    <w:rsid w:val="001C0AFD"/>
    <w:rsid w:val="001D60A8"/>
    <w:rsid w:val="001E22D2"/>
    <w:rsid w:val="001E6C83"/>
    <w:rsid w:val="001F0D1A"/>
    <w:rsid w:val="001F17F7"/>
    <w:rsid w:val="001F566E"/>
    <w:rsid w:val="001F5916"/>
    <w:rsid w:val="0020075B"/>
    <w:rsid w:val="002052FF"/>
    <w:rsid w:val="00205405"/>
    <w:rsid w:val="0021483C"/>
    <w:rsid w:val="00215219"/>
    <w:rsid w:val="00217A22"/>
    <w:rsid w:val="00220233"/>
    <w:rsid w:val="00224899"/>
    <w:rsid w:val="0023255F"/>
    <w:rsid w:val="00233C25"/>
    <w:rsid w:val="00240DF8"/>
    <w:rsid w:val="00241153"/>
    <w:rsid w:val="00241EC0"/>
    <w:rsid w:val="002428E2"/>
    <w:rsid w:val="0025426E"/>
    <w:rsid w:val="00270CAD"/>
    <w:rsid w:val="00270D39"/>
    <w:rsid w:val="002720FC"/>
    <w:rsid w:val="00286A81"/>
    <w:rsid w:val="00290499"/>
    <w:rsid w:val="002915A2"/>
    <w:rsid w:val="002944C8"/>
    <w:rsid w:val="00295FF3"/>
    <w:rsid w:val="00297A54"/>
    <w:rsid w:val="00297BC7"/>
    <w:rsid w:val="002A1E96"/>
    <w:rsid w:val="002B0632"/>
    <w:rsid w:val="002B1024"/>
    <w:rsid w:val="002C1687"/>
    <w:rsid w:val="002D745B"/>
    <w:rsid w:val="002E7304"/>
    <w:rsid w:val="00307CB0"/>
    <w:rsid w:val="003272BE"/>
    <w:rsid w:val="00334F76"/>
    <w:rsid w:val="00336C41"/>
    <w:rsid w:val="00337124"/>
    <w:rsid w:val="0034474D"/>
    <w:rsid w:val="00350923"/>
    <w:rsid w:val="00372633"/>
    <w:rsid w:val="003744E9"/>
    <w:rsid w:val="00375768"/>
    <w:rsid w:val="003770AC"/>
    <w:rsid w:val="003911A6"/>
    <w:rsid w:val="003A2BC4"/>
    <w:rsid w:val="003B331D"/>
    <w:rsid w:val="003B6744"/>
    <w:rsid w:val="003C359D"/>
    <w:rsid w:val="003D06D4"/>
    <w:rsid w:val="003D17F0"/>
    <w:rsid w:val="003D704D"/>
    <w:rsid w:val="003D78AF"/>
    <w:rsid w:val="003E53F9"/>
    <w:rsid w:val="003E5878"/>
    <w:rsid w:val="003E64E0"/>
    <w:rsid w:val="003F30E1"/>
    <w:rsid w:val="003F55E4"/>
    <w:rsid w:val="003F5CCE"/>
    <w:rsid w:val="0041199D"/>
    <w:rsid w:val="00415EAF"/>
    <w:rsid w:val="00430CD0"/>
    <w:rsid w:val="00434F8F"/>
    <w:rsid w:val="00437BA1"/>
    <w:rsid w:val="00443769"/>
    <w:rsid w:val="004573D1"/>
    <w:rsid w:val="004641D5"/>
    <w:rsid w:val="00466ED2"/>
    <w:rsid w:val="00477FFA"/>
    <w:rsid w:val="0049269D"/>
    <w:rsid w:val="0049270D"/>
    <w:rsid w:val="00493653"/>
    <w:rsid w:val="004A21E3"/>
    <w:rsid w:val="004A23C0"/>
    <w:rsid w:val="004A4469"/>
    <w:rsid w:val="004A4C45"/>
    <w:rsid w:val="004B1E90"/>
    <w:rsid w:val="004B2073"/>
    <w:rsid w:val="004B6B76"/>
    <w:rsid w:val="004C3EED"/>
    <w:rsid w:val="004C52AE"/>
    <w:rsid w:val="004E60F2"/>
    <w:rsid w:val="004E6DEC"/>
    <w:rsid w:val="004F19F6"/>
    <w:rsid w:val="0050326F"/>
    <w:rsid w:val="00507D25"/>
    <w:rsid w:val="00511203"/>
    <w:rsid w:val="00515A0A"/>
    <w:rsid w:val="00522D20"/>
    <w:rsid w:val="005253FC"/>
    <w:rsid w:val="00525BEE"/>
    <w:rsid w:val="00535C82"/>
    <w:rsid w:val="00541C36"/>
    <w:rsid w:val="00542B7F"/>
    <w:rsid w:val="005528E3"/>
    <w:rsid w:val="00554B1C"/>
    <w:rsid w:val="00575FC2"/>
    <w:rsid w:val="00581029"/>
    <w:rsid w:val="005839D5"/>
    <w:rsid w:val="0058477C"/>
    <w:rsid w:val="0059275B"/>
    <w:rsid w:val="00592D75"/>
    <w:rsid w:val="00593866"/>
    <w:rsid w:val="00593A22"/>
    <w:rsid w:val="005A665A"/>
    <w:rsid w:val="005B343A"/>
    <w:rsid w:val="005C3AB9"/>
    <w:rsid w:val="005C50B5"/>
    <w:rsid w:val="005C5549"/>
    <w:rsid w:val="005E0922"/>
    <w:rsid w:val="005E1857"/>
    <w:rsid w:val="005E46B3"/>
    <w:rsid w:val="005F033D"/>
    <w:rsid w:val="005F0352"/>
    <w:rsid w:val="005F23E4"/>
    <w:rsid w:val="005F3BB6"/>
    <w:rsid w:val="005F53DB"/>
    <w:rsid w:val="006007C6"/>
    <w:rsid w:val="006123F7"/>
    <w:rsid w:val="00614BDA"/>
    <w:rsid w:val="00641D22"/>
    <w:rsid w:val="0064203D"/>
    <w:rsid w:val="00645B4B"/>
    <w:rsid w:val="006570D9"/>
    <w:rsid w:val="0066129A"/>
    <w:rsid w:val="0066775F"/>
    <w:rsid w:val="00671964"/>
    <w:rsid w:val="00671E1F"/>
    <w:rsid w:val="00680BA4"/>
    <w:rsid w:val="00680EB5"/>
    <w:rsid w:val="00687056"/>
    <w:rsid w:val="00687729"/>
    <w:rsid w:val="006933F9"/>
    <w:rsid w:val="00694FA5"/>
    <w:rsid w:val="006A378D"/>
    <w:rsid w:val="006A50DD"/>
    <w:rsid w:val="006B4B96"/>
    <w:rsid w:val="006B6A22"/>
    <w:rsid w:val="006C2A78"/>
    <w:rsid w:val="006D0551"/>
    <w:rsid w:val="006D3D9D"/>
    <w:rsid w:val="006D63DF"/>
    <w:rsid w:val="006E30F6"/>
    <w:rsid w:val="0070091A"/>
    <w:rsid w:val="00701EB6"/>
    <w:rsid w:val="00707C1F"/>
    <w:rsid w:val="007211F3"/>
    <w:rsid w:val="00725FE6"/>
    <w:rsid w:val="007265A5"/>
    <w:rsid w:val="00735850"/>
    <w:rsid w:val="00746A71"/>
    <w:rsid w:val="007516CF"/>
    <w:rsid w:val="00753BD8"/>
    <w:rsid w:val="007628C9"/>
    <w:rsid w:val="00792DB2"/>
    <w:rsid w:val="007A162D"/>
    <w:rsid w:val="007A753D"/>
    <w:rsid w:val="007B084A"/>
    <w:rsid w:val="007C542E"/>
    <w:rsid w:val="007C708F"/>
    <w:rsid w:val="007D14C4"/>
    <w:rsid w:val="007D3031"/>
    <w:rsid w:val="007D3327"/>
    <w:rsid w:val="007E11A5"/>
    <w:rsid w:val="007E6D1A"/>
    <w:rsid w:val="008035CA"/>
    <w:rsid w:val="00817F26"/>
    <w:rsid w:val="00836BE0"/>
    <w:rsid w:val="0084090B"/>
    <w:rsid w:val="00842043"/>
    <w:rsid w:val="0084409B"/>
    <w:rsid w:val="00844A39"/>
    <w:rsid w:val="0084575D"/>
    <w:rsid w:val="00855592"/>
    <w:rsid w:val="008658A3"/>
    <w:rsid w:val="0088703F"/>
    <w:rsid w:val="00887695"/>
    <w:rsid w:val="00890789"/>
    <w:rsid w:val="00892A70"/>
    <w:rsid w:val="0089313A"/>
    <w:rsid w:val="008A4186"/>
    <w:rsid w:val="008A48A5"/>
    <w:rsid w:val="008B1299"/>
    <w:rsid w:val="008B7003"/>
    <w:rsid w:val="008B739D"/>
    <w:rsid w:val="008D0030"/>
    <w:rsid w:val="008D1EAD"/>
    <w:rsid w:val="008E1475"/>
    <w:rsid w:val="008E7561"/>
    <w:rsid w:val="008E783B"/>
    <w:rsid w:val="008F2D4C"/>
    <w:rsid w:val="00901397"/>
    <w:rsid w:val="009035D9"/>
    <w:rsid w:val="00906123"/>
    <w:rsid w:val="0090793E"/>
    <w:rsid w:val="00916481"/>
    <w:rsid w:val="0092002B"/>
    <w:rsid w:val="00922B7E"/>
    <w:rsid w:val="00926173"/>
    <w:rsid w:val="0094205B"/>
    <w:rsid w:val="00961277"/>
    <w:rsid w:val="00966F72"/>
    <w:rsid w:val="00967953"/>
    <w:rsid w:val="0097399E"/>
    <w:rsid w:val="0098125B"/>
    <w:rsid w:val="0098182D"/>
    <w:rsid w:val="009842E1"/>
    <w:rsid w:val="009842E7"/>
    <w:rsid w:val="00986225"/>
    <w:rsid w:val="00991A3C"/>
    <w:rsid w:val="009C25DB"/>
    <w:rsid w:val="009D4E23"/>
    <w:rsid w:val="009D52A2"/>
    <w:rsid w:val="009D6783"/>
    <w:rsid w:val="009E2B13"/>
    <w:rsid w:val="00A0188B"/>
    <w:rsid w:val="00A02006"/>
    <w:rsid w:val="00A06F36"/>
    <w:rsid w:val="00A12390"/>
    <w:rsid w:val="00A31146"/>
    <w:rsid w:val="00A43419"/>
    <w:rsid w:val="00A57EF8"/>
    <w:rsid w:val="00A76786"/>
    <w:rsid w:val="00A85179"/>
    <w:rsid w:val="00A92FE6"/>
    <w:rsid w:val="00AA1610"/>
    <w:rsid w:val="00AA3586"/>
    <w:rsid w:val="00AA7744"/>
    <w:rsid w:val="00AB6AA4"/>
    <w:rsid w:val="00AC3D45"/>
    <w:rsid w:val="00AD25D3"/>
    <w:rsid w:val="00AD408E"/>
    <w:rsid w:val="00AE44F5"/>
    <w:rsid w:val="00AF0CD9"/>
    <w:rsid w:val="00AF2EDE"/>
    <w:rsid w:val="00B015F0"/>
    <w:rsid w:val="00B02C1E"/>
    <w:rsid w:val="00B03BA4"/>
    <w:rsid w:val="00B0416C"/>
    <w:rsid w:val="00B05B0C"/>
    <w:rsid w:val="00B07BE3"/>
    <w:rsid w:val="00B102FA"/>
    <w:rsid w:val="00B131BB"/>
    <w:rsid w:val="00B30F28"/>
    <w:rsid w:val="00B34738"/>
    <w:rsid w:val="00B43B21"/>
    <w:rsid w:val="00B45A9D"/>
    <w:rsid w:val="00B51486"/>
    <w:rsid w:val="00B53A82"/>
    <w:rsid w:val="00B5604A"/>
    <w:rsid w:val="00B615C0"/>
    <w:rsid w:val="00B6223C"/>
    <w:rsid w:val="00B80AD7"/>
    <w:rsid w:val="00B80ED0"/>
    <w:rsid w:val="00B818F8"/>
    <w:rsid w:val="00B82A62"/>
    <w:rsid w:val="00B85128"/>
    <w:rsid w:val="00B87FA5"/>
    <w:rsid w:val="00BA1538"/>
    <w:rsid w:val="00BA6787"/>
    <w:rsid w:val="00BC05AE"/>
    <w:rsid w:val="00BC174D"/>
    <w:rsid w:val="00BD33BE"/>
    <w:rsid w:val="00BD5ADC"/>
    <w:rsid w:val="00BD6C7D"/>
    <w:rsid w:val="00BF7BB1"/>
    <w:rsid w:val="00C07F42"/>
    <w:rsid w:val="00C330E2"/>
    <w:rsid w:val="00C3706D"/>
    <w:rsid w:val="00C41C47"/>
    <w:rsid w:val="00C5013D"/>
    <w:rsid w:val="00C56B75"/>
    <w:rsid w:val="00C71C0A"/>
    <w:rsid w:val="00C82352"/>
    <w:rsid w:val="00C935A0"/>
    <w:rsid w:val="00C93BE7"/>
    <w:rsid w:val="00CA7A5E"/>
    <w:rsid w:val="00CB60D6"/>
    <w:rsid w:val="00CC4F3C"/>
    <w:rsid w:val="00CC56A1"/>
    <w:rsid w:val="00CD1192"/>
    <w:rsid w:val="00CD4152"/>
    <w:rsid w:val="00CD7BC1"/>
    <w:rsid w:val="00CE41E5"/>
    <w:rsid w:val="00CE60E9"/>
    <w:rsid w:val="00CF1952"/>
    <w:rsid w:val="00CF2EE4"/>
    <w:rsid w:val="00CF65A6"/>
    <w:rsid w:val="00D17F92"/>
    <w:rsid w:val="00D32419"/>
    <w:rsid w:val="00D426CB"/>
    <w:rsid w:val="00D45BC0"/>
    <w:rsid w:val="00D46735"/>
    <w:rsid w:val="00D57FD6"/>
    <w:rsid w:val="00D70C49"/>
    <w:rsid w:val="00D73478"/>
    <w:rsid w:val="00D80B97"/>
    <w:rsid w:val="00D818AE"/>
    <w:rsid w:val="00D83AAC"/>
    <w:rsid w:val="00D8748A"/>
    <w:rsid w:val="00D95773"/>
    <w:rsid w:val="00DA4F70"/>
    <w:rsid w:val="00DC1C65"/>
    <w:rsid w:val="00DC6300"/>
    <w:rsid w:val="00DC6C59"/>
    <w:rsid w:val="00DE5A66"/>
    <w:rsid w:val="00DE67D6"/>
    <w:rsid w:val="00DF158D"/>
    <w:rsid w:val="00DF24DF"/>
    <w:rsid w:val="00DF2C42"/>
    <w:rsid w:val="00DF6DB4"/>
    <w:rsid w:val="00DF703D"/>
    <w:rsid w:val="00DF7356"/>
    <w:rsid w:val="00DF790D"/>
    <w:rsid w:val="00DF7A37"/>
    <w:rsid w:val="00E03E38"/>
    <w:rsid w:val="00E078C0"/>
    <w:rsid w:val="00E13099"/>
    <w:rsid w:val="00E160D7"/>
    <w:rsid w:val="00E165E2"/>
    <w:rsid w:val="00E2424A"/>
    <w:rsid w:val="00E34BF2"/>
    <w:rsid w:val="00E43BE0"/>
    <w:rsid w:val="00E46AC1"/>
    <w:rsid w:val="00E57BBF"/>
    <w:rsid w:val="00E61085"/>
    <w:rsid w:val="00E67029"/>
    <w:rsid w:val="00E67721"/>
    <w:rsid w:val="00E73703"/>
    <w:rsid w:val="00E82DBD"/>
    <w:rsid w:val="00E908EF"/>
    <w:rsid w:val="00E90A6B"/>
    <w:rsid w:val="00EC558B"/>
    <w:rsid w:val="00ED1A72"/>
    <w:rsid w:val="00ED4FCC"/>
    <w:rsid w:val="00EE41B9"/>
    <w:rsid w:val="00EE6154"/>
    <w:rsid w:val="00EE7670"/>
    <w:rsid w:val="00EF3D0A"/>
    <w:rsid w:val="00EF5608"/>
    <w:rsid w:val="00F00A9B"/>
    <w:rsid w:val="00F015ED"/>
    <w:rsid w:val="00F03B06"/>
    <w:rsid w:val="00F12742"/>
    <w:rsid w:val="00F13C8A"/>
    <w:rsid w:val="00F149AF"/>
    <w:rsid w:val="00F17D9F"/>
    <w:rsid w:val="00F2154A"/>
    <w:rsid w:val="00F26EF4"/>
    <w:rsid w:val="00F2717C"/>
    <w:rsid w:val="00F300F3"/>
    <w:rsid w:val="00F305CB"/>
    <w:rsid w:val="00F33A42"/>
    <w:rsid w:val="00F46BD2"/>
    <w:rsid w:val="00F559B4"/>
    <w:rsid w:val="00F621AD"/>
    <w:rsid w:val="00F74A91"/>
    <w:rsid w:val="00F83B60"/>
    <w:rsid w:val="00F92C63"/>
    <w:rsid w:val="00FA0099"/>
    <w:rsid w:val="00FB1D40"/>
    <w:rsid w:val="00FB5EBD"/>
    <w:rsid w:val="00FC10C8"/>
    <w:rsid w:val="00FD233A"/>
    <w:rsid w:val="00FE4BB4"/>
    <w:rsid w:val="00FF4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8251419"/>
  <w15:chartTrackingRefBased/>
  <w15:docId w15:val="{E5AE7643-35C8-4CE7-AC3D-149AAF4C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9" w:lineRule="auto"/>
    </w:pPr>
    <w:rPr>
      <w:rFonts w:ascii="Calibri" w:eastAsia="Calibri" w:hAnsi="Calibri" w:cs="font351"/>
      <w:sz w:val="22"/>
      <w:szCs w:val="22"/>
    </w:rPr>
  </w:style>
  <w:style w:type="paragraph" w:styleId="Heading1">
    <w:name w:val="heading 1"/>
    <w:basedOn w:val="Normal"/>
    <w:next w:val="Normal"/>
    <w:link w:val="Heading1Char"/>
    <w:uiPriority w:val="9"/>
    <w:qFormat/>
    <w:rsid w:val="00D17F92"/>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D17F92"/>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qFormat/>
    <w:pPr>
      <w:spacing w:before="280" w:after="28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CommentReference1">
    <w:name w:val="Comment Reference1"/>
    <w:rPr>
      <w:sz w:val="16"/>
      <w:szCs w:val="16"/>
    </w:rPr>
  </w:style>
  <w:style w:type="character" w:customStyle="1" w:styleId="CommentaireCar">
    <w:name w:val="Commentaire Car"/>
    <w:uiPriority w:val="99"/>
    <w:rPr>
      <w:sz w:val="20"/>
      <w:szCs w:val="20"/>
    </w:rPr>
  </w:style>
  <w:style w:type="character" w:customStyle="1" w:styleId="ObjetducommentaireCar">
    <w:name w:val="Objet du commentaire Car"/>
    <w:rPr>
      <w:b/>
      <w:bCs/>
      <w:sz w:val="20"/>
      <w:szCs w:val="20"/>
    </w:rPr>
  </w:style>
  <w:style w:type="character" w:customStyle="1" w:styleId="TextedebullesCar">
    <w:name w:val="Texte de bulles Car"/>
    <w:rPr>
      <w:rFonts w:ascii="Segoe UI" w:hAnsi="Segoe UI" w:cs="Segoe UI"/>
      <w:sz w:val="18"/>
      <w:szCs w:val="18"/>
    </w:rPr>
  </w:style>
  <w:style w:type="character" w:customStyle="1" w:styleId="Titre3Car">
    <w:name w:val="Titre 3 Car"/>
    <w:rPr>
      <w:rFonts w:ascii="Times New Roman" w:eastAsia="Times New Roman" w:hAnsi="Times New Roman" w:cs="Times New Roman"/>
      <w:b/>
      <w:bCs/>
      <w:sz w:val="27"/>
      <w:szCs w:val="27"/>
    </w:rPr>
  </w:style>
  <w:style w:type="character" w:styleId="Hyperlink">
    <w:name w:val="Hyperlink"/>
    <w:rPr>
      <w:color w:val="0000FF"/>
      <w:u w:val="single"/>
    </w:rPr>
  </w:style>
  <w:style w:type="character" w:customStyle="1" w:styleId="En-tteCar">
    <w:name w:val="En-tête Car"/>
    <w:basedOn w:val="DefaultParagraphFont1"/>
  </w:style>
  <w:style w:type="character" w:customStyle="1" w:styleId="PieddepageCar">
    <w:name w:val="Pied de page Car"/>
    <w:basedOn w:val="DefaultParagraphFont1"/>
  </w:style>
  <w:style w:type="character" w:customStyle="1" w:styleId="ListLabel1">
    <w:name w:val="ListLabel 1"/>
    <w:rPr>
      <w:rFonts w:eastAsia="Calibri" w:cs="Calibri"/>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eastAsia="Calibri" w:cs="Calibri"/>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ascii="Times New Roman" w:hAnsi="Times New Roman" w:cs="Times New Roman"/>
      <w:color w:val="auto"/>
      <w:sz w:val="24"/>
      <w:szCs w:val="24"/>
    </w:rPr>
  </w:style>
  <w:style w:type="paragraph" w:customStyle="1" w:styleId="Heading">
    <w:name w:val="Heading"/>
    <w:basedOn w:val="Normal"/>
    <w:next w:val="BodyTex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customStyle="1" w:styleId="ListParagraph1">
    <w:name w:val="List Paragraph1"/>
    <w:basedOn w:val="Normal"/>
    <w:pPr>
      <w:ind w:left="720"/>
      <w:contextualSpacing/>
    </w:pPr>
  </w:style>
  <w:style w:type="paragraph" w:customStyle="1" w:styleId="CommentText1">
    <w:name w:val="Comment Text1"/>
    <w:basedOn w:val="Normal"/>
    <w:pPr>
      <w:spacing w:line="240" w:lineRule="auto"/>
    </w:pPr>
    <w:rPr>
      <w:sz w:val="20"/>
      <w:szCs w:val="20"/>
    </w:rPr>
  </w:style>
  <w:style w:type="paragraph" w:customStyle="1" w:styleId="CommentSubject1">
    <w:name w:val="Comment Subject1"/>
    <w:basedOn w:val="CommentText1"/>
    <w:rPr>
      <w:b/>
      <w:bCs/>
    </w:rPr>
  </w:style>
  <w:style w:type="paragraph" w:customStyle="1" w:styleId="BalloonText1">
    <w:name w:val="Balloon Text1"/>
    <w:basedOn w:val="Normal"/>
    <w:pPr>
      <w:spacing w:after="0" w:line="240" w:lineRule="auto"/>
    </w:pPr>
    <w:rPr>
      <w:rFonts w:ascii="Segoe UI" w:hAnsi="Segoe UI" w:cs="Segoe UI"/>
      <w:sz w:val="18"/>
      <w:szCs w:val="18"/>
    </w:rPr>
  </w:style>
  <w:style w:type="paragraph" w:customStyle="1" w:styleId="Revision1">
    <w:name w:val="Revision1"/>
    <w:pPr>
      <w:suppressAutoHyphens/>
    </w:pPr>
    <w:rPr>
      <w:rFonts w:ascii="Calibri" w:eastAsia="Calibri" w:hAnsi="Calibri" w:cs="font351"/>
      <w:sz w:val="22"/>
      <w:szCs w:val="22"/>
    </w:rPr>
  </w:style>
  <w:style w:type="paragraph" w:styleId="Header">
    <w:name w:val="header"/>
    <w:basedOn w:val="Normal"/>
    <w:pPr>
      <w:tabs>
        <w:tab w:val="center" w:pos="4320"/>
        <w:tab w:val="right" w:pos="8640"/>
      </w:tabs>
      <w:spacing w:after="0" w:line="240" w:lineRule="auto"/>
    </w:pPr>
  </w:style>
  <w:style w:type="paragraph" w:styleId="Footer">
    <w:name w:val="footer"/>
    <w:basedOn w:val="Normal"/>
    <w:pPr>
      <w:tabs>
        <w:tab w:val="center" w:pos="4320"/>
        <w:tab w:val="right" w:pos="8640"/>
      </w:tabs>
      <w:spacing w:after="0" w:line="240" w:lineRule="auto"/>
    </w:pPr>
  </w:style>
  <w:style w:type="paragraph" w:styleId="BalloonText">
    <w:name w:val="Balloon Text"/>
    <w:basedOn w:val="Normal"/>
    <w:link w:val="BalloonTextChar"/>
    <w:uiPriority w:val="99"/>
    <w:semiHidden/>
    <w:unhideWhenUsed/>
    <w:rsid w:val="0017605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76054"/>
    <w:rPr>
      <w:rFonts w:ascii="Segoe UI" w:eastAsia="Calibri" w:hAnsi="Segoe UI" w:cs="Segoe UI"/>
      <w:sz w:val="18"/>
      <w:szCs w:val="18"/>
      <w:lang w:val="en-US" w:eastAsia="en-US"/>
    </w:rPr>
  </w:style>
  <w:style w:type="character" w:styleId="CommentReference">
    <w:name w:val="annotation reference"/>
    <w:uiPriority w:val="99"/>
    <w:semiHidden/>
    <w:unhideWhenUsed/>
    <w:rsid w:val="00ED4FCC"/>
    <w:rPr>
      <w:sz w:val="16"/>
      <w:szCs w:val="16"/>
    </w:rPr>
  </w:style>
  <w:style w:type="paragraph" w:styleId="CommentText">
    <w:name w:val="annotation text"/>
    <w:basedOn w:val="Normal"/>
    <w:link w:val="CommentTextChar"/>
    <w:uiPriority w:val="99"/>
    <w:unhideWhenUsed/>
    <w:rsid w:val="00ED4FCC"/>
    <w:rPr>
      <w:sz w:val="20"/>
      <w:szCs w:val="20"/>
    </w:rPr>
  </w:style>
  <w:style w:type="character" w:customStyle="1" w:styleId="CommentTextChar">
    <w:name w:val="Comment Text Char"/>
    <w:link w:val="CommentText"/>
    <w:uiPriority w:val="99"/>
    <w:semiHidden/>
    <w:rsid w:val="00ED4FCC"/>
    <w:rPr>
      <w:rFonts w:ascii="Calibri" w:eastAsia="Calibri" w:hAnsi="Calibri" w:cs="font351"/>
      <w:lang w:val="en-US" w:eastAsia="en-US"/>
    </w:rPr>
  </w:style>
  <w:style w:type="paragraph" w:styleId="CommentSubject">
    <w:name w:val="annotation subject"/>
    <w:basedOn w:val="CommentText"/>
    <w:next w:val="CommentText"/>
    <w:link w:val="CommentSubjectChar"/>
    <w:uiPriority w:val="99"/>
    <w:semiHidden/>
    <w:unhideWhenUsed/>
    <w:rsid w:val="00ED4FCC"/>
    <w:rPr>
      <w:b/>
      <w:bCs/>
    </w:rPr>
  </w:style>
  <w:style w:type="character" w:customStyle="1" w:styleId="CommentSubjectChar">
    <w:name w:val="Comment Subject Char"/>
    <w:link w:val="CommentSubject"/>
    <w:uiPriority w:val="99"/>
    <w:semiHidden/>
    <w:rsid w:val="00ED4FCC"/>
    <w:rPr>
      <w:rFonts w:ascii="Calibri" w:eastAsia="Calibri" w:hAnsi="Calibri" w:cs="font351"/>
      <w:b/>
      <w:bCs/>
      <w:lang w:val="en-US" w:eastAsia="en-US"/>
    </w:rPr>
  </w:style>
  <w:style w:type="paragraph" w:styleId="Revision">
    <w:name w:val="Revision"/>
    <w:hidden/>
    <w:uiPriority w:val="99"/>
    <w:semiHidden/>
    <w:rsid w:val="003D78AF"/>
    <w:rPr>
      <w:rFonts w:ascii="Calibri" w:eastAsia="Calibri" w:hAnsi="Calibri" w:cs="font351"/>
      <w:sz w:val="22"/>
      <w:szCs w:val="22"/>
    </w:rPr>
  </w:style>
  <w:style w:type="character" w:customStyle="1" w:styleId="text">
    <w:name w:val="text"/>
    <w:rsid w:val="00B03BA4"/>
  </w:style>
  <w:style w:type="paragraph" w:customStyle="1" w:styleId="Default">
    <w:name w:val="Default"/>
    <w:rsid w:val="00855592"/>
    <w:pPr>
      <w:autoSpaceDE w:val="0"/>
      <w:autoSpaceDN w:val="0"/>
      <w:adjustRightInd w:val="0"/>
    </w:pPr>
    <w:rPr>
      <w:rFonts w:ascii="Calibri" w:hAnsi="Calibri" w:cs="Calibri"/>
      <w:color w:val="000000"/>
      <w:sz w:val="24"/>
      <w:szCs w:val="24"/>
      <w:lang w:val="fr-CA" w:eastAsia="fr-CA"/>
    </w:rPr>
  </w:style>
  <w:style w:type="character" w:styleId="LineNumber">
    <w:name w:val="line number"/>
    <w:uiPriority w:val="99"/>
    <w:semiHidden/>
    <w:unhideWhenUsed/>
    <w:rsid w:val="00890789"/>
  </w:style>
  <w:style w:type="character" w:styleId="Strong">
    <w:name w:val="Strong"/>
    <w:uiPriority w:val="22"/>
    <w:qFormat/>
    <w:rsid w:val="0041199D"/>
    <w:rPr>
      <w:b/>
      <w:bCs/>
    </w:rPr>
  </w:style>
  <w:style w:type="character" w:customStyle="1" w:styleId="authors">
    <w:name w:val="authors"/>
    <w:rsid w:val="002E7304"/>
  </w:style>
  <w:style w:type="character" w:customStyle="1" w:styleId="Date1">
    <w:name w:val="Date1"/>
    <w:rsid w:val="002E7304"/>
  </w:style>
  <w:style w:type="character" w:customStyle="1" w:styleId="arttitle">
    <w:name w:val="art_title"/>
    <w:rsid w:val="002E7304"/>
  </w:style>
  <w:style w:type="character" w:customStyle="1" w:styleId="serialtitle">
    <w:name w:val="serial_title"/>
    <w:rsid w:val="002E7304"/>
  </w:style>
  <w:style w:type="character" w:customStyle="1" w:styleId="doilink">
    <w:name w:val="doi_link"/>
    <w:rsid w:val="002E7304"/>
  </w:style>
  <w:style w:type="character" w:customStyle="1" w:styleId="Heading1Char">
    <w:name w:val="Heading 1 Char"/>
    <w:link w:val="Heading1"/>
    <w:uiPriority w:val="9"/>
    <w:rsid w:val="00D17F92"/>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uiPriority w:val="9"/>
    <w:semiHidden/>
    <w:rsid w:val="00D17F92"/>
    <w:rPr>
      <w:rFonts w:ascii="Calibri Light" w:eastAsia="Times New Roman" w:hAnsi="Calibri Light" w:cs="Times New Roman"/>
      <w:b/>
      <w:bCs/>
      <w:i/>
      <w:iCs/>
      <w:sz w:val="28"/>
      <w:szCs w:val="28"/>
      <w:lang w:val="en-US" w:eastAsia="en-US"/>
    </w:rPr>
  </w:style>
  <w:style w:type="character" w:customStyle="1" w:styleId="size-m">
    <w:name w:val="size-m"/>
    <w:rsid w:val="00D17F92"/>
  </w:style>
  <w:style w:type="character" w:customStyle="1" w:styleId="sr-only">
    <w:name w:val="sr-only"/>
    <w:rsid w:val="00D17F92"/>
  </w:style>
  <w:style w:type="character" w:customStyle="1" w:styleId="title-text">
    <w:name w:val="title-text"/>
    <w:rsid w:val="00D17F92"/>
  </w:style>
  <w:style w:type="character" w:customStyle="1" w:styleId="author-ref">
    <w:name w:val="author-ref"/>
    <w:rsid w:val="00D17F92"/>
  </w:style>
  <w:style w:type="character" w:customStyle="1" w:styleId="highlight">
    <w:name w:val="highlight"/>
    <w:rsid w:val="00D17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42010">
      <w:bodyDiv w:val="1"/>
      <w:marLeft w:val="0"/>
      <w:marRight w:val="0"/>
      <w:marTop w:val="0"/>
      <w:marBottom w:val="0"/>
      <w:divBdr>
        <w:top w:val="none" w:sz="0" w:space="0" w:color="auto"/>
        <w:left w:val="none" w:sz="0" w:space="0" w:color="auto"/>
        <w:bottom w:val="none" w:sz="0" w:space="0" w:color="auto"/>
        <w:right w:val="none" w:sz="0" w:space="0" w:color="auto"/>
      </w:divBdr>
    </w:div>
    <w:div w:id="307323045">
      <w:bodyDiv w:val="1"/>
      <w:marLeft w:val="0"/>
      <w:marRight w:val="0"/>
      <w:marTop w:val="0"/>
      <w:marBottom w:val="0"/>
      <w:divBdr>
        <w:top w:val="none" w:sz="0" w:space="0" w:color="auto"/>
        <w:left w:val="none" w:sz="0" w:space="0" w:color="auto"/>
        <w:bottom w:val="none" w:sz="0" w:space="0" w:color="auto"/>
        <w:right w:val="none" w:sz="0" w:space="0" w:color="auto"/>
      </w:divBdr>
    </w:div>
    <w:div w:id="357463389">
      <w:bodyDiv w:val="1"/>
      <w:marLeft w:val="0"/>
      <w:marRight w:val="0"/>
      <w:marTop w:val="0"/>
      <w:marBottom w:val="0"/>
      <w:divBdr>
        <w:top w:val="none" w:sz="0" w:space="0" w:color="auto"/>
        <w:left w:val="none" w:sz="0" w:space="0" w:color="auto"/>
        <w:bottom w:val="none" w:sz="0" w:space="0" w:color="auto"/>
        <w:right w:val="none" w:sz="0" w:space="0" w:color="auto"/>
      </w:divBdr>
    </w:div>
    <w:div w:id="513497176">
      <w:bodyDiv w:val="1"/>
      <w:marLeft w:val="0"/>
      <w:marRight w:val="0"/>
      <w:marTop w:val="0"/>
      <w:marBottom w:val="0"/>
      <w:divBdr>
        <w:top w:val="none" w:sz="0" w:space="0" w:color="auto"/>
        <w:left w:val="none" w:sz="0" w:space="0" w:color="auto"/>
        <w:bottom w:val="none" w:sz="0" w:space="0" w:color="auto"/>
        <w:right w:val="none" w:sz="0" w:space="0" w:color="auto"/>
      </w:divBdr>
    </w:div>
    <w:div w:id="717554029">
      <w:bodyDiv w:val="1"/>
      <w:marLeft w:val="0"/>
      <w:marRight w:val="0"/>
      <w:marTop w:val="0"/>
      <w:marBottom w:val="0"/>
      <w:divBdr>
        <w:top w:val="none" w:sz="0" w:space="0" w:color="auto"/>
        <w:left w:val="none" w:sz="0" w:space="0" w:color="auto"/>
        <w:bottom w:val="none" w:sz="0" w:space="0" w:color="auto"/>
        <w:right w:val="none" w:sz="0" w:space="0" w:color="auto"/>
      </w:divBdr>
      <w:divsChild>
        <w:div w:id="401026830">
          <w:marLeft w:val="0"/>
          <w:marRight w:val="0"/>
          <w:marTop w:val="0"/>
          <w:marBottom w:val="120"/>
          <w:divBdr>
            <w:top w:val="none" w:sz="0" w:space="0" w:color="auto"/>
            <w:left w:val="none" w:sz="0" w:space="0" w:color="auto"/>
            <w:bottom w:val="single" w:sz="12" w:space="9" w:color="EBEBEB"/>
            <w:right w:val="none" w:sz="0" w:space="0" w:color="auto"/>
          </w:divBdr>
          <w:divsChild>
            <w:div w:id="1505392172">
              <w:marLeft w:val="0"/>
              <w:marRight w:val="0"/>
              <w:marTop w:val="100"/>
              <w:marBottom w:val="100"/>
              <w:divBdr>
                <w:top w:val="none" w:sz="0" w:space="0" w:color="auto"/>
                <w:left w:val="none" w:sz="0" w:space="0" w:color="auto"/>
                <w:bottom w:val="none" w:sz="0" w:space="0" w:color="auto"/>
                <w:right w:val="none" w:sz="0" w:space="0" w:color="auto"/>
              </w:divBdr>
              <w:divsChild>
                <w:div w:id="842162344">
                  <w:marLeft w:val="0"/>
                  <w:marRight w:val="0"/>
                  <w:marTop w:val="0"/>
                  <w:marBottom w:val="0"/>
                  <w:divBdr>
                    <w:top w:val="none" w:sz="0" w:space="0" w:color="auto"/>
                    <w:left w:val="none" w:sz="0" w:space="0" w:color="auto"/>
                    <w:bottom w:val="none" w:sz="0" w:space="0" w:color="auto"/>
                    <w:right w:val="none" w:sz="0" w:space="0" w:color="auto"/>
                  </w:divBdr>
                </w:div>
                <w:div w:id="11109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52345">
          <w:marLeft w:val="0"/>
          <w:marRight w:val="0"/>
          <w:marTop w:val="0"/>
          <w:marBottom w:val="120"/>
          <w:divBdr>
            <w:top w:val="none" w:sz="0" w:space="0" w:color="auto"/>
            <w:left w:val="none" w:sz="0" w:space="0" w:color="auto"/>
            <w:bottom w:val="none" w:sz="0" w:space="0" w:color="auto"/>
            <w:right w:val="none" w:sz="0" w:space="0" w:color="auto"/>
          </w:divBdr>
          <w:divsChild>
            <w:div w:id="48383037">
              <w:marLeft w:val="0"/>
              <w:marRight w:val="0"/>
              <w:marTop w:val="0"/>
              <w:marBottom w:val="0"/>
              <w:divBdr>
                <w:top w:val="none" w:sz="0" w:space="0" w:color="auto"/>
                <w:left w:val="none" w:sz="0" w:space="0" w:color="auto"/>
                <w:bottom w:val="none" w:sz="0" w:space="0" w:color="auto"/>
                <w:right w:val="none" w:sz="0" w:space="0" w:color="auto"/>
              </w:divBdr>
              <w:divsChild>
                <w:div w:id="1214653719">
                  <w:marLeft w:val="0"/>
                  <w:marRight w:val="0"/>
                  <w:marTop w:val="0"/>
                  <w:marBottom w:val="0"/>
                  <w:divBdr>
                    <w:top w:val="none" w:sz="0" w:space="0" w:color="auto"/>
                    <w:left w:val="none" w:sz="0" w:space="0" w:color="auto"/>
                    <w:bottom w:val="none" w:sz="0" w:space="0" w:color="auto"/>
                    <w:right w:val="none" w:sz="0" w:space="0" w:color="auto"/>
                  </w:divBdr>
                  <w:divsChild>
                    <w:div w:id="11738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08826">
      <w:bodyDiv w:val="1"/>
      <w:marLeft w:val="0"/>
      <w:marRight w:val="0"/>
      <w:marTop w:val="0"/>
      <w:marBottom w:val="0"/>
      <w:divBdr>
        <w:top w:val="none" w:sz="0" w:space="0" w:color="auto"/>
        <w:left w:val="none" w:sz="0" w:space="0" w:color="auto"/>
        <w:bottom w:val="none" w:sz="0" w:space="0" w:color="auto"/>
        <w:right w:val="none" w:sz="0" w:space="0" w:color="auto"/>
      </w:divBdr>
    </w:div>
    <w:div w:id="1496913897">
      <w:bodyDiv w:val="1"/>
      <w:marLeft w:val="0"/>
      <w:marRight w:val="0"/>
      <w:marTop w:val="0"/>
      <w:marBottom w:val="0"/>
      <w:divBdr>
        <w:top w:val="none" w:sz="0" w:space="0" w:color="auto"/>
        <w:left w:val="none" w:sz="0" w:space="0" w:color="auto"/>
        <w:bottom w:val="none" w:sz="0" w:space="0" w:color="auto"/>
        <w:right w:val="none" w:sz="0" w:space="0" w:color="auto"/>
      </w:divBdr>
      <w:divsChild>
        <w:div w:id="447165980">
          <w:marLeft w:val="0"/>
          <w:marRight w:val="0"/>
          <w:marTop w:val="0"/>
          <w:marBottom w:val="120"/>
          <w:divBdr>
            <w:top w:val="none" w:sz="0" w:space="0" w:color="auto"/>
            <w:left w:val="none" w:sz="0" w:space="0" w:color="auto"/>
            <w:bottom w:val="none" w:sz="0" w:space="0" w:color="auto"/>
            <w:right w:val="none" w:sz="0" w:space="0" w:color="auto"/>
          </w:divBdr>
          <w:divsChild>
            <w:div w:id="947548559">
              <w:marLeft w:val="0"/>
              <w:marRight w:val="0"/>
              <w:marTop w:val="0"/>
              <w:marBottom w:val="0"/>
              <w:divBdr>
                <w:top w:val="none" w:sz="0" w:space="0" w:color="auto"/>
                <w:left w:val="none" w:sz="0" w:space="0" w:color="auto"/>
                <w:bottom w:val="none" w:sz="0" w:space="0" w:color="auto"/>
                <w:right w:val="none" w:sz="0" w:space="0" w:color="auto"/>
              </w:divBdr>
              <w:divsChild>
                <w:div w:id="1498034184">
                  <w:marLeft w:val="0"/>
                  <w:marRight w:val="0"/>
                  <w:marTop w:val="0"/>
                  <w:marBottom w:val="0"/>
                  <w:divBdr>
                    <w:top w:val="none" w:sz="0" w:space="0" w:color="auto"/>
                    <w:left w:val="none" w:sz="0" w:space="0" w:color="auto"/>
                    <w:bottom w:val="none" w:sz="0" w:space="0" w:color="auto"/>
                    <w:right w:val="none" w:sz="0" w:space="0" w:color="auto"/>
                  </w:divBdr>
                  <w:divsChild>
                    <w:div w:id="5686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33784">
          <w:marLeft w:val="0"/>
          <w:marRight w:val="0"/>
          <w:marTop w:val="0"/>
          <w:marBottom w:val="120"/>
          <w:divBdr>
            <w:top w:val="none" w:sz="0" w:space="0" w:color="auto"/>
            <w:left w:val="none" w:sz="0" w:space="0" w:color="auto"/>
            <w:bottom w:val="single" w:sz="12" w:space="9" w:color="EBEBEB"/>
            <w:right w:val="none" w:sz="0" w:space="0" w:color="auto"/>
          </w:divBdr>
          <w:divsChild>
            <w:div w:id="493881427">
              <w:marLeft w:val="0"/>
              <w:marRight w:val="0"/>
              <w:marTop w:val="100"/>
              <w:marBottom w:val="100"/>
              <w:divBdr>
                <w:top w:val="none" w:sz="0" w:space="0" w:color="auto"/>
                <w:left w:val="none" w:sz="0" w:space="0" w:color="auto"/>
                <w:bottom w:val="none" w:sz="0" w:space="0" w:color="auto"/>
                <w:right w:val="none" w:sz="0" w:space="0" w:color="auto"/>
              </w:divBdr>
              <w:divsChild>
                <w:div w:id="128407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85776">
      <w:bodyDiv w:val="1"/>
      <w:marLeft w:val="0"/>
      <w:marRight w:val="0"/>
      <w:marTop w:val="0"/>
      <w:marBottom w:val="0"/>
      <w:divBdr>
        <w:top w:val="none" w:sz="0" w:space="0" w:color="auto"/>
        <w:left w:val="none" w:sz="0" w:space="0" w:color="auto"/>
        <w:bottom w:val="none" w:sz="0" w:space="0" w:color="auto"/>
        <w:right w:val="none" w:sz="0" w:space="0" w:color="auto"/>
      </w:divBdr>
    </w:div>
    <w:div w:id="210352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o.int/healthinfo/statistics/GlobalDALYmethods_2000_201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80/01441647.2020.172841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5340BA041CDC4F86C3DA159808B7F7" ma:contentTypeVersion="15" ma:contentTypeDescription="Create a new document." ma:contentTypeScope="" ma:versionID="c0b8c972fff9a74ed2c883d4cd38bfb6">
  <xsd:schema xmlns:xsd="http://www.w3.org/2001/XMLSchema" xmlns:xs="http://www.w3.org/2001/XMLSchema" xmlns:p="http://schemas.microsoft.com/office/2006/metadata/properties" xmlns:ns1="http://schemas.microsoft.com/sharepoint/v3" xmlns:ns3="656253ab-15a0-475c-a398-93b0d4fb031d" xmlns:ns4="2fce71c9-f178-4d0d-9606-05948308846e" targetNamespace="http://schemas.microsoft.com/office/2006/metadata/properties" ma:root="true" ma:fieldsID="e033c7431f6729f9217b90a17855d215" ns1:_="" ns3:_="" ns4:_="">
    <xsd:import namespace="http://schemas.microsoft.com/sharepoint/v3"/>
    <xsd:import namespace="656253ab-15a0-475c-a398-93b0d4fb031d"/>
    <xsd:import namespace="2fce71c9-f178-4d0d-9606-0594830884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6253ab-15a0-475c-a398-93b0d4fb0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e71c9-f178-4d0d-9606-0594830884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4E68B-B1DE-4548-9A8D-EB710CF5A3C7}">
  <ds:schemaRefs>
    <ds:schemaRef ds:uri="http://schemas.openxmlformats.org/package/2006/metadata/core-properties"/>
    <ds:schemaRef ds:uri="656253ab-15a0-475c-a398-93b0d4fb031d"/>
    <ds:schemaRef ds:uri="http://purl.org/dc/dcmitype/"/>
    <ds:schemaRef ds:uri="http://purl.org/dc/terms/"/>
    <ds:schemaRef ds:uri="http://schemas.microsoft.com/office/infopath/2007/PartnerControls"/>
    <ds:schemaRef ds:uri="http://schemas.microsoft.com/office/2006/metadata/properties"/>
    <ds:schemaRef ds:uri="2fce71c9-f178-4d0d-9606-05948308846e"/>
    <ds:schemaRef ds:uri="http://schemas.microsoft.com/office/2006/documentManagement/types"/>
    <ds:schemaRef ds:uri="http://schemas.microsoft.com/sharepoint/v3"/>
    <ds:schemaRef ds:uri="http://www.w3.org/XML/1998/namespace"/>
    <ds:schemaRef ds:uri="http://purl.org/dc/elements/1.1/"/>
  </ds:schemaRefs>
</ds:datastoreItem>
</file>

<file path=customXml/itemProps2.xml><?xml version="1.0" encoding="utf-8"?>
<ds:datastoreItem xmlns:ds="http://schemas.openxmlformats.org/officeDocument/2006/customXml" ds:itemID="{F4910891-5588-48A8-97BD-7BA7DC076285}">
  <ds:schemaRefs>
    <ds:schemaRef ds:uri="http://schemas.microsoft.com/sharepoint/v3/contenttype/forms"/>
  </ds:schemaRefs>
</ds:datastoreItem>
</file>

<file path=customXml/itemProps3.xml><?xml version="1.0" encoding="utf-8"?>
<ds:datastoreItem xmlns:ds="http://schemas.openxmlformats.org/officeDocument/2006/customXml" ds:itemID="{00542E0A-FBCC-46D8-B310-75391E29D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6253ab-15a0-475c-a398-93b0d4fb031d"/>
    <ds:schemaRef ds:uri="2fce71c9-f178-4d0d-9606-059483088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AEE47-E16D-480A-9F0B-8367BEEE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12950</Words>
  <Characters>73818</Characters>
  <Application>Microsoft Office Word</Application>
  <DocSecurity>0</DocSecurity>
  <Lines>615</Lines>
  <Paragraphs>173</Paragraphs>
  <ScaleCrop>false</ScaleCrop>
  <HeadingPairs>
    <vt:vector size="2" baseType="variant">
      <vt:variant>
        <vt:lpstr>Titre</vt:lpstr>
      </vt:variant>
      <vt:variant>
        <vt:i4>1</vt:i4>
      </vt:variant>
    </vt:vector>
  </HeadingPairs>
  <TitlesOfParts>
    <vt:vector size="1" baseType="lpstr">
      <vt:lpstr/>
    </vt:vector>
  </TitlesOfParts>
  <Company>Univesité de Montréal</Company>
  <LinksUpToDate>false</LinksUpToDate>
  <CharactersWithSpaces>86595</CharactersWithSpaces>
  <SharedDoc>false</SharedDoc>
  <HLinks>
    <vt:vector size="12" baseType="variant">
      <vt:variant>
        <vt:i4>6881337</vt:i4>
      </vt:variant>
      <vt:variant>
        <vt:i4>39</vt:i4>
      </vt:variant>
      <vt:variant>
        <vt:i4>0</vt:i4>
      </vt:variant>
      <vt:variant>
        <vt:i4>5</vt:i4>
      </vt:variant>
      <vt:variant>
        <vt:lpwstr>https://www.who.int/healthinfo/statistics/GlobalDALYmethods_2000_2011.pdf</vt:lpwstr>
      </vt:variant>
      <vt:variant>
        <vt:lpwstr/>
      </vt:variant>
      <vt:variant>
        <vt:i4>983106</vt:i4>
      </vt:variant>
      <vt:variant>
        <vt:i4>36</vt:i4>
      </vt:variant>
      <vt:variant>
        <vt:i4>0</vt:i4>
      </vt:variant>
      <vt:variant>
        <vt:i4>5</vt:i4>
      </vt:variant>
      <vt:variant>
        <vt:lpwstr>https://doi.org/10.1080/01441647.2020.1728419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Weeberb Requia Junior</dc:creator>
  <cp:keywords/>
  <cp:lastModifiedBy>Naveen Eluru</cp:lastModifiedBy>
  <cp:revision>3</cp:revision>
  <cp:lastPrinted>2019-02-15T00:21:00Z</cp:lastPrinted>
  <dcterms:created xsi:type="dcterms:W3CDTF">2020-04-30T21:51:00Z</dcterms:created>
  <dcterms:modified xsi:type="dcterms:W3CDTF">2020-05-02T06:00:00Z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ASSSM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ndeley Citation Style_1">
    <vt:lpwstr>http://www.zotero.org/styles/environment-international</vt:lpwstr>
  </property>
  <property fmtid="{D5CDD505-2E9C-101B-9397-08002B2CF9AE}" pid="8" name="Mendeley Document_1">
    <vt:lpwstr>True</vt:lpwstr>
  </property>
  <property fmtid="{D5CDD505-2E9C-101B-9397-08002B2CF9AE}" pid="9" name="Mendeley Recent Style Id 0_1">
    <vt:lpwstr>http://www.zotero.org/styles/american-medical-association</vt:lpwstr>
  </property>
  <property fmtid="{D5CDD505-2E9C-101B-9397-08002B2CF9AE}" pid="10" name="Mendeley Recent Style Id 1_1">
    <vt:lpwstr>http://www.zotero.org/styles/american-political-science-association</vt:lpwstr>
  </property>
  <property fmtid="{D5CDD505-2E9C-101B-9397-08002B2CF9AE}" pid="11" name="Mendeley Recent Style Id 2_1">
    <vt:lpwstr>http://www.zotero.org/styles/apa</vt:lpwstr>
  </property>
  <property fmtid="{D5CDD505-2E9C-101B-9397-08002B2CF9AE}" pid="12" name="Mendeley Recent Style Id 3_1">
    <vt:lpwstr>http://www.zotero.org/styles/american-sociological-association</vt:lpwstr>
  </property>
  <property fmtid="{D5CDD505-2E9C-101B-9397-08002B2CF9AE}" pid="13" name="Mendeley Recent Style Id 4_1">
    <vt:lpwstr>http://www.zotero.org/styles/chicago-author-date</vt:lpwstr>
  </property>
  <property fmtid="{D5CDD505-2E9C-101B-9397-08002B2CF9AE}" pid="14" name="Mendeley Recent Style Id 5_1">
    <vt:lpwstr>http://www.zotero.org/styles/harvard-cite-them-right</vt:lpwstr>
  </property>
  <property fmtid="{D5CDD505-2E9C-101B-9397-08002B2CF9AE}" pid="15" name="Mendeley Recent Style Id 6_1">
    <vt:lpwstr>http://www.zotero.org/styles/environment-international</vt:lpwstr>
  </property>
  <property fmtid="{D5CDD505-2E9C-101B-9397-08002B2CF9AE}" pid="16" name="Mendeley Recent Style Id 7_1">
    <vt:lpwstr>http://www.zotero.org/styles/ieee</vt:lpwstr>
  </property>
  <property fmtid="{D5CDD505-2E9C-101B-9397-08002B2CF9AE}" pid="17" name="Mendeley Recent Style Id 8_1">
    <vt:lpwstr>http://www.zotero.org/styles/modern-humanities-research-association</vt:lpwstr>
  </property>
  <property fmtid="{D5CDD505-2E9C-101B-9397-08002B2CF9AE}" pid="18" name="Mendeley Recent Style Id 9_1">
    <vt:lpwstr>http://www.zotero.org/styles/modern-language-association</vt:lpwstr>
  </property>
  <property fmtid="{D5CDD505-2E9C-101B-9397-08002B2CF9AE}" pid="19" name="Mendeley Recent Style Name 0_1">
    <vt:lpwstr>American Medical Association</vt:lpwstr>
  </property>
  <property fmtid="{D5CDD505-2E9C-101B-9397-08002B2CF9AE}" pid="20" name="Mendeley Recent Style Name 1_1">
    <vt:lpwstr>American Political Science Association</vt:lpwstr>
  </property>
  <property fmtid="{D5CDD505-2E9C-101B-9397-08002B2CF9AE}" pid="21" name="Mendeley Recent Style Name 2_1">
    <vt:lpwstr>American Psychological Association 6th edition</vt:lpwstr>
  </property>
  <property fmtid="{D5CDD505-2E9C-101B-9397-08002B2CF9AE}" pid="22" name="Mendeley Recent Style Name 3_1">
    <vt:lpwstr>American Sociological Association</vt:lpwstr>
  </property>
  <property fmtid="{D5CDD505-2E9C-101B-9397-08002B2CF9AE}" pid="23" name="Mendeley Recent Style Name 4_1">
    <vt:lpwstr>Chicago Manual of Style 17th edition (author-date)</vt:lpwstr>
  </property>
  <property fmtid="{D5CDD505-2E9C-101B-9397-08002B2CF9AE}" pid="24" name="Mendeley Recent Style Name 5_1">
    <vt:lpwstr>Cite Them Right 10th edition - Harvard</vt:lpwstr>
  </property>
  <property fmtid="{D5CDD505-2E9C-101B-9397-08002B2CF9AE}" pid="25" name="Mendeley Recent Style Name 6_1">
    <vt:lpwstr>Environment International</vt:lpwstr>
  </property>
  <property fmtid="{D5CDD505-2E9C-101B-9397-08002B2CF9AE}" pid="26" name="Mendeley Recent Style Name 7_1">
    <vt:lpwstr>IEEE</vt:lpwstr>
  </property>
  <property fmtid="{D5CDD505-2E9C-101B-9397-08002B2CF9AE}" pid="27" name="Mendeley Recent Style Name 8_1">
    <vt:lpwstr>Modern Humanities Research Association 3rd edition (note with bibliography)</vt:lpwstr>
  </property>
  <property fmtid="{D5CDD505-2E9C-101B-9397-08002B2CF9AE}" pid="28" name="Mendeley Recent Style Name 9_1">
    <vt:lpwstr>Modern Language Association 8th edition</vt:lpwstr>
  </property>
  <property fmtid="{D5CDD505-2E9C-101B-9397-08002B2CF9AE}" pid="29" name="Mendeley Unique User Id_1">
    <vt:lpwstr>9ceccad1-f967-336d-82d8-bffb5e482b6a</vt:lpwstr>
  </property>
  <property fmtid="{D5CDD505-2E9C-101B-9397-08002B2CF9AE}" pid="30" name="ScaleCrop">
    <vt:bool>false</vt:bool>
  </property>
  <property fmtid="{D5CDD505-2E9C-101B-9397-08002B2CF9AE}" pid="31" name="ShareDoc">
    <vt:bool>false</vt:bool>
  </property>
  <property fmtid="{D5CDD505-2E9C-101B-9397-08002B2CF9AE}" pid="32" name="ContentTypeId">
    <vt:lpwstr>0x010100365340BA041CDC4F86C3DA159808B7F7</vt:lpwstr>
  </property>
</Properties>
</file>