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50517" w14:textId="06262806" w:rsidR="00A33B44" w:rsidRPr="00B73606" w:rsidRDefault="00A33B44" w:rsidP="00413B61">
      <w:pPr>
        <w:pStyle w:val="Table"/>
        <w:spacing w:after="0"/>
        <w:jc w:val="both"/>
      </w:pPr>
      <w:r>
        <w:rPr>
          <w:bCs/>
          <w:color w:val="000000" w:themeColor="text1"/>
        </w:rPr>
        <w:t xml:space="preserve">Controlling for </w:t>
      </w:r>
      <w:r w:rsidR="000C5CBA">
        <w:rPr>
          <w:bCs/>
          <w:color w:val="000000" w:themeColor="text1"/>
        </w:rPr>
        <w:t>Endogeneity between Bus Headway and Bus Ridership</w:t>
      </w:r>
      <w:r>
        <w:rPr>
          <w:lang w:val="en-US"/>
        </w:rPr>
        <w:t xml:space="preserve">: A Case Study of the Orlando </w:t>
      </w:r>
      <w:r w:rsidR="000C5CBA">
        <w:rPr>
          <w:lang w:val="en-US"/>
        </w:rPr>
        <w:t>Region</w:t>
      </w:r>
    </w:p>
    <w:p w14:paraId="1C4184BA" w14:textId="77777777" w:rsidR="009D68F8" w:rsidRDefault="009D68F8" w:rsidP="009D68F8">
      <w:pPr>
        <w:jc w:val="left"/>
        <w:rPr>
          <w:b/>
          <w:sz w:val="28"/>
          <w:szCs w:val="28"/>
        </w:rPr>
      </w:pPr>
    </w:p>
    <w:p w14:paraId="37D21797" w14:textId="77777777" w:rsidR="009D68F8" w:rsidRDefault="009D68F8" w:rsidP="009D68F8">
      <w:pPr>
        <w:jc w:val="left"/>
        <w:rPr>
          <w:b/>
          <w:sz w:val="28"/>
          <w:szCs w:val="28"/>
        </w:rPr>
      </w:pPr>
    </w:p>
    <w:p w14:paraId="07CB0BDD" w14:textId="0360E8DD" w:rsidR="009D68F8" w:rsidRDefault="009D68F8" w:rsidP="009D68F8">
      <w:pPr>
        <w:jc w:val="left"/>
        <w:rPr>
          <w:rFonts w:cs="Times New Roman"/>
          <w:b/>
          <w:szCs w:val="24"/>
        </w:rPr>
      </w:pPr>
      <w:r w:rsidRPr="00B73606">
        <w:rPr>
          <w:rFonts w:cs="Times New Roman"/>
          <w:b/>
          <w:szCs w:val="24"/>
        </w:rPr>
        <w:t>Moshiur Rahman</w:t>
      </w:r>
    </w:p>
    <w:p w14:paraId="029917EE" w14:textId="77777777" w:rsidR="009D68F8" w:rsidRPr="00B73606" w:rsidRDefault="009D68F8" w:rsidP="009D68F8">
      <w:pPr>
        <w:jc w:val="left"/>
        <w:rPr>
          <w:rFonts w:cs="Times New Roman"/>
          <w:szCs w:val="24"/>
        </w:rPr>
      </w:pPr>
      <w:r w:rsidRPr="00B73606">
        <w:rPr>
          <w:rFonts w:cs="Times New Roman"/>
          <w:szCs w:val="24"/>
        </w:rPr>
        <w:t>Department of Civil, Environmental &amp; Construction Engineering</w:t>
      </w:r>
    </w:p>
    <w:p w14:paraId="4637B2CB" w14:textId="77777777" w:rsidR="009D68F8" w:rsidRPr="00B73606" w:rsidRDefault="009D68F8" w:rsidP="009D68F8">
      <w:pPr>
        <w:jc w:val="left"/>
        <w:rPr>
          <w:rFonts w:cs="Times New Roman"/>
          <w:szCs w:val="24"/>
        </w:rPr>
      </w:pPr>
      <w:r w:rsidRPr="00B73606">
        <w:rPr>
          <w:rFonts w:cs="Times New Roman"/>
          <w:szCs w:val="24"/>
        </w:rPr>
        <w:t>University of Central Florida</w:t>
      </w:r>
    </w:p>
    <w:p w14:paraId="61D2EB77" w14:textId="77777777" w:rsidR="009D68F8" w:rsidRPr="00B73606" w:rsidRDefault="009D68F8" w:rsidP="009D68F8">
      <w:pPr>
        <w:jc w:val="left"/>
        <w:rPr>
          <w:rFonts w:cs="Times New Roman"/>
          <w:szCs w:val="24"/>
        </w:rPr>
      </w:pPr>
      <w:r w:rsidRPr="00B73606">
        <w:rPr>
          <w:rFonts w:cs="Times New Roman"/>
          <w:szCs w:val="24"/>
        </w:rPr>
        <w:t>Tel: 321-276-7580, Fax: 407-823-3315</w:t>
      </w:r>
    </w:p>
    <w:p w14:paraId="73A01D47" w14:textId="77777777" w:rsidR="009D68F8" w:rsidRPr="00B73606" w:rsidRDefault="009D68F8" w:rsidP="009D68F8">
      <w:pPr>
        <w:jc w:val="left"/>
        <w:rPr>
          <w:rStyle w:val="Hyperlink"/>
          <w:rFonts w:cs="Times New Roman"/>
          <w:szCs w:val="24"/>
        </w:rPr>
      </w:pPr>
      <w:r w:rsidRPr="00B73606">
        <w:rPr>
          <w:rFonts w:cs="Times New Roman"/>
          <w:szCs w:val="24"/>
        </w:rPr>
        <w:t xml:space="preserve">Email: </w:t>
      </w:r>
      <w:hyperlink r:id="rId8" w:history="1">
        <w:r w:rsidRPr="00B73606">
          <w:rPr>
            <w:rStyle w:val="Hyperlink"/>
            <w:rFonts w:cs="Times New Roman"/>
            <w:szCs w:val="24"/>
          </w:rPr>
          <w:t>moshiur@</w:t>
        </w:r>
      </w:hyperlink>
      <w:r w:rsidRPr="00B73606">
        <w:rPr>
          <w:rStyle w:val="Hyperlink"/>
          <w:rFonts w:cs="Times New Roman"/>
          <w:szCs w:val="24"/>
        </w:rPr>
        <w:t>knights.ucf.edu</w:t>
      </w:r>
    </w:p>
    <w:p w14:paraId="60901FF5" w14:textId="77777777" w:rsidR="009D68F8" w:rsidRPr="00946A66" w:rsidRDefault="009D68F8" w:rsidP="009D68F8">
      <w:pPr>
        <w:rPr>
          <w:rFonts w:cs="Times New Roman"/>
        </w:rPr>
      </w:pPr>
      <w:r w:rsidRPr="00D0101D">
        <w:rPr>
          <w:rFonts w:cs="Times New Roman"/>
        </w:rPr>
        <w:t>ORCiD number</w:t>
      </w:r>
      <w:r>
        <w:rPr>
          <w:rFonts w:cs="Times New Roman"/>
        </w:rPr>
        <w:t xml:space="preserve">: </w:t>
      </w:r>
      <w:r w:rsidRPr="00946A66">
        <w:rPr>
          <w:rFonts w:cs="Times New Roman"/>
        </w:rPr>
        <w:t>0000-0002-3210-6542</w:t>
      </w:r>
    </w:p>
    <w:p w14:paraId="1426DAE4" w14:textId="77777777" w:rsidR="009D68F8" w:rsidRDefault="009D68F8" w:rsidP="009D68F8">
      <w:pPr>
        <w:jc w:val="left"/>
        <w:rPr>
          <w:rFonts w:cs="Times New Roman"/>
          <w:b/>
        </w:rPr>
      </w:pPr>
    </w:p>
    <w:p w14:paraId="31A80AFC" w14:textId="77777777" w:rsidR="009D68F8" w:rsidRPr="00415D18" w:rsidRDefault="009D68F8" w:rsidP="009D68F8">
      <w:pPr>
        <w:jc w:val="left"/>
        <w:rPr>
          <w:rFonts w:cs="Times New Roman"/>
          <w:b/>
        </w:rPr>
      </w:pPr>
    </w:p>
    <w:p w14:paraId="16BA3B31" w14:textId="77777777" w:rsidR="009D68F8" w:rsidRPr="00494C5F" w:rsidRDefault="009D68F8" w:rsidP="009D68F8">
      <w:pPr>
        <w:jc w:val="left"/>
        <w:rPr>
          <w:rFonts w:eastAsia="Calibri" w:cs="Times New Roman"/>
          <w:b/>
        </w:rPr>
      </w:pPr>
      <w:r w:rsidRPr="00494C5F">
        <w:rPr>
          <w:rFonts w:eastAsia="Calibri" w:cs="Times New Roman"/>
          <w:b/>
        </w:rPr>
        <w:t>Shamsunnahar Yasmin</w:t>
      </w:r>
      <w:r>
        <w:rPr>
          <w:rFonts w:eastAsia="Calibri" w:cs="Times New Roman"/>
          <w:b/>
        </w:rPr>
        <w:t>*</w:t>
      </w:r>
    </w:p>
    <w:p w14:paraId="34DF704C" w14:textId="77777777" w:rsidR="009D68F8" w:rsidRPr="009D68F8" w:rsidRDefault="009D68F8" w:rsidP="009D68F8">
      <w:pPr>
        <w:rPr>
          <w:rFonts w:eastAsia="Calibri" w:cs="Times New Roman"/>
        </w:rPr>
      </w:pPr>
      <w:r w:rsidRPr="009D68F8">
        <w:rPr>
          <w:rFonts w:eastAsia="Calibri" w:cs="Times New Roman"/>
        </w:rPr>
        <w:t>Research Fellow - Road Safety Engineering</w:t>
      </w:r>
    </w:p>
    <w:p w14:paraId="7AE3D8D7" w14:textId="77777777" w:rsidR="009D68F8" w:rsidRPr="009D68F8" w:rsidRDefault="009D68F8" w:rsidP="009D68F8">
      <w:pPr>
        <w:rPr>
          <w:rFonts w:eastAsia="Calibri" w:cs="Times New Roman"/>
        </w:rPr>
      </w:pPr>
      <w:r w:rsidRPr="009D68F8">
        <w:rPr>
          <w:rFonts w:eastAsia="Calibri" w:cs="Times New Roman"/>
        </w:rPr>
        <w:t>Centre for Accident Research and Road Safety – Queensland</w:t>
      </w:r>
    </w:p>
    <w:p w14:paraId="1202AA04" w14:textId="77777777" w:rsidR="009D68F8" w:rsidRPr="009D68F8" w:rsidRDefault="009D68F8" w:rsidP="009D68F8">
      <w:pPr>
        <w:rPr>
          <w:rFonts w:eastAsia="Calibri" w:cs="Times New Roman"/>
        </w:rPr>
      </w:pPr>
      <w:r w:rsidRPr="009D68F8">
        <w:rPr>
          <w:rFonts w:eastAsia="Calibri" w:cs="Times New Roman"/>
        </w:rPr>
        <w:t>Queensland University of Technology</w:t>
      </w:r>
    </w:p>
    <w:p w14:paraId="0B412350" w14:textId="77777777" w:rsidR="009D68F8" w:rsidRPr="009D68F8" w:rsidRDefault="009D68F8" w:rsidP="009D68F8">
      <w:pPr>
        <w:rPr>
          <w:rFonts w:eastAsia="Calibri" w:cs="Times New Roman"/>
        </w:rPr>
      </w:pPr>
      <w:r w:rsidRPr="009D68F8">
        <w:rPr>
          <w:rFonts w:eastAsia="Calibri" w:cs="Times New Roman"/>
        </w:rPr>
        <w:t>Tel: 61 7 3138 4677; Fax: 61 7 3138 7532</w:t>
      </w:r>
    </w:p>
    <w:p w14:paraId="057DE98A" w14:textId="5CF46EF4" w:rsidR="009D68F8" w:rsidRPr="00780B09" w:rsidRDefault="009D68F8" w:rsidP="009D68F8">
      <w:pPr>
        <w:rPr>
          <w:rFonts w:cs="Times New Roman"/>
        </w:rPr>
      </w:pPr>
      <w:r w:rsidRPr="009D68F8">
        <w:rPr>
          <w:rFonts w:eastAsia="Calibri" w:cs="Times New Roman"/>
        </w:rPr>
        <w:t>Email: shams.yasmin@qut.edu.au</w:t>
      </w:r>
    </w:p>
    <w:p w14:paraId="4A7508DB" w14:textId="77777777" w:rsidR="009D68F8" w:rsidRDefault="009D68F8" w:rsidP="009D68F8">
      <w:pPr>
        <w:jc w:val="left"/>
        <w:rPr>
          <w:rFonts w:eastAsia="Calibri" w:cs="Times New Roman"/>
        </w:rPr>
      </w:pPr>
    </w:p>
    <w:p w14:paraId="06E19C78" w14:textId="77777777" w:rsidR="009D68F8" w:rsidRPr="00494C5F" w:rsidRDefault="009D68F8" w:rsidP="009D68F8">
      <w:pPr>
        <w:jc w:val="left"/>
        <w:rPr>
          <w:rFonts w:eastAsia="Calibri" w:cs="Times New Roman"/>
        </w:rPr>
      </w:pPr>
    </w:p>
    <w:p w14:paraId="183C5215" w14:textId="77777777" w:rsidR="009D68F8" w:rsidRPr="00494C5F" w:rsidRDefault="009D68F8" w:rsidP="009D68F8">
      <w:pPr>
        <w:jc w:val="left"/>
        <w:rPr>
          <w:rFonts w:eastAsia="Calibri" w:cs="Times New Roman"/>
          <w:b/>
        </w:rPr>
      </w:pPr>
      <w:r w:rsidRPr="00494C5F">
        <w:rPr>
          <w:rFonts w:eastAsia="Calibri" w:cs="Times New Roman"/>
          <w:b/>
        </w:rPr>
        <w:t>Naveen Eluru</w:t>
      </w:r>
    </w:p>
    <w:p w14:paraId="5D25A2BB" w14:textId="77777777" w:rsidR="009D68F8" w:rsidRPr="00494C5F" w:rsidRDefault="009D68F8" w:rsidP="009D68F8">
      <w:pPr>
        <w:jc w:val="left"/>
        <w:rPr>
          <w:rFonts w:eastAsia="Calibri" w:cs="Times New Roman"/>
        </w:rPr>
      </w:pPr>
      <w:r w:rsidRPr="00494C5F">
        <w:rPr>
          <w:rFonts w:eastAsia="Calibri" w:cs="Times New Roman"/>
        </w:rPr>
        <w:t>Associate Professor</w:t>
      </w:r>
    </w:p>
    <w:p w14:paraId="07E0B521" w14:textId="77777777" w:rsidR="009D68F8" w:rsidRPr="00494C5F" w:rsidRDefault="009D68F8" w:rsidP="009D68F8">
      <w:pPr>
        <w:jc w:val="left"/>
        <w:rPr>
          <w:rFonts w:eastAsia="Calibri" w:cs="Times New Roman"/>
        </w:rPr>
      </w:pPr>
      <w:r w:rsidRPr="00494C5F">
        <w:rPr>
          <w:rFonts w:eastAsia="Calibri" w:cs="Times New Roman"/>
        </w:rPr>
        <w:t>Department of Civil, Environmental &amp; Construction Engineering</w:t>
      </w:r>
    </w:p>
    <w:p w14:paraId="52917A9E" w14:textId="77777777" w:rsidR="009D68F8" w:rsidRPr="00494C5F" w:rsidRDefault="009D68F8" w:rsidP="009D68F8">
      <w:pPr>
        <w:jc w:val="left"/>
        <w:rPr>
          <w:rFonts w:eastAsia="Calibri" w:cs="Times New Roman"/>
        </w:rPr>
      </w:pPr>
      <w:r w:rsidRPr="00494C5F">
        <w:rPr>
          <w:rFonts w:eastAsia="Calibri" w:cs="Times New Roman"/>
        </w:rPr>
        <w:t>University of Central Florida</w:t>
      </w:r>
    </w:p>
    <w:p w14:paraId="3219F21D" w14:textId="77777777" w:rsidR="009D68F8" w:rsidRPr="00494C5F" w:rsidRDefault="009D68F8" w:rsidP="009D68F8">
      <w:pPr>
        <w:jc w:val="left"/>
        <w:rPr>
          <w:rFonts w:eastAsia="Calibri" w:cs="Times New Roman"/>
        </w:rPr>
      </w:pPr>
      <w:r w:rsidRPr="00494C5F">
        <w:rPr>
          <w:rFonts w:eastAsia="Calibri" w:cs="Times New Roman"/>
        </w:rPr>
        <w:t>Tel: 407-823-4815, Fax: 407-823-3315</w:t>
      </w:r>
    </w:p>
    <w:p w14:paraId="286A1FE6" w14:textId="77777777" w:rsidR="009D68F8" w:rsidRDefault="009D68F8" w:rsidP="009D68F8">
      <w:pPr>
        <w:jc w:val="left"/>
        <w:rPr>
          <w:rFonts w:eastAsia="Calibri" w:cs="Times New Roman"/>
          <w:color w:val="0000FF"/>
          <w:u w:val="single"/>
        </w:rPr>
      </w:pPr>
      <w:r w:rsidRPr="00494C5F">
        <w:rPr>
          <w:rFonts w:eastAsia="Calibri" w:cs="Times New Roman"/>
        </w:rPr>
        <w:t xml:space="preserve">Email: </w:t>
      </w:r>
      <w:hyperlink r:id="rId9" w:history="1">
        <w:r w:rsidRPr="00494C5F">
          <w:rPr>
            <w:rFonts w:eastAsia="Calibri" w:cs="Times New Roman"/>
            <w:color w:val="0000FF"/>
            <w:u w:val="single"/>
          </w:rPr>
          <w:t>naveen.eluru@ucf.edu</w:t>
        </w:r>
      </w:hyperlink>
    </w:p>
    <w:p w14:paraId="0A567A79" w14:textId="77777777" w:rsidR="009D68F8" w:rsidRDefault="009D68F8" w:rsidP="009D68F8">
      <w:pPr>
        <w:rPr>
          <w:rStyle w:val="Hyperlink"/>
          <w:szCs w:val="24"/>
        </w:rPr>
      </w:pPr>
      <w:r w:rsidRPr="00724447">
        <w:rPr>
          <w:rFonts w:cs="Times New Roman"/>
        </w:rPr>
        <w:t xml:space="preserve">ORCiD number: </w:t>
      </w:r>
      <w:r w:rsidRPr="006E7DCE">
        <w:rPr>
          <w:rFonts w:cs="Times New Roman"/>
        </w:rPr>
        <w:t>0000-0003-1221-4113</w:t>
      </w:r>
    </w:p>
    <w:p w14:paraId="7A6DE1A7" w14:textId="77777777" w:rsidR="00A33B44" w:rsidRDefault="00A33B44">
      <w:pPr>
        <w:rPr>
          <w:b/>
          <w:sz w:val="28"/>
          <w:szCs w:val="28"/>
        </w:rPr>
      </w:pPr>
    </w:p>
    <w:p w14:paraId="2B998744" w14:textId="77777777" w:rsidR="009D68F8" w:rsidRDefault="009D68F8">
      <w:pPr>
        <w:spacing w:after="160" w:line="259" w:lineRule="auto"/>
        <w:jc w:val="left"/>
        <w:rPr>
          <w:b/>
          <w:sz w:val="28"/>
          <w:szCs w:val="28"/>
        </w:rPr>
      </w:pPr>
      <w:r>
        <w:rPr>
          <w:b/>
          <w:sz w:val="28"/>
          <w:szCs w:val="28"/>
        </w:rPr>
        <w:br w:type="page"/>
      </w:r>
    </w:p>
    <w:p w14:paraId="6476BDA6" w14:textId="03ECB99E" w:rsidR="00A33B44" w:rsidRPr="00B73606" w:rsidRDefault="00A33B44" w:rsidP="00413B61">
      <w:pPr>
        <w:rPr>
          <w:b/>
          <w:sz w:val="28"/>
          <w:szCs w:val="28"/>
        </w:rPr>
      </w:pPr>
      <w:r w:rsidRPr="00B73606">
        <w:rPr>
          <w:b/>
          <w:sz w:val="28"/>
          <w:szCs w:val="28"/>
        </w:rPr>
        <w:lastRenderedPageBreak/>
        <w:t>ABSTRACT</w:t>
      </w:r>
    </w:p>
    <w:p w14:paraId="3A567E6B" w14:textId="5AF78E35" w:rsidR="00A33B44" w:rsidRDefault="00A33B44" w:rsidP="00413B61">
      <w:pPr>
        <w:rPr>
          <w:rFonts w:cs="Times New Roman"/>
          <w:szCs w:val="24"/>
          <w:lang w:val="en-US"/>
        </w:rPr>
      </w:pPr>
      <w:r w:rsidRPr="00D505F1">
        <w:rPr>
          <w:rFonts w:cs="Times New Roman"/>
          <w:szCs w:val="24"/>
          <w:lang w:val="en-US"/>
        </w:rPr>
        <w:t xml:space="preserve">In this study, we develop </w:t>
      </w:r>
      <w:r>
        <w:rPr>
          <w:rFonts w:cs="Times New Roman"/>
          <w:szCs w:val="24"/>
          <w:lang w:val="en-US"/>
        </w:rPr>
        <w:t xml:space="preserve">an </w:t>
      </w:r>
      <w:r w:rsidRPr="00D505F1">
        <w:rPr>
          <w:rFonts w:cs="Times New Roman"/>
          <w:szCs w:val="24"/>
          <w:lang w:val="en-US"/>
        </w:rPr>
        <w:t>advanced econometric model that consider</w:t>
      </w:r>
      <w:r>
        <w:rPr>
          <w:rFonts w:cs="Times New Roman"/>
          <w:szCs w:val="24"/>
          <w:lang w:val="en-US"/>
        </w:rPr>
        <w:t>s</w:t>
      </w:r>
      <w:r w:rsidRPr="00D505F1">
        <w:rPr>
          <w:rFonts w:cs="Times New Roman"/>
          <w:szCs w:val="24"/>
          <w:lang w:val="en-US"/>
        </w:rPr>
        <w:t xml:space="preserve"> the potential endogeneity of stop level headway in modeling </w:t>
      </w:r>
      <w:r>
        <w:rPr>
          <w:rFonts w:cs="Times New Roman"/>
          <w:szCs w:val="24"/>
          <w:lang w:val="en-US"/>
        </w:rPr>
        <w:t xml:space="preserve">bus </w:t>
      </w:r>
      <w:r w:rsidRPr="00D505F1">
        <w:rPr>
          <w:rFonts w:cs="Times New Roman"/>
          <w:szCs w:val="24"/>
          <w:lang w:val="en-US"/>
        </w:rPr>
        <w:t xml:space="preserve">ridership. </w:t>
      </w:r>
      <w:r>
        <w:rPr>
          <w:rFonts w:cs="Times New Roman"/>
          <w:szCs w:val="24"/>
          <w:lang w:val="en-US"/>
        </w:rPr>
        <w:t xml:space="preserve">We recognize that bus stops with higher potential demand are also like to have higher frequency of buses (or lower headway between buses). </w:t>
      </w:r>
      <w:r w:rsidRPr="00D505F1">
        <w:rPr>
          <w:rFonts w:cs="Times New Roman"/>
          <w:szCs w:val="24"/>
          <w:lang w:val="en-US"/>
        </w:rPr>
        <w:t xml:space="preserve">We </w:t>
      </w:r>
      <w:r>
        <w:rPr>
          <w:rFonts w:cs="Times New Roman"/>
          <w:szCs w:val="24"/>
          <w:lang w:val="en-US"/>
        </w:rPr>
        <w:t>consider headway endogeneity</w:t>
      </w:r>
      <w:r w:rsidRPr="00D505F1">
        <w:rPr>
          <w:rFonts w:cs="Times New Roman"/>
          <w:szCs w:val="24"/>
          <w:lang w:val="en-US"/>
        </w:rPr>
        <w:t xml:space="preserve"> by proposing a simultaneous equation system that considers headway and ridership in a joint framework. The proposed model is developed employing stop level ridership data from the Orlando region </w:t>
      </w:r>
      <w:r>
        <w:rPr>
          <w:rFonts w:cs="Times New Roman"/>
          <w:szCs w:val="24"/>
          <w:lang w:val="en-US"/>
        </w:rPr>
        <w:t xml:space="preserve">for 11 </w:t>
      </w:r>
      <w:r w:rsidR="009850EE">
        <w:rPr>
          <w:rFonts w:cs="Times New Roman"/>
          <w:szCs w:val="24"/>
          <w:lang w:val="en-US"/>
        </w:rPr>
        <w:t>quadrimesters (</w:t>
      </w:r>
      <w:r>
        <w:rPr>
          <w:rFonts w:cs="Times New Roman"/>
          <w:szCs w:val="24"/>
          <w:lang w:val="en-US"/>
        </w:rPr>
        <w:t>four-month time periods</w:t>
      </w:r>
      <w:r w:rsidR="009850EE">
        <w:rPr>
          <w:rFonts w:cs="Times New Roman"/>
          <w:szCs w:val="24"/>
          <w:lang w:val="en-US"/>
        </w:rPr>
        <w:t>)</w:t>
      </w:r>
      <w:r w:rsidRPr="00D505F1">
        <w:rPr>
          <w:rFonts w:cs="Times New Roman"/>
          <w:szCs w:val="24"/>
          <w:lang w:val="en-US"/>
        </w:rPr>
        <w:t>. The presence of multiple data points for each stop allows us to develop panel models for headway, boarding, and alighting. The headway variable is modeled using a panel ordered logit model while the ridership variables are modeled using a panel group</w:t>
      </w:r>
      <w:r>
        <w:rPr>
          <w:rFonts w:cs="Times New Roman"/>
          <w:szCs w:val="24"/>
          <w:lang w:val="en-US"/>
        </w:rPr>
        <w:t>ed</w:t>
      </w:r>
      <w:r w:rsidRPr="00D505F1">
        <w:rPr>
          <w:rFonts w:cs="Times New Roman"/>
          <w:szCs w:val="24"/>
          <w:lang w:val="en-US"/>
        </w:rPr>
        <w:t xml:space="preserve"> ordered logit models. The model estimation results </w:t>
      </w:r>
      <w:r>
        <w:rPr>
          <w:rFonts w:cs="Times New Roman"/>
          <w:szCs w:val="24"/>
          <w:lang w:val="en-US"/>
        </w:rPr>
        <w:t>justify the consideration of headway</w:t>
      </w:r>
      <w:r w:rsidRPr="00D505F1">
        <w:rPr>
          <w:rFonts w:cs="Times New Roman"/>
          <w:szCs w:val="24"/>
          <w:lang w:val="en-US"/>
        </w:rPr>
        <w:t xml:space="preserve"> endogeneity </w:t>
      </w:r>
      <w:r>
        <w:rPr>
          <w:rFonts w:cs="Times New Roman"/>
          <w:szCs w:val="24"/>
          <w:lang w:val="en-US"/>
        </w:rPr>
        <w:t>in</w:t>
      </w:r>
      <w:r w:rsidRPr="00D505F1">
        <w:rPr>
          <w:rFonts w:cs="Times New Roman"/>
          <w:szCs w:val="24"/>
          <w:lang w:val="en-US"/>
        </w:rPr>
        <w:t xml:space="preserve"> bus ridership</w:t>
      </w:r>
      <w:r>
        <w:rPr>
          <w:rFonts w:cs="Times New Roman"/>
          <w:szCs w:val="24"/>
          <w:lang w:val="en-US"/>
        </w:rPr>
        <w:t xml:space="preserve"> analysis</w:t>
      </w:r>
      <w:r w:rsidRPr="00D505F1">
        <w:rPr>
          <w:rFonts w:cs="Times New Roman"/>
          <w:szCs w:val="24"/>
          <w:lang w:val="en-US"/>
        </w:rPr>
        <w:t xml:space="preserve">. </w:t>
      </w:r>
      <w:r>
        <w:rPr>
          <w:rFonts w:cs="Times New Roman"/>
          <w:szCs w:val="24"/>
          <w:lang w:val="en-US"/>
        </w:rPr>
        <w:t>To illustrate the value of the proposed model, a validation exercise and a policy analysis exercise are conducted.</w:t>
      </w:r>
      <w:r w:rsidRPr="00D505F1" w:rsidDel="0048577C">
        <w:rPr>
          <w:rFonts w:cs="Times New Roman"/>
          <w:szCs w:val="24"/>
          <w:lang w:val="en-US"/>
        </w:rPr>
        <w:t xml:space="preserve"> </w:t>
      </w:r>
    </w:p>
    <w:p w14:paraId="233CA50A" w14:textId="77777777" w:rsidR="00A33B44" w:rsidRDefault="00A33B44" w:rsidP="00413B61">
      <w:pPr>
        <w:rPr>
          <w:b/>
          <w:sz w:val="28"/>
          <w:szCs w:val="28"/>
        </w:rPr>
      </w:pPr>
    </w:p>
    <w:p w14:paraId="1B531D22" w14:textId="1CC8FA56" w:rsidR="00A33B44" w:rsidRPr="00024C44" w:rsidRDefault="00A33B44" w:rsidP="000E4D86">
      <w:pPr>
        <w:tabs>
          <w:tab w:val="left" w:pos="1260"/>
        </w:tabs>
        <w:ind w:left="1260" w:hanging="1260"/>
        <w:rPr>
          <w:bCs/>
          <w:i/>
        </w:rPr>
      </w:pPr>
      <w:r w:rsidRPr="00024C44">
        <w:rPr>
          <w:b/>
          <w:bCs/>
        </w:rPr>
        <w:t>Keywords:</w:t>
      </w:r>
      <w:r w:rsidRPr="00024C44">
        <w:rPr>
          <w:bCs/>
          <w:i/>
        </w:rPr>
        <w:t xml:space="preserve"> </w:t>
      </w:r>
      <w:r w:rsidR="0075369F" w:rsidRPr="0075369F">
        <w:rPr>
          <w:bCs/>
          <w:i/>
        </w:rPr>
        <w:t>Endogeneity; Headway; Joint Framework; Panel Ordered Logit; Panel Grouped Order Logit</w:t>
      </w:r>
      <w:r w:rsidRPr="00024C44">
        <w:rPr>
          <w:bCs/>
          <w:i/>
        </w:rPr>
        <w:br w:type="page"/>
      </w:r>
    </w:p>
    <w:p w14:paraId="5E915D38" w14:textId="77777777" w:rsidR="00A33B44" w:rsidRPr="00B73606" w:rsidRDefault="00A33B44" w:rsidP="00413B61">
      <w:pPr>
        <w:pStyle w:val="Heading1"/>
        <w:spacing w:before="0" w:after="0"/>
        <w:rPr>
          <w:szCs w:val="24"/>
        </w:rPr>
      </w:pPr>
      <w:r w:rsidRPr="00B73606">
        <w:rPr>
          <w:szCs w:val="24"/>
        </w:rPr>
        <w:lastRenderedPageBreak/>
        <w:t>INTRODUCTION</w:t>
      </w:r>
    </w:p>
    <w:p w14:paraId="09B20C35" w14:textId="4D6B6595" w:rsidR="00A33B44" w:rsidRDefault="00A33B44" w:rsidP="00413B61">
      <w:pPr>
        <w:autoSpaceDE w:val="0"/>
        <w:autoSpaceDN w:val="0"/>
        <w:adjustRightInd w:val="0"/>
        <w:rPr>
          <w:rFonts w:cs="Times New Roman"/>
          <w:szCs w:val="24"/>
          <w:lang w:val="en-US"/>
        </w:rPr>
      </w:pPr>
      <w:r>
        <w:rPr>
          <w:rFonts w:cs="Times New Roman"/>
          <w:szCs w:val="24"/>
          <w:lang w:val="en-US"/>
        </w:rPr>
        <w:t xml:space="preserve">In urban regions, public transportation systems ought to provide an equitable, safe and accessible transportation mode for residents. According to 2016 American Community Survey data, transit mode only accounts for about 5% of the commute trips in the United States </w:t>
      </w:r>
      <w:r>
        <w:rPr>
          <w:rFonts w:cs="Times New Roman"/>
          <w:noProof/>
          <w:szCs w:val="24"/>
          <w:lang w:val="en-US"/>
        </w:rPr>
        <w:t>(Tomer 2016)</w:t>
      </w:r>
      <w:r>
        <w:rPr>
          <w:rFonts w:cs="Times New Roman"/>
          <w:szCs w:val="24"/>
          <w:lang w:val="en-US"/>
        </w:rPr>
        <w:t xml:space="preserve">. Existing public transportation systems are either facing reduction in ridership and/or facing challenges with regards to providing equitable services to residents. In fact, in recent years, several urban transit systems have experienced declines in ridership </w:t>
      </w:r>
      <w:r>
        <w:rPr>
          <w:rFonts w:cs="Times New Roman"/>
          <w:noProof/>
          <w:szCs w:val="24"/>
          <w:lang w:val="en-US"/>
        </w:rPr>
        <w:t>(Gomez-Ibanez 1996, Garrett and Taylor 1999, Bliss 2017, Schmitt 2017, Lewyn 2018, Siddiqui 2018)</w:t>
      </w:r>
      <w:r>
        <w:rPr>
          <w:rFonts w:cs="Times New Roman"/>
          <w:szCs w:val="24"/>
          <w:lang w:val="en-US"/>
        </w:rPr>
        <w:t xml:space="preserve">. Ideally, in the presence of a well-designed public transit system, urban residents irrespective of their ethnicity, household income, and vehicle ownership should have similar access to activity participation or employment opportunities. Several researchers have found evidence to the contrary while examining the influence of transportation on employment opportunities </w:t>
      </w:r>
      <w:r>
        <w:rPr>
          <w:rFonts w:cs="Times New Roman"/>
          <w:noProof/>
          <w:szCs w:val="24"/>
          <w:lang w:val="en-US"/>
        </w:rPr>
        <w:t>(Shen 2001, Wenglenski and Orfeuil 2004, Kawabata and Shen 2006, 2007, Grengs 2010, Boarnet</w:t>
      </w:r>
      <w:r w:rsidRPr="003D7B39">
        <w:rPr>
          <w:rFonts w:cs="Times New Roman"/>
          <w:i/>
          <w:noProof/>
          <w:szCs w:val="24"/>
          <w:lang w:val="en-US"/>
        </w:rPr>
        <w:t xml:space="preserve"> et al.</w:t>
      </w:r>
      <w:r>
        <w:rPr>
          <w:rFonts w:cs="Times New Roman"/>
          <w:noProof/>
          <w:szCs w:val="24"/>
          <w:lang w:val="en-US"/>
        </w:rPr>
        <w:t xml:space="preserve"> 2017)</w:t>
      </w:r>
      <w:r>
        <w:rPr>
          <w:rFonts w:cs="Times New Roman"/>
          <w:szCs w:val="24"/>
          <w:lang w:val="en-US"/>
        </w:rPr>
        <w:t xml:space="preserve">. These studies identified that access to employment by transit is substantially lower than access to employment by car mode. However, several public transit riders own no cars and are reliant on public transportation to arrive at work. Thus, there is a need to examine public transportation system design and operation to enhance transit adoption and equity for urban residents. </w:t>
      </w:r>
    </w:p>
    <w:p w14:paraId="0E8AFF16" w14:textId="318ED841" w:rsidR="00A33B44" w:rsidRDefault="00A33B44" w:rsidP="00413B61">
      <w:pPr>
        <w:autoSpaceDE w:val="0"/>
        <w:autoSpaceDN w:val="0"/>
        <w:adjustRightInd w:val="0"/>
        <w:ind w:firstLine="720"/>
        <w:rPr>
          <w:rFonts w:cs="Times New Roman"/>
          <w:szCs w:val="24"/>
        </w:rPr>
      </w:pPr>
      <w:r>
        <w:rPr>
          <w:rFonts w:cs="Times New Roman"/>
          <w:szCs w:val="24"/>
          <w:lang w:val="en-US"/>
        </w:rPr>
        <w:t xml:space="preserve">Policy makers and urban agencies </w:t>
      </w:r>
      <w:r w:rsidRPr="00415D18">
        <w:rPr>
          <w:rFonts w:cs="Times New Roman"/>
          <w:szCs w:val="24"/>
        </w:rPr>
        <w:t xml:space="preserve">across different parts of North America, are considering investments in </w:t>
      </w:r>
      <w:r>
        <w:rPr>
          <w:rFonts w:cs="Times New Roman"/>
          <w:szCs w:val="24"/>
        </w:rPr>
        <w:t xml:space="preserve">various </w:t>
      </w:r>
      <w:r w:rsidRPr="00415D18">
        <w:rPr>
          <w:rFonts w:cs="Times New Roman"/>
          <w:szCs w:val="24"/>
        </w:rPr>
        <w:t xml:space="preserve">public transportation alternatives </w:t>
      </w:r>
      <w:r>
        <w:rPr>
          <w:rFonts w:cs="Times New Roman"/>
          <w:szCs w:val="24"/>
        </w:rPr>
        <w:t xml:space="preserve">including </w:t>
      </w:r>
      <w:r w:rsidRPr="00415D18">
        <w:rPr>
          <w:rFonts w:cs="Times New Roman"/>
          <w:szCs w:val="24"/>
        </w:rPr>
        <w:t xml:space="preserve">bus, light rail, commuter rail, and metro (see </w:t>
      </w:r>
      <w:r>
        <w:rPr>
          <w:rFonts w:cs="Times New Roman"/>
          <w:noProof/>
          <w:szCs w:val="24"/>
        </w:rPr>
        <w:t>Jaffe 2014, TP 2016</w:t>
      </w:r>
      <w:r w:rsidRPr="00415D18">
        <w:rPr>
          <w:rFonts w:cs="Times New Roman"/>
          <w:szCs w:val="24"/>
        </w:rPr>
        <w:t xml:space="preserve"> for public transportation projects under construction or consideration).</w:t>
      </w:r>
      <w:r>
        <w:rPr>
          <w:rFonts w:cs="Times New Roman"/>
          <w:szCs w:val="24"/>
        </w:rPr>
        <w:t xml:space="preserve"> A critical component for evaluating the success of these investments is the development of appropriate statistical tools to examine the impact. Our proposed research contributes to public transit literature by developing econometric models that consider the potential endogeneity of stop level headway in modeling ridership. To elaborate, earlier research in public transportation has identified headway (alternatively bus frequency) as one of the primary determinants affecting ridership. The studies conclude that stops with higher headway (lower frequency) between buses are likely to have lower ridership. While this is a perfectly acceptable conclusion, most (if not all) studies in public transit literature ignore that the stop level headway was determined (by choice) in response to expected ridership i.e. stops with lower headway were expected to have higher ridership numbers. In traditional ridership studies, this potential endogeneity is often </w:t>
      </w:r>
      <w:r w:rsidR="00AC03A2">
        <w:rPr>
          <w:rFonts w:cs="Times New Roman"/>
          <w:szCs w:val="24"/>
        </w:rPr>
        <w:t>neglected,</w:t>
      </w:r>
      <w:r>
        <w:rPr>
          <w:rFonts w:cs="Times New Roman"/>
          <w:szCs w:val="24"/>
        </w:rPr>
        <w:t xml:space="preserve"> and headway is considered as an independent variable. The approach violates the requirement that the unobserved factors affecting the dependent variable do not have impact on independent variables. If this is the case, the estimated impact of headway on ridership would be biased (potentially over-estimated). More importantly, the estimated impact of all other variables (such as land use factors, bus infrastructure) will also be biased (possibly under-estimated). Traditional ridership models also consider transit ridership at a single time point for analysis using cross-sectional datasets. Ideally, it would be beneficial to consider data from multiple time points. The consideration of data from multiple time points is of particular value in accommodating for the impact of headway associated endogeneity. </w:t>
      </w:r>
    </w:p>
    <w:p w14:paraId="05689A74" w14:textId="1B0A542E" w:rsidR="00A33B44" w:rsidRDefault="00A33B44" w:rsidP="00413B61">
      <w:pPr>
        <w:autoSpaceDE w:val="0"/>
        <w:autoSpaceDN w:val="0"/>
        <w:adjustRightInd w:val="0"/>
        <w:ind w:firstLine="720"/>
        <w:rPr>
          <w:rFonts w:cs="Times New Roman"/>
          <w:szCs w:val="24"/>
        </w:rPr>
      </w:pPr>
      <w:r>
        <w:rPr>
          <w:rFonts w:cs="Times New Roman"/>
          <w:szCs w:val="24"/>
        </w:rPr>
        <w:t xml:space="preserve">In this study, we address these challenges by proposing a simultaneous equation system that considers headway and </w:t>
      </w:r>
      <w:r>
        <w:rPr>
          <w:rFonts w:cs="Times New Roman"/>
          <w:noProof/>
          <w:szCs w:val="24"/>
        </w:rPr>
        <w:t>ridership (characterized as boarding and alighting)</w:t>
      </w:r>
      <w:r>
        <w:rPr>
          <w:rFonts w:cs="Times New Roman"/>
          <w:szCs w:val="24"/>
        </w:rPr>
        <w:t xml:space="preserve"> in a joint framework while accounting for the influence of common unobserved factors affecting headway and ridership. </w:t>
      </w:r>
      <w:r>
        <w:rPr>
          <w:rFonts w:cs="Times New Roman"/>
          <w:szCs w:val="24"/>
          <w:lang w:val="en-US"/>
        </w:rPr>
        <w:t xml:space="preserve">The proposed model is developed employing ridership data from Orlando region for the Lynx bus transit system. The ridership data includes stop level </w:t>
      </w:r>
      <w:r w:rsidR="009850EE">
        <w:rPr>
          <w:rFonts w:cs="Times New Roman"/>
          <w:szCs w:val="24"/>
          <w:lang w:val="en-US"/>
        </w:rPr>
        <w:t>quadrimester</w:t>
      </w:r>
      <w:r w:rsidR="00C22B74">
        <w:rPr>
          <w:rFonts w:cs="Times New Roman"/>
          <w:szCs w:val="24"/>
          <w:lang w:val="en-US"/>
        </w:rPr>
        <w:t xml:space="preserve"> </w:t>
      </w:r>
      <w:r w:rsidR="001019BF">
        <w:rPr>
          <w:rFonts w:cs="Times New Roman"/>
          <w:szCs w:val="24"/>
          <w:lang w:val="en-US"/>
        </w:rPr>
        <w:t xml:space="preserve">(four-month time period) </w:t>
      </w:r>
      <w:r>
        <w:rPr>
          <w:rFonts w:cs="Times New Roman"/>
          <w:szCs w:val="24"/>
          <w:lang w:val="en-US"/>
        </w:rPr>
        <w:t>average weekday boarding and alighting information</w:t>
      </w:r>
      <w:r w:rsidR="005043B5">
        <w:rPr>
          <w:rFonts w:cs="Times New Roman"/>
          <w:szCs w:val="24"/>
          <w:lang w:val="en-US"/>
        </w:rPr>
        <w:t xml:space="preserve">. The average ridership information are available </w:t>
      </w:r>
      <w:r>
        <w:rPr>
          <w:rFonts w:cs="Times New Roman"/>
          <w:szCs w:val="24"/>
          <w:lang w:val="en-US"/>
        </w:rPr>
        <w:t xml:space="preserve">for 11 </w:t>
      </w:r>
      <w:r w:rsidR="009850EE">
        <w:rPr>
          <w:rFonts w:cs="Times New Roman"/>
          <w:szCs w:val="24"/>
          <w:lang w:val="en-US"/>
        </w:rPr>
        <w:t>quadrimesters</w:t>
      </w:r>
      <w:r w:rsidR="001019BF">
        <w:rPr>
          <w:rFonts w:cs="Times New Roman"/>
          <w:szCs w:val="24"/>
          <w:lang w:val="en-US"/>
        </w:rPr>
        <w:t xml:space="preserve"> </w:t>
      </w:r>
      <w:r>
        <w:rPr>
          <w:rFonts w:cs="Times New Roman"/>
          <w:szCs w:val="24"/>
          <w:lang w:val="en-US"/>
        </w:rPr>
        <w:t xml:space="preserve">from May 2013 to December 2016. The presence of multiple </w:t>
      </w:r>
      <w:r>
        <w:rPr>
          <w:rFonts w:cs="Times New Roman"/>
          <w:szCs w:val="24"/>
          <w:lang w:val="en-US"/>
        </w:rPr>
        <w:lastRenderedPageBreak/>
        <w:t xml:space="preserve">data points for each stop allows us to develop panel models for headway, boarding and alighting. </w:t>
      </w:r>
      <w:r w:rsidR="005043B5">
        <w:rPr>
          <w:rFonts w:cs="Times New Roman"/>
          <w:szCs w:val="24"/>
          <w:lang w:val="en-US"/>
        </w:rPr>
        <w:t>In the joint modeling approach, t</w:t>
      </w:r>
      <w:r>
        <w:rPr>
          <w:rFonts w:cs="Times New Roman"/>
          <w:szCs w:val="24"/>
          <w:lang w:val="en-US"/>
        </w:rPr>
        <w:t>he headway variable is modeled using a panel ordered logit model while the ridership variables are modeled using panel grouped ordered logit models. In addition to unobserved effects in the form of panel random effects,</w:t>
      </w:r>
      <w:r>
        <w:rPr>
          <w:rFonts w:cs="Times New Roman"/>
          <w:szCs w:val="24"/>
        </w:rPr>
        <w:t xml:space="preserve"> several exogenous variables including stop level attributes (such as number of bus stop), transportation infrastructure variables (such as secondary highway length, rail road length and local road length, sidewalk length), transit infrastructure variables (such as bus route length, presence of shelter and distance of bus stop from central business district (CBD)), land use and built environment attributes (such as land use mix, residential area, recreational area, institutional area, office area, etc.) and demographic and socioeconomic variables in the vicinity of the bus stop (income, vehicle ownership, age and gender distribution) are considered in the model estimation. Finally, to illustrate the model applicability, we generate changes to ridership based on changes in multiple independent variables. </w:t>
      </w:r>
    </w:p>
    <w:p w14:paraId="18FA151B" w14:textId="367A9A2F" w:rsidR="00A33B44" w:rsidRPr="00320F49" w:rsidRDefault="00A33B44" w:rsidP="00413B61">
      <w:pPr>
        <w:autoSpaceDE w:val="0"/>
        <w:autoSpaceDN w:val="0"/>
        <w:adjustRightInd w:val="0"/>
        <w:ind w:firstLine="720"/>
      </w:pPr>
      <w:r>
        <w:rPr>
          <w:rFonts w:cs="Times New Roman"/>
          <w:szCs w:val="24"/>
        </w:rPr>
        <w:t>The remainder of the paper is organized as follows. A brief overview of earlier research is described in the literature review section. The methodology section outlines the econometric frameworks considered. The data section presents data source</w:t>
      </w:r>
      <w:r w:rsidR="00B06DE3">
        <w:rPr>
          <w:rFonts w:cs="Times New Roman"/>
          <w:szCs w:val="24"/>
        </w:rPr>
        <w:t xml:space="preserve"> and</w:t>
      </w:r>
      <w:r>
        <w:rPr>
          <w:rFonts w:cs="Times New Roman"/>
          <w:szCs w:val="24"/>
        </w:rPr>
        <w:t xml:space="preserve"> data preparation for analysis. </w:t>
      </w:r>
      <w:r w:rsidR="00B06DE3">
        <w:rPr>
          <w:rFonts w:cs="Times New Roman"/>
          <w:szCs w:val="24"/>
        </w:rPr>
        <w:t>The model estimation results section</w:t>
      </w:r>
      <w:r>
        <w:rPr>
          <w:rFonts w:cs="Times New Roman"/>
          <w:szCs w:val="24"/>
        </w:rPr>
        <w:t xml:space="preserve"> presents the estimation results and validation. The policy analysis results are discussed in the next section. Finally, the conclusion section provides a summary of the findings and concludes our paper.</w:t>
      </w:r>
    </w:p>
    <w:p w14:paraId="4D0872CB" w14:textId="77777777" w:rsidR="00A33B44" w:rsidRDefault="00A33B44" w:rsidP="00413B61">
      <w:pPr>
        <w:ind w:firstLine="720"/>
        <w:rPr>
          <w:rFonts w:cs="Times New Roman"/>
          <w:szCs w:val="24"/>
        </w:rPr>
      </w:pPr>
    </w:p>
    <w:p w14:paraId="5828A23F" w14:textId="77777777" w:rsidR="00A33B44" w:rsidRDefault="00A33B44" w:rsidP="00413B61">
      <w:pPr>
        <w:pStyle w:val="Heading1"/>
        <w:spacing w:before="0" w:after="0"/>
        <w:rPr>
          <w:szCs w:val="24"/>
        </w:rPr>
      </w:pPr>
      <w:r w:rsidRPr="00354237">
        <w:rPr>
          <w:szCs w:val="24"/>
        </w:rPr>
        <w:t>LITERATURE REVIEW</w:t>
      </w:r>
    </w:p>
    <w:p w14:paraId="29E53630" w14:textId="77777777" w:rsidR="00A33B44" w:rsidRPr="007C003C" w:rsidRDefault="00A33B44" w:rsidP="00413B61"/>
    <w:p w14:paraId="595C871C" w14:textId="77777777" w:rsidR="00A33B44" w:rsidRDefault="00A33B44" w:rsidP="00413B61">
      <w:pPr>
        <w:pStyle w:val="Heading2"/>
        <w:spacing w:before="0" w:after="0"/>
      </w:pPr>
      <w:r>
        <w:t>Background</w:t>
      </w:r>
    </w:p>
    <w:p w14:paraId="4DB81570" w14:textId="3A933257" w:rsidR="00A33B44" w:rsidRDefault="00A33B44" w:rsidP="00413B61">
      <w:pPr>
        <w:autoSpaceDE w:val="0"/>
        <w:autoSpaceDN w:val="0"/>
        <w:adjustRightInd w:val="0"/>
        <w:rPr>
          <w:rFonts w:cs="Times New Roman"/>
          <w:szCs w:val="24"/>
        </w:rPr>
      </w:pPr>
      <w:bookmarkStart w:id="0" w:name="_Hlk518944938"/>
      <w:r>
        <w:rPr>
          <w:rFonts w:cs="Times New Roman"/>
          <w:szCs w:val="24"/>
        </w:rPr>
        <w:t xml:space="preserve">Transit ridership literature can be categorized into two groups. The first group of studies focuses on the factors that affect transit adoption at a disaggregate level by exploring individual perceptions and behavioral responses </w:t>
      </w:r>
      <w:r>
        <w:rPr>
          <w:rFonts w:cs="Times New Roman"/>
          <w:noProof/>
          <w:szCs w:val="24"/>
        </w:rPr>
        <w:t>(Fan</w:t>
      </w:r>
      <w:r w:rsidRPr="003D7B39">
        <w:rPr>
          <w:rFonts w:cs="Times New Roman"/>
          <w:i/>
          <w:noProof/>
          <w:szCs w:val="24"/>
        </w:rPr>
        <w:t xml:space="preserve"> et al.</w:t>
      </w:r>
      <w:r>
        <w:rPr>
          <w:rFonts w:cs="Times New Roman"/>
          <w:noProof/>
          <w:szCs w:val="24"/>
        </w:rPr>
        <w:t xml:space="preserve"> 1993, Handy 1996, Wardman and Whelan 1999, Balcombe</w:t>
      </w:r>
      <w:r w:rsidRPr="003D7B39">
        <w:rPr>
          <w:rFonts w:cs="Times New Roman"/>
          <w:i/>
          <w:noProof/>
          <w:szCs w:val="24"/>
        </w:rPr>
        <w:t xml:space="preserve"> et al.</w:t>
      </w:r>
      <w:r>
        <w:rPr>
          <w:rFonts w:cs="Times New Roman"/>
          <w:noProof/>
          <w:szCs w:val="24"/>
        </w:rPr>
        <w:t xml:space="preserve"> 2004, Evans 2004, McCollom and Pratt 2004a, McCollom and Pratt 2004b, Handy</w:t>
      </w:r>
      <w:r w:rsidRPr="003D7B39">
        <w:rPr>
          <w:rFonts w:cs="Times New Roman"/>
          <w:i/>
          <w:noProof/>
          <w:szCs w:val="24"/>
        </w:rPr>
        <w:t xml:space="preserve"> et al.</w:t>
      </w:r>
      <w:r>
        <w:rPr>
          <w:rFonts w:cs="Times New Roman"/>
          <w:noProof/>
          <w:szCs w:val="24"/>
        </w:rPr>
        <w:t xml:space="preserve"> 2005, Debrezion</w:t>
      </w:r>
      <w:r w:rsidRPr="003D7B39">
        <w:rPr>
          <w:rFonts w:cs="Times New Roman"/>
          <w:i/>
          <w:noProof/>
          <w:szCs w:val="24"/>
        </w:rPr>
        <w:t xml:space="preserve"> et al.</w:t>
      </w:r>
      <w:r>
        <w:rPr>
          <w:rFonts w:cs="Times New Roman"/>
          <w:noProof/>
          <w:szCs w:val="24"/>
        </w:rPr>
        <w:t xml:space="preserve"> 2007, 2009, Van Acker</w:t>
      </w:r>
      <w:r w:rsidRPr="003D7B39">
        <w:rPr>
          <w:rFonts w:cs="Times New Roman"/>
          <w:i/>
          <w:noProof/>
          <w:szCs w:val="24"/>
        </w:rPr>
        <w:t xml:space="preserve"> et al.</w:t>
      </w:r>
      <w:r>
        <w:rPr>
          <w:rFonts w:cs="Times New Roman"/>
          <w:noProof/>
          <w:szCs w:val="24"/>
        </w:rPr>
        <w:t xml:space="preserve"> 2010, Chakour and Eluru 2014)</w:t>
      </w:r>
      <w:r>
        <w:rPr>
          <w:rFonts w:cs="Times New Roman"/>
          <w:szCs w:val="24"/>
        </w:rPr>
        <w:t xml:space="preserve">. The second group of studies examines the impact of various factors on system level (or route level) ridership measures </w:t>
      </w:r>
      <w:r>
        <w:rPr>
          <w:rFonts w:cs="Times New Roman"/>
          <w:noProof/>
          <w:szCs w:val="24"/>
        </w:rPr>
        <w:t>(Seskin</w:t>
      </w:r>
      <w:r w:rsidRPr="003D7B39">
        <w:rPr>
          <w:rFonts w:cs="Times New Roman"/>
          <w:i/>
          <w:noProof/>
          <w:szCs w:val="24"/>
        </w:rPr>
        <w:t xml:space="preserve"> et al.</w:t>
      </w:r>
      <w:r>
        <w:rPr>
          <w:rFonts w:cs="Times New Roman"/>
          <w:noProof/>
          <w:szCs w:val="24"/>
        </w:rPr>
        <w:t xml:space="preserve"> 1996, FitzRoy and Smith 1998, Kain and Liu 1999, Babalik-Sutcliffe 2002, Johnson 2003, Mackett and Sutcliffe 2003, Ma</w:t>
      </w:r>
      <w:r w:rsidRPr="003D7B39">
        <w:rPr>
          <w:rFonts w:cs="Times New Roman"/>
          <w:i/>
          <w:noProof/>
          <w:szCs w:val="24"/>
        </w:rPr>
        <w:t xml:space="preserve"> et al.</w:t>
      </w:r>
      <w:r>
        <w:rPr>
          <w:rFonts w:cs="Times New Roman"/>
          <w:noProof/>
          <w:szCs w:val="24"/>
        </w:rPr>
        <w:t xml:space="preserve"> 2018)</w:t>
      </w:r>
      <w:bookmarkEnd w:id="0"/>
      <w:r>
        <w:rPr>
          <w:rFonts w:cs="Times New Roman"/>
          <w:szCs w:val="24"/>
        </w:rPr>
        <w:t xml:space="preserve">. The current proposed research effort falls into the second group of studies. A detailed review of all these studies is beyond the scope of the paper. The reader is referred to a recent study by </w:t>
      </w:r>
      <w:r>
        <w:rPr>
          <w:rFonts w:cs="Times New Roman"/>
          <w:noProof/>
          <w:szCs w:val="24"/>
        </w:rPr>
        <w:t>Rahman</w:t>
      </w:r>
      <w:r w:rsidRPr="003D7B39">
        <w:rPr>
          <w:rFonts w:cs="Times New Roman"/>
          <w:i/>
          <w:noProof/>
          <w:szCs w:val="24"/>
        </w:rPr>
        <w:t xml:space="preserve"> et al.</w:t>
      </w:r>
      <w:r>
        <w:rPr>
          <w:rFonts w:cs="Times New Roman"/>
          <w:noProof/>
          <w:szCs w:val="24"/>
        </w:rPr>
        <w:t xml:space="preserve"> </w:t>
      </w:r>
      <w:r w:rsidR="00D233C3">
        <w:rPr>
          <w:rFonts w:cs="Times New Roman"/>
          <w:noProof/>
          <w:szCs w:val="24"/>
        </w:rPr>
        <w:t>(</w:t>
      </w:r>
      <w:r>
        <w:rPr>
          <w:rFonts w:cs="Times New Roman"/>
          <w:noProof/>
          <w:szCs w:val="24"/>
        </w:rPr>
        <w:t>201</w:t>
      </w:r>
      <w:r w:rsidR="00BA7535">
        <w:rPr>
          <w:rFonts w:cs="Times New Roman"/>
          <w:noProof/>
          <w:szCs w:val="24"/>
        </w:rPr>
        <w:t>9</w:t>
      </w:r>
      <w:r>
        <w:rPr>
          <w:rFonts w:cs="Times New Roman"/>
          <w:noProof/>
          <w:szCs w:val="24"/>
        </w:rPr>
        <w:t>)</w:t>
      </w:r>
      <w:r>
        <w:rPr>
          <w:rFonts w:cs="Times New Roman"/>
          <w:szCs w:val="24"/>
        </w:rPr>
        <w:t xml:space="preserve"> that provides a detailed summary of literature across these two groups. In this section, we focus on literature particularly relevant to our research effort. We begin with an overview of studies in transportation that attempt to accommodate for endogeneity. Subsequently, we examine studies that consider endogeneity within transit literature. </w:t>
      </w:r>
    </w:p>
    <w:p w14:paraId="2A1B427B" w14:textId="77777777" w:rsidR="00A33B44" w:rsidRDefault="00A33B44" w:rsidP="00413B61">
      <w:pPr>
        <w:autoSpaceDE w:val="0"/>
        <w:autoSpaceDN w:val="0"/>
        <w:adjustRightInd w:val="0"/>
        <w:rPr>
          <w:rFonts w:cs="Times New Roman"/>
          <w:szCs w:val="24"/>
        </w:rPr>
      </w:pPr>
    </w:p>
    <w:p w14:paraId="72D22586" w14:textId="77777777" w:rsidR="00A33B44" w:rsidRDefault="00A33B44" w:rsidP="00413B61">
      <w:pPr>
        <w:pStyle w:val="Heading3"/>
        <w:spacing w:before="0"/>
      </w:pPr>
      <w:r w:rsidRPr="0086668C">
        <w:rPr>
          <w:rFonts w:cstheme="majorBidi"/>
        </w:rPr>
        <w:t>Addressing Endogeneity in Transportation</w:t>
      </w:r>
    </w:p>
    <w:p w14:paraId="3829028B" w14:textId="1EC348B8" w:rsidR="00EA33AD" w:rsidRDefault="00A33B44" w:rsidP="00413B61">
      <w:pPr>
        <w:autoSpaceDE w:val="0"/>
        <w:autoSpaceDN w:val="0"/>
        <w:adjustRightInd w:val="0"/>
        <w:rPr>
          <w:rFonts w:cs="Times New Roman"/>
          <w:szCs w:val="24"/>
        </w:rPr>
      </w:pPr>
      <w:r>
        <w:rPr>
          <w:rFonts w:cs="Times New Roman"/>
          <w:szCs w:val="24"/>
        </w:rPr>
        <w:t xml:space="preserve">The travel behavior field has extensively examined the influence of endogeneity across various decision processes. Specifically, these studies have explored the potential impact of residential location choice – labelled as residential self-selection – on various travel behavior choices </w:t>
      </w:r>
      <w:r>
        <w:rPr>
          <w:rFonts w:cs="Times New Roman"/>
          <w:noProof/>
          <w:szCs w:val="24"/>
        </w:rPr>
        <w:t>(Bhat and Guo 2007, Mokhtarian and Cao 2008, Bhat and Eluru 2009, Cao</w:t>
      </w:r>
      <w:r w:rsidRPr="003D7B39">
        <w:rPr>
          <w:rFonts w:cs="Times New Roman"/>
          <w:i/>
          <w:noProof/>
          <w:szCs w:val="24"/>
        </w:rPr>
        <w:t xml:space="preserve"> et al.</w:t>
      </w:r>
      <w:r>
        <w:rPr>
          <w:rFonts w:cs="Times New Roman"/>
          <w:noProof/>
          <w:szCs w:val="24"/>
        </w:rPr>
        <w:t xml:space="preserve"> 2009, Pinjari</w:t>
      </w:r>
      <w:r w:rsidRPr="003D7B39">
        <w:rPr>
          <w:rFonts w:cs="Times New Roman"/>
          <w:i/>
          <w:noProof/>
          <w:szCs w:val="24"/>
        </w:rPr>
        <w:t xml:space="preserve"> et al.</w:t>
      </w:r>
      <w:r>
        <w:rPr>
          <w:rFonts w:cs="Times New Roman"/>
          <w:noProof/>
          <w:szCs w:val="24"/>
        </w:rPr>
        <w:t xml:space="preserve"> 2009, Walker</w:t>
      </w:r>
      <w:r w:rsidRPr="003D7B39">
        <w:rPr>
          <w:rFonts w:cs="Times New Roman"/>
          <w:i/>
          <w:noProof/>
          <w:szCs w:val="24"/>
        </w:rPr>
        <w:t xml:space="preserve"> et al.</w:t>
      </w:r>
      <w:r>
        <w:rPr>
          <w:rFonts w:cs="Times New Roman"/>
          <w:noProof/>
          <w:szCs w:val="24"/>
        </w:rPr>
        <w:t xml:space="preserve"> 2011, Aditjandra</w:t>
      </w:r>
      <w:r w:rsidRPr="003D7B39">
        <w:rPr>
          <w:rFonts w:cs="Times New Roman"/>
          <w:i/>
          <w:noProof/>
          <w:szCs w:val="24"/>
        </w:rPr>
        <w:t xml:space="preserve"> et al.</w:t>
      </w:r>
      <w:r>
        <w:rPr>
          <w:rFonts w:cs="Times New Roman"/>
          <w:noProof/>
          <w:szCs w:val="24"/>
        </w:rPr>
        <w:t xml:space="preserve"> 2012, Vij and Walker 2014, Ding</w:t>
      </w:r>
      <w:r w:rsidRPr="003D7B39">
        <w:rPr>
          <w:rFonts w:cs="Times New Roman"/>
          <w:i/>
          <w:noProof/>
          <w:szCs w:val="24"/>
        </w:rPr>
        <w:t xml:space="preserve"> et al.</w:t>
      </w:r>
      <w:r>
        <w:rPr>
          <w:rFonts w:cs="Times New Roman"/>
          <w:noProof/>
          <w:szCs w:val="24"/>
        </w:rPr>
        <w:t xml:space="preserve"> 2017, Ettema and Nieuwenhuis 2017)</w:t>
      </w:r>
      <w:r>
        <w:rPr>
          <w:rFonts w:cs="Times New Roman"/>
          <w:szCs w:val="24"/>
        </w:rPr>
        <w:t xml:space="preserve">. </w:t>
      </w:r>
      <w:r w:rsidR="00EA33AD">
        <w:rPr>
          <w:rFonts w:cs="Times New Roman"/>
          <w:szCs w:val="24"/>
        </w:rPr>
        <w:t xml:space="preserve">More recently, several researchers developed/analyzed approaches to incorporate endogeneity associated with omitted variables such as attitudinal attributes (Paulsen </w:t>
      </w:r>
      <w:r w:rsidR="00EA33AD" w:rsidRPr="009E03A0">
        <w:rPr>
          <w:rFonts w:cs="Times New Roman"/>
          <w:i/>
          <w:iCs/>
          <w:szCs w:val="24"/>
        </w:rPr>
        <w:t>et al.</w:t>
      </w:r>
      <w:r w:rsidR="00EA33AD">
        <w:rPr>
          <w:rFonts w:cs="Times New Roman"/>
          <w:szCs w:val="24"/>
        </w:rPr>
        <w:t xml:space="preserve"> 2014, </w:t>
      </w:r>
      <w:r w:rsidR="00EA33AD" w:rsidRPr="00EA33AD">
        <w:rPr>
          <w:rFonts w:cs="Times New Roman"/>
          <w:szCs w:val="24"/>
        </w:rPr>
        <w:t>Fernández-Antolín</w:t>
      </w:r>
      <w:r w:rsidR="00EA33AD">
        <w:rPr>
          <w:rFonts w:cs="Times New Roman"/>
          <w:szCs w:val="24"/>
        </w:rPr>
        <w:t xml:space="preserve"> </w:t>
      </w:r>
      <w:r w:rsidR="00EA33AD" w:rsidRPr="009E03A0">
        <w:rPr>
          <w:rFonts w:cs="Times New Roman"/>
          <w:i/>
          <w:iCs/>
          <w:szCs w:val="24"/>
        </w:rPr>
        <w:t>et al.</w:t>
      </w:r>
      <w:r w:rsidR="00EA33AD">
        <w:rPr>
          <w:rFonts w:cs="Times New Roman"/>
          <w:szCs w:val="24"/>
        </w:rPr>
        <w:t xml:space="preserve"> 2016</w:t>
      </w:r>
      <w:r w:rsidR="009E03A0">
        <w:rPr>
          <w:rFonts w:cs="Times New Roman"/>
          <w:szCs w:val="24"/>
        </w:rPr>
        <w:t>,</w:t>
      </w:r>
      <w:r w:rsidR="00EA33AD">
        <w:rPr>
          <w:rFonts w:cs="Times New Roman"/>
          <w:szCs w:val="24"/>
        </w:rPr>
        <w:t xml:space="preserve"> </w:t>
      </w:r>
      <w:r w:rsidR="00EA33AD" w:rsidRPr="00EA33AD">
        <w:rPr>
          <w:rFonts w:cs="Times New Roman"/>
          <w:szCs w:val="24"/>
        </w:rPr>
        <w:t>Guevara and Polanco 2016</w:t>
      </w:r>
      <w:r w:rsidR="00EA33AD">
        <w:rPr>
          <w:rFonts w:cs="Times New Roman"/>
          <w:szCs w:val="24"/>
        </w:rPr>
        <w:t xml:space="preserve">, </w:t>
      </w:r>
      <w:r w:rsidR="00EA33AD" w:rsidRPr="00EA33AD">
        <w:rPr>
          <w:rFonts w:cs="Times New Roman"/>
          <w:szCs w:val="24"/>
        </w:rPr>
        <w:t xml:space="preserve">Guevara </w:t>
      </w:r>
      <w:r w:rsidR="00EA33AD">
        <w:rPr>
          <w:rFonts w:cs="Times New Roman"/>
          <w:szCs w:val="24"/>
        </w:rPr>
        <w:t xml:space="preserve">2015, Beck </w:t>
      </w:r>
      <w:r w:rsidR="00EA33AD" w:rsidRPr="009E03A0">
        <w:rPr>
          <w:rFonts w:cs="Times New Roman"/>
          <w:i/>
          <w:iCs/>
          <w:szCs w:val="24"/>
        </w:rPr>
        <w:t>et al.</w:t>
      </w:r>
      <w:r w:rsidR="00EA33AD">
        <w:rPr>
          <w:rFonts w:cs="Times New Roman"/>
          <w:szCs w:val="24"/>
        </w:rPr>
        <w:t xml:space="preserve"> </w:t>
      </w:r>
      <w:r w:rsidR="00EA33AD">
        <w:rPr>
          <w:rFonts w:cs="Times New Roman"/>
          <w:szCs w:val="24"/>
        </w:rPr>
        <w:lastRenderedPageBreak/>
        <w:t xml:space="preserve">2017, Mariel </w:t>
      </w:r>
      <w:r w:rsidR="00EA33AD" w:rsidRPr="009E03A0">
        <w:rPr>
          <w:rFonts w:cs="Times New Roman"/>
          <w:i/>
          <w:iCs/>
          <w:szCs w:val="24"/>
        </w:rPr>
        <w:t>et al.</w:t>
      </w:r>
      <w:r w:rsidR="00EA33AD">
        <w:rPr>
          <w:rFonts w:cs="Times New Roman"/>
          <w:szCs w:val="24"/>
        </w:rPr>
        <w:t xml:space="preserve"> 2018). </w:t>
      </w:r>
      <w:r w:rsidR="008755ED">
        <w:rPr>
          <w:rFonts w:cs="Times New Roman"/>
          <w:szCs w:val="24"/>
        </w:rPr>
        <w:t xml:space="preserve">Furthermore, several studies have incorporated the impact of individual attitudes and social influence characteristics on travel behavior within hybrid choice models (Chorus and Kroesen 2014, </w:t>
      </w:r>
      <w:r w:rsidR="008755ED" w:rsidRPr="009C67E2">
        <w:t>Kamargianni</w:t>
      </w:r>
      <w:r w:rsidR="008755ED">
        <w:t xml:space="preserve"> </w:t>
      </w:r>
      <w:r w:rsidR="008755ED" w:rsidRPr="009E03A0">
        <w:rPr>
          <w:i/>
          <w:iCs/>
        </w:rPr>
        <w:t>et al.</w:t>
      </w:r>
      <w:r w:rsidR="008755ED">
        <w:t xml:space="preserve"> 2014, Kim </w:t>
      </w:r>
      <w:r w:rsidR="008755ED" w:rsidRPr="009E03A0">
        <w:rPr>
          <w:i/>
          <w:iCs/>
        </w:rPr>
        <w:t>et al.</w:t>
      </w:r>
      <w:r w:rsidR="009E03A0">
        <w:t xml:space="preserve"> </w:t>
      </w:r>
      <w:r w:rsidR="008755ED">
        <w:t xml:space="preserve">2014, Kim </w:t>
      </w:r>
      <w:r w:rsidR="008755ED" w:rsidRPr="009E03A0">
        <w:rPr>
          <w:i/>
          <w:iCs/>
        </w:rPr>
        <w:t>et al.</w:t>
      </w:r>
      <w:r w:rsidR="008755ED">
        <w:t xml:space="preserve"> 2017</w:t>
      </w:r>
      <w:r w:rsidR="008755ED">
        <w:rPr>
          <w:rFonts w:cs="Times New Roman"/>
          <w:szCs w:val="24"/>
        </w:rPr>
        <w:t xml:space="preserve">). </w:t>
      </w:r>
    </w:p>
    <w:p w14:paraId="02F67268" w14:textId="58AB335C" w:rsidR="00A33B44" w:rsidRDefault="00A33B44" w:rsidP="009E03A0">
      <w:pPr>
        <w:ind w:firstLine="720"/>
        <w:rPr>
          <w:rFonts w:cs="Times New Roman"/>
          <w:szCs w:val="24"/>
        </w:rPr>
      </w:pPr>
      <w:r>
        <w:rPr>
          <w:rFonts w:cs="Times New Roman"/>
          <w:szCs w:val="24"/>
        </w:rPr>
        <w:t xml:space="preserve">There are examples from other fields including </w:t>
      </w:r>
      <w:bookmarkStart w:id="1" w:name="_Hlk518949331"/>
      <w:r>
        <w:rPr>
          <w:rFonts w:cs="Times New Roman"/>
          <w:szCs w:val="24"/>
        </w:rPr>
        <w:t xml:space="preserve">seat belt choice in driver injury severity models </w:t>
      </w:r>
      <w:r>
        <w:rPr>
          <w:rFonts w:cs="Times New Roman"/>
          <w:noProof/>
          <w:szCs w:val="24"/>
        </w:rPr>
        <w:t>(Eluru and Bhat 2007, Abay</w:t>
      </w:r>
      <w:r w:rsidRPr="003D7B39">
        <w:rPr>
          <w:rFonts w:cs="Times New Roman"/>
          <w:i/>
          <w:noProof/>
          <w:szCs w:val="24"/>
        </w:rPr>
        <w:t xml:space="preserve"> et al.</w:t>
      </w:r>
      <w:r>
        <w:rPr>
          <w:rFonts w:cs="Times New Roman"/>
          <w:noProof/>
          <w:szCs w:val="24"/>
        </w:rPr>
        <w:t xml:space="preserve"> 2013)</w:t>
      </w:r>
      <w:r>
        <w:rPr>
          <w:rFonts w:cs="Times New Roman"/>
          <w:szCs w:val="24"/>
        </w:rPr>
        <w:t xml:space="preserve">; emergency medical response time affecting fatality timeline </w:t>
      </w:r>
      <w:r>
        <w:rPr>
          <w:rFonts w:cs="Times New Roman"/>
          <w:noProof/>
          <w:szCs w:val="24"/>
        </w:rPr>
        <w:t>(Yasmin</w:t>
      </w:r>
      <w:r w:rsidRPr="003D7B39">
        <w:rPr>
          <w:rFonts w:cs="Times New Roman"/>
          <w:i/>
          <w:noProof/>
          <w:szCs w:val="24"/>
        </w:rPr>
        <w:t xml:space="preserve"> et al.</w:t>
      </w:r>
      <w:r>
        <w:rPr>
          <w:rFonts w:cs="Times New Roman"/>
          <w:noProof/>
          <w:szCs w:val="24"/>
        </w:rPr>
        <w:t xml:space="preserve"> 2015)</w:t>
      </w:r>
      <w:r>
        <w:rPr>
          <w:rFonts w:cs="Times New Roman"/>
          <w:szCs w:val="24"/>
        </w:rPr>
        <w:t xml:space="preserve"> and bicycle sharing system station capacity decision influencing bicycle sharing demand </w:t>
      </w:r>
      <w:r>
        <w:rPr>
          <w:rFonts w:cs="Times New Roman"/>
          <w:noProof/>
          <w:szCs w:val="24"/>
        </w:rPr>
        <w:t>(Faghih-Imani and Eluru 2016)</w:t>
      </w:r>
      <w:bookmarkEnd w:id="1"/>
      <w:r>
        <w:rPr>
          <w:rFonts w:cs="Times New Roman"/>
          <w:szCs w:val="24"/>
        </w:rPr>
        <w:t xml:space="preserve">. The endogenous variables and the choice variables could be examined as continuous or discrete indicators. Based on the nature of the variables involved, several approaches such as </w:t>
      </w:r>
      <w:r w:rsidR="00A378C4">
        <w:rPr>
          <w:rFonts w:cs="Times New Roman"/>
          <w:szCs w:val="24"/>
        </w:rPr>
        <w:t xml:space="preserve">proxy variables (Wardman and Whelan 2011, Tirachani </w:t>
      </w:r>
      <w:r w:rsidR="00A378C4" w:rsidRPr="00DE551F">
        <w:rPr>
          <w:rFonts w:cs="Times New Roman"/>
          <w:i/>
          <w:iCs/>
          <w:szCs w:val="24"/>
        </w:rPr>
        <w:t>et al.</w:t>
      </w:r>
      <w:r w:rsidR="00A378C4">
        <w:rPr>
          <w:rFonts w:cs="Times New Roman"/>
          <w:szCs w:val="24"/>
        </w:rPr>
        <w:t xml:space="preserve"> 2013), control function method (Guevara and Ben-Akiva 2012), multiple indicator solution (Guevara and Polanco 2016), </w:t>
      </w:r>
      <w:r>
        <w:rPr>
          <w:rFonts w:cs="Times New Roman"/>
          <w:szCs w:val="24"/>
        </w:rPr>
        <w:t xml:space="preserve">instrument variables regression, two-stage residual inclusion (2SRI) approach and Roy’s </w:t>
      </w:r>
      <w:r>
        <w:rPr>
          <w:rFonts w:cs="Times New Roman"/>
          <w:noProof/>
          <w:szCs w:val="24"/>
        </w:rPr>
        <w:t>(Roy 1951)</w:t>
      </w:r>
      <w:r>
        <w:rPr>
          <w:rFonts w:cs="Times New Roman"/>
          <w:szCs w:val="24"/>
        </w:rPr>
        <w:t xml:space="preserve"> endogenous system or the treatment effects model (</w:t>
      </w:r>
      <w:r>
        <w:t xml:space="preserve">see </w:t>
      </w:r>
      <w:r>
        <w:rPr>
          <w:noProof/>
        </w:rPr>
        <w:t>Maddala 1983</w:t>
      </w:r>
      <w:r w:rsidR="00D233C3">
        <w:t>,</w:t>
      </w:r>
      <w:r>
        <w:t xml:space="preserve"> </w:t>
      </w:r>
      <w:r>
        <w:rPr>
          <w:noProof/>
        </w:rPr>
        <w:t>Heckman and Vytlacil 2005</w:t>
      </w:r>
      <w:r>
        <w:t>)</w:t>
      </w:r>
      <w:r w:rsidR="00A378C4">
        <w:t>,</w:t>
      </w:r>
      <w:r>
        <w:rPr>
          <w:rFonts w:cs="Times New Roman"/>
          <w:szCs w:val="24"/>
        </w:rPr>
        <w:t xml:space="preserve"> and joint econometric modeling approaches (</w:t>
      </w:r>
      <w:r>
        <w:rPr>
          <w:rFonts w:cs="Times New Roman"/>
          <w:noProof/>
          <w:szCs w:val="24"/>
        </w:rPr>
        <w:t>Eluru and Bhat 2007)</w:t>
      </w:r>
      <w:r>
        <w:rPr>
          <w:rFonts w:cs="Times New Roman"/>
          <w:szCs w:val="24"/>
        </w:rPr>
        <w:t xml:space="preserve"> are employed.</w:t>
      </w:r>
    </w:p>
    <w:p w14:paraId="438FA279" w14:textId="77777777" w:rsidR="00A33B44" w:rsidRDefault="00A33B44" w:rsidP="00413B61">
      <w:pPr>
        <w:autoSpaceDE w:val="0"/>
        <w:autoSpaceDN w:val="0"/>
        <w:adjustRightInd w:val="0"/>
        <w:rPr>
          <w:rFonts w:cs="Times New Roman"/>
          <w:szCs w:val="24"/>
        </w:rPr>
      </w:pPr>
    </w:p>
    <w:p w14:paraId="7858D99E" w14:textId="77777777" w:rsidR="00A33B44" w:rsidRPr="007C003C" w:rsidRDefault="00A33B44" w:rsidP="00413B61">
      <w:pPr>
        <w:pStyle w:val="Heading3"/>
        <w:spacing w:before="0"/>
      </w:pPr>
      <w:r w:rsidRPr="007C003C">
        <w:rPr>
          <w:rFonts w:cstheme="majorBidi"/>
        </w:rPr>
        <w:t>Research in Transit Field Accommodating Endogeneity</w:t>
      </w:r>
      <w:r w:rsidRPr="00EE797E">
        <w:rPr>
          <w:rFonts w:cs="Times New Roman"/>
          <w:b/>
          <w:szCs w:val="24"/>
        </w:rPr>
        <w:t xml:space="preserve"> </w:t>
      </w:r>
    </w:p>
    <w:p w14:paraId="03A17531" w14:textId="428CC796" w:rsidR="00A33B44" w:rsidRDefault="00A33B44" w:rsidP="00413B61">
      <w:pPr>
        <w:rPr>
          <w:rFonts w:cs="Times New Roman"/>
          <w:szCs w:val="24"/>
        </w:rPr>
      </w:pPr>
      <w:r>
        <w:rPr>
          <w:rFonts w:cs="Times New Roman"/>
          <w:szCs w:val="24"/>
        </w:rPr>
        <w:t xml:space="preserve">Given the prevalence of modeling approaches for addressing endogeneity bias in transportation field, it is not surprising that multiple studies have either alluded to the presence of endogeneity or specifically employed approaches to control for it in the context of public transit analysis. Earlier research in transit ridership analysis have discussed </w:t>
      </w:r>
      <w:bookmarkStart w:id="2" w:name="_Hlk518950008"/>
      <w:r>
        <w:rPr>
          <w:rFonts w:cs="Times New Roman"/>
          <w:szCs w:val="24"/>
        </w:rPr>
        <w:t xml:space="preserve">potential endogeneity of transit ridership and transit price, service and automobile ownership dimensions </w:t>
      </w:r>
      <w:r>
        <w:rPr>
          <w:rFonts w:cs="Times New Roman"/>
          <w:noProof/>
          <w:szCs w:val="24"/>
        </w:rPr>
        <w:t>(Creutzig 2014)</w:t>
      </w:r>
      <w:r>
        <w:rPr>
          <w:rFonts w:cs="Times New Roman"/>
          <w:szCs w:val="24"/>
        </w:rPr>
        <w:t xml:space="preserve">. </w:t>
      </w:r>
      <w:bookmarkStart w:id="3" w:name="_Hlk518950033"/>
      <w:r>
        <w:rPr>
          <w:rFonts w:cs="Times New Roman"/>
          <w:szCs w:val="24"/>
        </w:rPr>
        <w:t xml:space="preserve">Holmgren </w:t>
      </w:r>
      <w:r>
        <w:rPr>
          <w:rFonts w:cs="Times New Roman"/>
          <w:noProof/>
          <w:szCs w:val="24"/>
        </w:rPr>
        <w:t>(2007)</w:t>
      </w:r>
      <w:bookmarkEnd w:id="2"/>
      <w:r>
        <w:rPr>
          <w:rFonts w:cs="Times New Roman"/>
          <w:szCs w:val="24"/>
        </w:rPr>
        <w:t xml:space="preserve"> conducted a meta-analysis of elasticity estimates of bus demand in transit literature and recommended that service variable (headway) should be treated as endogenous while other variables such as car ownership, fuel price and ticket price should be considered as exogenous variables</w:t>
      </w:r>
      <w:bookmarkEnd w:id="3"/>
      <w:r>
        <w:rPr>
          <w:rFonts w:cs="Times New Roman"/>
          <w:szCs w:val="24"/>
        </w:rPr>
        <w:t xml:space="preserve">. The studies that considered endogeneity have controlled for different dimensions governed by the authors’ judgement. </w:t>
      </w:r>
      <w:bookmarkStart w:id="4" w:name="_Hlk518950044"/>
      <w:r>
        <w:rPr>
          <w:rFonts w:cs="Times New Roman"/>
          <w:szCs w:val="24"/>
        </w:rPr>
        <w:t xml:space="preserve">Voith </w:t>
      </w:r>
      <w:r>
        <w:rPr>
          <w:rFonts w:cs="Times New Roman"/>
          <w:noProof/>
          <w:szCs w:val="24"/>
        </w:rPr>
        <w:t>(1991)</w:t>
      </w:r>
      <w:r>
        <w:rPr>
          <w:rFonts w:cs="Times New Roman"/>
          <w:szCs w:val="24"/>
        </w:rPr>
        <w:t xml:space="preserve"> developed community transit demand models while accommodating for the interaction between transit fare prices and service decisions on ridership. </w:t>
      </w:r>
      <w:bookmarkEnd w:id="4"/>
      <w:r>
        <w:rPr>
          <w:rFonts w:cs="Times New Roman"/>
          <w:szCs w:val="24"/>
        </w:rPr>
        <w:t xml:space="preserve">The authors estimate a dynamic fixed effects panel model with Instrumental Variables (IV) using data from Southeastern Pennsylvania Transportation Authority (SEPTA). Voith </w:t>
      </w:r>
      <w:r>
        <w:rPr>
          <w:rFonts w:cs="Times New Roman"/>
          <w:noProof/>
          <w:szCs w:val="24"/>
        </w:rPr>
        <w:t>(1997)</w:t>
      </w:r>
      <w:r>
        <w:rPr>
          <w:rFonts w:cs="Times New Roman"/>
          <w:szCs w:val="24"/>
        </w:rPr>
        <w:t xml:space="preserve"> extended the model developed in Voith </w:t>
      </w:r>
      <w:r>
        <w:rPr>
          <w:rFonts w:cs="Times New Roman"/>
          <w:noProof/>
          <w:szCs w:val="24"/>
        </w:rPr>
        <w:t>(1991)</w:t>
      </w:r>
      <w:r>
        <w:rPr>
          <w:rFonts w:cs="Times New Roman"/>
          <w:szCs w:val="24"/>
        </w:rPr>
        <w:t xml:space="preserve"> with a larger data sample with IV approach developing separate equations for price and service. </w:t>
      </w:r>
    </w:p>
    <w:p w14:paraId="641996C4" w14:textId="5BF81868" w:rsidR="00A33B44" w:rsidRDefault="00A33B44" w:rsidP="00413B61">
      <w:pPr>
        <w:ind w:firstLine="720"/>
        <w:rPr>
          <w:rFonts w:cs="Times New Roman"/>
          <w:szCs w:val="24"/>
        </w:rPr>
      </w:pPr>
      <w:r>
        <w:rPr>
          <w:rFonts w:cs="Times New Roman"/>
          <w:szCs w:val="24"/>
        </w:rPr>
        <w:t xml:space="preserve">Fitzroy and Smith </w:t>
      </w:r>
      <w:r>
        <w:rPr>
          <w:rFonts w:cs="Times New Roman"/>
          <w:noProof/>
          <w:szCs w:val="24"/>
        </w:rPr>
        <w:t>(1999)</w:t>
      </w:r>
      <w:r>
        <w:rPr>
          <w:rFonts w:cs="Times New Roman"/>
          <w:szCs w:val="24"/>
        </w:rPr>
        <w:t xml:space="preserve"> developed a framework to examine the impact of season tickets on transit ridership across four Swiss cities. To account for the potential impact of investments on road and transit infrastructure on overall ridership, the authors employed an IV approach. Further, the authors controlled for potential contemporaneous unobserved correlation by developing seemingly unrelated regression approach. Deka </w:t>
      </w:r>
      <w:r>
        <w:rPr>
          <w:rFonts w:cs="Times New Roman"/>
          <w:noProof/>
          <w:szCs w:val="24"/>
        </w:rPr>
        <w:t>(2002)</w:t>
      </w:r>
      <w:r>
        <w:rPr>
          <w:rFonts w:cs="Times New Roman"/>
          <w:szCs w:val="24"/>
        </w:rPr>
        <w:t xml:space="preserve"> examined the potential endogeneity of automobile ownership and transit availability in the Los Angeles region. Specifically, the author estimated a model for transit availability and employed its predicted value as an independent variable in modeling automobile ownership. Novak and Savage </w:t>
      </w:r>
      <w:r>
        <w:rPr>
          <w:rFonts w:cs="Times New Roman"/>
          <w:noProof/>
          <w:szCs w:val="24"/>
        </w:rPr>
        <w:t>(2013)</w:t>
      </w:r>
      <w:r>
        <w:rPr>
          <w:rFonts w:cs="Times New Roman"/>
          <w:szCs w:val="24"/>
        </w:rPr>
        <w:t xml:space="preserve"> studied the cross-elasticity between fuel price and transit usage for the Chicago region for various rail and bus services. The authors indicate that adopting a two stage least squares approach leads to counter-intuitive results in their data analysis. The reader would note that a majority of these studies develop models at a system level i.e. employ aggregate measures of ridership. </w:t>
      </w:r>
    </w:p>
    <w:p w14:paraId="44B9BF5C" w14:textId="77777777" w:rsidR="00A33B44" w:rsidRDefault="00A33B44" w:rsidP="00413B61">
      <w:pPr>
        <w:rPr>
          <w:rFonts w:cs="Times New Roman"/>
          <w:szCs w:val="24"/>
        </w:rPr>
      </w:pPr>
    </w:p>
    <w:p w14:paraId="24EF0451" w14:textId="77777777" w:rsidR="00A33B44" w:rsidRDefault="00A33B44" w:rsidP="00413B61">
      <w:pPr>
        <w:pStyle w:val="Heading2"/>
        <w:spacing w:before="0" w:after="0"/>
      </w:pPr>
      <w:r>
        <w:lastRenderedPageBreak/>
        <w:t>Current Study in Context</w:t>
      </w:r>
    </w:p>
    <w:p w14:paraId="00854D61" w14:textId="3ADE4875" w:rsidR="00A33B44" w:rsidRDefault="00A33B44" w:rsidP="00413B61">
      <w:r>
        <w:t xml:space="preserve">The literature review highlights how well recognised the issue of endogeneity is within the transit filed. However, the literature is not without limitations. First, while several studies have explicitly considered/controlled for endogeneity, the study frameworks focus on aggregate transit ridership metrics such as monthly boardings at the system level. There is no study that has examined the endogeneity issue at a more disaggregate level such as bus route or stop level. The aggregate level models are adequate for planning at a system level. However, for any analysis of changes to the existing service for various bus routes, more detailed analysis at the bus route or stop level is warranted. Second, earlier analysis was explored using cross-sectional or panel data with very small data samples. This is expected because the analysis was conducted at a system level yielding smaller data samples. Third, while several studies developed IV and/or 2SRI approaches there is no effort in the discrete choice realm controlling for endogeneity. The current research effort addresses these limitations by undertaking a disaggregate stop level ridership analysis (for boarding and alighting) while controlling for endogeneity associated with stop-level headway. For the Orlando region, while headway is a continuous value in minutes, due to the nature of the service in the region, it is more accurate to consider headway as a discrete variable. In our study, we have considered three categories for headway model: (i) Category 1 (0-15 minutes), (ii) Category 2 (15-30 minutes) and (iii) Category 3 (&gt;30 minutes). Hence, we have considered headway as an ordered discrete variable. Further, to model ridership, building on our earlier work </w:t>
      </w:r>
      <w:r>
        <w:rPr>
          <w:noProof/>
        </w:rPr>
        <w:t>(Rahman</w:t>
      </w:r>
      <w:r w:rsidRPr="003D7B39">
        <w:rPr>
          <w:i/>
          <w:noProof/>
        </w:rPr>
        <w:t xml:space="preserve"> et al.</w:t>
      </w:r>
      <w:r>
        <w:rPr>
          <w:noProof/>
        </w:rPr>
        <w:t xml:space="preserve"> 201</w:t>
      </w:r>
      <w:r w:rsidR="002B239B">
        <w:rPr>
          <w:noProof/>
        </w:rPr>
        <w:t>9</w:t>
      </w:r>
      <w:r>
        <w:rPr>
          <w:noProof/>
        </w:rPr>
        <w:t>)</w:t>
      </w:r>
      <w:r>
        <w:t>, we categorize the boardings and alightings as grouped ordered variables</w:t>
      </w:r>
      <w:r w:rsidR="00C7571A">
        <w:rPr>
          <w:rStyle w:val="FootnoteReference"/>
        </w:rPr>
        <w:footnoteReference w:id="1"/>
      </w:r>
      <w:r>
        <w:t xml:space="preserve">. Thus, the overall econometric methodology employed results in a panel multivariate ordered system with three separate equations (for headway, boarding and alighting). The proposed model system is estimated using data for 11 </w:t>
      </w:r>
      <w:r w:rsidR="00CA3E8A">
        <w:rPr>
          <w:rFonts w:cs="Times New Roman"/>
          <w:szCs w:val="24"/>
          <w:lang w:val="en-US"/>
        </w:rPr>
        <w:t>quadrimesters (four-</w:t>
      </w:r>
      <w:r w:rsidR="009850EE">
        <w:rPr>
          <w:rFonts w:cs="Times New Roman"/>
          <w:szCs w:val="24"/>
          <w:lang w:val="en-US"/>
        </w:rPr>
        <w:t>month</w:t>
      </w:r>
      <w:r w:rsidR="00CA3E8A">
        <w:rPr>
          <w:rFonts w:cs="Times New Roman"/>
          <w:szCs w:val="24"/>
          <w:lang w:val="en-US"/>
        </w:rPr>
        <w:t xml:space="preserve"> </w:t>
      </w:r>
      <w:r>
        <w:t>periods</w:t>
      </w:r>
      <w:r w:rsidR="009850EE">
        <w:t>)</w:t>
      </w:r>
      <w:r>
        <w:t xml:space="preserve"> from May 2013 to December 2016. The proposed joint panel modeling approach is the first of its kind for transit ridership analysis to the best of the authors’ knowledge. </w:t>
      </w:r>
    </w:p>
    <w:p w14:paraId="14F62D53" w14:textId="77777777" w:rsidR="00A33B44" w:rsidRDefault="00A33B44" w:rsidP="00413B61">
      <w:pPr>
        <w:rPr>
          <w:rFonts w:cs="Times New Roman"/>
          <w:szCs w:val="24"/>
          <w:lang w:val="en-US"/>
        </w:rPr>
      </w:pPr>
    </w:p>
    <w:p w14:paraId="43358DA3" w14:textId="77777777" w:rsidR="00A33B44" w:rsidRDefault="00A33B44" w:rsidP="00413B61">
      <w:pPr>
        <w:pStyle w:val="Heading1"/>
        <w:spacing w:before="0" w:after="0"/>
        <w:rPr>
          <w:rFonts w:cs="Times New Roman"/>
          <w:szCs w:val="24"/>
        </w:rPr>
      </w:pPr>
      <w:r w:rsidRPr="00354237">
        <w:rPr>
          <w:rFonts w:cs="Times New Roman"/>
          <w:szCs w:val="24"/>
        </w:rPr>
        <w:t>METHODOLOGY</w:t>
      </w:r>
    </w:p>
    <w:p w14:paraId="78878C4D" w14:textId="04A932DE" w:rsidR="00A33B44" w:rsidRDefault="00A33B44" w:rsidP="00413B61">
      <w:pPr>
        <w:rPr>
          <w:rFonts w:eastAsia="Times New Roman"/>
        </w:rPr>
      </w:pPr>
      <w:r>
        <w:rPr>
          <w:rFonts w:eastAsiaTheme="minorEastAsia"/>
        </w:rPr>
        <w:t>The focus of this study is to examine stop-level boarding, alighting and headway simultaneously.</w:t>
      </w:r>
      <w:r w:rsidRPr="00B57A42">
        <w:rPr>
          <w:rFonts w:eastAsia="Times New Roman"/>
        </w:rPr>
        <w:t xml:space="preserve"> Let </w:t>
      </w:r>
      <w:r w:rsidRPr="00B57A42">
        <w:rPr>
          <w:rFonts w:eastAsia="Times New Roman"/>
          <w:i/>
        </w:rPr>
        <w:t>q</w:t>
      </w:r>
      <w:r w:rsidRPr="00B57A42">
        <w:rPr>
          <w:rFonts w:eastAsia="Times New Roman"/>
        </w:rPr>
        <w:t xml:space="preserve"> (</w:t>
      </w:r>
      <w:r w:rsidRPr="00B57A42">
        <w:rPr>
          <w:rFonts w:eastAsia="Times New Roman"/>
          <w:i/>
        </w:rPr>
        <w:t>q</w:t>
      </w:r>
      <w:r w:rsidRPr="00B57A42">
        <w:rPr>
          <w:rFonts w:eastAsia="Times New Roman"/>
        </w:rPr>
        <w:t xml:space="preserve"> = 1, 2,…, </w:t>
      </w:r>
      <w:r w:rsidRPr="00B57A42">
        <w:rPr>
          <w:rFonts w:eastAsia="Times New Roman"/>
          <w:i/>
        </w:rPr>
        <w:t>Q</w:t>
      </w:r>
      <w:r w:rsidRPr="00B57A42">
        <w:rPr>
          <w:rFonts w:eastAsia="Times New Roman"/>
        </w:rPr>
        <w:t>) be an index to represent bus stops</w:t>
      </w:r>
      <w:r w:rsidRPr="00B57A42">
        <w:rPr>
          <w:rFonts w:eastAsia="Times New Roman"/>
          <w:i/>
        </w:rPr>
        <w:t>, t</w:t>
      </w:r>
      <w:r w:rsidRPr="00B57A42">
        <w:rPr>
          <w:rFonts w:eastAsia="Times New Roman"/>
        </w:rPr>
        <w:t xml:space="preserve"> (</w:t>
      </w:r>
      <w:r w:rsidRPr="00B57A42">
        <w:rPr>
          <w:rFonts w:eastAsia="Times New Roman"/>
          <w:i/>
        </w:rPr>
        <w:t>t</w:t>
      </w:r>
      <w:r w:rsidRPr="00B57A42">
        <w:rPr>
          <w:rFonts w:eastAsia="Times New Roman"/>
        </w:rPr>
        <w:t xml:space="preserve"> = 1, 2, 3,…, </w:t>
      </w:r>
      <w:r w:rsidRPr="00B57A42">
        <w:rPr>
          <w:rFonts w:eastAsia="Times New Roman"/>
          <w:i/>
        </w:rPr>
        <w:t>T</w:t>
      </w:r>
      <w:r w:rsidRPr="00B57A42">
        <w:rPr>
          <w:rFonts w:eastAsia="Times New Roman"/>
        </w:rPr>
        <w:t>) represent the different time periods</w:t>
      </w:r>
      <w:r>
        <w:rPr>
          <w:rFonts w:eastAsia="Times New Roman"/>
        </w:rPr>
        <w:t xml:space="preserve">, </w:t>
      </w:r>
      <w:r w:rsidRPr="00B57A42">
        <w:rPr>
          <w:rFonts w:eastAsia="Times New Roman"/>
        </w:rPr>
        <w:t xml:space="preserve"> </w:t>
      </w:r>
      <w:r>
        <w:rPr>
          <w:rFonts w:eastAsia="Times New Roman"/>
          <w:i/>
        </w:rPr>
        <w:t>m</w:t>
      </w:r>
      <w:r w:rsidRPr="00B57A42">
        <w:rPr>
          <w:rFonts w:eastAsia="Times New Roman"/>
        </w:rPr>
        <w:t xml:space="preserve"> (</w:t>
      </w:r>
      <w:r>
        <w:rPr>
          <w:rFonts w:eastAsia="Times New Roman"/>
          <w:i/>
        </w:rPr>
        <w:t>m</w:t>
      </w:r>
      <w:r>
        <w:rPr>
          <w:rFonts w:eastAsia="Times New Roman"/>
        </w:rPr>
        <w:t xml:space="preserve"> = 1,2,…M=3</w:t>
      </w:r>
      <w:r w:rsidRPr="00B57A42">
        <w:rPr>
          <w:rFonts w:eastAsia="Times New Roman"/>
        </w:rPr>
        <w:t>)</w:t>
      </w:r>
      <w:r>
        <w:rPr>
          <w:rFonts w:eastAsia="Times New Roman"/>
        </w:rPr>
        <w:t xml:space="preserve"> be an index to represent headway categories and</w:t>
      </w:r>
      <w:r w:rsidRPr="00B57A42">
        <w:rPr>
          <w:rFonts w:eastAsia="Times New Roman"/>
          <w:i/>
        </w:rPr>
        <w:t xml:space="preserve"> j</w:t>
      </w:r>
      <w:r w:rsidRPr="00B57A42">
        <w:rPr>
          <w:rFonts w:eastAsia="Times New Roman"/>
        </w:rPr>
        <w:t xml:space="preserve"> (</w:t>
      </w:r>
      <w:r w:rsidRPr="00B57A42">
        <w:rPr>
          <w:rFonts w:eastAsia="Times New Roman"/>
          <w:i/>
        </w:rPr>
        <w:t>j</w:t>
      </w:r>
      <w:r w:rsidRPr="00B57A42">
        <w:rPr>
          <w:rFonts w:eastAsia="Times New Roman"/>
        </w:rPr>
        <w:t xml:space="preserve"> = 1, 2, 3,…, </w:t>
      </w:r>
      <w:r w:rsidRPr="00B57A42">
        <w:rPr>
          <w:rFonts w:eastAsia="Times New Roman"/>
          <w:i/>
        </w:rPr>
        <w:t>J = 13</w:t>
      </w:r>
      <w:r w:rsidRPr="00B57A42">
        <w:rPr>
          <w:rFonts w:eastAsia="Times New Roman"/>
        </w:rPr>
        <w:t xml:space="preserve">) be an index to represent the </w:t>
      </w:r>
      <w:r w:rsidR="004216D6">
        <w:rPr>
          <w:rFonts w:eastAsia="Times New Roman"/>
        </w:rPr>
        <w:t>categories</w:t>
      </w:r>
      <w:r w:rsidRPr="00B57A42">
        <w:rPr>
          <w:rFonts w:eastAsia="Times New Roman"/>
        </w:rPr>
        <w:t xml:space="preserve"> of boardings or alightings</w:t>
      </w:r>
      <w:r>
        <w:rPr>
          <w:rFonts w:eastAsia="Times New Roman"/>
        </w:rPr>
        <w:t>. For headway component, we consider three categories: category 1 = 0-15 minutes; category 2= 15-30 minutes and category 3= &gt; 30minutes. The</w:t>
      </w:r>
      <w:r w:rsidRPr="00B57A42">
        <w:rPr>
          <w:rFonts w:eastAsia="Times New Roman"/>
        </w:rPr>
        <w:t xml:space="preserve"> thirteen categories for ridership analysis</w:t>
      </w:r>
      <w:r>
        <w:rPr>
          <w:rFonts w:eastAsia="Times New Roman"/>
        </w:rPr>
        <w:t xml:space="preserve"> considered</w:t>
      </w:r>
      <w:r w:rsidRPr="00B57A42">
        <w:rPr>
          <w:rFonts w:eastAsia="Times New Roman"/>
        </w:rPr>
        <w:t xml:space="preserve"> are: Bin 1 = ≤5; Bin 2 = 5-10; Bin 3 = 10-20, Bin 4 = 20-30, Bin 5 = 30-40, Bin 6 = 40-50, Bin 7 = 50-60, Bin 8 = 60-70, Bin 9 = 70-80, Bin 10 = 80-90, Bin 11 = 90-100, Bin 12 = 100-120 and Bin 13= &gt;120. Then, the equation sy</w:t>
      </w:r>
      <w:r>
        <w:rPr>
          <w:rFonts w:eastAsia="Times New Roman"/>
        </w:rPr>
        <w:t>stem for modeling headway, boarding and</w:t>
      </w:r>
      <w:r w:rsidRPr="00B57A42">
        <w:rPr>
          <w:rFonts w:eastAsia="Times New Roman"/>
        </w:rPr>
        <w:t xml:space="preserve"> alighting</w:t>
      </w:r>
      <w:r>
        <w:rPr>
          <w:rFonts w:eastAsia="Times New Roman"/>
        </w:rPr>
        <w:t xml:space="preserve"> </w:t>
      </w:r>
      <w:r w:rsidRPr="00B57A42">
        <w:rPr>
          <w:rFonts w:eastAsia="Times New Roman"/>
        </w:rPr>
        <w:t xml:space="preserve">jointly </w:t>
      </w:r>
      <w:r>
        <w:rPr>
          <w:rFonts w:eastAsia="Times New Roman"/>
        </w:rPr>
        <w:t>can be written as</w:t>
      </w:r>
      <w:r w:rsidRPr="00B57A42">
        <w:rPr>
          <w:rFonts w:eastAsia="Times New Roman"/>
        </w:rPr>
        <w:t>:</w:t>
      </w:r>
    </w:p>
    <w:p w14:paraId="031E65A8" w14:textId="77777777" w:rsidR="00A33B44" w:rsidRDefault="00A33B44" w:rsidP="00413B61">
      <w:pPr>
        <w:rPr>
          <w:rFonts w:eastAsia="Times New Roman"/>
        </w:rPr>
      </w:pP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gridCol w:w="1312"/>
      </w:tblGrid>
      <w:tr w:rsidR="00A33B44" w14:paraId="61994810" w14:textId="77777777" w:rsidTr="00413B61">
        <w:trPr>
          <w:trHeight w:val="288"/>
        </w:trPr>
        <w:tc>
          <w:tcPr>
            <w:tcW w:w="4300" w:type="pct"/>
          </w:tcPr>
          <w:p w14:paraId="402E7EED" w14:textId="77777777" w:rsidR="00A33B44" w:rsidRPr="008216EC" w:rsidRDefault="00DF6C8E" w:rsidP="00413B61">
            <w:pPr>
              <w:rPr>
                <w:rFonts w:eastAsia="Calibri"/>
              </w:rPr>
            </w:pPr>
            <m:oMathPara>
              <m:oMathParaPr>
                <m:jc m:val="left"/>
              </m:oMathParaPr>
              <m:oMath>
                <m:sSubSup>
                  <m:sSubSupPr>
                    <m:ctrlPr>
                      <w:rPr>
                        <w:rFonts w:ascii="Cambria Math" w:eastAsia="Times New Roman" w:hAnsi="Cambria Math" w:cs="Vrinda"/>
                        <w:i/>
                      </w:rPr>
                    </m:ctrlPr>
                  </m:sSubSupPr>
                  <m:e>
                    <m:r>
                      <w:rPr>
                        <w:rFonts w:ascii="Cambria Math" w:eastAsia="Times New Roman" w:hAnsi="Cambria Math"/>
                      </w:rPr>
                      <m:t>H</m:t>
                    </m:r>
                  </m:e>
                  <m:sub>
                    <m:r>
                      <w:rPr>
                        <w:rFonts w:ascii="Cambria Math" w:eastAsia="Times New Roman" w:hAnsi="Cambria Math"/>
                      </w:rPr>
                      <m:t>qt</m:t>
                    </m:r>
                  </m:sub>
                  <m:sup>
                    <m:r>
                      <w:rPr>
                        <w:rFonts w:ascii="Cambria Math" w:eastAsia="Times New Roman" w:hAnsi="Cambria Math"/>
                      </w:rPr>
                      <m:t>*</m:t>
                    </m:r>
                  </m:sup>
                </m:sSubSup>
                <m:r>
                  <w:rPr>
                    <w:rFonts w:ascii="Cambria Math" w:eastAsia="Times New Roman" w:hAnsi="Cambria Math"/>
                  </w:rPr>
                  <m:t xml:space="preserve"> =</m:t>
                </m:r>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cs="Vrinda"/>
                          </w:rPr>
                          <m:t>ν</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σ</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r>
                  <w:rPr>
                    <w:rFonts w:ascii="Cambria Math" w:eastAsia="Times New Roman" w:hAnsi="Cambria Math"/>
                  </w:rPr>
                  <m:t xml:space="preserve">+ </m:t>
                </m:r>
                <m:sSub>
                  <m:sSubPr>
                    <m:ctrlPr>
                      <w:rPr>
                        <w:rFonts w:ascii="Cambria Math" w:eastAsia="Times New Roman" w:hAnsi="Cambria Math" w:cs="Vrinda"/>
                        <w:i/>
                      </w:rPr>
                    </m:ctrlPr>
                  </m:sSubPr>
                  <m:e>
                    <m:r>
                      <w:rPr>
                        <w:rFonts w:ascii="Cambria Math" w:eastAsia="Times New Roman" w:hAnsi="Cambria Math"/>
                      </w:rPr>
                      <m:t>Δ</m:t>
                    </m:r>
                  </m:e>
                  <m:sub>
                    <m:r>
                      <w:rPr>
                        <w:rFonts w:ascii="Cambria Math" w:eastAsia="Times New Roman" w:hAnsi="Cambria Math"/>
                      </w:rPr>
                      <m:t>qt</m:t>
                    </m:r>
                  </m:sub>
                </m:sSub>
                <m:r>
                  <w:rPr>
                    <w:rFonts w:ascii="Cambria Math" w:eastAsiaTheme="minorEastAsia" w:hAnsi="Cambria Math"/>
                  </w:rPr>
                  <m:t xml:space="preserve">, </m:t>
                </m:r>
                <m:sSub>
                  <m:sSubPr>
                    <m:ctrlPr>
                      <w:rPr>
                        <w:rFonts w:ascii="Cambria Math" w:eastAsiaTheme="minorEastAsia" w:hAnsi="Cambria Math" w:cs="Vrinda"/>
                        <w:i/>
                      </w:rPr>
                    </m:ctrlPr>
                  </m:sSubPr>
                  <m:e>
                    <m:r>
                      <w:rPr>
                        <w:rFonts w:ascii="Cambria Math" w:eastAsiaTheme="minorEastAsia" w:hAnsi="Cambria Math"/>
                      </w:rPr>
                      <m:t>H</m:t>
                    </m:r>
                  </m:e>
                  <m:sub>
                    <m:r>
                      <w:rPr>
                        <w:rFonts w:ascii="Cambria Math" w:eastAsiaTheme="minorEastAsia" w:hAnsi="Cambria Math"/>
                      </w:rPr>
                      <m:t>qt</m:t>
                    </m:r>
                  </m:sub>
                </m:sSub>
                <m:r>
                  <w:rPr>
                    <w:rFonts w:ascii="Cambria Math" w:eastAsiaTheme="minorEastAsia" w:hAnsi="Cambria Math"/>
                  </w:rPr>
                  <m:t xml:space="preserve">=m  if </m:t>
                </m:r>
                <m:sSub>
                  <m:sSubPr>
                    <m:ctrlPr>
                      <w:rPr>
                        <w:rFonts w:ascii="Cambria Math" w:eastAsiaTheme="minorEastAsia" w:hAnsi="Cambria Math" w:cs="Vrinda"/>
                        <w:i/>
                      </w:rPr>
                    </m:ctrlPr>
                  </m:sSubPr>
                  <m:e>
                    <m:r>
                      <w:rPr>
                        <w:rFonts w:ascii="Cambria Math" w:eastAsiaTheme="minorEastAsia" w:hAnsi="Cambria Math"/>
                      </w:rPr>
                      <m:t>ϖ</m:t>
                    </m:r>
                  </m:e>
                  <m:sub>
                    <m:r>
                      <w:rPr>
                        <w:rFonts w:ascii="Cambria Math" w:eastAsiaTheme="minorEastAsia" w:hAnsi="Cambria Math"/>
                      </w:rPr>
                      <m:t>m-1</m:t>
                    </m:r>
                  </m:sub>
                </m:sSub>
                <m:r>
                  <w:rPr>
                    <w:rFonts w:ascii="Cambria Math" w:eastAsiaTheme="minorEastAsia" w:hAnsi="Cambria Math"/>
                  </w:rPr>
                  <m:t>&lt;</m:t>
                </m:r>
                <m:sSubSup>
                  <m:sSubSupPr>
                    <m:ctrlPr>
                      <w:rPr>
                        <w:rFonts w:ascii="Cambria Math" w:eastAsia="Times New Roman" w:hAnsi="Cambria Math" w:cs="Vrinda"/>
                        <w:i/>
                      </w:rPr>
                    </m:ctrlPr>
                  </m:sSubSupPr>
                  <m:e>
                    <m:r>
                      <w:rPr>
                        <w:rFonts w:ascii="Cambria Math" w:eastAsia="Times New Roman" w:hAnsi="Cambria Math"/>
                      </w:rPr>
                      <m:t>H</m:t>
                    </m:r>
                  </m:e>
                  <m:sub>
                    <m:r>
                      <w:rPr>
                        <w:rFonts w:ascii="Cambria Math" w:eastAsia="Times New Roman" w:hAnsi="Cambria Math"/>
                      </w:rPr>
                      <m:t>qt</m:t>
                    </m:r>
                  </m:sub>
                  <m:sup>
                    <m:r>
                      <w:rPr>
                        <w:rFonts w:ascii="Cambria Math" w:eastAsia="Times New Roman" w:hAnsi="Cambria Math"/>
                      </w:rPr>
                      <m:t>*</m:t>
                    </m:r>
                  </m:sup>
                </m:sSubSup>
                <m:r>
                  <w:rPr>
                    <w:rFonts w:ascii="Cambria Math" w:eastAsiaTheme="minorEastAsia" w:hAnsi="Cambria Math"/>
                  </w:rPr>
                  <m:t>≤</m:t>
                </m:r>
                <m:sSub>
                  <m:sSubPr>
                    <m:ctrlPr>
                      <w:rPr>
                        <w:rFonts w:ascii="Cambria Math" w:eastAsiaTheme="minorEastAsia" w:hAnsi="Cambria Math" w:cs="Vrinda"/>
                        <w:i/>
                      </w:rPr>
                    </m:ctrlPr>
                  </m:sSubPr>
                  <m:e>
                    <m:r>
                      <w:rPr>
                        <w:rFonts w:ascii="Cambria Math" w:eastAsiaTheme="minorEastAsia" w:hAnsi="Cambria Math"/>
                      </w:rPr>
                      <m:t>ϖ</m:t>
                    </m:r>
                  </m:e>
                  <m:sub>
                    <m:r>
                      <w:rPr>
                        <w:rFonts w:ascii="Cambria Math" w:eastAsiaTheme="minorEastAsia" w:hAnsi="Cambria Math"/>
                      </w:rPr>
                      <m:t>m</m:t>
                    </m:r>
                  </m:sub>
                </m:sSub>
              </m:oMath>
            </m:oMathPara>
          </w:p>
        </w:tc>
        <w:tc>
          <w:tcPr>
            <w:tcW w:w="700" w:type="pct"/>
          </w:tcPr>
          <w:p w14:paraId="52C819F9" w14:textId="77777777" w:rsidR="00A33B44" w:rsidRDefault="00A33B44" w:rsidP="00413B61">
            <w:pPr>
              <w:contextualSpacing/>
              <w:jc w:val="center"/>
              <w:rPr>
                <w:rFonts w:eastAsia="Times New Roman"/>
              </w:rPr>
            </w:pPr>
            <w:r>
              <w:rPr>
                <w:rFonts w:eastAsia="Times New Roman"/>
              </w:rPr>
              <w:t>(1)</w:t>
            </w:r>
          </w:p>
        </w:tc>
      </w:tr>
      <w:tr w:rsidR="00A33B44" w14:paraId="35237FCF" w14:textId="77777777" w:rsidTr="00413B61">
        <w:trPr>
          <w:trHeight w:val="288"/>
        </w:trPr>
        <w:tc>
          <w:tcPr>
            <w:tcW w:w="4300" w:type="pct"/>
          </w:tcPr>
          <w:p w14:paraId="506E6926" w14:textId="77777777" w:rsidR="00A33B44" w:rsidRDefault="00A33B44" w:rsidP="00413B61">
            <w:pPr>
              <w:rPr>
                <w:rFonts w:eastAsia="Times New Roman" w:cs="Vrinda"/>
              </w:rPr>
            </w:pPr>
          </w:p>
        </w:tc>
        <w:tc>
          <w:tcPr>
            <w:tcW w:w="700" w:type="pct"/>
          </w:tcPr>
          <w:p w14:paraId="36C4C0C1" w14:textId="77777777" w:rsidR="00A33B44" w:rsidRDefault="00A33B44" w:rsidP="00413B61">
            <w:pPr>
              <w:contextualSpacing/>
              <w:jc w:val="center"/>
              <w:rPr>
                <w:rFonts w:eastAsia="Times New Roman"/>
              </w:rPr>
            </w:pPr>
          </w:p>
        </w:tc>
      </w:tr>
      <w:tr w:rsidR="00A33B44" w:rsidRPr="00B57A42" w14:paraId="4634DAA5" w14:textId="77777777" w:rsidTr="00413B61">
        <w:trPr>
          <w:trHeight w:val="288"/>
        </w:trPr>
        <w:tc>
          <w:tcPr>
            <w:tcW w:w="4300" w:type="pct"/>
            <w:vAlign w:val="center"/>
          </w:tcPr>
          <w:p w14:paraId="2DEAFDEB" w14:textId="77777777" w:rsidR="00A33B44" w:rsidRDefault="00DF6C8E" w:rsidP="00413B61">
            <w:pPr>
              <w:rPr>
                <w:rFonts w:eastAsiaTheme="minorEastAsia"/>
              </w:rPr>
            </w:pPr>
            <m:oMath>
              <m:sSubSup>
                <m:sSubSupPr>
                  <m:ctrlPr>
                    <w:rPr>
                      <w:rFonts w:ascii="Cambria Math" w:eastAsia="Times New Roman" w:hAnsi="Cambria Math" w:cs="Vrinda"/>
                      <w:i/>
                    </w:rPr>
                  </m:ctrlPr>
                </m:sSubSupPr>
                <m:e>
                  <m:r>
                    <w:rPr>
                      <w:rFonts w:ascii="Cambria Math" w:eastAsia="Times New Roman" w:hAnsi="Cambria Math"/>
                    </w:rPr>
                    <m:t>B</m:t>
                  </m:r>
                </m:e>
                <m:sub>
                  <m:r>
                    <w:rPr>
                      <w:rFonts w:ascii="Cambria Math" w:eastAsia="Times New Roman" w:hAnsi="Cambria Math"/>
                    </w:rPr>
                    <m:t>qt</m:t>
                  </m:r>
                </m:sub>
                <m:sup>
                  <m:r>
                    <w:rPr>
                      <w:rFonts w:ascii="Cambria Math" w:eastAsia="Times New Roman" w:hAnsi="Cambria Math"/>
                    </w:rPr>
                    <m:t>*</m:t>
                  </m:r>
                </m:sup>
              </m:sSubSup>
              <m:r>
                <w:rPr>
                  <w:rFonts w:ascii="Cambria Math" w:eastAsia="Times New Roman" w:hAnsi="Cambria Math"/>
                </w:rPr>
                <m:t xml:space="preserve"> =</m:t>
              </m:r>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α</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γ</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m:t>
                      </m:r>
                    </m:sup>
                  </m:sSup>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sSup>
                        <m:sSupPr>
                          <m:ctrlPr>
                            <w:rPr>
                              <w:rFonts w:ascii="Cambria Math" w:eastAsia="Times New Roman" w:hAnsi="Cambria Math"/>
                              <w:i/>
                            </w:rPr>
                          </m:ctrlPr>
                        </m:sSupPr>
                        <m:e>
                          <m:r>
                            <w:rPr>
                              <w:rFonts w:ascii="Cambria Math" w:eastAsia="Times New Roman" w:hAnsi="Cambria Math"/>
                            </w:rPr>
                            <m:t>μ</m:t>
                          </m:r>
                        </m:e>
                        <m:sup>
                          <m:r>
                            <w:rPr>
                              <w:rFonts w:ascii="Cambria Math" w:eastAsia="Times New Roman" w:hAnsi="Cambria Math"/>
                            </w:rPr>
                            <m:t>'</m:t>
                          </m:r>
                        </m:sup>
                      </m:sSup>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m:t>
                  </m:r>
                  <m:sSup>
                    <m:sSupPr>
                      <m:ctrlPr>
                        <w:rPr>
                          <w:rFonts w:ascii="Cambria Math" w:eastAsia="Times New Roman" w:hAnsi="Cambria Math" w:cs="Vrinda"/>
                          <w:i/>
                        </w:rPr>
                      </m:ctrlPr>
                    </m:sSupPr>
                    <m:e>
                      <m:r>
                        <w:rPr>
                          <w:rFonts w:ascii="Cambria Math" w:eastAsia="Times New Roman" w:hAnsi="Cambria Math"/>
                        </w:rPr>
                        <m:t>η</m:t>
                      </m:r>
                    </m:e>
                    <m:sup>
                      <m:r>
                        <w:rPr>
                          <w:rFonts w:ascii="Cambria Math" w:eastAsia="Times New Roman" w:hAnsi="Cambria Math"/>
                        </w:rPr>
                        <m:t>'</m:t>
                      </m:r>
                    </m:sup>
                  </m:sSup>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r>
                <w:rPr>
                  <w:rFonts w:ascii="Cambria Math" w:eastAsia="Times New Roman" w:hAnsi="Cambria Math"/>
                </w:rPr>
                <m:t xml:space="preserve">+ </m:t>
              </m:r>
              <m:sSub>
                <m:sSubPr>
                  <m:ctrlPr>
                    <w:rPr>
                      <w:rFonts w:ascii="Cambria Math" w:eastAsia="Times New Roman" w:hAnsi="Cambria Math" w:cs="Vrinda"/>
                      <w:i/>
                    </w:rPr>
                  </m:ctrlPr>
                </m:sSubPr>
                <m:e>
                  <m:r>
                    <w:rPr>
                      <w:rFonts w:ascii="Cambria Math" w:eastAsia="Times New Roman" w:hAnsi="Cambria Math"/>
                    </w:rPr>
                    <m:t>ε</m:t>
                  </m:r>
                </m:e>
                <m:sub>
                  <m:r>
                    <w:rPr>
                      <w:rFonts w:ascii="Cambria Math" w:eastAsia="Times New Roman" w:hAnsi="Cambria Math"/>
                    </w:rPr>
                    <m:t>qt</m:t>
                  </m:r>
                </m:sub>
              </m:sSub>
              <m:r>
                <w:rPr>
                  <w:rFonts w:ascii="Cambria Math" w:eastAsiaTheme="minorEastAsia" w:hAnsi="Cambria Math"/>
                </w:rPr>
                <m:t xml:space="preserve">; </m:t>
              </m:r>
            </m:oMath>
            <w:r w:rsidR="00A33B44" w:rsidRPr="00B57A42">
              <w:rPr>
                <w:rFonts w:eastAsiaTheme="minorEastAsia"/>
              </w:rPr>
              <w:t xml:space="preserve"> </w:t>
            </w:r>
          </w:p>
          <w:p w14:paraId="2B1BF26B" w14:textId="77777777" w:rsidR="00A33B44" w:rsidRPr="00B26E6C" w:rsidRDefault="00DF6C8E" w:rsidP="00413B61">
            <w:pPr>
              <w:rPr>
                <w:rFonts w:eastAsiaTheme="minorEastAsia"/>
              </w:rPr>
            </w:pPr>
            <m:oMathPara>
              <m:oMathParaPr>
                <m:jc m:val="left"/>
              </m:oMathParaPr>
              <m:oMath>
                <m:sSub>
                  <m:sSubPr>
                    <m:ctrlPr>
                      <w:rPr>
                        <w:rFonts w:ascii="Cambria Math" w:eastAsiaTheme="minorEastAsia" w:hAnsi="Cambria Math" w:cs="Vrinda"/>
                        <w:i/>
                      </w:rPr>
                    </m:ctrlPr>
                  </m:sSubPr>
                  <m:e>
                    <m:r>
                      <w:rPr>
                        <w:rFonts w:ascii="Cambria Math" w:eastAsiaTheme="minorEastAsia" w:hAnsi="Cambria Math"/>
                      </w:rPr>
                      <m:t xml:space="preserve">         B</m:t>
                    </m:r>
                  </m:e>
                  <m:sub>
                    <m:r>
                      <w:rPr>
                        <w:rFonts w:ascii="Cambria Math" w:eastAsiaTheme="minorEastAsia" w:hAnsi="Cambria Math"/>
                      </w:rPr>
                      <m:t>qt</m:t>
                    </m:r>
                  </m:sub>
                </m:sSub>
                <m:r>
                  <w:rPr>
                    <w:rFonts w:ascii="Cambria Math" w:eastAsiaTheme="minorEastAsia" w:hAnsi="Cambria Math"/>
                  </w:rPr>
                  <m:t xml:space="preserve">=j  if </m:t>
                </m:r>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j-1</m:t>
                    </m:r>
                  </m:sub>
                </m:sSub>
                <m:r>
                  <w:rPr>
                    <w:rFonts w:ascii="Cambria Math" w:eastAsiaTheme="minorEastAsia" w:hAnsi="Cambria Math"/>
                  </w:rPr>
                  <m:t>&lt;</m:t>
                </m:r>
                <m:sSubSup>
                  <m:sSubSupPr>
                    <m:ctrlPr>
                      <w:rPr>
                        <w:rFonts w:ascii="Cambria Math" w:eastAsia="Times New Roman" w:hAnsi="Cambria Math" w:cs="Vrinda"/>
                        <w:i/>
                      </w:rPr>
                    </m:ctrlPr>
                  </m:sSubSupPr>
                  <m:e>
                    <m:r>
                      <w:rPr>
                        <w:rFonts w:ascii="Cambria Math" w:eastAsia="Times New Roman" w:hAnsi="Cambria Math"/>
                      </w:rPr>
                      <m:t>B</m:t>
                    </m:r>
                  </m:e>
                  <m:sub>
                    <m:r>
                      <w:rPr>
                        <w:rFonts w:ascii="Cambria Math" w:eastAsia="Times New Roman" w:hAnsi="Cambria Math"/>
                      </w:rPr>
                      <m:t>qt</m:t>
                    </m:r>
                  </m:sub>
                  <m:sup>
                    <m:r>
                      <w:rPr>
                        <w:rFonts w:ascii="Cambria Math" w:eastAsia="Times New Roman" w:hAnsi="Cambria Math"/>
                      </w:rPr>
                      <m:t>*</m:t>
                    </m:r>
                  </m:sup>
                </m:sSubSup>
                <m:r>
                  <w:rPr>
                    <w:rFonts w:ascii="Cambria Math" w:eastAsiaTheme="minorEastAsia" w:hAnsi="Cambria Math"/>
                  </w:rPr>
                  <m:t>≤</m:t>
                </m:r>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m:t>
                    </m:r>
                  </m:sub>
                </m:sSub>
              </m:oMath>
            </m:oMathPara>
          </w:p>
        </w:tc>
        <w:tc>
          <w:tcPr>
            <w:tcW w:w="700" w:type="pct"/>
            <w:vAlign w:val="center"/>
          </w:tcPr>
          <w:p w14:paraId="6A2FC8BD" w14:textId="77777777" w:rsidR="00A33B44" w:rsidRPr="00B57A42" w:rsidRDefault="00A33B44" w:rsidP="00413B61">
            <w:pPr>
              <w:contextualSpacing/>
              <w:jc w:val="center"/>
              <w:rPr>
                <w:rFonts w:eastAsia="Times New Roman"/>
              </w:rPr>
            </w:pPr>
            <w:r>
              <w:rPr>
                <w:rFonts w:eastAsia="Times New Roman"/>
              </w:rPr>
              <w:t>(2)</w:t>
            </w:r>
          </w:p>
        </w:tc>
      </w:tr>
      <w:tr w:rsidR="00A33B44" w:rsidRPr="00B57A42" w14:paraId="2F2B12CE" w14:textId="77777777" w:rsidTr="00413B61">
        <w:trPr>
          <w:trHeight w:val="288"/>
        </w:trPr>
        <w:tc>
          <w:tcPr>
            <w:tcW w:w="4300" w:type="pct"/>
            <w:vAlign w:val="center"/>
          </w:tcPr>
          <w:p w14:paraId="74B4B990" w14:textId="77777777" w:rsidR="00A33B44" w:rsidRDefault="00A33B44" w:rsidP="00413B61">
            <w:pPr>
              <w:rPr>
                <w:rFonts w:eastAsia="Times New Roman" w:cs="Vrinda"/>
              </w:rPr>
            </w:pPr>
          </w:p>
        </w:tc>
        <w:tc>
          <w:tcPr>
            <w:tcW w:w="700" w:type="pct"/>
            <w:vAlign w:val="center"/>
          </w:tcPr>
          <w:p w14:paraId="543FD068" w14:textId="77777777" w:rsidR="00A33B44" w:rsidRDefault="00A33B44" w:rsidP="00413B61">
            <w:pPr>
              <w:contextualSpacing/>
              <w:jc w:val="center"/>
              <w:rPr>
                <w:rFonts w:eastAsia="Times New Roman"/>
              </w:rPr>
            </w:pPr>
          </w:p>
        </w:tc>
      </w:tr>
      <w:tr w:rsidR="00A33B44" w:rsidRPr="00B57A42" w14:paraId="3B7F56F8" w14:textId="77777777" w:rsidTr="00413B61">
        <w:trPr>
          <w:trHeight w:val="288"/>
        </w:trPr>
        <w:tc>
          <w:tcPr>
            <w:tcW w:w="4300" w:type="pct"/>
            <w:vAlign w:val="center"/>
          </w:tcPr>
          <w:p w14:paraId="227D2754" w14:textId="77777777" w:rsidR="00A33B44" w:rsidRPr="00B26E6C" w:rsidRDefault="00DF6C8E" w:rsidP="00413B61">
            <w:pPr>
              <w:rPr>
                <w:rFonts w:eastAsiaTheme="minorEastAsia"/>
              </w:rPr>
            </w:pPr>
            <m:oMathPara>
              <m:oMathParaPr>
                <m:jc m:val="left"/>
              </m:oMathParaPr>
              <m:oMath>
                <m:sSubSup>
                  <m:sSubSupPr>
                    <m:ctrlPr>
                      <w:rPr>
                        <w:rFonts w:ascii="Cambria Math" w:eastAsia="Times New Roman" w:hAnsi="Cambria Math" w:cs="Vrinda"/>
                        <w:i/>
                      </w:rPr>
                    </m:ctrlPr>
                  </m:sSubSupPr>
                  <m:e>
                    <m:r>
                      <w:rPr>
                        <w:rFonts w:ascii="Cambria Math" w:eastAsia="Times New Roman" w:hAnsi="Cambria Math"/>
                      </w:rPr>
                      <m:t>A</m:t>
                    </m:r>
                  </m:e>
                  <m:sub>
                    <m:r>
                      <w:rPr>
                        <w:rFonts w:ascii="Cambria Math" w:eastAsia="Times New Roman" w:hAnsi="Cambria Math"/>
                      </w:rPr>
                      <m:t>qt</m:t>
                    </m:r>
                  </m:sub>
                  <m:sup>
                    <m:r>
                      <w:rPr>
                        <w:rFonts w:ascii="Cambria Math" w:eastAsia="Times New Roman" w:hAnsi="Cambria Math"/>
                      </w:rPr>
                      <m:t>*</m:t>
                    </m:r>
                  </m:sup>
                </m:sSubSup>
                <m:r>
                  <w:rPr>
                    <w:rFonts w:ascii="Cambria Math" w:eastAsia="Times New Roman" w:hAnsi="Cambria Math"/>
                  </w:rPr>
                  <m:t xml:space="preserve"> =</m:t>
                </m:r>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β</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δ</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r>
                  <w:rPr>
                    <w:rFonts w:ascii="Cambria Math" w:eastAsia="Times New Roman" w:hAnsi="Cambria Math"/>
                  </w:rPr>
                  <m:t xml:space="preserve">+ </m:t>
                </m:r>
                <m:sSub>
                  <m:sSubPr>
                    <m:ctrlPr>
                      <w:rPr>
                        <w:rFonts w:ascii="Cambria Math" w:eastAsia="Times New Roman" w:hAnsi="Cambria Math" w:cs="Vrinda"/>
                        <w:i/>
                      </w:rPr>
                    </m:ctrlPr>
                  </m:sSubPr>
                  <m:e>
                    <m:r>
                      <w:rPr>
                        <w:rFonts w:ascii="Cambria Math" w:eastAsia="Times New Roman" w:hAnsi="Cambria Math"/>
                      </w:rPr>
                      <m:t>ξ</m:t>
                    </m:r>
                  </m:e>
                  <m:sub>
                    <m:r>
                      <w:rPr>
                        <w:rFonts w:ascii="Cambria Math" w:eastAsia="Times New Roman" w:hAnsi="Cambria Math"/>
                      </w:rPr>
                      <m:t>qt</m:t>
                    </m:r>
                  </m:sub>
                </m:sSub>
                <m:r>
                  <w:rPr>
                    <w:rFonts w:ascii="Cambria Math" w:eastAsiaTheme="minorEastAsia" w:hAnsi="Cambria Math"/>
                  </w:rPr>
                  <m:t xml:space="preserve">; </m:t>
                </m:r>
              </m:oMath>
            </m:oMathPara>
          </w:p>
          <w:p w14:paraId="365A87B9" w14:textId="77777777" w:rsidR="00A33B44" w:rsidRPr="00B57A42" w:rsidRDefault="00A33B44" w:rsidP="00413B61">
            <w:pPr>
              <w:rPr>
                <w:rFonts w:eastAsiaTheme="minorEastAsia"/>
              </w:rPr>
            </w:pPr>
            <w:r>
              <w:rPr>
                <w:rFonts w:eastAsiaTheme="minorEastAsia"/>
              </w:rPr>
              <w:t xml:space="preserve">        </w:t>
            </w:r>
            <m:oMath>
              <m:sSub>
                <m:sSubPr>
                  <m:ctrlPr>
                    <w:rPr>
                      <w:rFonts w:ascii="Cambria Math" w:eastAsiaTheme="minorEastAsia" w:hAnsi="Cambria Math" w:cs="Vrinda"/>
                      <w:i/>
                    </w:rPr>
                  </m:ctrlPr>
                </m:sSubPr>
                <m:e>
                  <m:r>
                    <w:rPr>
                      <w:rFonts w:ascii="Cambria Math" w:eastAsiaTheme="minorEastAsia" w:hAnsi="Cambria Math"/>
                    </w:rPr>
                    <m:t>A</m:t>
                  </m:r>
                </m:e>
                <m:sub>
                  <m:r>
                    <w:rPr>
                      <w:rFonts w:ascii="Cambria Math" w:eastAsiaTheme="minorEastAsia" w:hAnsi="Cambria Math"/>
                    </w:rPr>
                    <m:t>qt</m:t>
                  </m:r>
                </m:sub>
              </m:sSub>
              <m:r>
                <w:rPr>
                  <w:rFonts w:ascii="Cambria Math" w:eastAsiaTheme="minorEastAsia" w:hAnsi="Cambria Math"/>
                </w:rPr>
                <m:t xml:space="preserve">=j  if </m:t>
              </m:r>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j-1</m:t>
                  </m:r>
                </m:sub>
              </m:sSub>
              <m:r>
                <w:rPr>
                  <w:rFonts w:ascii="Cambria Math" w:eastAsiaTheme="minorEastAsia" w:hAnsi="Cambria Math"/>
                </w:rPr>
                <m:t>&lt;</m:t>
              </m:r>
              <m:sSubSup>
                <m:sSubSupPr>
                  <m:ctrlPr>
                    <w:rPr>
                      <w:rFonts w:ascii="Cambria Math" w:eastAsia="Times New Roman" w:hAnsi="Cambria Math" w:cs="Vrinda"/>
                      <w:i/>
                    </w:rPr>
                  </m:ctrlPr>
                </m:sSubSupPr>
                <m:e>
                  <m:r>
                    <w:rPr>
                      <w:rFonts w:ascii="Cambria Math" w:eastAsia="Times New Roman" w:hAnsi="Cambria Math"/>
                    </w:rPr>
                    <m:t>A</m:t>
                  </m:r>
                </m:e>
                <m:sub>
                  <m:r>
                    <w:rPr>
                      <w:rFonts w:ascii="Cambria Math" w:eastAsia="Times New Roman" w:hAnsi="Cambria Math"/>
                    </w:rPr>
                    <m:t>qt</m:t>
                  </m:r>
                </m:sub>
                <m:sup>
                  <m:r>
                    <w:rPr>
                      <w:rFonts w:ascii="Cambria Math" w:eastAsia="Times New Roman" w:hAnsi="Cambria Math"/>
                    </w:rPr>
                    <m:t>*</m:t>
                  </m:r>
                </m:sup>
              </m:sSubSup>
              <m:r>
                <w:rPr>
                  <w:rFonts w:ascii="Cambria Math" w:eastAsiaTheme="minorEastAsia" w:hAnsi="Cambria Math"/>
                </w:rPr>
                <m:t>≤</m:t>
              </m:r>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m:t>
                  </m:r>
                </m:sub>
              </m:sSub>
            </m:oMath>
          </w:p>
        </w:tc>
        <w:tc>
          <w:tcPr>
            <w:tcW w:w="700" w:type="pct"/>
            <w:vAlign w:val="center"/>
          </w:tcPr>
          <w:p w14:paraId="4A15A59D" w14:textId="77777777" w:rsidR="00A33B44" w:rsidRPr="00B57A42" w:rsidRDefault="00A33B44" w:rsidP="00413B61">
            <w:pPr>
              <w:contextualSpacing/>
              <w:jc w:val="center"/>
              <w:rPr>
                <w:rFonts w:eastAsia="Times New Roman"/>
              </w:rPr>
            </w:pPr>
            <w:r>
              <w:rPr>
                <w:rFonts w:eastAsia="Times New Roman"/>
              </w:rPr>
              <w:t>(3)</w:t>
            </w:r>
          </w:p>
        </w:tc>
      </w:tr>
    </w:tbl>
    <w:p w14:paraId="1F384741" w14:textId="77777777" w:rsidR="00A33B44" w:rsidRDefault="00A33B44" w:rsidP="00413B61">
      <w:pPr>
        <w:rPr>
          <w:rFonts w:eastAsia="Times New Roman"/>
        </w:rPr>
      </w:pPr>
    </w:p>
    <w:p w14:paraId="4D125650" w14:textId="413925C1" w:rsidR="00A33B44" w:rsidRDefault="00A33B44" w:rsidP="00413B61">
      <w:pPr>
        <w:ind w:firstLine="720"/>
        <w:rPr>
          <w:rFonts w:eastAsiaTheme="minorEastAsia"/>
        </w:rPr>
      </w:pPr>
      <w:r w:rsidRPr="00B57A42">
        <w:rPr>
          <w:rFonts w:eastAsia="Times New Roman"/>
        </w:rPr>
        <w:t xml:space="preserve">In equation </w:t>
      </w:r>
      <w:r>
        <w:rPr>
          <w:rFonts w:eastAsia="Times New Roman"/>
        </w:rPr>
        <w:t>1</w:t>
      </w:r>
      <w:r w:rsidRPr="00B57A42">
        <w:rPr>
          <w:rFonts w:eastAsia="Times New Roman"/>
        </w:rPr>
        <w:t xml:space="preserve">, </w:t>
      </w:r>
      <m:oMath>
        <m:sSubSup>
          <m:sSubSupPr>
            <m:ctrlPr>
              <w:rPr>
                <w:rFonts w:ascii="Cambria Math" w:eastAsia="Times New Roman" w:hAnsi="Cambria Math" w:cs="Vrinda"/>
                <w:i/>
              </w:rPr>
            </m:ctrlPr>
          </m:sSubSupPr>
          <m:e>
            <m:r>
              <w:rPr>
                <w:rFonts w:ascii="Cambria Math" w:eastAsia="Times New Roman" w:hAnsi="Cambria Math"/>
              </w:rPr>
              <m:t>H</m:t>
            </m:r>
          </m:e>
          <m:sub>
            <m:r>
              <w:rPr>
                <w:rFonts w:ascii="Cambria Math" w:eastAsia="Times New Roman" w:hAnsi="Cambria Math"/>
              </w:rPr>
              <m:t>qt</m:t>
            </m:r>
          </m:sub>
          <m:sup>
            <m:r>
              <w:rPr>
                <w:rFonts w:ascii="Cambria Math" w:eastAsia="Times New Roman" w:hAnsi="Cambria Math"/>
              </w:rPr>
              <m:t>*</m:t>
            </m:r>
          </m:sup>
        </m:sSubSup>
      </m:oMath>
      <w:r w:rsidRPr="00B57A42">
        <w:rPr>
          <w:rFonts w:eastAsia="Times New Roman"/>
        </w:rPr>
        <w:t xml:space="preserve"> is the latent (continuous) propensity for </w:t>
      </w:r>
      <w:r>
        <w:rPr>
          <w:rFonts w:eastAsia="Times New Roman"/>
        </w:rPr>
        <w:t>headway at</w:t>
      </w:r>
      <w:r w:rsidRPr="00B57A42">
        <w:rPr>
          <w:rFonts w:eastAsia="Times New Roman"/>
        </w:rPr>
        <w:t xml:space="preserve"> stop </w:t>
      </w:r>
      <w:r w:rsidRPr="00B57A42">
        <w:rPr>
          <w:rFonts w:eastAsia="Times New Roman"/>
          <w:i/>
        </w:rPr>
        <w:t>q</w:t>
      </w:r>
      <w:r w:rsidRPr="00B57A42">
        <w:rPr>
          <w:rFonts w:eastAsia="Times New Roman"/>
        </w:rPr>
        <w:t xml:space="preserve"> for the </w:t>
      </w:r>
      <w:r w:rsidRPr="00B57A42">
        <w:rPr>
          <w:rFonts w:eastAsia="Times New Roman"/>
          <w:i/>
        </w:rPr>
        <w:t>t</w:t>
      </w:r>
      <w:r w:rsidRPr="00B57A42">
        <w:rPr>
          <w:rFonts w:eastAsia="Times New Roman"/>
          <w:i/>
          <w:vertAlign w:val="superscript"/>
        </w:rPr>
        <w:t>th</w:t>
      </w:r>
      <w:r w:rsidRPr="00B57A42">
        <w:rPr>
          <w:rFonts w:eastAsia="Times New Roman"/>
        </w:rPr>
        <w:t xml:space="preserve"> time period. This latent propensity </w:t>
      </w:r>
      <m:oMath>
        <m:sSubSup>
          <m:sSubSupPr>
            <m:ctrlPr>
              <w:rPr>
                <w:rFonts w:ascii="Cambria Math" w:eastAsia="Times New Roman" w:hAnsi="Cambria Math" w:cs="Vrinda"/>
                <w:i/>
              </w:rPr>
            </m:ctrlPr>
          </m:sSubSupPr>
          <m:e>
            <m:r>
              <w:rPr>
                <w:rFonts w:ascii="Cambria Math" w:eastAsia="Times New Roman" w:hAnsi="Cambria Math"/>
              </w:rPr>
              <m:t>H</m:t>
            </m:r>
          </m:e>
          <m:sub>
            <m:r>
              <w:rPr>
                <w:rFonts w:ascii="Cambria Math" w:eastAsia="Times New Roman" w:hAnsi="Cambria Math"/>
              </w:rPr>
              <m:t>qt</m:t>
            </m:r>
          </m:sub>
          <m:sup>
            <m:r>
              <w:rPr>
                <w:rFonts w:ascii="Cambria Math" w:eastAsia="Times New Roman" w:hAnsi="Cambria Math"/>
              </w:rPr>
              <m:t>*</m:t>
            </m:r>
          </m:sup>
        </m:sSubSup>
      </m:oMath>
      <w:r w:rsidRPr="00B57A42">
        <w:rPr>
          <w:rFonts w:eastAsia="Times New Roman"/>
        </w:rPr>
        <w:t xml:space="preserve"> is mapped to the actual </w:t>
      </w:r>
      <w:r>
        <w:rPr>
          <w:rFonts w:eastAsia="Times New Roman"/>
        </w:rPr>
        <w:t>headway</w:t>
      </w:r>
      <w:r w:rsidRPr="00B57A42">
        <w:rPr>
          <w:rFonts w:eastAsia="Times New Roman"/>
        </w:rPr>
        <w:t xml:space="preserve"> category </w:t>
      </w:r>
      <w:r>
        <w:rPr>
          <w:rFonts w:eastAsia="Times New Roman"/>
          <w:i/>
        </w:rPr>
        <w:t>m</w:t>
      </w:r>
      <w:r w:rsidRPr="00B57A42">
        <w:rPr>
          <w:rFonts w:eastAsia="Times New Roman"/>
        </w:rPr>
        <w:t xml:space="preserve"> by the </w:t>
      </w:r>
      <m:oMath>
        <m:r>
          <w:rPr>
            <w:rFonts w:ascii="Cambria Math" w:eastAsiaTheme="minorEastAsia" w:hAnsi="Cambria Math"/>
          </w:rPr>
          <m:t>ϖ</m:t>
        </m:r>
      </m:oMath>
      <w:r w:rsidRPr="00B57A42">
        <w:rPr>
          <w:rFonts w:eastAsia="Times New Roman"/>
        </w:rPr>
        <w:t xml:space="preserve"> thresholds, in the usual ordered-response modeling framework.</w:t>
      </w:r>
      <w:r w:rsidRPr="00B57A42">
        <w:rPr>
          <w:rFonts w:eastAsiaTheme="minorEastAsia"/>
        </w:rPr>
        <w:t xml:space="preserve"> </w:t>
      </w:r>
      <m:oMath>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oMath>
      <w:r w:rsidRPr="00B57A42">
        <w:rPr>
          <w:rFonts w:eastAsiaTheme="minorEastAsia"/>
        </w:rPr>
        <w:t xml:space="preserve"> is a matrix o</w:t>
      </w:r>
      <w:r>
        <w:rPr>
          <w:rFonts w:eastAsiaTheme="minorEastAsia"/>
        </w:rPr>
        <w:t xml:space="preserve">f attributes that influences stop level headway, </w:t>
      </w:r>
      <m:oMath>
        <m:r>
          <w:rPr>
            <w:rFonts w:ascii="Cambria Math" w:eastAsia="Times New Roman" w:hAnsi="Cambria Math" w:cs="Vrinda"/>
          </w:rPr>
          <m:t>ν</m:t>
        </m:r>
      </m:oMath>
      <w:r w:rsidRPr="00B57A42" w:rsidDel="00E05554">
        <w:rPr>
          <w:rFonts w:eastAsia="Times New Roman"/>
        </w:rPr>
        <w:t xml:space="preserve"> </w:t>
      </w:r>
      <w:r w:rsidRPr="00B57A42">
        <w:rPr>
          <w:rFonts w:eastAsiaTheme="minorEastAsia"/>
        </w:rPr>
        <w:t xml:space="preserve">is the vector of mean coefficients and </w:t>
      </w:r>
      <m:oMath>
        <m:sSub>
          <m:sSubPr>
            <m:ctrlPr>
              <w:rPr>
                <w:rFonts w:ascii="Cambria Math" w:eastAsiaTheme="minorEastAsia" w:hAnsi="Cambria Math" w:cs="Vrinda"/>
                <w:i/>
              </w:rPr>
            </m:ctrlPr>
          </m:sSubPr>
          <m:e>
            <m:r>
              <w:rPr>
                <w:rFonts w:ascii="Cambria Math" w:eastAsia="Times New Roman" w:hAnsi="Cambria Math"/>
              </w:rPr>
              <m:t>σ</m:t>
            </m:r>
          </m:e>
          <m:sub>
            <m:r>
              <w:rPr>
                <w:rFonts w:ascii="Cambria Math" w:eastAsiaTheme="minorEastAsia" w:hAnsi="Cambria Math"/>
              </w:rPr>
              <m:t>q</m:t>
            </m:r>
          </m:sub>
        </m:sSub>
      </m:oMath>
      <w:r w:rsidRPr="00B57A42">
        <w:rPr>
          <w:rFonts w:eastAsiaTheme="minorEastAsia"/>
        </w:rPr>
        <w:t xml:space="preserve"> is a vector of coefficients representing the impact of unobserved factors moderating the influence of corresponding element of </w:t>
      </w:r>
      <m:oMath>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oMath>
      <w:r w:rsidR="00CA3E8A">
        <w:rPr>
          <w:rFonts w:eastAsiaTheme="minorEastAsia"/>
        </w:rPr>
        <w:t>.</w:t>
      </w:r>
    </w:p>
    <w:p w14:paraId="5BF07BAA" w14:textId="582D654C" w:rsidR="00A33B44" w:rsidRDefault="00A33B44" w:rsidP="00413B61">
      <w:pPr>
        <w:ind w:firstLine="720"/>
        <w:rPr>
          <w:rFonts w:eastAsiaTheme="minorEastAsia"/>
        </w:rPr>
      </w:pPr>
      <w:r w:rsidRPr="00B57A42">
        <w:rPr>
          <w:rFonts w:eastAsia="Times New Roman"/>
        </w:rPr>
        <w:t>In equation</w:t>
      </w:r>
      <w:r>
        <w:rPr>
          <w:rFonts w:eastAsia="Times New Roman"/>
        </w:rPr>
        <w:t>s</w:t>
      </w:r>
      <w:r w:rsidRPr="00B57A42">
        <w:rPr>
          <w:rFonts w:eastAsia="Times New Roman"/>
        </w:rPr>
        <w:t xml:space="preserve"> </w:t>
      </w:r>
      <w:r>
        <w:rPr>
          <w:rFonts w:eastAsia="Times New Roman"/>
        </w:rPr>
        <w:t>2 and 3</w:t>
      </w:r>
      <w:r w:rsidRPr="00B57A42">
        <w:rPr>
          <w:rFonts w:eastAsia="Times New Roman"/>
        </w:rPr>
        <w:t xml:space="preserve">, </w:t>
      </w:r>
      <m:oMath>
        <m:sSubSup>
          <m:sSubSupPr>
            <m:ctrlPr>
              <w:rPr>
                <w:rFonts w:ascii="Cambria Math" w:eastAsia="Times New Roman" w:hAnsi="Cambria Math" w:cs="Vrinda"/>
                <w:i/>
              </w:rPr>
            </m:ctrlPr>
          </m:sSubSupPr>
          <m:e>
            <m:r>
              <w:rPr>
                <w:rFonts w:ascii="Cambria Math" w:eastAsia="Times New Roman" w:hAnsi="Cambria Math"/>
              </w:rPr>
              <m:t>B</m:t>
            </m:r>
          </m:e>
          <m:sub>
            <m:r>
              <w:rPr>
                <w:rFonts w:ascii="Cambria Math" w:eastAsia="Times New Roman" w:hAnsi="Cambria Math"/>
              </w:rPr>
              <m:t>qt</m:t>
            </m:r>
          </m:sub>
          <m:sup>
            <m:r>
              <w:rPr>
                <w:rFonts w:ascii="Cambria Math" w:eastAsia="Times New Roman" w:hAnsi="Cambria Math"/>
              </w:rPr>
              <m:t>*</m:t>
            </m:r>
          </m:sup>
        </m:sSubSup>
      </m:oMath>
      <w:r>
        <w:rPr>
          <w:rFonts w:eastAsia="Times New Roman"/>
        </w:rPr>
        <w:t xml:space="preserve"> (</w:t>
      </w:r>
      <m:oMath>
        <m:sSubSup>
          <m:sSubSupPr>
            <m:ctrlPr>
              <w:rPr>
                <w:rFonts w:ascii="Cambria Math" w:eastAsia="Times New Roman" w:hAnsi="Cambria Math" w:cs="Vrinda"/>
                <w:i/>
              </w:rPr>
            </m:ctrlPr>
          </m:sSubSupPr>
          <m:e>
            <m:r>
              <w:rPr>
                <w:rFonts w:ascii="Cambria Math" w:eastAsia="Times New Roman" w:hAnsi="Cambria Math"/>
              </w:rPr>
              <m:t>A</m:t>
            </m:r>
          </m:e>
          <m:sub>
            <m:r>
              <w:rPr>
                <w:rFonts w:ascii="Cambria Math" w:eastAsia="Times New Roman" w:hAnsi="Cambria Math"/>
              </w:rPr>
              <m:t>qt</m:t>
            </m:r>
          </m:sub>
          <m:sup>
            <m:r>
              <w:rPr>
                <w:rFonts w:ascii="Cambria Math" w:eastAsia="Times New Roman" w:hAnsi="Cambria Math"/>
              </w:rPr>
              <m:t>*</m:t>
            </m:r>
          </m:sup>
        </m:sSubSup>
      </m:oMath>
      <w:r>
        <w:rPr>
          <w:rFonts w:eastAsia="Times New Roman"/>
        </w:rPr>
        <w:t xml:space="preserve">) </w:t>
      </w:r>
      <w:r w:rsidRPr="00B57A42">
        <w:rPr>
          <w:rFonts w:eastAsia="Times New Roman"/>
        </w:rPr>
        <w:t>is the latent propensity for stop level boardings</w:t>
      </w:r>
      <w:r>
        <w:rPr>
          <w:rFonts w:eastAsia="Times New Roman"/>
        </w:rPr>
        <w:t xml:space="preserve"> (alightings)</w:t>
      </w:r>
      <w:r w:rsidRPr="00B57A42">
        <w:rPr>
          <w:rFonts w:eastAsia="Times New Roman"/>
        </w:rPr>
        <w:t xml:space="preserve"> of stop </w:t>
      </w:r>
      <w:r w:rsidRPr="00B57A42">
        <w:rPr>
          <w:rFonts w:eastAsia="Times New Roman"/>
          <w:i/>
        </w:rPr>
        <w:t>q</w:t>
      </w:r>
      <w:r w:rsidRPr="00B57A42">
        <w:rPr>
          <w:rFonts w:eastAsia="Times New Roman"/>
        </w:rPr>
        <w:t xml:space="preserve"> for the </w:t>
      </w:r>
      <w:r w:rsidRPr="00B57A42">
        <w:rPr>
          <w:rFonts w:eastAsia="Times New Roman"/>
          <w:i/>
        </w:rPr>
        <w:t>t</w:t>
      </w:r>
      <w:r w:rsidRPr="00B57A42">
        <w:rPr>
          <w:rFonts w:eastAsia="Times New Roman"/>
          <w:i/>
          <w:vertAlign w:val="superscript"/>
        </w:rPr>
        <w:t>th</w:t>
      </w:r>
      <w:r w:rsidRPr="00B57A42">
        <w:rPr>
          <w:rFonts w:eastAsia="Times New Roman"/>
        </w:rPr>
        <w:t xml:space="preserve"> time period. This latent propensity </w:t>
      </w:r>
      <m:oMath>
        <m:sSubSup>
          <m:sSubSupPr>
            <m:ctrlPr>
              <w:rPr>
                <w:rFonts w:ascii="Cambria Math" w:eastAsia="Times New Roman" w:hAnsi="Cambria Math" w:cs="Vrinda"/>
                <w:i/>
              </w:rPr>
            </m:ctrlPr>
          </m:sSubSupPr>
          <m:e>
            <m:r>
              <w:rPr>
                <w:rFonts w:ascii="Cambria Math" w:eastAsia="Times New Roman" w:hAnsi="Cambria Math"/>
              </w:rPr>
              <m:t>B</m:t>
            </m:r>
          </m:e>
          <m:sub>
            <m:r>
              <w:rPr>
                <w:rFonts w:ascii="Cambria Math" w:eastAsia="Times New Roman" w:hAnsi="Cambria Math"/>
              </w:rPr>
              <m:t>qt</m:t>
            </m:r>
          </m:sub>
          <m:sup>
            <m:r>
              <w:rPr>
                <w:rFonts w:ascii="Cambria Math" w:eastAsia="Times New Roman" w:hAnsi="Cambria Math"/>
              </w:rPr>
              <m:t>*</m:t>
            </m:r>
          </m:sup>
        </m:sSubSup>
      </m:oMath>
      <w:r>
        <w:rPr>
          <w:rFonts w:eastAsia="Times New Roman"/>
        </w:rPr>
        <w:t xml:space="preserve"> (</w:t>
      </w:r>
      <m:oMath>
        <m:sSubSup>
          <m:sSubSupPr>
            <m:ctrlPr>
              <w:rPr>
                <w:rFonts w:ascii="Cambria Math" w:eastAsia="Times New Roman" w:hAnsi="Cambria Math" w:cs="Vrinda"/>
                <w:i/>
              </w:rPr>
            </m:ctrlPr>
          </m:sSubSupPr>
          <m:e>
            <m:r>
              <w:rPr>
                <w:rFonts w:ascii="Cambria Math" w:eastAsia="Times New Roman" w:hAnsi="Cambria Math"/>
              </w:rPr>
              <m:t>A</m:t>
            </m:r>
          </m:e>
          <m:sub>
            <m:r>
              <w:rPr>
                <w:rFonts w:ascii="Cambria Math" w:eastAsia="Times New Roman" w:hAnsi="Cambria Math"/>
              </w:rPr>
              <m:t>qt</m:t>
            </m:r>
          </m:sub>
          <m:sup>
            <m:r>
              <w:rPr>
                <w:rFonts w:ascii="Cambria Math" w:eastAsia="Times New Roman" w:hAnsi="Cambria Math"/>
              </w:rPr>
              <m:t>*</m:t>
            </m:r>
          </m:sup>
        </m:sSubSup>
      </m:oMath>
      <w:r>
        <w:rPr>
          <w:rFonts w:eastAsia="Times New Roman"/>
        </w:rPr>
        <w:t>)</w:t>
      </w:r>
      <w:r w:rsidRPr="00B57A42">
        <w:rPr>
          <w:rFonts w:eastAsia="Times New Roman"/>
        </w:rPr>
        <w:t xml:space="preserve"> is mapped to the actual grouped ridership category </w:t>
      </w:r>
      <w:r w:rsidRPr="00B57A42">
        <w:rPr>
          <w:rFonts w:eastAsia="Times New Roman"/>
          <w:i/>
        </w:rPr>
        <w:t>j</w:t>
      </w:r>
      <w:r w:rsidRPr="00B57A42">
        <w:rPr>
          <w:rFonts w:eastAsia="Times New Roman"/>
        </w:rPr>
        <w:t xml:space="preserve"> by the </w:t>
      </w:r>
      <m:oMath>
        <m:r>
          <w:rPr>
            <w:rFonts w:ascii="Cambria Math" w:eastAsiaTheme="minorEastAsia" w:hAnsi="Cambria Math"/>
          </w:rPr>
          <m:t>ψ</m:t>
        </m:r>
      </m:oMath>
      <w:r w:rsidRPr="00B57A42">
        <w:rPr>
          <w:rFonts w:eastAsia="Times New Roman"/>
        </w:rPr>
        <w:t xml:space="preserve"> thresholds, in the usual ordered-response modeling framework. In our case, we consider J = 13 and the </w:t>
      </w:r>
      <m:oMath>
        <m:r>
          <w:rPr>
            <w:rFonts w:ascii="Cambria Math" w:eastAsiaTheme="minorEastAsia" w:hAnsi="Cambria Math"/>
          </w:rPr>
          <m:t>ψ</m:t>
        </m:r>
      </m:oMath>
      <w:r w:rsidRPr="00B57A42">
        <w:rPr>
          <w:rFonts w:eastAsia="Times New Roman"/>
        </w:rPr>
        <w:t xml:space="preserve"> values are </w:t>
      </w:r>
      <w:r>
        <w:rPr>
          <w:rFonts w:eastAsia="Times New Roman"/>
        </w:rPr>
        <w:t xml:space="preserve">fixed </w:t>
      </w:r>
      <w:r w:rsidRPr="00B57A42">
        <w:rPr>
          <w:rFonts w:eastAsia="Times New Roman"/>
        </w:rPr>
        <w:t>as follows: -∞, 5, 10, 20, 30, 40, 50, 60, 70, 80, 90, 100, 120, and +∞.</w:t>
      </w:r>
      <w:r>
        <w:rPr>
          <w:rFonts w:eastAsia="Times New Roman"/>
        </w:rPr>
        <w:t xml:space="preserve"> </w:t>
      </w:r>
      <m:oMath>
        <m:sSub>
          <m:sSubPr>
            <m:ctrlPr>
              <w:rPr>
                <w:rFonts w:ascii="Cambria Math" w:eastAsia="Times New Roman" w:hAnsi="Cambria Math" w:cs="Vrinda"/>
                <w:i/>
              </w:rPr>
            </m:ctrlPr>
          </m:sSubPr>
          <m:e>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m:t>
                </m:r>
              </m:sup>
            </m:sSup>
          </m:e>
          <m:sub>
            <m:r>
              <w:rPr>
                <w:rFonts w:ascii="Cambria Math" w:eastAsia="Times New Roman" w:hAnsi="Cambria Math"/>
              </w:rPr>
              <m:t>qt</m:t>
            </m:r>
          </m:sub>
        </m:sSub>
      </m:oMath>
      <w:r w:rsidRPr="00B57A42">
        <w:rPr>
          <w:rFonts w:eastAsiaTheme="minorEastAsia"/>
        </w:rPr>
        <w:t xml:space="preserve"> is a matrix o</w:t>
      </w:r>
      <w:r>
        <w:rPr>
          <w:rFonts w:eastAsiaTheme="minorEastAsia"/>
        </w:rPr>
        <w:t xml:space="preserve">f attributes that influences stop level boarding and alighting. </w:t>
      </w:r>
      <m:oMath>
        <m:r>
          <w:rPr>
            <w:rFonts w:ascii="Cambria Math" w:eastAsia="Times New Roman" w:hAnsi="Cambria Math"/>
          </w:rPr>
          <m:t xml:space="preserve">α </m:t>
        </m:r>
        <m:d>
          <m:dPr>
            <m:ctrlPr>
              <w:rPr>
                <w:rFonts w:ascii="Cambria Math" w:eastAsia="Times New Roman" w:hAnsi="Cambria Math"/>
                <w:i/>
              </w:rPr>
            </m:ctrlPr>
          </m:dPr>
          <m:e>
            <m:r>
              <w:rPr>
                <w:rFonts w:ascii="Cambria Math" w:eastAsia="Times New Roman" w:hAnsi="Cambria Math"/>
              </w:rPr>
              <m:t>β</m:t>
            </m:r>
          </m:e>
        </m:d>
      </m:oMath>
      <w:r>
        <w:rPr>
          <w:rFonts w:eastAsiaTheme="minorEastAsia"/>
        </w:rPr>
        <w:t xml:space="preserve"> </w:t>
      </w:r>
      <w:r w:rsidRPr="00B57A42">
        <w:rPr>
          <w:rFonts w:eastAsiaTheme="minorEastAsia"/>
        </w:rPr>
        <w:t xml:space="preserve">is the corresponding vector of mean coefficients and </w:t>
      </w:r>
      <m:oMath>
        <m:sSub>
          <m:sSubPr>
            <m:ctrlPr>
              <w:rPr>
                <w:rFonts w:ascii="Cambria Math" w:eastAsiaTheme="minorEastAsia" w:hAnsi="Cambria Math" w:cs="Vrinda"/>
                <w:i/>
              </w:rPr>
            </m:ctrlPr>
          </m:sSubPr>
          <m:e>
            <m:r>
              <w:rPr>
                <w:rFonts w:ascii="Cambria Math" w:eastAsiaTheme="minorEastAsia" w:hAnsi="Cambria Math"/>
              </w:rPr>
              <m:t>γ</m:t>
            </m:r>
          </m:e>
          <m:sub>
            <m:r>
              <w:rPr>
                <w:rFonts w:ascii="Cambria Math" w:eastAsiaTheme="minorEastAsia" w:hAnsi="Cambria Math"/>
              </w:rPr>
              <m:t>q</m:t>
            </m:r>
          </m:sub>
        </m:sSub>
        <m:d>
          <m:dPr>
            <m:ctrlPr>
              <w:rPr>
                <w:rFonts w:ascii="Cambria Math" w:eastAsiaTheme="minorEastAsia" w:hAnsi="Cambria Math" w:cs="Vrinda"/>
                <w:i/>
              </w:rPr>
            </m:ctrlPr>
          </m:dPr>
          <m:e>
            <m:sSub>
              <m:sSubPr>
                <m:ctrlPr>
                  <w:rPr>
                    <w:rFonts w:ascii="Cambria Math" w:eastAsiaTheme="minorEastAsia" w:hAnsi="Cambria Math" w:cs="Vrinda"/>
                    <w:i/>
                  </w:rPr>
                </m:ctrlPr>
              </m:sSubPr>
              <m:e>
                <m:r>
                  <w:rPr>
                    <w:rFonts w:ascii="Cambria Math" w:eastAsiaTheme="minorEastAsia" w:hAnsi="Cambria Math"/>
                  </w:rPr>
                  <m:t>δ</m:t>
                </m:r>
              </m:e>
              <m:sub>
                <m:r>
                  <w:rPr>
                    <w:rFonts w:ascii="Cambria Math" w:eastAsiaTheme="minorEastAsia" w:hAnsi="Cambria Math"/>
                  </w:rPr>
                  <m:t>q</m:t>
                </m:r>
              </m:sub>
            </m:sSub>
          </m:e>
        </m:d>
      </m:oMath>
      <w:r w:rsidRPr="00B57A42">
        <w:rPr>
          <w:rFonts w:eastAsiaTheme="minorEastAsia"/>
        </w:rPr>
        <w:t xml:space="preserve"> is a vector of coefficients representing the impact of unobserved factors moderating the influence of corresponding element of </w:t>
      </w:r>
      <m:oMath>
        <m:sSub>
          <m:sSubPr>
            <m:ctrlPr>
              <w:rPr>
                <w:rFonts w:ascii="Cambria Math" w:eastAsia="Times New Roman" w:hAnsi="Cambria Math" w:cs="Vrinda"/>
                <w:i/>
              </w:rPr>
            </m:ctrlPr>
          </m:sSubPr>
          <m:e>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m:t>
                </m:r>
              </m:sup>
            </m:sSup>
          </m:e>
          <m:sub>
            <m:r>
              <w:rPr>
                <w:rFonts w:ascii="Cambria Math" w:eastAsia="Times New Roman" w:hAnsi="Cambria Math"/>
              </w:rPr>
              <m:t>qt</m:t>
            </m:r>
          </m:sub>
        </m:sSub>
      </m:oMath>
      <w:r>
        <w:rPr>
          <w:rFonts w:eastAsiaTheme="minorEastAsia"/>
        </w:rPr>
        <w:t xml:space="preserve"> for boardings (alightings),</w:t>
      </w:r>
      <w:r w:rsidRPr="00B57A42">
        <w:rPr>
          <w:rFonts w:eastAsia="Times New Roman" w:cs="Vrinda"/>
        </w:rPr>
        <w:t xml:space="preserve">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oMath>
      <w:r>
        <w:rPr>
          <w:rFonts w:eastAsia="Times New Roman" w:cs="Vrinda"/>
        </w:rPr>
        <w:t xml:space="preserve"> represents the headway variables generated from </w:t>
      </w:r>
      <m:oMath>
        <m:sSub>
          <m:sSubPr>
            <m:ctrlPr>
              <w:rPr>
                <w:rFonts w:ascii="Cambria Math" w:eastAsiaTheme="minorEastAsia" w:hAnsi="Cambria Math" w:cs="Vrinda"/>
                <w:i/>
              </w:rPr>
            </m:ctrlPr>
          </m:sSubPr>
          <m:e>
            <m:r>
              <w:rPr>
                <w:rFonts w:ascii="Cambria Math" w:eastAsiaTheme="minorEastAsia" w:hAnsi="Cambria Math"/>
              </w:rPr>
              <m:t>H</m:t>
            </m:r>
          </m:e>
          <m:sub>
            <m:r>
              <w:rPr>
                <w:rFonts w:ascii="Cambria Math" w:eastAsiaTheme="minorEastAsia" w:hAnsi="Cambria Math"/>
              </w:rPr>
              <m:t>qt</m:t>
            </m:r>
          </m:sub>
        </m:sSub>
      </m:oMath>
      <w:r>
        <w:rPr>
          <w:rFonts w:eastAsia="Times New Roman" w:cs="Vrinda"/>
        </w:rPr>
        <w:t xml:space="preserve"> for consideration in boarding and alighting. </w:t>
      </w:r>
      <m:oMath>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oMath>
      <w:r>
        <w:rPr>
          <w:rFonts w:eastAsia="Times New Roman" w:cs="Vrinda"/>
        </w:rPr>
        <w:t xml:space="preserve"> (</w:t>
      </w:r>
      <m:oMath>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oMath>
      <w:r>
        <w:rPr>
          <w:rFonts w:eastAsia="Times New Roman" w:cs="Vrinda"/>
        </w:rPr>
        <w:t xml:space="preserve">) represents the corresponding vector of mean coefficients and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oMath>
      <w:r>
        <w:rPr>
          <w:rFonts w:eastAsia="Times New Roman" w:cs="Vrinda"/>
        </w:rPr>
        <w:t xml:space="preserve">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r>
          <w:rPr>
            <w:rFonts w:ascii="Cambria Math" w:eastAsia="Times New Roman" w:hAnsi="Cambria Math"/>
          </w:rPr>
          <m:t>)</m:t>
        </m:r>
      </m:oMath>
      <w:r>
        <w:rPr>
          <w:rFonts w:eastAsia="Times New Roman" w:cs="Vrinda"/>
        </w:rPr>
        <w:t xml:space="preserve"> </w:t>
      </w:r>
      <w:r w:rsidRPr="00B57A42">
        <w:rPr>
          <w:rFonts w:eastAsiaTheme="minorEastAsia"/>
        </w:rPr>
        <w:t>is a vector of coefficients representing the impact of unobserved factors moderating the influence of corresponding element</w:t>
      </w:r>
      <w:r>
        <w:rPr>
          <w:rFonts w:eastAsiaTheme="minorEastAsia"/>
        </w:rPr>
        <w:t xml:space="preserve">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oMath>
      <w:r>
        <w:rPr>
          <w:rFonts w:eastAsiaTheme="minorEastAsia"/>
        </w:rPr>
        <w:t xml:space="preserve"> for boardings (alightings). </w:t>
      </w:r>
      <m:oMath>
        <m:sSub>
          <m:sSubPr>
            <m:ctrlPr>
              <w:rPr>
                <w:rFonts w:ascii="Cambria Math" w:eastAsia="Times New Roman" w:hAnsi="Cambria Math" w:cs="Vrinda"/>
                <w:i/>
              </w:rPr>
            </m:ctrlPr>
          </m:sSubPr>
          <m:e>
            <m:r>
              <w:rPr>
                <w:rFonts w:ascii="Cambria Math" w:eastAsia="Times New Roman" w:hAnsi="Cambria Math"/>
              </w:rPr>
              <m:t>ε</m:t>
            </m:r>
          </m:e>
          <m:sub>
            <m:r>
              <w:rPr>
                <w:rFonts w:ascii="Cambria Math" w:eastAsia="Times New Roman" w:hAnsi="Cambria Math"/>
              </w:rPr>
              <m:t>qt</m:t>
            </m:r>
          </m:sub>
        </m:sSub>
        <m:r>
          <w:rPr>
            <w:rFonts w:ascii="Cambria Math" w:eastAsia="Times New Roman" w:hAnsi="Cambria Math" w:cs="Vrinda"/>
          </w:rPr>
          <m:t xml:space="preserve"> (</m:t>
        </m:r>
        <m:sSub>
          <m:sSubPr>
            <m:ctrlPr>
              <w:rPr>
                <w:rFonts w:ascii="Cambria Math" w:eastAsia="Times New Roman" w:hAnsi="Cambria Math" w:cs="Vrinda"/>
                <w:i/>
              </w:rPr>
            </m:ctrlPr>
          </m:sSubPr>
          <m:e>
            <m:r>
              <w:rPr>
                <w:rFonts w:ascii="Cambria Math" w:eastAsia="Times New Roman" w:hAnsi="Cambria Math"/>
              </w:rPr>
              <m:t>ξ</m:t>
            </m:r>
          </m:e>
          <m:sub>
            <m:r>
              <w:rPr>
                <w:rFonts w:ascii="Cambria Math" w:eastAsia="Times New Roman" w:hAnsi="Cambria Math"/>
              </w:rPr>
              <m:t>qt</m:t>
            </m:r>
          </m:sub>
        </m:sSub>
        <m:r>
          <w:rPr>
            <w:rFonts w:ascii="Cambria Math" w:eastAsia="Times New Roman" w:hAnsi="Cambria Math" w:cs="Vrinda"/>
          </w:rPr>
          <m:t>)</m:t>
        </m:r>
      </m:oMath>
      <w:r w:rsidRPr="00B57A42">
        <w:rPr>
          <w:rFonts w:eastAsiaTheme="minorEastAsia"/>
        </w:rPr>
        <w:t xml:space="preserve"> is an idiosyncratic random error term assumed </w:t>
      </w:r>
      <w:r>
        <w:rPr>
          <w:rFonts w:eastAsiaTheme="minorEastAsia"/>
        </w:rPr>
        <w:t xml:space="preserve">to be </w:t>
      </w:r>
      <w:r w:rsidRPr="00B57A42">
        <w:rPr>
          <w:rFonts w:eastAsia="Times New Roman"/>
        </w:rPr>
        <w:t xml:space="preserve">independently logistic distributed across choice stops and choice occasions </w:t>
      </w:r>
      <w:r>
        <w:rPr>
          <w:rFonts w:eastAsia="Times New Roman"/>
        </w:rPr>
        <w:t xml:space="preserve">for boardings (alightings) </w:t>
      </w:r>
      <w:r w:rsidRPr="00B57A42">
        <w:rPr>
          <w:rFonts w:eastAsia="Times New Roman"/>
        </w:rPr>
        <w:t xml:space="preserve">with variance </w:t>
      </w:r>
      <m:oMath>
        <m:sSubSup>
          <m:sSubSupPr>
            <m:ctrlPr>
              <w:rPr>
                <w:rFonts w:ascii="Cambria Math" w:eastAsia="Times New Roman" w:hAnsi="Cambria Math" w:cs="Vrinda"/>
                <w:i/>
              </w:rPr>
            </m:ctrlPr>
          </m:sSubSupPr>
          <m:e>
            <m:r>
              <w:rPr>
                <w:rFonts w:ascii="Cambria Math" w:eastAsia="Times New Roman" w:hAnsi="Cambria Math"/>
              </w:rPr>
              <m:t>λ</m:t>
            </m:r>
          </m:e>
          <m:sub>
            <m:r>
              <w:rPr>
                <w:rFonts w:ascii="Cambria Math" w:eastAsia="Times New Roman" w:hAnsi="Cambria Math"/>
              </w:rPr>
              <m:t>B</m:t>
            </m:r>
          </m:sub>
          <m:sup>
            <m:r>
              <w:rPr>
                <w:rFonts w:ascii="Cambria Math" w:eastAsia="Times New Roman" w:hAnsi="Cambria Math"/>
              </w:rPr>
              <m:t>2</m:t>
            </m:r>
          </m:sup>
        </m:sSubSup>
      </m:oMath>
      <w:r>
        <w:rPr>
          <w:rFonts w:eastAsia="Times New Roman"/>
        </w:rPr>
        <w:t xml:space="preserve"> (</w:t>
      </w:r>
      <m:oMath>
        <m:sSubSup>
          <m:sSubSupPr>
            <m:ctrlPr>
              <w:rPr>
                <w:rFonts w:ascii="Cambria Math" w:eastAsia="Times New Roman" w:hAnsi="Cambria Math" w:cs="Vrinda"/>
                <w:i/>
              </w:rPr>
            </m:ctrlPr>
          </m:sSubSupPr>
          <m:e>
            <m:r>
              <w:rPr>
                <w:rFonts w:ascii="Cambria Math" w:eastAsia="Times New Roman" w:hAnsi="Cambria Math"/>
              </w:rPr>
              <m:t>λ</m:t>
            </m:r>
          </m:e>
          <m:sub>
            <m:r>
              <w:rPr>
                <w:rFonts w:ascii="Cambria Math" w:eastAsia="Times New Roman" w:hAnsi="Cambria Math"/>
              </w:rPr>
              <m:t>A</m:t>
            </m:r>
          </m:sub>
          <m:sup>
            <m:r>
              <w:rPr>
                <w:rFonts w:ascii="Cambria Math" w:eastAsia="Times New Roman" w:hAnsi="Cambria Math"/>
              </w:rPr>
              <m:t>2</m:t>
            </m:r>
          </m:sup>
        </m:sSubSup>
        <m:r>
          <w:rPr>
            <w:rFonts w:ascii="Cambria Math" w:eastAsia="Times New Roman" w:hAnsi="Cambria Math" w:cs="Vrinda"/>
          </w:rPr>
          <m:t>)</m:t>
        </m:r>
      </m:oMath>
      <w:r w:rsidRPr="00B57A42">
        <w:rPr>
          <w:rFonts w:eastAsiaTheme="minorEastAsia"/>
        </w:rPr>
        <w:t xml:space="preserve">. </w:t>
      </w:r>
      <w:r w:rsidR="00B22999" w:rsidRPr="00415D18">
        <w:rPr>
          <w:rFonts w:eastAsiaTheme="minorEastAsia" w:cs="Times New Roman"/>
          <w:szCs w:val="24"/>
        </w:rPr>
        <w:t xml:space="preserve">The variance vectors for boarding’s and alighting’s are parameterized as a function of </w:t>
      </w:r>
      <w:r w:rsidR="00B22999">
        <w:rPr>
          <w:rFonts w:cs="Times New Roman"/>
          <w:szCs w:val="24"/>
        </w:rPr>
        <w:t>independent</w:t>
      </w:r>
      <w:r w:rsidR="00B22999" w:rsidRPr="00415D18">
        <w:rPr>
          <w:rFonts w:cs="Times New Roman"/>
          <w:szCs w:val="24"/>
        </w:rPr>
        <w:t xml:space="preserve"> </w:t>
      </w:r>
      <w:r w:rsidR="00B22999" w:rsidRPr="00415D18">
        <w:rPr>
          <w:rFonts w:eastAsiaTheme="minorEastAsia" w:cs="Times New Roman"/>
          <w:szCs w:val="24"/>
        </w:rPr>
        <w:t xml:space="preserve">variables as follows: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B</m:t>
            </m:r>
          </m:sub>
        </m:sSub>
        <m:r>
          <w:rPr>
            <w:rFonts w:ascii="Cambria Math" w:eastAsiaTheme="minorEastAsia" w:hAnsi="Cambria Math" w:cs="Times New Roman"/>
            <w:szCs w:val="24"/>
          </w:rPr>
          <m:t>=</m:t>
        </m:r>
        <m:r>
          <m:rPr>
            <m:sty m:val="p"/>
          </m:rPr>
          <w:rPr>
            <w:rFonts w:ascii="Cambria Math" w:eastAsiaTheme="minorEastAsia" w:hAnsi="Cambria Math" w:cs="Times New Roman"/>
            <w:szCs w:val="24"/>
          </w:rPr>
          <m:t>exp⁡</m:t>
        </m:r>
        <m:r>
          <w:rPr>
            <w:rFonts w:ascii="Cambria Math" w:eastAsiaTheme="minorEastAsia" w:hAnsi="Cambria Math" w:cs="Times New Roman"/>
            <w:szCs w:val="24"/>
          </w:rPr>
          <m:t>(π'</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qt</m:t>
            </m:r>
          </m:sub>
        </m:sSub>
        <m:r>
          <w:rPr>
            <w:rFonts w:ascii="Cambria Math" w:eastAsiaTheme="minorEastAsia" w:hAnsi="Cambria Math" w:cs="Times New Roman"/>
            <w:szCs w:val="24"/>
          </w:rPr>
          <m:t>)</m:t>
        </m:r>
      </m:oMath>
      <w:r w:rsidR="00B22999" w:rsidRPr="00415D18">
        <w:rPr>
          <w:rFonts w:eastAsiaTheme="minorEastAsia" w:cs="Times New Roman"/>
          <w:szCs w:val="24"/>
        </w:rPr>
        <w:t xml:space="preserve"> and: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A</m:t>
            </m:r>
          </m:sub>
        </m:sSub>
        <m:r>
          <w:rPr>
            <w:rFonts w:ascii="Cambria Math" w:eastAsiaTheme="minorEastAsia" w:hAnsi="Cambria Math" w:cs="Times New Roman"/>
            <w:szCs w:val="24"/>
          </w:rPr>
          <m:t>=</m:t>
        </m:r>
        <m:r>
          <m:rPr>
            <m:sty m:val="p"/>
          </m:rPr>
          <w:rPr>
            <w:rFonts w:ascii="Cambria Math" w:eastAsiaTheme="minorEastAsia" w:hAnsi="Cambria Math" w:cs="Times New Roman"/>
            <w:szCs w:val="24"/>
          </w:rPr>
          <m:t>exp⁡</m:t>
        </m:r>
        <m:r>
          <w:rPr>
            <w:rFonts w:ascii="Cambria Math" w:eastAsiaTheme="minorEastAsia" w:hAnsi="Cambria Math" w:cs="Times New Roman"/>
            <w:szCs w:val="24"/>
          </w:rPr>
          <m:t>(π''</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qt</m:t>
            </m:r>
          </m:sub>
        </m:sSub>
        <m:r>
          <w:rPr>
            <w:rFonts w:ascii="Cambria Math" w:eastAsiaTheme="minorEastAsia" w:hAnsi="Cambria Math" w:cs="Times New Roman"/>
            <w:szCs w:val="24"/>
          </w:rPr>
          <m:t xml:space="preserve">) </m:t>
        </m:r>
      </m:oMath>
      <w:r w:rsidR="00B22999">
        <w:rPr>
          <w:rFonts w:eastAsiaTheme="minorEastAsia" w:cs="Times New Roman"/>
          <w:szCs w:val="24"/>
        </w:rPr>
        <w:t xml:space="preserve">where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qt</m:t>
            </m:r>
          </m:sub>
        </m:sSub>
      </m:oMath>
      <w:r w:rsidR="00B22999">
        <w:rPr>
          <w:rFonts w:eastAsiaTheme="minorEastAsia" w:cs="Times New Roman"/>
          <w:szCs w:val="24"/>
        </w:rPr>
        <w:t xml:space="preserve"> represent independent variables that influence the variance, while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π</m:t>
            </m:r>
          </m:e>
          <m:sup>
            <m:r>
              <w:rPr>
                <w:rFonts w:ascii="Cambria Math" w:eastAsiaTheme="minorEastAsia" w:hAnsi="Cambria Math" w:cs="Times New Roman"/>
                <w:szCs w:val="24"/>
              </w:rPr>
              <m:t>'</m:t>
            </m:r>
          </m:sup>
        </m:sSup>
      </m:oMath>
      <w:r w:rsidR="00B22999">
        <w:rPr>
          <w:rFonts w:eastAsiaTheme="minorEastAsia" w:cs="Times New Roman"/>
          <w:szCs w:val="24"/>
        </w:rPr>
        <w:t xml:space="preserve"> and </w:t>
      </w:r>
      <m:oMath>
        <m:r>
          <w:rPr>
            <w:rFonts w:ascii="Cambria Math" w:eastAsiaTheme="minorEastAsia" w:hAnsi="Cambria Math" w:cs="Times New Roman"/>
            <w:szCs w:val="24"/>
          </w:rPr>
          <m:t>π''</m:t>
        </m:r>
      </m:oMath>
      <w:r w:rsidR="00B22999">
        <w:rPr>
          <w:rFonts w:eastAsiaTheme="minorEastAsia" w:cs="Times New Roman"/>
          <w:szCs w:val="24"/>
        </w:rPr>
        <w:t xml:space="preserve"> are corresponding coefficient vectors</w:t>
      </w:r>
      <w:r w:rsidR="00B22999" w:rsidRPr="00415D18">
        <w:rPr>
          <w:rFonts w:eastAsiaTheme="minorEastAsia" w:cs="Times New Roman"/>
          <w:szCs w:val="24"/>
        </w:rPr>
        <w:t xml:space="preserve">. The parameterization allows for the variance to be different across the </w:t>
      </w:r>
      <w:r w:rsidR="00B22999">
        <w:rPr>
          <w:rFonts w:eastAsiaTheme="minorEastAsia" w:cs="Times New Roman"/>
          <w:szCs w:val="24"/>
        </w:rPr>
        <w:t>bus stops</w:t>
      </w:r>
      <w:r w:rsidR="00B22999" w:rsidRPr="00415D18">
        <w:rPr>
          <w:rFonts w:eastAsiaTheme="minorEastAsia" w:cs="Times New Roman"/>
          <w:szCs w:val="24"/>
        </w:rPr>
        <w:t xml:space="preserve"> accommodating for heteroscedasticity.</w:t>
      </w:r>
      <w:r w:rsidR="00B22999">
        <w:rPr>
          <w:rFonts w:eastAsiaTheme="minorEastAsia" w:cs="Times New Roman"/>
          <w:szCs w:val="24"/>
        </w:rPr>
        <w:t xml:space="preserve"> </w:t>
      </w:r>
      <m:oMath>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oMath>
      <w:r w:rsidRPr="00B57A42">
        <w:rPr>
          <w:rFonts w:eastAsiaTheme="minorEastAsia"/>
        </w:rPr>
        <w:t xml:space="preserve"> </w:t>
      </w:r>
      <w:r>
        <w:rPr>
          <w:rFonts w:eastAsiaTheme="minorEastAsia"/>
        </w:rPr>
        <w:t xml:space="preserve">present in all three equations </w:t>
      </w:r>
      <w:r w:rsidRPr="00B57A42">
        <w:rPr>
          <w:rFonts w:eastAsiaTheme="minorEastAsia"/>
        </w:rPr>
        <w:t xml:space="preserve">represents the vector of coefficients </w:t>
      </w:r>
      <w:r>
        <w:rPr>
          <w:rFonts w:eastAsiaTheme="minorEastAsia"/>
        </w:rPr>
        <w:t>that accommodates for</w:t>
      </w:r>
      <w:r w:rsidRPr="00B57A42">
        <w:rPr>
          <w:rFonts w:eastAsiaTheme="minorEastAsia"/>
        </w:rPr>
        <w:t xml:space="preserve"> the impact of stop level common unobserved factors that jointly influence boardings</w:t>
      </w:r>
      <w:r>
        <w:rPr>
          <w:rFonts w:eastAsiaTheme="minorEastAsia"/>
        </w:rPr>
        <w:t xml:space="preserve">, </w:t>
      </w:r>
      <w:r w:rsidRPr="00B57A42">
        <w:rPr>
          <w:rFonts w:eastAsiaTheme="minorEastAsia"/>
        </w:rPr>
        <w:t>alightings</w:t>
      </w:r>
      <w:r>
        <w:rPr>
          <w:rFonts w:eastAsiaTheme="minorEastAsia"/>
        </w:rPr>
        <w:t xml:space="preserve"> and headway</w:t>
      </w:r>
      <w:r w:rsidRPr="00B57A42">
        <w:rPr>
          <w:rFonts w:eastAsiaTheme="minorEastAsia"/>
        </w:rPr>
        <w:t xml:space="preserve">. The </w:t>
      </w:r>
      <m:oMath>
        <m:r>
          <w:rPr>
            <w:rFonts w:ascii="Cambria Math" w:eastAsiaTheme="minorEastAsia" w:hAnsi="Cambria Math"/>
          </w:rPr>
          <m:t>'</m:t>
        </m:r>
        <m:r>
          <w:rPr>
            <w:rFonts w:ascii="Cambria Math" w:eastAsia="Times New Roman" w:hAnsi="Cambria Math"/>
          </w:rPr>
          <m:t>±'</m:t>
        </m:r>
      </m:oMath>
      <w:r w:rsidRPr="00B57A42">
        <w:rPr>
          <w:rFonts w:eastAsiaTheme="minorEastAsia"/>
        </w:rPr>
        <w:t xml:space="preserve"> sign indicates</w:t>
      </w:r>
      <w:r w:rsidR="00E74843">
        <w:rPr>
          <w:rFonts w:eastAsiaTheme="minorEastAsia"/>
        </w:rPr>
        <w:t xml:space="preserve"> that</w:t>
      </w:r>
      <w:r w:rsidRPr="00B57A42">
        <w:rPr>
          <w:rFonts w:eastAsiaTheme="minorEastAsia"/>
        </w:rPr>
        <w:t xml:space="preserve"> the potential impact could be either positive or negative. </w:t>
      </w:r>
      <w:r w:rsidRPr="00B57A42">
        <w:rPr>
          <w:rFonts w:eastAsia="Times New Roman"/>
        </w:rPr>
        <w:t xml:space="preserve">A positive sign implies that unobserved factors that increase the </w:t>
      </w:r>
      <w:r>
        <w:rPr>
          <w:rFonts w:eastAsia="Times New Roman"/>
        </w:rPr>
        <w:t xml:space="preserve">headway </w:t>
      </w:r>
      <w:r w:rsidRPr="00B57A42">
        <w:rPr>
          <w:rFonts w:eastAsia="Times New Roman"/>
        </w:rPr>
        <w:t xml:space="preserve">for a given reason will also increase the propensity for </w:t>
      </w:r>
      <w:r>
        <w:rPr>
          <w:rFonts w:eastAsia="Times New Roman"/>
        </w:rPr>
        <w:t>boarding/alighting</w:t>
      </w:r>
      <w:r w:rsidRPr="00B57A42">
        <w:rPr>
          <w:rFonts w:eastAsia="Times New Roman"/>
        </w:rPr>
        <w:t xml:space="preserve">, while a negative sign suggests that unobserved individual factors that increase the propensity for </w:t>
      </w:r>
      <w:r>
        <w:rPr>
          <w:rFonts w:eastAsia="Times New Roman"/>
        </w:rPr>
        <w:t xml:space="preserve">headway </w:t>
      </w:r>
      <w:r w:rsidRPr="00B57A42">
        <w:rPr>
          <w:rFonts w:eastAsia="Times New Roman"/>
        </w:rPr>
        <w:t>will decrease the propensity for boarding</w:t>
      </w:r>
      <w:r>
        <w:rPr>
          <w:rFonts w:eastAsia="Times New Roman"/>
        </w:rPr>
        <w:t>/alighting</w:t>
      </w:r>
      <w:r w:rsidRPr="00B57A42">
        <w:rPr>
          <w:rFonts w:eastAsia="Times New Roman"/>
        </w:rPr>
        <w:t xml:space="preserve">. </w:t>
      </w:r>
      <w:r w:rsidRPr="00B57A42">
        <w:rPr>
          <w:rFonts w:eastAsiaTheme="minorEastAsia"/>
        </w:rPr>
        <w:t xml:space="preserve">In our empirical context, we expect the relationship to be </w:t>
      </w:r>
      <w:r>
        <w:rPr>
          <w:rFonts w:eastAsiaTheme="minorEastAsia"/>
        </w:rPr>
        <w:t>negative</w:t>
      </w:r>
      <w:r w:rsidRPr="00B57A42">
        <w:rPr>
          <w:rFonts w:eastAsiaTheme="minorEastAsia"/>
        </w:rPr>
        <w:t xml:space="preserve">. </w:t>
      </w:r>
    </w:p>
    <w:p w14:paraId="33C50705" w14:textId="7175B890" w:rsidR="00A33B44" w:rsidRDefault="00A33B44" w:rsidP="00413B61">
      <w:pPr>
        <w:ind w:firstLine="720"/>
        <w:rPr>
          <w:rFonts w:eastAsiaTheme="minorEastAsia"/>
        </w:rPr>
      </w:pPr>
      <w:r w:rsidRPr="00B57A42">
        <w:rPr>
          <w:rFonts w:eastAsia="Times New Roman" w:cs="Vrinda"/>
        </w:rPr>
        <w:t>Further</w:t>
      </w:r>
      <w:r>
        <w:rPr>
          <w:rFonts w:eastAsia="Times New Roman" w:cs="Vrinda"/>
        </w:rPr>
        <w:t>, to accommodate for ridership category specific effects</w:t>
      </w:r>
      <w:r w:rsidRPr="00B57A42">
        <w:rPr>
          <w:rFonts w:eastAsia="Times New Roman" w:cs="Vrinda"/>
        </w:rPr>
        <w:t xml:space="preserve"> </w:t>
      </w:r>
      <m:oMath>
        <m:sSub>
          <m:sSubPr>
            <m:ctrlPr>
              <w:rPr>
                <w:rFonts w:ascii="Cambria Math" w:eastAsia="Times New Roman" w:hAnsi="Cambria Math" w:cs="Vrinda"/>
                <w:i/>
              </w:rPr>
            </m:ctrlPr>
          </m:sSubPr>
          <m:e>
            <m:r>
              <w:rPr>
                <w:rFonts w:ascii="Cambria Math" w:eastAsia="Times New Roman" w:hAnsi="Cambria Math"/>
              </w:rPr>
              <m:t>z</m:t>
            </m:r>
          </m:e>
          <m:sub>
            <m:r>
              <w:rPr>
                <w:rFonts w:ascii="Cambria Math" w:eastAsia="Times New Roman" w:hAnsi="Cambria Math"/>
              </w:rPr>
              <m:t>qjt</m:t>
            </m:r>
          </m:sub>
        </m:sSub>
      </m:oMath>
      <w:r w:rsidRPr="00B57A42">
        <w:rPr>
          <w:rFonts w:eastAsia="Times New Roman" w:cs="Vrinda"/>
        </w:rPr>
        <w:t xml:space="preserve"> is a vector of attributes specific to stop </w:t>
      </w:r>
      <m:oMath>
        <m:r>
          <w:rPr>
            <w:rFonts w:ascii="Cambria Math" w:eastAsia="Times New Roman" w:hAnsi="Cambria Math" w:cs="Vrinda"/>
          </w:rPr>
          <m:t>q</m:t>
        </m:r>
      </m:oMath>
      <w:r w:rsidRPr="00B57A42">
        <w:rPr>
          <w:rFonts w:eastAsia="Times New Roman" w:cs="Vrinda"/>
        </w:rPr>
        <w:t xml:space="preserve"> and ridership category alternative </w:t>
      </w:r>
      <m:oMath>
        <m:r>
          <w:rPr>
            <w:rFonts w:ascii="Cambria Math" w:eastAsia="Times New Roman" w:hAnsi="Cambria Math" w:cs="Vrinda"/>
          </w:rPr>
          <m:t>j</m:t>
        </m:r>
      </m:oMath>
      <w:r w:rsidR="00B22999">
        <w:rPr>
          <w:rFonts w:eastAsia="Times New Roman" w:cs="Vrinda"/>
        </w:rPr>
        <w:t xml:space="preserve">, while </w:t>
      </w:r>
      <m:oMath>
        <m:sSub>
          <m:sSubPr>
            <m:ctrlPr>
              <w:rPr>
                <w:rFonts w:ascii="Cambria Math" w:eastAsia="Times New Roman" w:hAnsi="Cambria Math" w:cs="Vrinda"/>
                <w:i/>
              </w:rPr>
            </m:ctrlPr>
          </m:sSubPr>
          <m:e>
            <m:r>
              <w:rPr>
                <w:rFonts w:ascii="Cambria Math" w:eastAsia="Times New Roman" w:hAnsi="Cambria Math"/>
              </w:rPr>
              <m:t>ρ</m:t>
            </m:r>
          </m:e>
          <m:sub>
            <m:r>
              <w:rPr>
                <w:rFonts w:ascii="Cambria Math" w:eastAsia="Times New Roman" w:hAnsi="Cambria Math" w:cs="Vrinda"/>
              </w:rPr>
              <m:t>j</m:t>
            </m:r>
          </m:sub>
        </m:sSub>
      </m:oMath>
      <w:r w:rsidR="00B22999">
        <w:rPr>
          <w:rFonts w:eastAsia="Times New Roman" w:cs="Vrinda"/>
        </w:rPr>
        <w:t xml:space="preserve"> and</w:t>
      </w:r>
      <w:r w:rsidR="00B22999" w:rsidRPr="00B57A42">
        <w:rPr>
          <w:rFonts w:eastAsia="Times New Roman" w:cs="Vrinda"/>
        </w:rPr>
        <w:t xml:space="preserve"> </w:t>
      </w:r>
      <m:oMath>
        <m:sSub>
          <m:sSubPr>
            <m:ctrlPr>
              <w:rPr>
                <w:rFonts w:ascii="Cambria Math" w:eastAsia="Times New Roman" w:hAnsi="Cambria Math" w:cs="Vrinda"/>
                <w:i/>
              </w:rPr>
            </m:ctrlPr>
          </m:sSubPr>
          <m:e>
            <m:r>
              <w:rPr>
                <w:rFonts w:ascii="Cambria Math" w:eastAsia="Times New Roman" w:hAnsi="Cambria Math" w:cs="Vrinda"/>
              </w:rPr>
              <m:t>τ</m:t>
            </m:r>
          </m:e>
          <m:sub>
            <m:r>
              <w:rPr>
                <w:rFonts w:ascii="Cambria Math" w:eastAsia="Times New Roman" w:hAnsi="Cambria Math" w:cs="Vrinda"/>
              </w:rPr>
              <m:t>j</m:t>
            </m:r>
          </m:sub>
        </m:sSub>
      </m:oMath>
      <w:r w:rsidR="00B22999" w:rsidRPr="00B57A42">
        <w:rPr>
          <w:rFonts w:eastAsia="Times New Roman" w:cs="Vrinda"/>
        </w:rPr>
        <w:t xml:space="preserve"> is the vector of corresponding </w:t>
      </w:r>
      <w:r w:rsidR="00B22999">
        <w:rPr>
          <w:rFonts w:eastAsia="Times New Roman" w:cs="Vrinda"/>
        </w:rPr>
        <w:t>r</w:t>
      </w:r>
      <w:r w:rsidR="00B22999" w:rsidRPr="00B57A42">
        <w:rPr>
          <w:rFonts w:eastAsia="Times New Roman" w:cs="Vrinda"/>
        </w:rPr>
        <w:t>idership category-specific coefficients</w:t>
      </w:r>
      <w:r w:rsidR="00B22999">
        <w:rPr>
          <w:rFonts w:eastAsia="Times New Roman" w:cs="Vrinda"/>
        </w:rPr>
        <w:t xml:space="preserve"> for boarding and alighting components, respectively</w:t>
      </w:r>
      <w:r w:rsidRPr="00B57A42">
        <w:rPr>
          <w:rFonts w:eastAsia="Times New Roman" w:cs="Vrinda"/>
        </w:rPr>
        <w:t xml:space="preserve">. </w:t>
      </w:r>
      <w:r w:rsidRPr="00B57A42">
        <w:rPr>
          <w:rFonts w:eastAsia="Times New Roman"/>
        </w:rPr>
        <w:t>To complete the model structure of Equations (1)</w:t>
      </w:r>
      <w:r>
        <w:rPr>
          <w:rFonts w:eastAsia="Times New Roman"/>
        </w:rPr>
        <w:t>, (2)</w:t>
      </w:r>
      <w:r w:rsidRPr="00B57A42">
        <w:rPr>
          <w:rFonts w:eastAsia="Times New Roman"/>
        </w:rPr>
        <w:t xml:space="preserve"> and (</w:t>
      </w:r>
      <w:r>
        <w:rPr>
          <w:rFonts w:eastAsia="Times New Roman"/>
        </w:rPr>
        <w:t>3</w:t>
      </w:r>
      <w:r w:rsidRPr="00B57A42">
        <w:rPr>
          <w:rFonts w:eastAsia="Times New Roman"/>
        </w:rPr>
        <w:t xml:space="preserve">), it is necessary to define the structure for the unobserved vectors </w:t>
      </w:r>
      <m:oMath>
        <m:sSub>
          <m:sSubPr>
            <m:ctrlPr>
              <w:rPr>
                <w:rFonts w:ascii="Cambria Math" w:eastAsiaTheme="minorEastAsia" w:hAnsi="Cambria Math" w:cs="Vrinda"/>
                <w:i/>
              </w:rPr>
            </m:ctrlPr>
          </m:sSubPr>
          <m:e>
            <m:sSub>
              <m:sSubPr>
                <m:ctrlPr>
                  <w:rPr>
                    <w:rFonts w:ascii="Cambria Math" w:eastAsiaTheme="minorEastAsia" w:hAnsi="Cambria Math" w:cs="Vrinda"/>
                    <w:i/>
                  </w:rPr>
                </m:ctrlPr>
              </m:sSubPr>
              <m:e>
                <m:r>
                  <w:rPr>
                    <w:rFonts w:ascii="Cambria Math" w:eastAsiaTheme="minorEastAsia" w:hAnsi="Cambria Math"/>
                  </w:rPr>
                  <m:t>γ</m:t>
                </m:r>
              </m:e>
              <m:sub>
                <m:r>
                  <w:rPr>
                    <w:rFonts w:ascii="Cambria Math" w:eastAsiaTheme="minorEastAsia" w:hAnsi="Cambria Math"/>
                  </w:rPr>
                  <m:t>q</m:t>
                </m:r>
              </m:sub>
            </m:sSub>
            <m:r>
              <w:rPr>
                <w:rFonts w:ascii="Cambria Math" w:eastAsiaTheme="minorEastAsia" w:hAnsi="Cambria Math"/>
              </w:rPr>
              <m:t>,δ</m:t>
            </m:r>
          </m:e>
          <m:sub>
            <m:r>
              <w:rPr>
                <w:rFonts w:ascii="Cambria Math" w:eastAsiaTheme="minorEastAsia" w:hAnsi="Cambria Math"/>
              </w:rPr>
              <m:t>q</m:t>
            </m:r>
          </m:sub>
        </m:sSub>
      </m:oMath>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q</m:t>
            </m:r>
          </m:sub>
        </m:sSub>
      </m:oMath>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oMath>
      <w:r>
        <w:rPr>
          <w:rFonts w:eastAsia="Times New Roman"/>
        </w:rPr>
        <w:t xml:space="preserve"> (combined vector of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oMath>
      <w:r>
        <w:rPr>
          <w:rFonts w:eastAsia="Times New Roman" w:cs="Vrinda"/>
        </w:rPr>
        <w:t xml:space="preserve"> and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oMath>
      <w:r>
        <w:rPr>
          <w:rFonts w:eastAsia="Times New Roman" w:cs="Vrinda"/>
        </w:rPr>
        <w:t>)</w:t>
      </w:r>
      <w:r w:rsidRPr="00B57A42">
        <w:rPr>
          <w:rFonts w:eastAsiaTheme="minorEastAsia"/>
        </w:rPr>
        <w:t xml:space="preserve"> and </w:t>
      </w:r>
      <m:oMath>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oMath>
      <w:r w:rsidRPr="00B57A42">
        <w:rPr>
          <w:rFonts w:eastAsiaTheme="minorEastAsia"/>
        </w:rPr>
        <w:t xml:space="preserve">. In this paper, </w:t>
      </w:r>
      <w:r w:rsidRPr="00B57A42">
        <w:rPr>
          <w:rFonts w:eastAsiaTheme="minorEastAsia"/>
        </w:rPr>
        <w:lastRenderedPageBreak/>
        <w:t>we assume that the</w:t>
      </w:r>
      <w:r>
        <w:rPr>
          <w:rFonts w:eastAsiaTheme="minorEastAsia"/>
        </w:rPr>
        <w:t>se</w:t>
      </w:r>
      <w:r w:rsidRPr="00B57A42">
        <w:rPr>
          <w:rFonts w:eastAsiaTheme="minorEastAsia"/>
        </w:rPr>
        <w:t xml:space="preserve"> vectors are independent realizations from normal distributions as follows: </w:t>
      </w:r>
      <m:oMath>
        <m:sSub>
          <m:sSubPr>
            <m:ctrlPr>
              <w:rPr>
                <w:rFonts w:ascii="Cambria Math" w:eastAsiaTheme="minorEastAsia" w:hAnsi="Cambria Math" w:cs="Vrinda"/>
                <w:i/>
              </w:rPr>
            </m:ctrlPr>
          </m:sSubPr>
          <m:e>
            <m:r>
              <w:rPr>
                <w:rFonts w:ascii="Cambria Math" w:eastAsiaTheme="minorEastAsia" w:hAnsi="Cambria Math"/>
              </w:rPr>
              <m:t>γ</m:t>
            </m:r>
          </m:e>
          <m:sub>
            <m:r>
              <w:rPr>
                <w:rFonts w:ascii="Cambria Math" w:eastAsiaTheme="minorEastAsia" w:hAnsi="Cambria Math"/>
              </w:rPr>
              <m:t>qn</m:t>
            </m:r>
          </m:sub>
        </m:sSub>
        <m:r>
          <w:rPr>
            <w:rFonts w:ascii="Cambria Math" w:eastAsiaTheme="minorEastAsia" w:hAnsi="Cambria Math"/>
          </w:rPr>
          <m:t xml:space="preserve"> ~N(0, </m:t>
        </m:r>
        <m:sSubSup>
          <m:sSubSupPr>
            <m:ctrlPr>
              <w:rPr>
                <w:rFonts w:ascii="Cambria Math" w:eastAsiaTheme="minorEastAsia" w:hAnsi="Cambria Math" w:cs="Vrinda"/>
                <w:i/>
              </w:rPr>
            </m:ctrlPr>
          </m:sSubSupPr>
          <m:e>
            <m:r>
              <w:rPr>
                <w:rFonts w:ascii="Cambria Math" w:eastAsiaTheme="minorEastAsia" w:hAnsi="Cambria Math"/>
              </w:rPr>
              <m:t>κ</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oMath>
      <w:r w:rsidRPr="00B57A42">
        <w:rPr>
          <w:rFonts w:eastAsiaTheme="minorEastAsia"/>
        </w:rPr>
        <w:t xml:space="preserve"> </w:t>
      </w:r>
      <m:oMath>
        <m:sSub>
          <m:sSubPr>
            <m:ctrlPr>
              <w:rPr>
                <w:rFonts w:ascii="Cambria Math" w:eastAsiaTheme="minorEastAsia" w:hAnsi="Cambria Math" w:cs="Vrinda"/>
                <w:i/>
              </w:rPr>
            </m:ctrlPr>
          </m:sSubPr>
          <m:e>
            <m:r>
              <w:rPr>
                <w:rFonts w:ascii="Cambria Math" w:eastAsiaTheme="minorEastAsia" w:hAnsi="Cambria Math"/>
              </w:rPr>
              <m:t>δ</m:t>
            </m:r>
          </m:e>
          <m:sub>
            <m:r>
              <w:rPr>
                <w:rFonts w:ascii="Cambria Math" w:eastAsiaTheme="minorEastAsia" w:hAnsi="Cambria Math"/>
              </w:rPr>
              <m:t>qn</m:t>
            </m:r>
          </m:sub>
        </m:sSub>
        <m:r>
          <w:rPr>
            <w:rFonts w:ascii="Cambria Math" w:eastAsiaTheme="minorEastAsia" w:hAnsi="Cambria Math"/>
          </w:rPr>
          <m:t xml:space="preserve">~N(0, </m:t>
        </m:r>
        <m:sSubSup>
          <m:sSubSupPr>
            <m:ctrlPr>
              <w:rPr>
                <w:rFonts w:ascii="Cambria Math" w:eastAsiaTheme="minorEastAsia" w:hAnsi="Cambria Math" w:cs="Vrinda"/>
                <w:i/>
              </w:rPr>
            </m:ctrlPr>
          </m:sSubSupPr>
          <m:e>
            <m:r>
              <w:rPr>
                <w:rFonts w:ascii="Cambria Math" w:eastAsiaTheme="minorEastAsia" w:hAnsi="Cambria Math"/>
              </w:rPr>
              <m:t>ν</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cs="Vrinda"/>
                <w:i/>
              </w:rPr>
            </m:ctrlPr>
          </m:sSubPr>
          <m:e>
            <m:r>
              <w:rPr>
                <w:rFonts w:ascii="Cambria Math" w:eastAsiaTheme="minorEastAsia" w:hAnsi="Cambria Math"/>
              </w:rPr>
              <m:t>σ</m:t>
            </m:r>
          </m:e>
          <m:sub>
            <m:r>
              <w:rPr>
                <w:rFonts w:ascii="Cambria Math" w:eastAsiaTheme="minorEastAsia" w:hAnsi="Cambria Math"/>
              </w:rPr>
              <m:t>qn</m:t>
            </m:r>
          </m:sub>
        </m:sSub>
        <m:r>
          <w:rPr>
            <w:rFonts w:ascii="Cambria Math" w:eastAsiaTheme="minorEastAsia" w:hAnsi="Cambria Math"/>
          </w:rPr>
          <m:t xml:space="preserve">~N(0, </m:t>
        </m:r>
        <m:sSubSup>
          <m:sSubSupPr>
            <m:ctrlPr>
              <w:rPr>
                <w:rFonts w:ascii="Cambria Math" w:eastAsiaTheme="minorEastAsia" w:hAnsi="Cambria Math" w:cs="Vrinda"/>
                <w:i/>
              </w:rPr>
            </m:ctrlPr>
          </m:sSubSupPr>
          <m:e>
            <m:r>
              <w:rPr>
                <w:rFonts w:ascii="Cambria Math" w:eastAsiaTheme="minorEastAsia" w:hAnsi="Cambria Math"/>
              </w:rPr>
              <m:t>ς</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oMath>
      <w:r>
        <w:rPr>
          <w:rFonts w:eastAsiaTheme="minorEastAsia"/>
        </w:rPr>
        <w:t xml:space="preserve"> </w:t>
      </w:r>
      <m:oMath>
        <m:sSub>
          <m:sSubPr>
            <m:ctrlPr>
              <w:rPr>
                <w:rFonts w:ascii="Cambria Math" w:eastAsiaTheme="minorEastAsia" w:hAnsi="Cambria Math" w:cs="Vrinda"/>
                <w:i/>
              </w:rPr>
            </m:ctrlPr>
          </m:sSubPr>
          <m:e>
            <m:r>
              <w:rPr>
                <w:rFonts w:ascii="Cambria Math" w:eastAsia="Times New Roman" w:hAnsi="Cambria Math"/>
              </w:rPr>
              <m:t>μ</m:t>
            </m:r>
          </m:e>
          <m:sub>
            <m:r>
              <w:rPr>
                <w:rFonts w:ascii="Cambria Math" w:eastAsiaTheme="minorEastAsia" w:hAnsi="Cambria Math"/>
              </w:rPr>
              <m:t>qn</m:t>
            </m:r>
          </m:sub>
        </m:sSub>
        <m:r>
          <w:rPr>
            <w:rFonts w:ascii="Cambria Math" w:eastAsiaTheme="minorEastAsia" w:hAnsi="Cambria Math"/>
          </w:rPr>
          <m:t xml:space="preserve">~N(0, </m:t>
        </m:r>
        <m:sSubSup>
          <m:sSubSupPr>
            <m:ctrlPr>
              <w:rPr>
                <w:rFonts w:ascii="Cambria Math" w:eastAsiaTheme="minorEastAsia" w:hAnsi="Cambria Math" w:cs="Vrinda"/>
                <w:i/>
              </w:rPr>
            </m:ctrlPr>
          </m:sSubSupPr>
          <m:e>
            <m:r>
              <w:rPr>
                <w:rFonts w:ascii="Cambria Math" w:eastAsiaTheme="minorEastAsia" w:hAnsi="Cambria Math"/>
              </w:rPr>
              <m:t>ο</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oMath>
      <w:r>
        <w:rPr>
          <w:rFonts w:eastAsiaTheme="minorEastAsia"/>
        </w:rPr>
        <w:t xml:space="preserve"> </w:t>
      </w:r>
      <w:r w:rsidRPr="00B57A42">
        <w:rPr>
          <w:rFonts w:eastAsiaTheme="minorEastAsia"/>
        </w:rPr>
        <w:t xml:space="preserve">and </w:t>
      </w:r>
      <m:oMath>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qn</m:t>
            </m:r>
          </m:sub>
        </m:sSub>
        <m:r>
          <w:rPr>
            <w:rFonts w:ascii="Cambria Math" w:eastAsia="Times New Roman" w:hAnsi="Cambria Math"/>
          </w:rPr>
          <m:t xml:space="preserve"> </m:t>
        </m:r>
        <m:r>
          <w:rPr>
            <w:rFonts w:ascii="Cambria Math" w:eastAsiaTheme="minorEastAsia" w:hAnsi="Cambria Math"/>
          </w:rPr>
          <m:t xml:space="preserve">~N(0, </m:t>
        </m:r>
        <m:sSubSup>
          <m:sSubSupPr>
            <m:ctrlPr>
              <w:rPr>
                <w:rFonts w:ascii="Cambria Math" w:eastAsiaTheme="minorEastAsia" w:hAnsi="Cambria Math" w:cs="Vrinda"/>
                <w:i/>
              </w:rPr>
            </m:ctrlPr>
          </m:sSubSupPr>
          <m:e>
            <m:r>
              <w:rPr>
                <w:rFonts w:ascii="Cambria Math" w:eastAsiaTheme="minorEastAsia" w:hAnsi="Cambria Math"/>
              </w:rPr>
              <m:t>ϱ</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m:t>
        </m:r>
      </m:oMath>
      <w:r w:rsidRPr="00B57A42">
        <w:rPr>
          <w:rFonts w:eastAsiaTheme="minorEastAsia"/>
        </w:rPr>
        <w:t>.</w:t>
      </w:r>
    </w:p>
    <w:p w14:paraId="28AB11A0" w14:textId="4C3650F1" w:rsidR="00A33B44" w:rsidRDefault="00A33B44" w:rsidP="00413B61">
      <w:pPr>
        <w:ind w:firstLine="720"/>
        <w:rPr>
          <w:rFonts w:eastAsia="Times New Roman"/>
        </w:rPr>
      </w:pPr>
      <w:r w:rsidRPr="00B57A42">
        <w:rPr>
          <w:rFonts w:eastAsia="Times New Roman"/>
        </w:rPr>
        <w:t>With these assumptions, the probability expressions for the ridership category may be derived. Conditional on</w:t>
      </w:r>
      <w:r>
        <w:rPr>
          <w:rFonts w:eastAsia="Times New Roman"/>
        </w:rPr>
        <w:t xml:space="preserve"> </w:t>
      </w:r>
      <m:oMath>
        <m:sSub>
          <m:sSubPr>
            <m:ctrlPr>
              <w:rPr>
                <w:rFonts w:ascii="Cambria Math" w:eastAsiaTheme="minorEastAsia" w:hAnsi="Cambria Math" w:cs="Vrinda"/>
                <w:i/>
              </w:rPr>
            </m:ctrlPr>
          </m:sSubPr>
          <m:e>
            <m:sSub>
              <m:sSubPr>
                <m:ctrlPr>
                  <w:rPr>
                    <w:rFonts w:ascii="Cambria Math" w:eastAsiaTheme="minorEastAsia" w:hAnsi="Cambria Math" w:cs="Vrinda"/>
                    <w:i/>
                  </w:rPr>
                </m:ctrlPr>
              </m:sSubPr>
              <m:e>
                <m:r>
                  <w:rPr>
                    <w:rFonts w:ascii="Cambria Math" w:eastAsiaTheme="minorEastAsia" w:hAnsi="Cambria Math"/>
                  </w:rPr>
                  <m:t>γ</m:t>
                </m:r>
              </m:e>
              <m:sub>
                <m:r>
                  <w:rPr>
                    <w:rFonts w:ascii="Cambria Math" w:eastAsiaTheme="minorEastAsia" w:hAnsi="Cambria Math"/>
                  </w:rPr>
                  <m:t>qn</m:t>
                </m:r>
              </m:sub>
            </m:sSub>
            <m:r>
              <w:rPr>
                <w:rFonts w:ascii="Cambria Math" w:eastAsiaTheme="minorEastAsia" w:hAnsi="Cambria Math"/>
              </w:rPr>
              <m:t>,δ</m:t>
            </m:r>
          </m:e>
          <m:sub>
            <m:r>
              <w:rPr>
                <w:rFonts w:ascii="Cambria Math" w:eastAsiaTheme="minorEastAsia" w:hAnsi="Cambria Math"/>
              </w:rPr>
              <m:t>qn</m:t>
            </m:r>
          </m:sub>
        </m:sSub>
      </m:oMath>
      <w:r>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qn</m:t>
            </m:r>
          </m:sub>
        </m:sSub>
      </m:oMath>
      <w:r>
        <w:rPr>
          <w:rFonts w:eastAsia="Times New Roman"/>
        </w:rPr>
        <w:t xml:space="preserve">, </w:t>
      </w:r>
      <m:oMath>
        <m:sSub>
          <m:sSubPr>
            <m:ctrlPr>
              <w:rPr>
                <w:rFonts w:ascii="Cambria Math" w:eastAsiaTheme="minorEastAsia" w:hAnsi="Cambria Math" w:cs="Vrinda"/>
                <w:i/>
              </w:rPr>
            </m:ctrlPr>
          </m:sSubPr>
          <m:e>
            <m:r>
              <w:rPr>
                <w:rFonts w:ascii="Cambria Math" w:eastAsia="Times New Roman" w:hAnsi="Cambria Math"/>
              </w:rPr>
              <m:t>μ</m:t>
            </m:r>
          </m:e>
          <m:sub>
            <m:r>
              <w:rPr>
                <w:rFonts w:ascii="Cambria Math" w:eastAsiaTheme="minorEastAsia" w:hAnsi="Cambria Math"/>
              </w:rPr>
              <m:t>qn</m:t>
            </m:r>
          </m:sub>
        </m:sSub>
      </m:oMath>
      <w:r w:rsidRPr="00B57A42">
        <w:rPr>
          <w:rFonts w:eastAsiaTheme="minorEastAsia"/>
        </w:rPr>
        <w:t xml:space="preserve"> and </w:t>
      </w:r>
      <m:oMath>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qn</m:t>
            </m:r>
          </m:sub>
        </m:sSub>
      </m:oMath>
      <w:r w:rsidR="00E74843">
        <w:rPr>
          <w:rFonts w:eastAsiaTheme="minorEastAsia"/>
        </w:rPr>
        <w:t>,</w:t>
      </w:r>
      <w:r w:rsidRPr="00B57A42">
        <w:rPr>
          <w:rFonts w:eastAsia="Times New Roman"/>
        </w:rPr>
        <w:t xml:space="preserve"> the probability for stop </w:t>
      </w:r>
      <w:r w:rsidRPr="00B57A42">
        <w:rPr>
          <w:rFonts w:eastAsia="Times New Roman"/>
          <w:i/>
        </w:rPr>
        <w:t>q</w:t>
      </w:r>
      <w:r w:rsidRPr="00B57A42">
        <w:rPr>
          <w:rFonts w:eastAsia="Times New Roman"/>
        </w:rPr>
        <w:t xml:space="preserve"> to have </w:t>
      </w:r>
      <w:r>
        <w:rPr>
          <w:rFonts w:eastAsia="Times New Roman"/>
        </w:rPr>
        <w:t xml:space="preserve">headway, </w:t>
      </w:r>
      <w:r w:rsidRPr="00B57A42">
        <w:rPr>
          <w:rFonts w:eastAsia="Times New Roman"/>
        </w:rPr>
        <w:t xml:space="preserve"> boarding</w:t>
      </w:r>
      <w:r>
        <w:rPr>
          <w:rFonts w:eastAsia="Times New Roman"/>
        </w:rPr>
        <w:t>,</w:t>
      </w:r>
      <w:r w:rsidRPr="00B57A42">
        <w:rPr>
          <w:rFonts w:eastAsia="Times New Roman"/>
        </w:rPr>
        <w:t xml:space="preserve"> </w:t>
      </w:r>
      <w:r>
        <w:rPr>
          <w:rFonts w:eastAsia="Times New Roman"/>
        </w:rPr>
        <w:t xml:space="preserve">and </w:t>
      </w:r>
      <w:r w:rsidRPr="00B57A42">
        <w:rPr>
          <w:rFonts w:eastAsia="Times New Roman"/>
        </w:rPr>
        <w:t>alighting</w:t>
      </w:r>
      <w:r>
        <w:rPr>
          <w:rFonts w:eastAsia="Times New Roman"/>
        </w:rPr>
        <w:t xml:space="preserve"> </w:t>
      </w:r>
      <w:r w:rsidRPr="00B57A42">
        <w:rPr>
          <w:rFonts w:eastAsia="Times New Roman"/>
        </w:rPr>
        <w:t xml:space="preserve">in the </w:t>
      </w:r>
      <w:r w:rsidRPr="00B57A42">
        <w:rPr>
          <w:rFonts w:eastAsia="Times New Roman"/>
          <w:i/>
        </w:rPr>
        <w:t>t</w:t>
      </w:r>
      <w:r w:rsidRPr="00B57A42">
        <w:rPr>
          <w:rFonts w:eastAsia="Times New Roman"/>
          <w:i/>
          <w:vertAlign w:val="superscript"/>
        </w:rPr>
        <w:t>th</w:t>
      </w:r>
      <w:r w:rsidRPr="00B57A42">
        <w:rPr>
          <w:rFonts w:eastAsia="Times New Roman"/>
        </w:rPr>
        <w:t xml:space="preserve"> time period is </w:t>
      </w:r>
      <w:r>
        <w:rPr>
          <w:rFonts w:eastAsia="Times New Roman"/>
        </w:rPr>
        <w:t xml:space="preserve">respectively </w:t>
      </w:r>
      <w:r w:rsidRPr="00B57A42">
        <w:rPr>
          <w:rFonts w:eastAsia="Times New Roman"/>
        </w:rPr>
        <w:t>given by:</w:t>
      </w:r>
    </w:p>
    <w:p w14:paraId="45CFF38D" w14:textId="77777777" w:rsidR="00A33B44" w:rsidRDefault="00A33B44" w:rsidP="00413B61">
      <w:pPr>
        <w:rPr>
          <w:rFonts w:eastAsia="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310"/>
      </w:tblGrid>
      <w:tr w:rsidR="00A33B44" w14:paraId="45372421" w14:textId="77777777" w:rsidTr="00413B61">
        <w:trPr>
          <w:trHeight w:val="20"/>
        </w:trPr>
        <w:tc>
          <w:tcPr>
            <w:tcW w:w="4300" w:type="pct"/>
            <w:vAlign w:val="center"/>
          </w:tcPr>
          <w:p w14:paraId="55BF4C8D" w14:textId="77777777" w:rsidR="00A33B44" w:rsidRPr="00C36FB6" w:rsidRDefault="00A33B44" w:rsidP="00413B61">
            <w:pPr>
              <w:rPr>
                <w:rFonts w:eastAsia="Calibri"/>
                <w:sz w:val="20"/>
              </w:rPr>
            </w:pPr>
            <m:oMathPara>
              <m:oMathParaPr>
                <m:jc m:val="left"/>
              </m:oMathParaPr>
              <m:oMath>
                <m:r>
                  <w:rPr>
                    <w:rFonts w:ascii="Cambria Math" w:eastAsia="Times New Roman" w:hAnsi="Cambria Math"/>
                    <w:sz w:val="20"/>
                  </w:rPr>
                  <m:t>P</m:t>
                </m:r>
                <m:d>
                  <m:dPr>
                    <m:ctrlPr>
                      <w:rPr>
                        <w:rFonts w:ascii="Cambria Math" w:eastAsia="Times New Roman" w:hAnsi="Cambria Math" w:cs="Vrinda"/>
                        <w:i/>
                        <w:sz w:val="20"/>
                      </w:rPr>
                    </m:ctrlPr>
                  </m:dPr>
                  <m:e>
                    <m:sSub>
                      <m:sSubPr>
                        <m:ctrlPr>
                          <w:rPr>
                            <w:rFonts w:ascii="Cambria Math" w:eastAsiaTheme="minorEastAsia" w:hAnsi="Cambria Math" w:cs="Vrinda"/>
                            <w:i/>
                          </w:rPr>
                        </m:ctrlPr>
                      </m:sSubPr>
                      <m:e>
                        <m:r>
                          <w:rPr>
                            <w:rFonts w:ascii="Cambria Math" w:eastAsiaTheme="minorEastAsia" w:hAnsi="Cambria Math"/>
                          </w:rPr>
                          <m:t>H</m:t>
                        </m:r>
                      </m:e>
                      <m:sub>
                        <m:r>
                          <w:rPr>
                            <w:rFonts w:ascii="Cambria Math" w:eastAsiaTheme="minorEastAsia" w:hAnsi="Cambria Math"/>
                          </w:rPr>
                          <m:t>mt</m:t>
                        </m:r>
                      </m:sub>
                    </m:sSub>
                  </m:e>
                </m:d>
                <m:r>
                  <w:rPr>
                    <w:rFonts w:ascii="Cambria Math" w:eastAsia="Times New Roman" w:hAnsi="Cambria Math"/>
                    <w:sz w:val="20"/>
                  </w:rPr>
                  <m:t>|σ,η</m:t>
                </m:r>
                <m:r>
                  <w:rPr>
                    <w:rFonts w:ascii="Cambria Math" w:eastAsiaTheme="minorEastAsia" w:hAnsi="Cambria Math"/>
                    <w:sz w:val="20"/>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sz w:val="20"/>
                      </w:rPr>
                    </m:ctrlPr>
                  </m:dPr>
                  <m:e>
                    <m:sSub>
                      <m:sSubPr>
                        <m:ctrlPr>
                          <w:rPr>
                            <w:rFonts w:ascii="Cambria Math" w:eastAsiaTheme="minorEastAsia" w:hAnsi="Cambria Math" w:cs="Vrinda"/>
                            <w:i/>
                            <w:sz w:val="20"/>
                          </w:rPr>
                        </m:ctrlPr>
                      </m:sSubPr>
                      <m:e>
                        <m:r>
                          <w:rPr>
                            <w:rFonts w:ascii="Cambria Math" w:eastAsiaTheme="minorEastAsia" w:hAnsi="Cambria Math"/>
                          </w:rPr>
                          <m:t>ϖ</m:t>
                        </m:r>
                      </m:e>
                      <m:sub>
                        <m:r>
                          <w:rPr>
                            <w:rFonts w:ascii="Cambria Math" w:eastAsiaTheme="minorEastAsia" w:hAnsi="Cambria Math"/>
                            <w:sz w:val="20"/>
                          </w:rPr>
                          <m:t>m</m:t>
                        </m:r>
                      </m:sub>
                    </m:sSub>
                    <m:r>
                      <w:rPr>
                        <w:rFonts w:ascii="Cambria Math" w:eastAsiaTheme="minorEastAsia" w:hAnsi="Cambria Math"/>
                        <w:sz w:val="20"/>
                      </w:rPr>
                      <m:t>-</m:t>
                    </m:r>
                    <m:d>
                      <m:dPr>
                        <m:ctrlPr>
                          <w:rPr>
                            <w:rFonts w:ascii="Cambria Math" w:eastAsiaTheme="minorEastAsia" w:hAnsi="Cambria Math" w:cs="Vrinda"/>
                            <w:i/>
                            <w:sz w:val="20"/>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cs="Vrinda"/>
                                  </w:rPr>
                                  <m:t>ν</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σ</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e>
                </m:d>
                <m:r>
                  <w:rPr>
                    <w:rFonts w:ascii="Cambria Math" w:eastAsiaTheme="minorEastAsia" w:hAnsi="Cambria Math"/>
                    <w:sz w:val="20"/>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sz w:val="20"/>
                      </w:rPr>
                    </m:ctrlPr>
                  </m:dPr>
                  <m:e>
                    <m:sSub>
                      <m:sSubPr>
                        <m:ctrlPr>
                          <w:rPr>
                            <w:rFonts w:ascii="Cambria Math" w:eastAsiaTheme="minorEastAsia" w:hAnsi="Cambria Math" w:cs="Vrinda"/>
                            <w:i/>
                            <w:sz w:val="20"/>
                          </w:rPr>
                        </m:ctrlPr>
                      </m:sSubPr>
                      <m:e>
                        <m:r>
                          <w:rPr>
                            <w:rFonts w:ascii="Cambria Math" w:eastAsiaTheme="minorEastAsia" w:hAnsi="Cambria Math"/>
                          </w:rPr>
                          <m:t>ϖ</m:t>
                        </m:r>
                      </m:e>
                      <m:sub>
                        <m:r>
                          <w:rPr>
                            <w:rFonts w:ascii="Cambria Math" w:eastAsiaTheme="minorEastAsia" w:hAnsi="Cambria Math"/>
                            <w:sz w:val="20"/>
                          </w:rPr>
                          <m:t>m-1</m:t>
                        </m:r>
                      </m:sub>
                    </m:sSub>
                    <m:r>
                      <w:rPr>
                        <w:rFonts w:ascii="Cambria Math" w:eastAsiaTheme="minorEastAsia" w:hAnsi="Cambria Math"/>
                        <w:sz w:val="20"/>
                      </w:rPr>
                      <m:t>-</m:t>
                    </m:r>
                    <m:d>
                      <m:dPr>
                        <m:ctrlPr>
                          <w:rPr>
                            <w:rFonts w:ascii="Cambria Math" w:eastAsiaTheme="minorEastAsia" w:hAnsi="Cambria Math" w:cs="Vrinda"/>
                            <w:i/>
                            <w:sz w:val="20"/>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cs="Vrinda"/>
                                  </w:rPr>
                                  <m:t>ν</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σ</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e>
                </m:d>
              </m:oMath>
            </m:oMathPara>
          </w:p>
        </w:tc>
        <w:tc>
          <w:tcPr>
            <w:tcW w:w="700" w:type="pct"/>
            <w:vAlign w:val="center"/>
          </w:tcPr>
          <w:p w14:paraId="26E89F61" w14:textId="77777777" w:rsidR="00A33B44" w:rsidRDefault="00A33B44" w:rsidP="00413B61">
            <w:pPr>
              <w:contextualSpacing/>
              <w:jc w:val="center"/>
              <w:rPr>
                <w:rFonts w:eastAsia="Times New Roman"/>
              </w:rPr>
            </w:pPr>
            <w:r>
              <w:rPr>
                <w:rFonts w:eastAsia="Times New Roman"/>
              </w:rPr>
              <w:t>(4)</w:t>
            </w:r>
          </w:p>
        </w:tc>
      </w:tr>
    </w:tbl>
    <w:p w14:paraId="6F71E24C" w14:textId="77777777" w:rsidR="00A33B44" w:rsidRPr="00B57A42" w:rsidRDefault="00A33B44" w:rsidP="00413B61">
      <w:pPr>
        <w:rPr>
          <w:rFonts w:eastAsiaTheme="minorEastAs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0"/>
        <w:gridCol w:w="1310"/>
      </w:tblGrid>
      <w:tr w:rsidR="00A33B44" w:rsidRPr="00B57A42" w14:paraId="52D97160" w14:textId="77777777" w:rsidTr="00413B61">
        <w:trPr>
          <w:trHeight w:val="20"/>
        </w:trPr>
        <w:tc>
          <w:tcPr>
            <w:tcW w:w="4300" w:type="pct"/>
            <w:vAlign w:val="center"/>
          </w:tcPr>
          <w:p w14:paraId="7F03756B" w14:textId="77777777" w:rsidR="00A33B44" w:rsidRPr="00B57A42" w:rsidRDefault="00A33B44" w:rsidP="00413B61">
            <w:pPr>
              <w:rPr>
                <w:rFonts w:eastAsiaTheme="minorEastAsia"/>
              </w:rPr>
            </w:pPr>
            <m:oMath>
              <m:r>
                <w:rPr>
                  <w:rFonts w:ascii="Cambria Math" w:eastAsia="Times New Roman" w:hAnsi="Cambria Math"/>
                </w:rPr>
                <m:t>P</m:t>
              </m:r>
              <m:d>
                <m:dPr>
                  <m:ctrlPr>
                    <w:rPr>
                      <w:rFonts w:ascii="Cambria Math" w:eastAsia="Times New Roman" w:hAnsi="Cambria Math" w:cs="Vrinda"/>
                      <w:i/>
                    </w:rPr>
                  </m:ctrlPr>
                </m:dPr>
                <m:e>
                  <m:sSub>
                    <m:sSubPr>
                      <m:ctrlPr>
                        <w:rPr>
                          <w:rFonts w:ascii="Cambria Math" w:eastAsia="Times New Roman" w:hAnsi="Cambria Math" w:cs="Vrinda"/>
                          <w:i/>
                        </w:rPr>
                      </m:ctrlPr>
                    </m:sSubPr>
                    <m:e>
                      <m:r>
                        <w:rPr>
                          <w:rFonts w:ascii="Cambria Math" w:eastAsia="Times New Roman" w:hAnsi="Cambria Math"/>
                        </w:rPr>
                        <m:t>B</m:t>
                      </m:r>
                    </m:e>
                    <m:sub>
                      <m:r>
                        <w:rPr>
                          <w:rFonts w:ascii="Cambria Math" w:eastAsia="Times New Roman" w:hAnsi="Cambria Math"/>
                        </w:rPr>
                        <m:t>jt</m:t>
                      </m:r>
                    </m:sub>
                  </m:sSub>
                </m:e>
              </m:d>
              <m:r>
                <w:rPr>
                  <w:rFonts w:ascii="Cambria Math" w:eastAsia="Times New Roman" w:hAnsi="Cambria Math"/>
                </w:rPr>
                <m:t>|γ,η</m:t>
              </m:r>
              <m:r>
                <w:rPr>
                  <w:rFonts w:ascii="Cambria Math" w:eastAsiaTheme="minorEastAsia" w:hAnsi="Cambria Math"/>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rPr>
                  </m:ctrlPr>
                </m:dPr>
                <m:e>
                  <m:f>
                    <m:fPr>
                      <m:ctrlPr>
                        <w:rPr>
                          <w:rFonts w:ascii="Cambria Math" w:eastAsiaTheme="minorEastAsia" w:hAnsi="Cambria Math" w:cs="Vrinda"/>
                        </w:rPr>
                      </m:ctrlPr>
                    </m:fPr>
                    <m:num>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m:t>
                          </m:r>
                        </m:sub>
                      </m:sSub>
                      <m:r>
                        <w:rPr>
                          <w:rFonts w:ascii="Cambria Math" w:eastAsiaTheme="minorEastAsia" w:hAnsi="Cambria Math"/>
                        </w:rPr>
                        <m:t>-</m:t>
                      </m:r>
                      <m:d>
                        <m:dPr>
                          <m:ctrlPr>
                            <w:rPr>
                              <w:rFonts w:ascii="Cambria Math" w:eastAsiaTheme="minorEastAsia" w:hAnsi="Cambria Math" w:cs="Vrinda"/>
                              <w:i/>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α</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γ</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cs="Vrinda"/>
                                  <w:i/>
                                </w:rPr>
                              </m:ctrlPr>
                            </m:dPr>
                            <m:e>
                              <m:sSubSup>
                                <m:sSubSupPr>
                                  <m:ctrlPr>
                                    <w:rPr>
                                      <w:rFonts w:ascii="Cambria Math" w:eastAsia="Times New Roman" w:hAnsi="Cambria Math" w:cs="Vrinda"/>
                                      <w:i/>
                                    </w:rPr>
                                  </m:ctrlPr>
                                </m:sSubSupPr>
                                <m:e>
                                  <m:r>
                                    <w:rPr>
                                      <w:rFonts w:ascii="Cambria Math" w:eastAsia="Times New Roman" w:hAnsi="Cambria Math"/>
                                    </w:rPr>
                                    <m:t>ρ</m:t>
                                  </m:r>
                                </m:e>
                                <m:sub>
                                  <m:r>
                                    <w:rPr>
                                      <w:rFonts w:ascii="Cambria Math" w:eastAsia="Times New Roman" w:hAnsi="Cambria Math"/>
                                    </w:rPr>
                                    <m:t>j</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z</m:t>
                              </m:r>
                            </m:e>
                            <m:sub>
                              <m:r>
                                <w:rPr>
                                  <w:rFonts w:ascii="Cambria Math" w:eastAsia="Times New Roman" w:hAnsi="Cambria Math"/>
                                </w:rPr>
                                <m:t>qjt</m:t>
                              </m:r>
                            </m:sub>
                          </m:sSub>
                          <m:r>
                            <w:rPr>
                              <w:rFonts w:ascii="Cambria Math" w:eastAsia="Times New Roman" w:hAnsi="Cambria Math" w:cs="Vrinda"/>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m:t>
                              </m:r>
                              <m:sSup>
                                <m:sSupPr>
                                  <m:ctrlPr>
                                    <w:rPr>
                                      <w:rFonts w:ascii="Cambria Math" w:eastAsia="Times New Roman" w:hAnsi="Cambria Math" w:cs="Vrinda"/>
                                      <w:i/>
                                    </w:rPr>
                                  </m:ctrlPr>
                                </m:sSupPr>
                                <m:e>
                                  <m:r>
                                    <w:rPr>
                                      <w:rFonts w:ascii="Cambria Math" w:eastAsia="Times New Roman" w:hAnsi="Cambria Math"/>
                                    </w:rPr>
                                    <m:t>η</m:t>
                                  </m:r>
                                </m:e>
                                <m:sup>
                                  <m:r>
                                    <w:rPr>
                                      <w:rFonts w:ascii="Cambria Math" w:eastAsia="Times New Roman" w:hAnsi="Cambria Math"/>
                                    </w:rPr>
                                    <m:t>'</m:t>
                                  </m:r>
                                </m:sup>
                              </m:sSup>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num>
                    <m:den>
                      <m:sSub>
                        <m:sSubPr>
                          <m:ctrlPr>
                            <w:rPr>
                              <w:rFonts w:ascii="Cambria Math" w:eastAsiaTheme="minorEastAsia" w:hAnsi="Cambria Math" w:cs="Vrinda"/>
                              <w:i/>
                            </w:rPr>
                          </m:ctrlPr>
                        </m:sSubPr>
                        <m:e>
                          <m:r>
                            <w:rPr>
                              <w:rFonts w:ascii="Cambria Math" w:eastAsiaTheme="minorEastAsia" w:hAnsi="Cambria Math"/>
                            </w:rPr>
                            <m:t>λ</m:t>
                          </m:r>
                        </m:e>
                        <m:sub>
                          <m:r>
                            <w:rPr>
                              <w:rFonts w:ascii="Cambria Math" w:eastAsiaTheme="minorEastAsia" w:hAnsi="Cambria Math"/>
                            </w:rPr>
                            <m:t>B</m:t>
                          </m:r>
                        </m:sub>
                      </m:sSub>
                    </m:den>
                  </m:f>
                </m:e>
              </m:d>
              <m:r>
                <w:rPr>
                  <w:rFonts w:ascii="Cambria Math" w:eastAsiaTheme="minorEastAsia" w:hAnsi="Cambria Math"/>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rPr>
                  </m:ctrlPr>
                </m:dPr>
                <m:e>
                  <m:f>
                    <m:fPr>
                      <m:ctrlPr>
                        <w:rPr>
                          <w:rFonts w:ascii="Cambria Math" w:eastAsiaTheme="minorEastAsia" w:hAnsi="Cambria Math" w:cs="Vrinda"/>
                        </w:rPr>
                      </m:ctrlPr>
                    </m:fPr>
                    <m:num>
                      <m:sSub>
                        <m:sSubPr>
                          <m:ctrlPr>
                            <w:rPr>
                              <w:rFonts w:ascii="Cambria Math" w:eastAsiaTheme="minorEastAsia" w:hAnsi="Cambria Math" w:cs="Vrinda"/>
                              <w:i/>
                            </w:rPr>
                          </m:ctrlPr>
                        </m:sSubPr>
                        <m:e>
                          <m:r>
                            <w:rPr>
                              <w:rFonts w:ascii="Cambria Math" w:eastAsiaTheme="minorEastAsia" w:hAnsi="Cambria Math"/>
                            </w:rPr>
                            <m:t>ψ</m:t>
                          </m:r>
                        </m:e>
                        <m:sub>
                          <m:r>
                            <w:rPr>
                              <w:rFonts w:ascii="Cambria Math" w:eastAsiaTheme="minorEastAsia" w:hAnsi="Cambria Math"/>
                            </w:rPr>
                            <m:t>j-1</m:t>
                          </m:r>
                        </m:sub>
                      </m:sSub>
                      <m:r>
                        <w:rPr>
                          <w:rFonts w:ascii="Cambria Math" w:eastAsiaTheme="minorEastAsia" w:hAnsi="Cambria Math"/>
                        </w:rPr>
                        <m:t>-</m:t>
                      </m:r>
                      <m:d>
                        <m:dPr>
                          <m:ctrlPr>
                            <w:rPr>
                              <w:rFonts w:ascii="Cambria Math" w:eastAsiaTheme="minorEastAsia" w:hAnsi="Cambria Math" w:cs="Vrinda"/>
                              <w:i/>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α</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γ</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cs="Vrinda"/>
                                  <w:i/>
                                </w:rPr>
                              </m:ctrlPr>
                            </m:dPr>
                            <m:e>
                              <m:sSubSup>
                                <m:sSubSupPr>
                                  <m:ctrlPr>
                                    <w:rPr>
                                      <w:rFonts w:ascii="Cambria Math" w:eastAsia="Times New Roman" w:hAnsi="Cambria Math" w:cs="Vrinda"/>
                                      <w:i/>
                                    </w:rPr>
                                  </m:ctrlPr>
                                </m:sSubSupPr>
                                <m:e>
                                  <m:r>
                                    <w:rPr>
                                      <w:rFonts w:ascii="Cambria Math" w:eastAsia="Times New Roman" w:hAnsi="Cambria Math"/>
                                    </w:rPr>
                                    <m:t>ρ</m:t>
                                  </m:r>
                                </m:e>
                                <m:sub>
                                  <m:r>
                                    <w:rPr>
                                      <w:rFonts w:ascii="Cambria Math" w:eastAsia="Times New Roman" w:hAnsi="Cambria Math"/>
                                    </w:rPr>
                                    <m:t>j</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z</m:t>
                              </m:r>
                            </m:e>
                            <m:sub>
                              <m:r>
                                <w:rPr>
                                  <w:rFonts w:ascii="Cambria Math" w:eastAsia="Times New Roman" w:hAnsi="Cambria Math"/>
                                </w:rPr>
                                <m:t>qjt</m:t>
                              </m:r>
                            </m:sub>
                          </m:sSub>
                          <m:r>
                            <w:rPr>
                              <w:rFonts w:ascii="Cambria Math" w:eastAsia="Times New Roman" w:hAnsi="Cambria Math" w:cs="Vrinda"/>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m:t>
                              </m:r>
                              <m:sSup>
                                <m:sSupPr>
                                  <m:ctrlPr>
                                    <w:rPr>
                                      <w:rFonts w:ascii="Cambria Math" w:eastAsia="Times New Roman" w:hAnsi="Cambria Math" w:cs="Vrinda"/>
                                      <w:i/>
                                    </w:rPr>
                                  </m:ctrlPr>
                                </m:sSupPr>
                                <m:e>
                                  <m:r>
                                    <w:rPr>
                                      <w:rFonts w:ascii="Cambria Math" w:eastAsia="Times New Roman" w:hAnsi="Cambria Math"/>
                                    </w:rPr>
                                    <m:t>η</m:t>
                                  </m:r>
                                </m:e>
                                <m:sup>
                                  <m:r>
                                    <w:rPr>
                                      <w:rFonts w:ascii="Cambria Math" w:eastAsia="Times New Roman" w:hAnsi="Cambria Math"/>
                                    </w:rPr>
                                    <m:t>'</m:t>
                                  </m:r>
                                </m:sup>
                              </m:sSup>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num>
                    <m:den>
                      <m:sSub>
                        <m:sSubPr>
                          <m:ctrlPr>
                            <w:rPr>
                              <w:rFonts w:ascii="Cambria Math" w:eastAsiaTheme="minorEastAsia" w:hAnsi="Cambria Math" w:cs="Vrinda"/>
                              <w:i/>
                            </w:rPr>
                          </m:ctrlPr>
                        </m:sSubPr>
                        <m:e>
                          <m:r>
                            <w:rPr>
                              <w:rFonts w:ascii="Cambria Math" w:eastAsiaTheme="minorEastAsia" w:hAnsi="Cambria Math"/>
                            </w:rPr>
                            <m:t>λ</m:t>
                          </m:r>
                        </m:e>
                        <m:sub>
                          <m:r>
                            <w:rPr>
                              <w:rFonts w:ascii="Cambria Math" w:eastAsiaTheme="minorEastAsia" w:hAnsi="Cambria Math"/>
                            </w:rPr>
                            <m:t>B</m:t>
                          </m:r>
                        </m:sub>
                      </m:sSub>
                    </m:den>
                  </m:f>
                </m:e>
              </m:d>
            </m:oMath>
            <w:r w:rsidRPr="00B57A42">
              <w:rPr>
                <w:rFonts w:eastAsiaTheme="minorEastAsia"/>
                <w:sz w:val="32"/>
              </w:rPr>
              <w:t xml:space="preserve"> </w:t>
            </w:r>
          </w:p>
        </w:tc>
        <w:tc>
          <w:tcPr>
            <w:tcW w:w="700" w:type="pct"/>
            <w:vAlign w:val="center"/>
          </w:tcPr>
          <w:p w14:paraId="42BC74CB" w14:textId="77777777" w:rsidR="00A33B44" w:rsidRPr="00B57A42" w:rsidRDefault="00A33B44" w:rsidP="00413B61">
            <w:pPr>
              <w:contextualSpacing/>
              <w:jc w:val="center"/>
              <w:rPr>
                <w:rFonts w:eastAsia="Times New Roman"/>
              </w:rPr>
            </w:pPr>
            <w:r>
              <w:rPr>
                <w:rFonts w:eastAsia="Times New Roman"/>
              </w:rPr>
              <w:t>(5)</w:t>
            </w:r>
          </w:p>
        </w:tc>
      </w:tr>
      <w:tr w:rsidR="00A33B44" w:rsidRPr="00B57A42" w14:paraId="348C10B2" w14:textId="77777777" w:rsidTr="00413B61">
        <w:trPr>
          <w:trHeight w:val="20"/>
        </w:trPr>
        <w:tc>
          <w:tcPr>
            <w:tcW w:w="4300" w:type="pct"/>
            <w:vAlign w:val="center"/>
          </w:tcPr>
          <w:p w14:paraId="7ADF63B6" w14:textId="77777777" w:rsidR="00A33B44" w:rsidRDefault="00A33B44" w:rsidP="00413B61">
            <w:pPr>
              <w:rPr>
                <w:rFonts w:eastAsia="Times New Roman" w:cs="Vrinda"/>
              </w:rPr>
            </w:pPr>
          </w:p>
        </w:tc>
        <w:tc>
          <w:tcPr>
            <w:tcW w:w="700" w:type="pct"/>
            <w:vAlign w:val="center"/>
          </w:tcPr>
          <w:p w14:paraId="67013646" w14:textId="77777777" w:rsidR="00A33B44" w:rsidRDefault="00A33B44" w:rsidP="00413B61">
            <w:pPr>
              <w:contextualSpacing/>
              <w:jc w:val="center"/>
              <w:rPr>
                <w:rFonts w:eastAsia="Times New Roman"/>
              </w:rPr>
            </w:pPr>
          </w:p>
        </w:tc>
      </w:tr>
      <w:tr w:rsidR="00A33B44" w:rsidRPr="00B57A42" w14:paraId="4F80983C" w14:textId="77777777" w:rsidTr="00413B61">
        <w:trPr>
          <w:trHeight w:val="20"/>
        </w:trPr>
        <w:tc>
          <w:tcPr>
            <w:tcW w:w="4300" w:type="pct"/>
            <w:vAlign w:val="center"/>
          </w:tcPr>
          <w:p w14:paraId="7C693A67" w14:textId="77777777" w:rsidR="00A33B44" w:rsidRPr="00B57A42" w:rsidRDefault="00A33B44" w:rsidP="00413B61">
            <w:pPr>
              <w:rPr>
                <w:rFonts w:eastAsiaTheme="minorEastAsia"/>
              </w:rPr>
            </w:pPr>
            <m:oMathPara>
              <m:oMathParaPr>
                <m:jc m:val="left"/>
              </m:oMathParaPr>
              <m:oMath>
                <m:r>
                  <w:rPr>
                    <w:rFonts w:ascii="Cambria Math" w:eastAsia="Times New Roman" w:hAnsi="Cambria Math"/>
                    <w:sz w:val="20"/>
                  </w:rPr>
                  <m:t>P</m:t>
                </m:r>
                <m:d>
                  <m:dPr>
                    <m:ctrlPr>
                      <w:rPr>
                        <w:rFonts w:ascii="Cambria Math" w:eastAsia="Times New Roman" w:hAnsi="Cambria Math" w:cs="Vrinda"/>
                        <w:i/>
                        <w:sz w:val="20"/>
                      </w:rPr>
                    </m:ctrlPr>
                  </m:dPr>
                  <m:e>
                    <m:sSub>
                      <m:sSubPr>
                        <m:ctrlPr>
                          <w:rPr>
                            <w:rFonts w:ascii="Cambria Math" w:eastAsia="Times New Roman" w:hAnsi="Cambria Math" w:cs="Vrinda"/>
                            <w:i/>
                            <w:sz w:val="20"/>
                          </w:rPr>
                        </m:ctrlPr>
                      </m:sSubPr>
                      <m:e>
                        <m:r>
                          <w:rPr>
                            <w:rFonts w:ascii="Cambria Math" w:eastAsia="Times New Roman" w:hAnsi="Cambria Math"/>
                            <w:sz w:val="20"/>
                          </w:rPr>
                          <m:t>A</m:t>
                        </m:r>
                      </m:e>
                      <m:sub>
                        <m:r>
                          <w:rPr>
                            <w:rFonts w:ascii="Cambria Math" w:eastAsia="Times New Roman" w:hAnsi="Cambria Math"/>
                            <w:sz w:val="20"/>
                          </w:rPr>
                          <m:t>jt</m:t>
                        </m:r>
                      </m:sub>
                    </m:sSub>
                  </m:e>
                </m:d>
                <m:r>
                  <w:rPr>
                    <w:rFonts w:ascii="Cambria Math" w:eastAsia="Times New Roman" w:hAnsi="Cambria Math"/>
                    <w:sz w:val="20"/>
                  </w:rPr>
                  <m:t>|δ,η</m:t>
                </m:r>
                <m:r>
                  <w:rPr>
                    <w:rFonts w:ascii="Cambria Math" w:eastAsiaTheme="minorEastAsia" w:hAnsi="Cambria Math"/>
                    <w:sz w:val="20"/>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sz w:val="20"/>
                      </w:rPr>
                    </m:ctrlPr>
                  </m:dPr>
                  <m:e>
                    <m:f>
                      <m:fPr>
                        <m:ctrlPr>
                          <w:rPr>
                            <w:rFonts w:ascii="Cambria Math" w:eastAsiaTheme="minorEastAsia" w:hAnsi="Cambria Math" w:cs="Vrinda"/>
                            <w:sz w:val="20"/>
                          </w:rPr>
                        </m:ctrlPr>
                      </m:fPr>
                      <m:num>
                        <m:sSub>
                          <m:sSubPr>
                            <m:ctrlPr>
                              <w:rPr>
                                <w:rFonts w:ascii="Cambria Math" w:eastAsiaTheme="minorEastAsia" w:hAnsi="Cambria Math" w:cs="Vrinda"/>
                                <w:i/>
                                <w:sz w:val="20"/>
                              </w:rPr>
                            </m:ctrlPr>
                          </m:sSubPr>
                          <m:e>
                            <m:r>
                              <w:rPr>
                                <w:rFonts w:ascii="Cambria Math" w:eastAsiaTheme="minorEastAsia" w:hAnsi="Cambria Math"/>
                                <w:sz w:val="20"/>
                              </w:rPr>
                              <m:t>ψ</m:t>
                            </m:r>
                          </m:e>
                          <m:sub>
                            <m:r>
                              <w:rPr>
                                <w:rFonts w:ascii="Cambria Math" w:eastAsiaTheme="minorEastAsia" w:hAnsi="Cambria Math"/>
                                <w:sz w:val="20"/>
                              </w:rPr>
                              <m:t>j</m:t>
                            </m:r>
                          </m:sub>
                        </m:sSub>
                        <m:r>
                          <w:rPr>
                            <w:rFonts w:ascii="Cambria Math" w:eastAsiaTheme="minorEastAsia" w:hAnsi="Cambria Math"/>
                            <w:sz w:val="20"/>
                          </w:rPr>
                          <m:t>-</m:t>
                        </m:r>
                        <m:d>
                          <m:dPr>
                            <m:ctrlPr>
                              <w:rPr>
                                <w:rFonts w:ascii="Cambria Math" w:eastAsiaTheme="minorEastAsia" w:hAnsi="Cambria Math" w:cs="Vrinda"/>
                                <w:i/>
                                <w:sz w:val="20"/>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β</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δ</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cs="Vrinda"/>
                                    <w:i/>
                                  </w:rPr>
                                </m:ctrlPr>
                              </m:dPr>
                              <m:e>
                                <m:sSubSup>
                                  <m:sSubSupPr>
                                    <m:ctrlPr>
                                      <w:rPr>
                                        <w:rFonts w:ascii="Cambria Math" w:eastAsia="Times New Roman" w:hAnsi="Cambria Math" w:cs="Vrinda"/>
                                        <w:i/>
                                      </w:rPr>
                                    </m:ctrlPr>
                                  </m:sSubSupPr>
                                  <m:e>
                                    <m:r>
                                      <w:rPr>
                                        <w:rFonts w:ascii="Cambria Math" w:eastAsia="Times New Roman" w:hAnsi="Cambria Math"/>
                                      </w:rPr>
                                      <m:t>τ</m:t>
                                    </m:r>
                                  </m:e>
                                  <m:sub>
                                    <m:r>
                                      <w:rPr>
                                        <w:rFonts w:ascii="Cambria Math" w:eastAsia="Times New Roman" w:hAnsi="Cambria Math"/>
                                      </w:rPr>
                                      <m:t>j</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z</m:t>
                                </m:r>
                              </m:e>
                              <m:sub>
                                <m:r>
                                  <w:rPr>
                                    <w:rFonts w:ascii="Cambria Math" w:eastAsia="Times New Roman" w:hAnsi="Cambria Math"/>
                                  </w:rPr>
                                  <m:t>qjt</m:t>
                                </m:r>
                              </m:sub>
                            </m:sSub>
                            <m:r>
                              <w:rPr>
                                <w:rFonts w:ascii="Cambria Math" w:eastAsia="Times New Roman" w:hAnsi="Cambria Math" w:cs="Vrinda"/>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num>
                      <m:den>
                        <m:sSub>
                          <m:sSubPr>
                            <m:ctrlPr>
                              <w:rPr>
                                <w:rFonts w:ascii="Cambria Math" w:eastAsiaTheme="minorEastAsia" w:hAnsi="Cambria Math" w:cs="Vrinda"/>
                                <w:i/>
                                <w:sz w:val="20"/>
                              </w:rPr>
                            </m:ctrlPr>
                          </m:sSubPr>
                          <m:e>
                            <m:r>
                              <w:rPr>
                                <w:rFonts w:ascii="Cambria Math" w:eastAsiaTheme="minorEastAsia" w:hAnsi="Cambria Math"/>
                                <w:sz w:val="20"/>
                              </w:rPr>
                              <m:t>λ</m:t>
                            </m:r>
                          </m:e>
                          <m:sub>
                            <m:r>
                              <w:rPr>
                                <w:rFonts w:ascii="Cambria Math" w:eastAsiaTheme="minorEastAsia" w:hAnsi="Cambria Math"/>
                                <w:sz w:val="20"/>
                              </w:rPr>
                              <m:t>B</m:t>
                            </m:r>
                          </m:sub>
                        </m:sSub>
                      </m:den>
                    </m:f>
                  </m:e>
                </m:d>
                <m:r>
                  <w:rPr>
                    <w:rFonts w:ascii="Cambria Math" w:eastAsiaTheme="minorEastAsia" w:hAnsi="Cambria Math"/>
                    <w:sz w:val="20"/>
                  </w:rPr>
                  <m:t xml:space="preserve">- </m:t>
                </m:r>
                <m:r>
                  <m:rPr>
                    <m:sty m:val="p"/>
                  </m:rPr>
                  <w:rPr>
                    <w:rFonts w:ascii="Cambria Math" w:eastAsiaTheme="minorEastAsia" w:hAnsi="Cambria Math"/>
                    <w:sz w:val="20"/>
                  </w:rPr>
                  <m:t>Λ</m:t>
                </m:r>
                <m:d>
                  <m:dPr>
                    <m:begChr m:val="["/>
                    <m:endChr m:val="]"/>
                    <m:ctrlPr>
                      <w:rPr>
                        <w:rFonts w:ascii="Cambria Math" w:eastAsiaTheme="minorEastAsia" w:hAnsi="Cambria Math" w:cs="Vrinda"/>
                        <w:sz w:val="20"/>
                      </w:rPr>
                    </m:ctrlPr>
                  </m:dPr>
                  <m:e>
                    <m:f>
                      <m:fPr>
                        <m:ctrlPr>
                          <w:rPr>
                            <w:rFonts w:ascii="Cambria Math" w:eastAsiaTheme="minorEastAsia" w:hAnsi="Cambria Math" w:cs="Vrinda"/>
                            <w:sz w:val="20"/>
                          </w:rPr>
                        </m:ctrlPr>
                      </m:fPr>
                      <m:num>
                        <m:sSub>
                          <m:sSubPr>
                            <m:ctrlPr>
                              <w:rPr>
                                <w:rFonts w:ascii="Cambria Math" w:eastAsiaTheme="minorEastAsia" w:hAnsi="Cambria Math" w:cs="Vrinda"/>
                                <w:i/>
                                <w:sz w:val="20"/>
                              </w:rPr>
                            </m:ctrlPr>
                          </m:sSubPr>
                          <m:e>
                            <m:r>
                              <w:rPr>
                                <w:rFonts w:ascii="Cambria Math" w:eastAsiaTheme="minorEastAsia" w:hAnsi="Cambria Math"/>
                                <w:sz w:val="20"/>
                              </w:rPr>
                              <m:t>ψ</m:t>
                            </m:r>
                          </m:e>
                          <m:sub>
                            <m:r>
                              <w:rPr>
                                <w:rFonts w:ascii="Cambria Math" w:eastAsiaTheme="minorEastAsia" w:hAnsi="Cambria Math"/>
                                <w:sz w:val="20"/>
                              </w:rPr>
                              <m:t>j-1</m:t>
                            </m:r>
                          </m:sub>
                        </m:sSub>
                        <m:r>
                          <w:rPr>
                            <w:rFonts w:ascii="Cambria Math" w:eastAsiaTheme="minorEastAsia" w:hAnsi="Cambria Math"/>
                            <w:sz w:val="20"/>
                          </w:rPr>
                          <m:t>-</m:t>
                        </m:r>
                        <m:d>
                          <m:dPr>
                            <m:ctrlPr>
                              <w:rPr>
                                <w:rFonts w:ascii="Cambria Math" w:eastAsiaTheme="minorEastAsia" w:hAnsi="Cambria Math" w:cs="Vrinda"/>
                                <w:i/>
                                <w:sz w:val="20"/>
                              </w:rPr>
                            </m:ctrlPr>
                          </m:dPr>
                          <m:e>
                            <m:d>
                              <m:dPr>
                                <m:ctrlPr>
                                  <w:rPr>
                                    <w:rFonts w:ascii="Cambria Math" w:eastAsia="Times New Roman" w:hAnsi="Cambria Math" w:cs="Vrinda"/>
                                    <w:i/>
                                  </w:rPr>
                                </m:ctrlPr>
                              </m:dPr>
                              <m:e>
                                <m:sSup>
                                  <m:sSupPr>
                                    <m:ctrlPr>
                                      <w:rPr>
                                        <w:rFonts w:ascii="Cambria Math" w:eastAsia="Times New Roman" w:hAnsi="Cambria Math" w:cs="Vrinda"/>
                                        <w:i/>
                                      </w:rPr>
                                    </m:ctrlPr>
                                  </m:sSupPr>
                                  <m:e>
                                    <m:r>
                                      <w:rPr>
                                        <w:rFonts w:ascii="Cambria Math" w:eastAsia="Times New Roman" w:hAnsi="Cambria Math"/>
                                      </w:rPr>
                                      <m:t>β</m:t>
                                    </m:r>
                                  </m:e>
                                  <m:sup>
                                    <m:r>
                                      <w:rPr>
                                        <w:rFonts w:ascii="Cambria Math" w:eastAsia="Times New Roman" w:hAnsi="Cambria Math"/>
                                      </w:rPr>
                                      <m:t>'</m:t>
                                    </m:r>
                                  </m:sup>
                                </m:sSup>
                                <m:r>
                                  <w:rPr>
                                    <w:rFonts w:ascii="Cambria Math" w:eastAsia="Times New Roman" w:hAnsi="Cambria Math"/>
                                  </w:rPr>
                                  <m:t>+</m:t>
                                </m:r>
                                <m:sSubSup>
                                  <m:sSubSupPr>
                                    <m:ctrlPr>
                                      <w:rPr>
                                        <w:rFonts w:ascii="Cambria Math" w:eastAsia="Times New Roman" w:hAnsi="Cambria Math" w:cs="Vrinda"/>
                                        <w:i/>
                                      </w:rPr>
                                    </m:ctrlPr>
                                  </m:sSubSupPr>
                                  <m:e>
                                    <m:r>
                                      <w:rPr>
                                        <w:rFonts w:ascii="Cambria Math" w:eastAsia="Times New Roman" w:hAnsi="Cambria Math"/>
                                      </w:rPr>
                                      <m:t>δ</m:t>
                                    </m:r>
                                  </m:e>
                                  <m:sub>
                                    <m:r>
                                      <w:rPr>
                                        <w:rFonts w:ascii="Cambria Math" w:eastAsia="Times New Roman" w:hAnsi="Cambria Math"/>
                                      </w:rPr>
                                      <m:t>q</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x''</m:t>
                                </m:r>
                              </m:e>
                              <m:sub>
                                <m:r>
                                  <w:rPr>
                                    <w:rFonts w:ascii="Cambria Math" w:eastAsia="Times New Roman" w:hAnsi="Cambria Math"/>
                                  </w:rPr>
                                  <m:t>qt</m:t>
                                </m:r>
                              </m:sub>
                            </m:sSub>
                            <m:r>
                              <w:rPr>
                                <w:rFonts w:ascii="Cambria Math" w:eastAsia="Times New Roman" w:hAnsi="Cambria Math"/>
                              </w:rPr>
                              <m:t>+</m:t>
                            </m:r>
                            <m:d>
                              <m:dPr>
                                <m:ctrlPr>
                                  <w:rPr>
                                    <w:rFonts w:ascii="Cambria Math" w:eastAsia="Times New Roman" w:hAnsi="Cambria Math" w:cs="Vrinda"/>
                                    <w:i/>
                                  </w:rPr>
                                </m:ctrlPr>
                              </m:dPr>
                              <m:e>
                                <m:sSubSup>
                                  <m:sSubSupPr>
                                    <m:ctrlPr>
                                      <w:rPr>
                                        <w:rFonts w:ascii="Cambria Math" w:eastAsia="Times New Roman" w:hAnsi="Cambria Math" w:cs="Vrinda"/>
                                        <w:i/>
                                      </w:rPr>
                                    </m:ctrlPr>
                                  </m:sSubSupPr>
                                  <m:e>
                                    <m:r>
                                      <w:rPr>
                                        <w:rFonts w:ascii="Cambria Math" w:eastAsia="Times New Roman" w:hAnsi="Cambria Math"/>
                                      </w:rPr>
                                      <m:t>τ</m:t>
                                    </m:r>
                                  </m:e>
                                  <m:sub>
                                    <m:r>
                                      <w:rPr>
                                        <w:rFonts w:ascii="Cambria Math" w:eastAsia="Times New Roman" w:hAnsi="Cambria Math"/>
                                      </w:rPr>
                                      <m:t>j</m:t>
                                    </m:r>
                                  </m:sub>
                                  <m:sup>
                                    <m:r>
                                      <w:rPr>
                                        <w:rFonts w:ascii="Cambria Math" w:eastAsia="Times New Roman" w:hAnsi="Cambria Math"/>
                                      </w:rPr>
                                      <m:t>'</m:t>
                                    </m:r>
                                  </m:sup>
                                </m:sSubSup>
                              </m:e>
                            </m:d>
                            <m:sSub>
                              <m:sSubPr>
                                <m:ctrlPr>
                                  <w:rPr>
                                    <w:rFonts w:ascii="Cambria Math" w:eastAsia="Times New Roman" w:hAnsi="Cambria Math" w:cs="Vrinda"/>
                                    <w:i/>
                                  </w:rPr>
                                </m:ctrlPr>
                              </m:sSubPr>
                              <m:e>
                                <m:r>
                                  <w:rPr>
                                    <w:rFonts w:ascii="Cambria Math" w:eastAsia="Times New Roman" w:hAnsi="Cambria Math"/>
                                  </w:rPr>
                                  <m:t>z</m:t>
                                </m:r>
                              </m:e>
                              <m:sub>
                                <m:r>
                                  <w:rPr>
                                    <w:rFonts w:ascii="Cambria Math" w:eastAsia="Times New Roman" w:hAnsi="Cambria Math"/>
                                  </w:rPr>
                                  <m:t>qjt</m:t>
                                </m:r>
                              </m:sub>
                            </m:sSub>
                            <m:r>
                              <w:rPr>
                                <w:rFonts w:ascii="Cambria Math" w:eastAsia="Times New Roman" w:hAnsi="Cambria Math" w:cs="Vrinda"/>
                              </w:rPr>
                              <m:t>+</m:t>
                            </m:r>
                            <m:d>
                              <m:dPr>
                                <m:ctrlPr>
                                  <w:rPr>
                                    <w:rFonts w:ascii="Cambria Math" w:eastAsia="Times New Roman" w:hAnsi="Cambria Math"/>
                                    <w:i/>
                                  </w:rPr>
                                </m:ctrlPr>
                              </m:dPr>
                              <m:e>
                                <m:sSup>
                                  <m:sSupPr>
                                    <m:ctrlPr>
                                      <w:rPr>
                                        <w:rFonts w:ascii="Cambria Math" w:eastAsia="Times New Roman" w:hAnsi="Cambria Math"/>
                                        <w:i/>
                                      </w:rPr>
                                    </m:ctrlPr>
                                  </m:sSupPr>
                                  <m:e>
                                    <m:r>
                                      <w:rPr>
                                        <w:rFonts w:ascii="Cambria Math" w:eastAsia="Times New Roman" w:hAnsi="Cambria Math"/>
                                      </w:rPr>
                                      <m:t>θ</m:t>
                                    </m:r>
                                  </m:e>
                                  <m:sup>
                                    <m:r>
                                      <w:rPr>
                                        <w:rFonts w:ascii="Cambria Math" w:eastAsia="Times New Roman" w:hAnsi="Cambria Math"/>
                                      </w:rPr>
                                      <m:t>''</m:t>
                                    </m:r>
                                  </m:sup>
                                </m:sSup>
                                <m:r>
                                  <w:rPr>
                                    <w:rFonts w:ascii="Cambria Math" w:eastAsia="Times New Roman" w:hAnsi="Cambria Math"/>
                                  </w:rPr>
                                  <m:t>+</m:t>
                                </m:r>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e>
                            </m:d>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qt</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(η'</m:t>
                                </m:r>
                              </m:e>
                              <m:sub>
                                <m:r>
                                  <w:rPr>
                                    <w:rFonts w:ascii="Cambria Math" w:eastAsia="Times New Roman" w:hAnsi="Cambria Math"/>
                                  </w:rPr>
                                  <m:t>q</m:t>
                                </m:r>
                              </m:sub>
                            </m:sSub>
                            <m:r>
                              <w:rPr>
                                <w:rFonts w:ascii="Cambria Math" w:eastAsia="Times New Roman" w:hAnsi="Cambria Math"/>
                              </w:rPr>
                              <m:t>)</m:t>
                            </m:r>
                            <m:sSub>
                              <m:sSubPr>
                                <m:ctrlPr>
                                  <w:rPr>
                                    <w:rFonts w:ascii="Cambria Math" w:eastAsia="Times New Roman" w:hAnsi="Cambria Math" w:cs="Vrinda"/>
                                    <w:i/>
                                  </w:rPr>
                                </m:ctrlPr>
                              </m:sSubPr>
                              <m:e>
                                <m:r>
                                  <w:rPr>
                                    <w:rFonts w:ascii="Cambria Math" w:eastAsia="Times New Roman" w:hAnsi="Cambria Math"/>
                                  </w:rPr>
                                  <m:t>y</m:t>
                                </m:r>
                              </m:e>
                              <m:sub>
                                <m:r>
                                  <w:rPr>
                                    <w:rFonts w:ascii="Cambria Math" w:eastAsia="Times New Roman" w:hAnsi="Cambria Math"/>
                                  </w:rPr>
                                  <m:t>qt</m:t>
                                </m:r>
                              </m:sub>
                            </m:sSub>
                          </m:e>
                        </m:d>
                      </m:num>
                      <m:den>
                        <m:sSub>
                          <m:sSubPr>
                            <m:ctrlPr>
                              <w:rPr>
                                <w:rFonts w:ascii="Cambria Math" w:eastAsiaTheme="minorEastAsia" w:hAnsi="Cambria Math" w:cs="Vrinda"/>
                                <w:i/>
                                <w:sz w:val="20"/>
                              </w:rPr>
                            </m:ctrlPr>
                          </m:sSubPr>
                          <m:e>
                            <m:r>
                              <w:rPr>
                                <w:rFonts w:ascii="Cambria Math" w:eastAsiaTheme="minorEastAsia" w:hAnsi="Cambria Math"/>
                                <w:sz w:val="20"/>
                              </w:rPr>
                              <m:t>λ</m:t>
                            </m:r>
                          </m:e>
                          <m:sub>
                            <m:r>
                              <w:rPr>
                                <w:rFonts w:ascii="Cambria Math" w:eastAsiaTheme="minorEastAsia" w:hAnsi="Cambria Math"/>
                                <w:sz w:val="20"/>
                              </w:rPr>
                              <m:t>B</m:t>
                            </m:r>
                          </m:sub>
                        </m:sSub>
                      </m:den>
                    </m:f>
                  </m:e>
                </m:d>
              </m:oMath>
            </m:oMathPara>
          </w:p>
        </w:tc>
        <w:tc>
          <w:tcPr>
            <w:tcW w:w="700" w:type="pct"/>
            <w:vAlign w:val="center"/>
          </w:tcPr>
          <w:p w14:paraId="6BF27508" w14:textId="77777777" w:rsidR="00A33B44" w:rsidRPr="00B57A42" w:rsidRDefault="00A33B44" w:rsidP="00413B61">
            <w:pPr>
              <w:contextualSpacing/>
              <w:jc w:val="center"/>
              <w:rPr>
                <w:rFonts w:eastAsia="Times New Roman"/>
              </w:rPr>
            </w:pPr>
            <w:r>
              <w:rPr>
                <w:rFonts w:eastAsia="Times New Roman"/>
              </w:rPr>
              <w:t>(6)</w:t>
            </w:r>
          </w:p>
        </w:tc>
      </w:tr>
      <w:tr w:rsidR="00A33B44" w:rsidRPr="00B57A42" w14:paraId="56DC7E9C" w14:textId="77777777" w:rsidTr="00413B61">
        <w:trPr>
          <w:trHeight w:val="20"/>
        </w:trPr>
        <w:tc>
          <w:tcPr>
            <w:tcW w:w="4300" w:type="pct"/>
            <w:vAlign w:val="center"/>
          </w:tcPr>
          <w:p w14:paraId="135D1808" w14:textId="77777777" w:rsidR="00A33B44" w:rsidRPr="00C36FB6" w:rsidRDefault="00A33B44" w:rsidP="00413B61">
            <w:pPr>
              <w:rPr>
                <w:rFonts w:eastAsia="Calibri"/>
                <w:sz w:val="20"/>
              </w:rPr>
            </w:pPr>
          </w:p>
        </w:tc>
        <w:tc>
          <w:tcPr>
            <w:tcW w:w="700" w:type="pct"/>
            <w:vAlign w:val="center"/>
          </w:tcPr>
          <w:p w14:paraId="756FA366" w14:textId="77777777" w:rsidR="00A33B44" w:rsidRDefault="00A33B44" w:rsidP="00413B61">
            <w:pPr>
              <w:contextualSpacing/>
              <w:jc w:val="center"/>
              <w:rPr>
                <w:rFonts w:eastAsia="Times New Roman"/>
              </w:rPr>
            </w:pPr>
          </w:p>
        </w:tc>
      </w:tr>
    </w:tbl>
    <w:p w14:paraId="63F1F891" w14:textId="41AC458A" w:rsidR="00A33B44" w:rsidRDefault="00A33B44" w:rsidP="00E74843">
      <w:pPr>
        <w:rPr>
          <w:rFonts w:eastAsia="Times New Roman" w:cs="Vrinda"/>
        </w:rPr>
      </w:pPr>
      <w:r w:rsidRPr="00B57A42">
        <w:rPr>
          <w:rFonts w:eastAsia="Times New Roman"/>
        </w:rPr>
        <w:t xml:space="preserve">where </w:t>
      </w:r>
      <m:oMath>
        <m:r>
          <m:rPr>
            <m:sty m:val="p"/>
          </m:rPr>
          <w:rPr>
            <w:rFonts w:ascii="Cambria Math" w:eastAsiaTheme="minorEastAsia" w:hAnsi="Cambria Math"/>
          </w:rPr>
          <m:t>Λ</m:t>
        </m:r>
      </m:oMath>
      <w:r w:rsidRPr="00B57A42">
        <w:rPr>
          <w:rFonts w:eastAsia="Times New Roman"/>
        </w:rPr>
        <w:t xml:space="preserve"> (.) is the cumulative standard logistic distribution. </w:t>
      </w:r>
    </w:p>
    <w:p w14:paraId="54D9C0F8" w14:textId="77777777" w:rsidR="00A33B44" w:rsidRDefault="00A33B44" w:rsidP="00413B61">
      <w:pPr>
        <w:ind w:firstLine="720"/>
        <w:rPr>
          <w:rFonts w:eastAsia="Times New Roman"/>
        </w:rPr>
      </w:pPr>
      <w:r w:rsidRPr="00B57A42">
        <w:rPr>
          <w:rFonts w:eastAsia="Times New Roman"/>
        </w:rPr>
        <w:t xml:space="preserve">Let </w:t>
      </w:r>
      <m:oMath>
        <m:r>
          <m:rPr>
            <m:sty m:val="p"/>
          </m:rPr>
          <w:rPr>
            <w:rFonts w:ascii="Cambria Math" w:eastAsia="Times New Roman" w:hAnsi="Cambria Math"/>
          </w:rPr>
          <m:t>Ω</m:t>
        </m:r>
      </m:oMath>
      <w:r w:rsidRPr="00B57A42">
        <w:rPr>
          <w:rFonts w:eastAsia="Times New Roman"/>
        </w:rPr>
        <w:t xml:space="preserve">  represent a vector that includes all the standard error parameters to be estimated. Given these assumptions the joint likelihood for stop level boarding and alighting is provided as follows</w:t>
      </w:r>
      <w:r>
        <w:rPr>
          <w:rFonts w:eastAsia="Times New Roman"/>
        </w:rPr>
        <w:t>:</w:t>
      </w:r>
    </w:p>
    <w:p w14:paraId="40CCD252" w14:textId="77777777" w:rsidR="00A33B44" w:rsidRPr="00B57A42" w:rsidRDefault="00A33B44" w:rsidP="00413B61">
      <w:pPr>
        <w:rPr>
          <w:rFonts w:eastAsia="Times New Roman"/>
        </w:rPr>
      </w:pPr>
      <w:r w:rsidRPr="00B57A42">
        <w:rPr>
          <w:rFonts w:eastAsia="Times New Roman"/>
        </w:rPr>
        <w:t xml:space="preserve">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9"/>
        <w:gridCol w:w="1220"/>
      </w:tblGrid>
      <w:tr w:rsidR="00A33B44" w:rsidRPr="00B57A42" w14:paraId="3E78EE33" w14:textId="77777777" w:rsidTr="00413B61">
        <w:trPr>
          <w:trHeight w:val="288"/>
        </w:trPr>
        <w:tc>
          <w:tcPr>
            <w:tcW w:w="4349" w:type="pct"/>
          </w:tcPr>
          <w:p w14:paraId="0CAD60AB" w14:textId="77777777" w:rsidR="00A33B44" w:rsidRPr="00B57A42" w:rsidRDefault="00DF6C8E" w:rsidP="00413B61">
            <w:pPr>
              <w:rPr>
                <w:rFonts w:eastAsiaTheme="minorEastAsia"/>
              </w:rPr>
            </w:pPr>
            <m:oMathPara>
              <m:oMathParaPr>
                <m:jc m:val="left"/>
              </m:oMathParaPr>
              <m:oMath>
                <m:sSub>
                  <m:sSubPr>
                    <m:ctrlPr>
                      <w:rPr>
                        <w:rFonts w:ascii="Cambria Math" w:eastAsia="Times New Roman" w:hAnsi="Cambria Math" w:cs="Vrinda"/>
                        <w:i/>
                      </w:rPr>
                    </m:ctrlPr>
                  </m:sSubPr>
                  <m:e>
                    <m:r>
                      <w:rPr>
                        <w:rFonts w:ascii="Cambria Math" w:eastAsia="Times New Roman" w:hAnsi="Cambria Math"/>
                      </w:rPr>
                      <m:t>L</m:t>
                    </m:r>
                  </m:e>
                  <m:sub>
                    <m:r>
                      <w:rPr>
                        <w:rFonts w:ascii="Cambria Math" w:eastAsia="Times New Roman" w:hAnsi="Cambria Math"/>
                      </w:rPr>
                      <m:t>q</m:t>
                    </m:r>
                  </m:sub>
                </m:sSub>
                <m:r>
                  <w:rPr>
                    <w:rFonts w:ascii="Cambria Math" w:eastAsia="Times New Roman" w:hAnsi="Cambria Math"/>
                  </w:rPr>
                  <m:t>|</m:t>
                </m:r>
                <m:r>
                  <m:rPr>
                    <m:sty m:val="p"/>
                  </m:rPr>
                  <w:rPr>
                    <w:rFonts w:ascii="Cambria Math" w:eastAsia="Times New Roman" w:hAnsi="Cambria Math"/>
                  </w:rPr>
                  <m:t xml:space="preserve">Ω= </m:t>
                </m:r>
                <m:nary>
                  <m:naryPr>
                    <m:chr m:val="∏"/>
                    <m:limLoc m:val="subSup"/>
                    <m:ctrlPr>
                      <w:rPr>
                        <w:rFonts w:ascii="Cambria Math" w:eastAsia="Times New Roman" w:hAnsi="Cambria Math" w:cs="Vrinda"/>
                      </w:rPr>
                    </m:ctrlPr>
                  </m:naryPr>
                  <m:sub>
                    <m:r>
                      <w:rPr>
                        <w:rFonts w:ascii="Cambria Math" w:eastAsia="Times New Roman" w:hAnsi="Cambria Math"/>
                      </w:rPr>
                      <m:t>t=1</m:t>
                    </m:r>
                  </m:sub>
                  <m:sup>
                    <m:r>
                      <w:rPr>
                        <w:rFonts w:ascii="Cambria Math" w:eastAsia="Times New Roman" w:hAnsi="Cambria Math"/>
                      </w:rPr>
                      <m:t>T</m:t>
                    </m:r>
                  </m:sup>
                  <m:e>
                    <m:d>
                      <m:dPr>
                        <m:begChr m:val="["/>
                        <m:endChr m:val="]"/>
                        <m:ctrlPr>
                          <w:rPr>
                            <w:rFonts w:ascii="Cambria Math" w:eastAsia="Times New Roman" w:hAnsi="Cambria Math" w:cs="Vrinda"/>
                            <w:i/>
                          </w:rPr>
                        </m:ctrlPr>
                      </m:dPr>
                      <m:e>
                        <m:nary>
                          <m:naryPr>
                            <m:chr m:val="∏"/>
                            <m:limLoc m:val="subSup"/>
                            <m:ctrlPr>
                              <w:rPr>
                                <w:rFonts w:ascii="Cambria Math" w:eastAsia="Times New Roman" w:hAnsi="Cambria Math" w:cs="Vrinda"/>
                                <w:i/>
                              </w:rPr>
                            </m:ctrlPr>
                          </m:naryPr>
                          <m:sub>
                            <m:r>
                              <w:rPr>
                                <w:rFonts w:ascii="Cambria Math" w:eastAsia="Times New Roman" w:hAnsi="Cambria Math"/>
                              </w:rPr>
                              <m:t>m=1</m:t>
                            </m:r>
                          </m:sub>
                          <m:sup>
                            <m:r>
                              <w:rPr>
                                <w:rFonts w:ascii="Cambria Math" w:eastAsia="Times New Roman" w:hAnsi="Cambria Math"/>
                              </w:rPr>
                              <m:t>M</m:t>
                            </m:r>
                          </m:sup>
                          <m:e>
                            <m:sSup>
                              <m:sSupPr>
                                <m:ctrlPr>
                                  <w:rPr>
                                    <w:rFonts w:ascii="Cambria Math" w:eastAsia="Times New Roman" w:hAnsi="Cambria Math" w:cs="Vrinda"/>
                                    <w:i/>
                                  </w:rPr>
                                </m:ctrlPr>
                              </m:sSupPr>
                              <m:e>
                                <m:d>
                                  <m:dPr>
                                    <m:begChr m:val="["/>
                                    <m:endChr m:val="]"/>
                                    <m:ctrlPr>
                                      <w:rPr>
                                        <w:rFonts w:ascii="Cambria Math" w:eastAsia="Times New Roman" w:hAnsi="Cambria Math" w:cs="Vrinda"/>
                                        <w:i/>
                                      </w:rPr>
                                    </m:ctrlPr>
                                  </m:dPr>
                                  <m:e>
                                    <m:r>
                                      <w:rPr>
                                        <w:rFonts w:ascii="Cambria Math" w:eastAsia="Times New Roman" w:hAnsi="Cambria Math"/>
                                        <w:sz w:val="20"/>
                                      </w:rPr>
                                      <m:t>P</m:t>
                                    </m:r>
                                    <m:d>
                                      <m:dPr>
                                        <m:ctrlPr>
                                          <w:rPr>
                                            <w:rFonts w:ascii="Cambria Math" w:eastAsia="Times New Roman" w:hAnsi="Cambria Math" w:cs="Vrinda"/>
                                            <w:i/>
                                            <w:sz w:val="20"/>
                                          </w:rPr>
                                        </m:ctrlPr>
                                      </m:dPr>
                                      <m:e>
                                        <m:sSub>
                                          <m:sSubPr>
                                            <m:ctrlPr>
                                              <w:rPr>
                                                <w:rFonts w:ascii="Cambria Math" w:eastAsiaTheme="minorEastAsia" w:hAnsi="Cambria Math" w:cs="Vrinda"/>
                                                <w:i/>
                                              </w:rPr>
                                            </m:ctrlPr>
                                          </m:sSubPr>
                                          <m:e>
                                            <m:r>
                                              <w:rPr>
                                                <w:rFonts w:ascii="Cambria Math" w:eastAsiaTheme="minorEastAsia" w:hAnsi="Cambria Math"/>
                                              </w:rPr>
                                              <m:t>H</m:t>
                                            </m:r>
                                          </m:e>
                                          <m:sub>
                                            <m:r>
                                              <w:rPr>
                                                <w:rFonts w:ascii="Cambria Math" w:eastAsiaTheme="minorEastAsia" w:hAnsi="Cambria Math"/>
                                              </w:rPr>
                                              <m:t>mt</m:t>
                                            </m:r>
                                          </m:sub>
                                        </m:sSub>
                                      </m:e>
                                    </m:d>
                                    <m:r>
                                      <w:rPr>
                                        <w:rFonts w:ascii="Cambria Math" w:eastAsia="Times New Roman" w:hAnsi="Cambria Math"/>
                                        <w:sz w:val="20"/>
                                      </w:rPr>
                                      <m:t>|σ,η</m:t>
                                    </m:r>
                                  </m:e>
                                </m:d>
                              </m:e>
                              <m:sup>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hmt</m:t>
                                    </m:r>
                                  </m:sub>
                                </m:sSub>
                              </m:sup>
                            </m:sSup>
                          </m:e>
                        </m:nary>
                        <m:r>
                          <w:rPr>
                            <w:rFonts w:ascii="Cambria Math" w:eastAsia="Times New Roman" w:hAnsi="Cambria Math" w:cs="Vrinda"/>
                          </w:rPr>
                          <m:t xml:space="preserve">* </m:t>
                        </m:r>
                        <m:d>
                          <m:dPr>
                            <m:begChr m:val="{"/>
                            <m:endChr m:val="}"/>
                            <m:ctrlPr>
                              <w:rPr>
                                <w:rFonts w:ascii="Cambria Math" w:eastAsia="Times New Roman" w:hAnsi="Cambria Math" w:cs="Vrinda"/>
                                <w:i/>
                              </w:rPr>
                            </m:ctrlPr>
                          </m:dPr>
                          <m:e>
                            <m:nary>
                              <m:naryPr>
                                <m:chr m:val="∏"/>
                                <m:limLoc m:val="subSup"/>
                                <m:ctrlPr>
                                  <w:rPr>
                                    <w:rFonts w:ascii="Cambria Math" w:eastAsia="Times New Roman" w:hAnsi="Cambria Math" w:cs="Vrinda"/>
                                    <w:i/>
                                  </w:rPr>
                                </m:ctrlPr>
                              </m:naryPr>
                              <m:sub>
                                <m:r>
                                  <w:rPr>
                                    <w:rFonts w:ascii="Cambria Math" w:eastAsia="Times New Roman" w:hAnsi="Cambria Math"/>
                                  </w:rPr>
                                  <m:t>j=1</m:t>
                                </m:r>
                              </m:sub>
                              <m:sup>
                                <m:r>
                                  <w:rPr>
                                    <w:rFonts w:ascii="Cambria Math" w:eastAsia="Times New Roman" w:hAnsi="Cambria Math"/>
                                  </w:rPr>
                                  <m:t>J</m:t>
                                </m:r>
                              </m:sup>
                              <m:e>
                                <m:sSup>
                                  <m:sSupPr>
                                    <m:ctrlPr>
                                      <w:rPr>
                                        <w:rFonts w:ascii="Cambria Math" w:eastAsia="Times New Roman" w:hAnsi="Cambria Math" w:cs="Vrinda"/>
                                        <w:i/>
                                      </w:rPr>
                                    </m:ctrlPr>
                                  </m:sSupPr>
                                  <m:e>
                                    <m:d>
                                      <m:dPr>
                                        <m:begChr m:val="["/>
                                        <m:endChr m:val="]"/>
                                        <m:ctrlPr>
                                          <w:rPr>
                                            <w:rFonts w:ascii="Cambria Math" w:eastAsia="Times New Roman" w:hAnsi="Cambria Math" w:cs="Vrinda"/>
                                            <w:i/>
                                          </w:rPr>
                                        </m:ctrlPr>
                                      </m:dPr>
                                      <m:e>
                                        <m:d>
                                          <m:dPr>
                                            <m:ctrlPr>
                                              <w:rPr>
                                                <w:rFonts w:ascii="Cambria Math" w:eastAsia="Times New Roman" w:hAnsi="Cambria Math" w:cs="Vrinda"/>
                                                <w:i/>
                                              </w:rPr>
                                            </m:ctrlPr>
                                          </m:dPr>
                                          <m:e>
                                            <m:r>
                                              <w:rPr>
                                                <w:rFonts w:ascii="Cambria Math" w:eastAsia="Times New Roman" w:hAnsi="Cambria Math"/>
                                              </w:rPr>
                                              <m:t>P</m:t>
                                            </m:r>
                                            <m:d>
                                              <m:dPr>
                                                <m:ctrlPr>
                                                  <w:rPr>
                                                    <w:rFonts w:ascii="Cambria Math" w:eastAsia="Times New Roman" w:hAnsi="Cambria Math" w:cs="Vrinda"/>
                                                    <w:i/>
                                                  </w:rPr>
                                                </m:ctrlPr>
                                              </m:dPr>
                                              <m:e>
                                                <m:sSub>
                                                  <m:sSubPr>
                                                    <m:ctrlPr>
                                                      <w:rPr>
                                                        <w:rFonts w:ascii="Cambria Math" w:eastAsia="Times New Roman" w:hAnsi="Cambria Math" w:cs="Vrinda"/>
                                                        <w:i/>
                                                      </w:rPr>
                                                    </m:ctrlPr>
                                                  </m:sSubPr>
                                                  <m:e>
                                                    <m:r>
                                                      <w:rPr>
                                                        <w:rFonts w:ascii="Cambria Math" w:eastAsia="Times New Roman" w:hAnsi="Cambria Math"/>
                                                      </w:rPr>
                                                      <m:t>B</m:t>
                                                    </m:r>
                                                  </m:e>
                                                  <m:sub>
                                                    <m:r>
                                                      <w:rPr>
                                                        <w:rFonts w:ascii="Cambria Math" w:eastAsia="Times New Roman" w:hAnsi="Cambria Math"/>
                                                      </w:rPr>
                                                      <m:t>jt</m:t>
                                                    </m:r>
                                                  </m:sub>
                                                </m:sSub>
                                              </m:e>
                                            </m:d>
                                            <m:r>
                                              <w:rPr>
                                                <w:rFonts w:ascii="Cambria Math" w:eastAsia="Times New Roman" w:hAnsi="Cambria Math"/>
                                              </w:rPr>
                                              <m:t>|γ,η</m:t>
                                            </m:r>
                                          </m:e>
                                        </m:d>
                                      </m:e>
                                    </m:d>
                                  </m:e>
                                  <m:sup>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bjt</m:t>
                                        </m:r>
                                      </m:sub>
                                    </m:sSub>
                                  </m:sup>
                                </m:sSup>
                              </m:e>
                            </m:nary>
                            <m:sSup>
                              <m:sSupPr>
                                <m:ctrlPr>
                                  <w:rPr>
                                    <w:rFonts w:ascii="Cambria Math" w:eastAsia="Times New Roman" w:hAnsi="Cambria Math" w:cs="Vrinda"/>
                                    <w:i/>
                                  </w:rPr>
                                </m:ctrlPr>
                              </m:sSupPr>
                              <m:e>
                                <m:d>
                                  <m:dPr>
                                    <m:begChr m:val="["/>
                                    <m:endChr m:val="]"/>
                                    <m:ctrlPr>
                                      <w:rPr>
                                        <w:rFonts w:ascii="Cambria Math" w:eastAsia="Times New Roman" w:hAnsi="Cambria Math" w:cs="Vrinda"/>
                                        <w:i/>
                                      </w:rPr>
                                    </m:ctrlPr>
                                  </m:dPr>
                                  <m:e>
                                    <m:d>
                                      <m:dPr>
                                        <m:ctrlPr>
                                          <w:rPr>
                                            <w:rFonts w:ascii="Cambria Math" w:eastAsia="Times New Roman" w:hAnsi="Cambria Math" w:cs="Vrinda"/>
                                            <w:i/>
                                          </w:rPr>
                                        </m:ctrlPr>
                                      </m:dPr>
                                      <m:e>
                                        <m:r>
                                          <w:rPr>
                                            <w:rFonts w:ascii="Cambria Math" w:eastAsia="Times New Roman" w:hAnsi="Cambria Math"/>
                                          </w:rPr>
                                          <m:t>P</m:t>
                                        </m:r>
                                        <m:d>
                                          <m:dPr>
                                            <m:ctrlPr>
                                              <w:rPr>
                                                <w:rFonts w:ascii="Cambria Math" w:eastAsia="Times New Roman" w:hAnsi="Cambria Math" w:cs="Vrinda"/>
                                                <w:i/>
                                              </w:rPr>
                                            </m:ctrlPr>
                                          </m:dPr>
                                          <m:e>
                                            <m:sSub>
                                              <m:sSubPr>
                                                <m:ctrlPr>
                                                  <w:rPr>
                                                    <w:rFonts w:ascii="Cambria Math" w:eastAsia="Times New Roman" w:hAnsi="Cambria Math" w:cs="Vrinda"/>
                                                    <w:i/>
                                                  </w:rPr>
                                                </m:ctrlPr>
                                              </m:sSubPr>
                                              <m:e>
                                                <m:r>
                                                  <w:rPr>
                                                    <w:rFonts w:ascii="Cambria Math" w:eastAsia="Times New Roman" w:hAnsi="Cambria Math"/>
                                                  </w:rPr>
                                                  <m:t>A</m:t>
                                                </m:r>
                                              </m:e>
                                              <m:sub>
                                                <m:r>
                                                  <w:rPr>
                                                    <w:rFonts w:ascii="Cambria Math" w:eastAsia="Times New Roman" w:hAnsi="Cambria Math"/>
                                                  </w:rPr>
                                                  <m:t>jt</m:t>
                                                </m:r>
                                              </m:sub>
                                            </m:sSub>
                                          </m:e>
                                        </m:d>
                                        <m:r>
                                          <w:rPr>
                                            <w:rFonts w:ascii="Cambria Math" w:eastAsia="Times New Roman" w:hAnsi="Cambria Math"/>
                                          </w:rPr>
                                          <m:t>|δ,η</m:t>
                                        </m:r>
                                      </m:e>
                                    </m:d>
                                  </m:e>
                                </m:d>
                              </m:e>
                              <m:sup>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ajt</m:t>
                                    </m:r>
                                  </m:sub>
                                </m:sSub>
                              </m:sup>
                            </m:sSup>
                          </m:e>
                        </m:d>
                      </m:e>
                    </m:d>
                  </m:e>
                </m:nary>
              </m:oMath>
            </m:oMathPara>
          </w:p>
        </w:tc>
        <w:tc>
          <w:tcPr>
            <w:tcW w:w="651" w:type="pct"/>
            <w:vAlign w:val="center"/>
          </w:tcPr>
          <w:p w14:paraId="72624188" w14:textId="77777777" w:rsidR="00A33B44" w:rsidRPr="00B57A42" w:rsidRDefault="00A33B44" w:rsidP="00413B61">
            <w:pPr>
              <w:contextualSpacing/>
              <w:jc w:val="center"/>
              <w:rPr>
                <w:rFonts w:eastAsia="Times New Roman"/>
              </w:rPr>
            </w:pPr>
            <w:r>
              <w:rPr>
                <w:rFonts w:eastAsia="Times New Roman"/>
              </w:rPr>
              <w:t>(7)</w:t>
            </w:r>
          </w:p>
        </w:tc>
      </w:tr>
    </w:tbl>
    <w:p w14:paraId="4056F4AB" w14:textId="77777777" w:rsidR="00A33B44" w:rsidRDefault="00A33B44" w:rsidP="00413B61">
      <w:pPr>
        <w:rPr>
          <w:rFonts w:eastAsia="Times New Roman"/>
        </w:rPr>
      </w:pPr>
    </w:p>
    <w:p w14:paraId="62F50B4D" w14:textId="08F4971A" w:rsidR="00A33B44" w:rsidRDefault="00A33B44" w:rsidP="007315D3">
      <w:pPr>
        <w:rPr>
          <w:rFonts w:eastAsia="Times New Roman"/>
        </w:rPr>
      </w:pPr>
      <w:r w:rsidRPr="00B57A42">
        <w:rPr>
          <w:rFonts w:eastAsia="Times New Roman"/>
        </w:rPr>
        <w:t xml:space="preserve">where </w:t>
      </w:r>
      <m:oMath>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hmt</m:t>
            </m:r>
          </m:sub>
        </m:sSub>
      </m:oMath>
      <w:r>
        <w:rPr>
          <w:rFonts w:eastAsia="Times New Roman"/>
        </w:rPr>
        <w:t xml:space="preserve"> is a dummy variable taking a value of 1 if stop </w:t>
      </w:r>
      <w:r w:rsidRPr="00B57A42">
        <w:rPr>
          <w:rFonts w:eastAsia="Times New Roman"/>
          <w:i/>
        </w:rPr>
        <w:t>q</w:t>
      </w:r>
      <w:r w:rsidRPr="00B57A42">
        <w:rPr>
          <w:rFonts w:eastAsia="Times New Roman"/>
        </w:rPr>
        <w:t xml:space="preserve"> has </w:t>
      </w:r>
      <w:r>
        <w:rPr>
          <w:rFonts w:eastAsia="Times New Roman"/>
        </w:rPr>
        <w:t>headway</w:t>
      </w:r>
      <w:r w:rsidRPr="00B57A42">
        <w:rPr>
          <w:rFonts w:eastAsia="Times New Roman"/>
        </w:rPr>
        <w:t xml:space="preserve"> within the </w:t>
      </w:r>
      <w:r>
        <w:rPr>
          <w:rFonts w:eastAsia="Times New Roman"/>
          <w:i/>
        </w:rPr>
        <w:t>m</w:t>
      </w:r>
      <w:r w:rsidRPr="00B57A42">
        <w:rPr>
          <w:rFonts w:eastAsia="Times New Roman"/>
          <w:i/>
          <w:vertAlign w:val="superscript"/>
        </w:rPr>
        <w:t>th</w:t>
      </w:r>
      <w:r w:rsidRPr="00B57A42">
        <w:rPr>
          <w:rFonts w:eastAsia="Times New Roman"/>
        </w:rPr>
        <w:t xml:space="preserve"> category for the </w:t>
      </w:r>
      <w:r w:rsidRPr="00B57A42">
        <w:rPr>
          <w:rFonts w:eastAsia="Times New Roman"/>
          <w:i/>
        </w:rPr>
        <w:t>t</w:t>
      </w:r>
      <w:r w:rsidRPr="00B57A42">
        <w:rPr>
          <w:rFonts w:eastAsia="Times New Roman"/>
          <w:i/>
          <w:vertAlign w:val="superscript"/>
        </w:rPr>
        <w:t>th</w:t>
      </w:r>
      <w:r w:rsidRPr="00B57A42">
        <w:rPr>
          <w:rFonts w:eastAsia="Times New Roman"/>
        </w:rPr>
        <w:t xml:space="preserve"> time period and 0 otherwise</w:t>
      </w:r>
      <w:r>
        <w:rPr>
          <w:rFonts w:eastAsia="Times New Roman"/>
        </w:rPr>
        <w:t xml:space="preserve">; </w:t>
      </w:r>
      <m:oMath>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bjt</m:t>
            </m:r>
          </m:sub>
        </m:sSub>
      </m:oMath>
      <w:r w:rsidRPr="00B57A42">
        <w:rPr>
          <w:rFonts w:eastAsiaTheme="minorEastAsia"/>
        </w:rPr>
        <w:t xml:space="preserve"> </w:t>
      </w:r>
      <w:r>
        <w:rPr>
          <w:rFonts w:eastAsiaTheme="minorEastAsia"/>
        </w:rPr>
        <w:t xml:space="preserve">and </w:t>
      </w:r>
      <m:oMath>
        <m:sSub>
          <m:sSubPr>
            <m:ctrlPr>
              <w:rPr>
                <w:rFonts w:ascii="Cambria Math" w:eastAsia="Times New Roman" w:hAnsi="Cambria Math" w:cs="Vrinda"/>
                <w:i/>
              </w:rPr>
            </m:ctrlPr>
          </m:sSubPr>
          <m:e>
            <m:r>
              <w:rPr>
                <w:rFonts w:ascii="Cambria Math" w:eastAsia="Times New Roman" w:hAnsi="Cambria Math"/>
              </w:rPr>
              <m:t>d</m:t>
            </m:r>
          </m:e>
          <m:sub>
            <m:r>
              <w:rPr>
                <w:rFonts w:ascii="Cambria Math" w:eastAsia="Times New Roman" w:hAnsi="Cambria Math"/>
              </w:rPr>
              <m:t>ajt</m:t>
            </m:r>
          </m:sub>
        </m:sSub>
      </m:oMath>
      <w:r w:rsidRPr="00B57A42">
        <w:rPr>
          <w:rFonts w:eastAsia="Times New Roman"/>
        </w:rPr>
        <w:t xml:space="preserve"> are dummy variables taking a value of 1 if stop </w:t>
      </w:r>
      <w:r w:rsidRPr="00B57A42">
        <w:rPr>
          <w:rFonts w:eastAsia="Times New Roman"/>
          <w:i/>
        </w:rPr>
        <w:t>q</w:t>
      </w:r>
      <w:r w:rsidRPr="00B57A42">
        <w:rPr>
          <w:rFonts w:eastAsia="Times New Roman"/>
        </w:rPr>
        <w:t xml:space="preserve"> has ridership within the </w:t>
      </w:r>
      <w:r w:rsidRPr="00B57A42">
        <w:rPr>
          <w:rFonts w:eastAsia="Times New Roman"/>
          <w:i/>
        </w:rPr>
        <w:t>j</w:t>
      </w:r>
      <w:r w:rsidRPr="00B57A42">
        <w:rPr>
          <w:rFonts w:eastAsia="Times New Roman"/>
          <w:i/>
          <w:vertAlign w:val="superscript"/>
        </w:rPr>
        <w:t>th</w:t>
      </w:r>
      <w:r w:rsidRPr="00B57A42">
        <w:rPr>
          <w:rFonts w:eastAsia="Times New Roman"/>
        </w:rPr>
        <w:t xml:space="preserve"> category for the </w:t>
      </w:r>
      <w:r w:rsidRPr="00B57A42">
        <w:rPr>
          <w:rFonts w:eastAsia="Times New Roman"/>
          <w:i/>
        </w:rPr>
        <w:t>t</w:t>
      </w:r>
      <w:r w:rsidRPr="00B57A42">
        <w:rPr>
          <w:rFonts w:eastAsia="Times New Roman"/>
          <w:i/>
          <w:vertAlign w:val="superscript"/>
        </w:rPr>
        <w:t>th</w:t>
      </w:r>
      <w:r w:rsidRPr="00B57A42">
        <w:rPr>
          <w:rFonts w:eastAsia="Times New Roman"/>
        </w:rPr>
        <w:t xml:space="preserve"> time period and 0 otherwise. Finally, the unconditional likelihood function may be computed for stop </w:t>
      </w:r>
      <w:r w:rsidRPr="00B57A42">
        <w:rPr>
          <w:rFonts w:eastAsia="Times New Roman"/>
          <w:i/>
        </w:rPr>
        <w:t>q</w:t>
      </w:r>
      <w:r w:rsidRPr="00B57A42">
        <w:rPr>
          <w:rFonts w:eastAsia="Times New Roman"/>
        </w:rPr>
        <w:t xml:space="preserve"> as:</w:t>
      </w:r>
    </w:p>
    <w:p w14:paraId="6DBF783D" w14:textId="77777777" w:rsidR="00A33B44" w:rsidRPr="00B57A42" w:rsidRDefault="00A33B44" w:rsidP="00413B61">
      <w:pPr>
        <w:rPr>
          <w:rFonts w:eastAsia="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A33B44" w:rsidRPr="00B57A42" w14:paraId="60CE43A7" w14:textId="77777777" w:rsidTr="00413B61">
        <w:tc>
          <w:tcPr>
            <w:tcW w:w="4349" w:type="pct"/>
            <w:vAlign w:val="center"/>
          </w:tcPr>
          <w:p w14:paraId="6574B23F" w14:textId="77777777" w:rsidR="00A33B44" w:rsidRPr="00177B2C" w:rsidRDefault="00DF6C8E" w:rsidP="00413B61">
            <w:pPr>
              <w:rPr>
                <w:rFonts w:eastAsia="Times New Roman"/>
              </w:rPr>
            </w:pPr>
            <m:oMathPara>
              <m:oMathParaPr>
                <m:jc m:val="left"/>
              </m:oMathParaPr>
              <m:oMath>
                <m:sSub>
                  <m:sSubPr>
                    <m:ctrlPr>
                      <w:rPr>
                        <w:rFonts w:ascii="Cambria Math" w:eastAsia="Times New Roman" w:hAnsi="Cambria Math" w:cs="Vrinda"/>
                        <w:i/>
                      </w:rPr>
                    </m:ctrlPr>
                  </m:sSubPr>
                  <m:e>
                    <m:r>
                      <w:rPr>
                        <w:rFonts w:ascii="Cambria Math" w:eastAsia="Times New Roman" w:hAnsi="Cambria Math"/>
                      </w:rPr>
                      <m:t>L</m:t>
                    </m:r>
                  </m:e>
                  <m:sub>
                    <m:r>
                      <w:rPr>
                        <w:rFonts w:ascii="Cambria Math" w:eastAsia="Times New Roman" w:hAnsi="Cambria Math"/>
                      </w:rPr>
                      <m:t>q</m:t>
                    </m:r>
                  </m:sub>
                </m:sSub>
                <m:r>
                  <m:rPr>
                    <m:sty m:val="p"/>
                  </m:rPr>
                  <w:rPr>
                    <w:rFonts w:ascii="Cambria Math" w:eastAsia="Times New Roman" w:hAnsi="Cambria Math"/>
                  </w:rPr>
                  <m:t xml:space="preserve">= </m:t>
                </m:r>
                <m:nary>
                  <m:naryPr>
                    <m:limLoc m:val="subSup"/>
                    <m:ctrlPr>
                      <w:rPr>
                        <w:rFonts w:ascii="Cambria Math" w:eastAsia="Times New Roman" w:hAnsi="Cambria Math" w:cs="Vrinda"/>
                      </w:rPr>
                    </m:ctrlPr>
                  </m:naryPr>
                  <m:sub>
                    <m:r>
                      <m:rPr>
                        <m:sty m:val="p"/>
                      </m:rPr>
                      <w:rPr>
                        <w:rFonts w:ascii="Cambria Math" w:eastAsia="Times New Roman" w:hAnsi="Cambria Math"/>
                      </w:rPr>
                      <m:t>Ω</m:t>
                    </m:r>
                  </m:sub>
                  <m:sup/>
                  <m:e>
                    <m:d>
                      <m:dPr>
                        <m:ctrlPr>
                          <w:rPr>
                            <w:rFonts w:ascii="Cambria Math" w:eastAsia="Times New Roman" w:hAnsi="Cambria Math" w:cs="Vrinda"/>
                            <w:i/>
                          </w:rPr>
                        </m:ctrlPr>
                      </m:dPr>
                      <m:e>
                        <m:sSub>
                          <m:sSubPr>
                            <m:ctrlPr>
                              <w:rPr>
                                <w:rFonts w:ascii="Cambria Math" w:eastAsia="Times New Roman" w:hAnsi="Cambria Math" w:cs="Vrinda"/>
                                <w:i/>
                              </w:rPr>
                            </m:ctrlPr>
                          </m:sSubPr>
                          <m:e>
                            <m:r>
                              <w:rPr>
                                <w:rFonts w:ascii="Cambria Math" w:eastAsia="Times New Roman" w:hAnsi="Cambria Math"/>
                              </w:rPr>
                              <m:t>L</m:t>
                            </m:r>
                          </m:e>
                          <m:sub>
                            <m:r>
                              <w:rPr>
                                <w:rFonts w:ascii="Cambria Math" w:eastAsia="Times New Roman" w:hAnsi="Cambria Math"/>
                              </w:rPr>
                              <m:t>q</m:t>
                            </m:r>
                          </m:sub>
                        </m:sSub>
                        <m:r>
                          <w:rPr>
                            <w:rFonts w:ascii="Cambria Math" w:eastAsia="Times New Roman" w:hAnsi="Cambria Math"/>
                          </w:rPr>
                          <m:t>|</m:t>
                        </m:r>
                        <m:r>
                          <m:rPr>
                            <m:sty m:val="p"/>
                          </m:rPr>
                          <w:rPr>
                            <w:rFonts w:ascii="Cambria Math" w:eastAsia="Times New Roman" w:hAnsi="Cambria Math"/>
                          </w:rPr>
                          <m:t>Ω</m:t>
                        </m:r>
                      </m:e>
                    </m:d>
                    <m:r>
                      <w:rPr>
                        <w:rFonts w:ascii="Cambria Math" w:eastAsia="Times New Roman" w:hAnsi="Cambria Math"/>
                      </w:rPr>
                      <m:t>f(</m:t>
                    </m:r>
                    <m:r>
                      <m:rPr>
                        <m:sty m:val="p"/>
                      </m:rPr>
                      <w:rPr>
                        <w:rFonts w:ascii="Cambria Math" w:eastAsia="Times New Roman" w:hAnsi="Cambria Math"/>
                      </w:rPr>
                      <m:t>Ω)</m:t>
                    </m:r>
                    <m:r>
                      <w:rPr>
                        <w:rFonts w:ascii="Cambria Math" w:eastAsia="Times New Roman" w:hAnsi="Cambria Math"/>
                      </w:rPr>
                      <m:t>d</m:t>
                    </m:r>
                    <m:r>
                      <m:rPr>
                        <m:sty m:val="p"/>
                      </m:rPr>
                      <w:rPr>
                        <w:rFonts w:ascii="Cambria Math" w:eastAsia="Times New Roman" w:hAnsi="Cambria Math"/>
                      </w:rPr>
                      <m:t>Ω</m:t>
                    </m:r>
                  </m:e>
                </m:nary>
              </m:oMath>
            </m:oMathPara>
          </w:p>
        </w:tc>
        <w:tc>
          <w:tcPr>
            <w:tcW w:w="651" w:type="pct"/>
            <w:vAlign w:val="center"/>
          </w:tcPr>
          <w:p w14:paraId="48E6FEEA" w14:textId="77777777" w:rsidR="00A33B44" w:rsidRPr="00B57A42" w:rsidRDefault="00A33B44" w:rsidP="00413B61">
            <w:pPr>
              <w:spacing w:after="360"/>
              <w:contextualSpacing/>
              <w:jc w:val="center"/>
              <w:rPr>
                <w:rFonts w:eastAsia="Times New Roman"/>
              </w:rPr>
            </w:pPr>
            <w:r>
              <w:rPr>
                <w:rFonts w:eastAsia="Times New Roman"/>
              </w:rPr>
              <w:t>(8)</w:t>
            </w:r>
          </w:p>
        </w:tc>
      </w:tr>
    </w:tbl>
    <w:p w14:paraId="6406460B" w14:textId="77777777" w:rsidR="00A33B44" w:rsidRDefault="00A33B44" w:rsidP="00413B61">
      <w:pPr>
        <w:rPr>
          <w:rFonts w:eastAsia="Times New Roman"/>
        </w:rPr>
      </w:pPr>
    </w:p>
    <w:p w14:paraId="5FB9EECF" w14:textId="77777777" w:rsidR="00A33B44" w:rsidRPr="00B57A42" w:rsidRDefault="00A33B44" w:rsidP="007315D3">
      <w:pPr>
        <w:ind w:firstLine="720"/>
        <w:rPr>
          <w:rFonts w:eastAsia="Times New Roman"/>
        </w:rPr>
      </w:pPr>
      <w:r w:rsidRPr="00B57A42">
        <w:rPr>
          <w:rFonts w:eastAsia="Times New Roman"/>
        </w:rPr>
        <w:t>The log-likelihood function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1"/>
        <w:gridCol w:w="1219"/>
      </w:tblGrid>
      <w:tr w:rsidR="00A33B44" w:rsidRPr="00B57A42" w14:paraId="30E02391" w14:textId="77777777" w:rsidTr="00413B61">
        <w:trPr>
          <w:trHeight w:val="553"/>
        </w:trPr>
        <w:tc>
          <w:tcPr>
            <w:tcW w:w="4349" w:type="pct"/>
            <w:vAlign w:val="center"/>
          </w:tcPr>
          <w:p w14:paraId="7B0B5ABB" w14:textId="77777777" w:rsidR="00A33B44" w:rsidRPr="00177B2C" w:rsidRDefault="00A33B44" w:rsidP="00413B61">
            <w:pPr>
              <w:rPr>
                <w:rFonts w:eastAsia="Times New Roman"/>
              </w:rPr>
            </w:pPr>
            <m:oMathPara>
              <m:oMathParaPr>
                <m:jc m:val="left"/>
              </m:oMathParaPr>
              <m:oMath>
                <m:r>
                  <m:rPr>
                    <m:sty m:val="p"/>
                  </m:rPr>
                  <w:rPr>
                    <w:rFonts w:ascii="Cambria Math" w:eastAsia="Times New Roman" w:hAnsi="Cambria Math"/>
                  </w:rPr>
                  <w:lastRenderedPageBreak/>
                  <m:t>Ln</m:t>
                </m:r>
                <m:d>
                  <m:dPr>
                    <m:ctrlPr>
                      <w:rPr>
                        <w:rFonts w:ascii="Cambria Math" w:eastAsia="Times New Roman" w:hAnsi="Cambria Math" w:cs="Vrinda"/>
                      </w:rPr>
                    </m:ctrlPr>
                  </m:dPr>
                  <m:e>
                    <m:r>
                      <m:rPr>
                        <m:sty m:val="p"/>
                      </m:rPr>
                      <w:rPr>
                        <w:rFonts w:ascii="Cambria Math" w:eastAsia="Times New Roman" w:hAnsi="Cambria Math"/>
                      </w:rPr>
                      <m:t>L</m:t>
                    </m:r>
                  </m:e>
                </m:d>
                <m:r>
                  <m:rPr>
                    <m:sty m:val="p"/>
                  </m:rPr>
                  <w:rPr>
                    <w:rFonts w:ascii="Cambria Math" w:eastAsia="Times New Roman" w:hAnsi="Cambria Math"/>
                  </w:rPr>
                  <m:t xml:space="preserve">= </m:t>
                </m:r>
                <m:nary>
                  <m:naryPr>
                    <m:chr m:val="∑"/>
                    <m:limLoc m:val="subSup"/>
                    <m:ctrlPr>
                      <w:rPr>
                        <w:rFonts w:ascii="Cambria Math" w:eastAsia="Times New Roman" w:hAnsi="Cambria Math" w:cs="Vrinda"/>
                      </w:rPr>
                    </m:ctrlPr>
                  </m:naryPr>
                  <m:sub>
                    <m:r>
                      <w:rPr>
                        <w:rFonts w:ascii="Cambria Math" w:eastAsia="Times New Roman" w:hAnsi="Cambria Math"/>
                      </w:rPr>
                      <m:t>q=1</m:t>
                    </m:r>
                  </m:sub>
                  <m:sup>
                    <m:r>
                      <w:rPr>
                        <w:rFonts w:ascii="Cambria Math" w:eastAsia="Times New Roman" w:hAnsi="Cambria Math"/>
                      </w:rPr>
                      <m:t>Q</m:t>
                    </m:r>
                  </m:sup>
                  <m:e>
                    <m:func>
                      <m:funcPr>
                        <m:ctrlPr>
                          <w:rPr>
                            <w:rFonts w:ascii="Cambria Math" w:eastAsia="Times New Roman" w:hAnsi="Cambria Math" w:cs="Vrinda"/>
                            <w:i/>
                          </w:rPr>
                        </m:ctrlPr>
                      </m:funcPr>
                      <m:fName>
                        <m:r>
                          <m:rPr>
                            <m:sty m:val="p"/>
                          </m:rPr>
                          <w:rPr>
                            <w:rFonts w:ascii="Cambria Math" w:eastAsia="Times New Roman" w:hAnsi="Cambria Math"/>
                          </w:rPr>
                          <m:t>ln</m:t>
                        </m:r>
                      </m:fName>
                      <m:e>
                        <m:sSub>
                          <m:sSubPr>
                            <m:ctrlPr>
                              <w:rPr>
                                <w:rFonts w:ascii="Cambria Math" w:eastAsia="Times New Roman" w:hAnsi="Cambria Math" w:cs="Vrinda"/>
                                <w:i/>
                              </w:rPr>
                            </m:ctrlPr>
                          </m:sSubPr>
                          <m:e>
                            <m:r>
                              <w:rPr>
                                <w:rFonts w:ascii="Cambria Math" w:eastAsia="Times New Roman" w:hAnsi="Cambria Math"/>
                              </w:rPr>
                              <m:t>L</m:t>
                            </m:r>
                          </m:e>
                          <m:sub>
                            <m:r>
                              <w:rPr>
                                <w:rFonts w:ascii="Cambria Math" w:eastAsia="Times New Roman" w:hAnsi="Cambria Math"/>
                              </w:rPr>
                              <m:t>q</m:t>
                            </m:r>
                          </m:sub>
                        </m:sSub>
                      </m:e>
                    </m:func>
                  </m:e>
                </m:nary>
              </m:oMath>
            </m:oMathPara>
          </w:p>
        </w:tc>
        <w:tc>
          <w:tcPr>
            <w:tcW w:w="651" w:type="pct"/>
            <w:vAlign w:val="center"/>
          </w:tcPr>
          <w:p w14:paraId="7DA4A879" w14:textId="77777777" w:rsidR="00A33B44" w:rsidRPr="00B57A42" w:rsidRDefault="00A33B44" w:rsidP="00413B61">
            <w:pPr>
              <w:spacing w:after="360"/>
              <w:contextualSpacing/>
              <w:jc w:val="center"/>
              <w:rPr>
                <w:rFonts w:eastAsia="Times New Roman"/>
              </w:rPr>
            </w:pPr>
            <w:r>
              <w:rPr>
                <w:rFonts w:eastAsia="Times New Roman"/>
              </w:rPr>
              <w:t>(9)</w:t>
            </w:r>
          </w:p>
        </w:tc>
      </w:tr>
    </w:tbl>
    <w:p w14:paraId="21C14406" w14:textId="77777777" w:rsidR="00A33B44" w:rsidRDefault="00A33B44" w:rsidP="00413B61">
      <w:pPr>
        <w:rPr>
          <w:rFonts w:eastAsia="Times New Roman"/>
        </w:rPr>
      </w:pPr>
    </w:p>
    <w:p w14:paraId="0E5B6590" w14:textId="67F84A1D" w:rsidR="00A33B44" w:rsidRDefault="00A33B44" w:rsidP="00413B61">
      <w:pPr>
        <w:ind w:firstLine="720"/>
        <w:rPr>
          <w:rFonts w:eastAsia="Times New Roman" w:cs="Times New Roman"/>
          <w:szCs w:val="24"/>
        </w:rPr>
      </w:pPr>
      <w:r w:rsidRPr="00B57A42">
        <w:rPr>
          <w:rFonts w:eastAsia="Times New Roman"/>
        </w:rPr>
        <w:t>The li</w:t>
      </w:r>
      <w:r>
        <w:rPr>
          <w:rFonts w:eastAsia="Times New Roman"/>
        </w:rPr>
        <w:t>kelihood function in Equation (8</w:t>
      </w:r>
      <w:r w:rsidRPr="00B57A42">
        <w:rPr>
          <w:rFonts w:eastAsia="Times New Roman"/>
        </w:rPr>
        <w:t>) involves the evaluation of a multi-dimensional integral of size equal to the number of rows in</w:t>
      </w:r>
      <m:oMath>
        <m:r>
          <w:rPr>
            <w:rFonts w:ascii="Cambria Math" w:eastAsia="Times New Roman" w:hAnsi="Cambria Math"/>
          </w:rPr>
          <m:t xml:space="preserve"> </m:t>
        </m:r>
        <m:r>
          <m:rPr>
            <m:sty m:val="p"/>
          </m:rPr>
          <w:rPr>
            <w:rFonts w:ascii="Cambria Math" w:eastAsia="Times New Roman" w:hAnsi="Cambria Math"/>
          </w:rPr>
          <m:t>Ω</m:t>
        </m:r>
      </m:oMath>
      <w:r w:rsidRPr="00B57A42">
        <w:rPr>
          <w:rFonts w:eastAsia="Times New Roman"/>
        </w:rPr>
        <w:t>. We apply Quasi-Monte Carlo simulation techniques based on the scrambled Halton sequence to approximate this integral in the likelihood function and maximize the logarithm of the resulting simulate</w:t>
      </w:r>
      <w:r>
        <w:rPr>
          <w:rFonts w:eastAsia="Times New Roman"/>
        </w:rPr>
        <w:t xml:space="preserve">d likelihood function (See </w:t>
      </w:r>
      <w:r>
        <w:rPr>
          <w:rFonts w:eastAsia="Times New Roman"/>
          <w:noProof/>
        </w:rPr>
        <w:t>Bhat 2003</w:t>
      </w:r>
      <w:r w:rsidR="004F0BD4">
        <w:rPr>
          <w:rFonts w:eastAsia="Times New Roman"/>
        </w:rPr>
        <w:t>,</w:t>
      </w:r>
      <w:r>
        <w:rPr>
          <w:rFonts w:eastAsia="Times New Roman"/>
        </w:rPr>
        <w:t xml:space="preserve"> </w:t>
      </w:r>
      <w:r>
        <w:rPr>
          <w:rFonts w:eastAsia="Times New Roman"/>
          <w:noProof/>
        </w:rPr>
        <w:t>Yasmin and Eluru 2013</w:t>
      </w:r>
      <w:r w:rsidRPr="00B57A42">
        <w:rPr>
          <w:rFonts w:eastAsia="Times New Roman"/>
        </w:rPr>
        <w:t xml:space="preserve"> for more details). The likelihood functions are programmed in GAUSS (Aptech 2016)</w:t>
      </w:r>
      <w:r w:rsidRPr="00B57A42">
        <w:rPr>
          <w:rFonts w:eastAsia="Times New Roman" w:cs="Times New Roman"/>
          <w:szCs w:val="24"/>
        </w:rPr>
        <w:t>.</w:t>
      </w:r>
    </w:p>
    <w:p w14:paraId="6353EE72" w14:textId="77777777" w:rsidR="00A33B44" w:rsidRDefault="00A33B44" w:rsidP="00413B61"/>
    <w:p w14:paraId="25EF80E7" w14:textId="77777777" w:rsidR="00A33B44" w:rsidRDefault="00A33B44" w:rsidP="00413B61">
      <w:pPr>
        <w:pStyle w:val="Heading1"/>
        <w:spacing w:before="0" w:after="0"/>
        <w:rPr>
          <w:rFonts w:cs="Times New Roman"/>
          <w:szCs w:val="24"/>
        </w:rPr>
      </w:pPr>
      <w:r>
        <w:rPr>
          <w:rFonts w:cs="Times New Roman"/>
          <w:szCs w:val="24"/>
        </w:rPr>
        <w:t>EMPIRICAL ANALYSIS</w:t>
      </w:r>
    </w:p>
    <w:p w14:paraId="7030F090" w14:textId="1C86A856" w:rsidR="00A33B44" w:rsidRDefault="00A33B44" w:rsidP="00413B61">
      <w:pPr>
        <w:autoSpaceDE w:val="0"/>
        <w:autoSpaceDN w:val="0"/>
        <w:adjustRightInd w:val="0"/>
        <w:rPr>
          <w:rFonts w:cs="Times New Roman"/>
          <w:szCs w:val="24"/>
        </w:rPr>
      </w:pPr>
      <w:r>
        <w:rPr>
          <w:rFonts w:cs="Times New Roman"/>
          <w:szCs w:val="24"/>
        </w:rPr>
        <w:t xml:space="preserve">The current research effort is conducted using data from the Greater Orlando region. </w:t>
      </w:r>
      <w:r w:rsidRPr="00415D18">
        <w:rPr>
          <w:rFonts w:cs="Times New Roman"/>
          <w:szCs w:val="24"/>
        </w:rPr>
        <w:t xml:space="preserve">Orlando is a typical American city in the south with the following transportation mode share: automobile (85.7%), public transit (1.0%), walk (9.2%) and bike (1.2%). The main public transit system serving the Orlando metropolitan region is the Lynx </w:t>
      </w:r>
      <w:r w:rsidRPr="00415D18">
        <w:rPr>
          <w:rFonts w:cs="Times New Roman"/>
          <w:color w:val="000000"/>
          <w:szCs w:val="24"/>
        </w:rPr>
        <w:t xml:space="preserve">transit system. Lynx system </w:t>
      </w:r>
      <w:r w:rsidRPr="00415D18">
        <w:rPr>
          <w:rFonts w:cs="Times New Roman"/>
          <w:szCs w:val="24"/>
        </w:rPr>
        <w:t>serv</w:t>
      </w:r>
      <w:r>
        <w:rPr>
          <w:rFonts w:cs="Times New Roman"/>
          <w:szCs w:val="24"/>
        </w:rPr>
        <w:t>es</w:t>
      </w:r>
      <w:r w:rsidRPr="00415D18">
        <w:rPr>
          <w:rFonts w:cs="Times New Roman"/>
          <w:szCs w:val="24"/>
        </w:rPr>
        <w:t xml:space="preserve"> the population of about 1.8 million in Orange, Seminole, Osceola and Polk County covering 2,500 square miles. The system has 77 daily routes offering about 105,682 rides on weekdays</w:t>
      </w:r>
      <w:r>
        <w:rPr>
          <w:rFonts w:cs="Times New Roman"/>
          <w:szCs w:val="24"/>
        </w:rPr>
        <w:t xml:space="preserve">. The number of bus stops considered for analysis include 3,444 stops. Of these, 2,800 stops data are used for model estimation while 644 stops data are set aside for validation from each quarter. The average weekday ridership data for each time period were obtained from Lynx transit authority. For our analysis, headway, average weekday boarding and alighting ridership data was considered from May 2013 to December 2016 for 11 </w:t>
      </w:r>
      <w:r w:rsidR="009850EE">
        <w:rPr>
          <w:rFonts w:cs="Times New Roman"/>
          <w:szCs w:val="24"/>
        </w:rPr>
        <w:t>quadrimesters</w:t>
      </w:r>
      <w:r>
        <w:rPr>
          <w:rFonts w:cs="Times New Roman"/>
          <w:szCs w:val="24"/>
        </w:rPr>
        <w:t xml:space="preserve">. The final sample consists of 37,884 records (3,444 stops × 11 quarters). </w:t>
      </w:r>
    </w:p>
    <w:p w14:paraId="2089AB91" w14:textId="77777777" w:rsidR="00A33B44" w:rsidRDefault="00A33B44" w:rsidP="00413B61">
      <w:pPr>
        <w:autoSpaceDE w:val="0"/>
        <w:autoSpaceDN w:val="0"/>
        <w:adjustRightInd w:val="0"/>
        <w:rPr>
          <w:rFonts w:cs="Times New Roman"/>
          <w:szCs w:val="24"/>
        </w:rPr>
      </w:pPr>
    </w:p>
    <w:p w14:paraId="5C8798D7" w14:textId="77777777" w:rsidR="00A33B44" w:rsidRDefault="00A33B44" w:rsidP="00413B61">
      <w:pPr>
        <w:pStyle w:val="Heading2"/>
        <w:spacing w:before="0" w:after="0"/>
        <w:rPr>
          <w:rFonts w:eastAsiaTheme="minorEastAsia" w:cs="Times New Roman"/>
          <w:lang w:val="en-US"/>
        </w:rPr>
      </w:pPr>
      <w:r>
        <w:rPr>
          <w:rFonts w:cs="Times New Roman"/>
          <w:szCs w:val="24"/>
        </w:rPr>
        <w:t>Dependent Variables</w:t>
      </w:r>
    </w:p>
    <w:p w14:paraId="58FF4EAA" w14:textId="77777777" w:rsidR="00A33B44" w:rsidRDefault="00A33B44" w:rsidP="00413B61">
      <w:pPr>
        <w:autoSpaceDE w:val="0"/>
        <w:autoSpaceDN w:val="0"/>
        <w:adjustRightInd w:val="0"/>
        <w:rPr>
          <w:rFonts w:cs="Times New Roman"/>
          <w:szCs w:val="24"/>
        </w:rPr>
      </w:pPr>
      <w:r>
        <w:rPr>
          <w:rFonts w:cs="Times New Roman"/>
          <w:szCs w:val="24"/>
        </w:rPr>
        <w:t xml:space="preserve">For our analysis, headway variable and ridership variables – boarding and alighting – are considered as dependent variables. For headway variable, the percentage across categories is 9.1%, 37.7% and 53.2% for category 1, category 2 and category 3, respectively. The average daily stop level boarding (alighting) is around 18.84 (18.70) with a minimum of 0 (0) and maximum of 6,135 (5,943). A summary of the system-level ridership (boarding and alighting) is provided in Table 1. The reader would note that the standard deviation of ridership reported is large as the ridership varies significantly across different bus stops. </w:t>
      </w:r>
    </w:p>
    <w:p w14:paraId="60C2EA7F" w14:textId="77777777" w:rsidR="000432F8" w:rsidRDefault="000432F8" w:rsidP="00413B61">
      <w:pPr>
        <w:autoSpaceDE w:val="0"/>
        <w:autoSpaceDN w:val="0"/>
        <w:adjustRightInd w:val="0"/>
        <w:rPr>
          <w:rFonts w:cs="Times New Roman"/>
          <w:szCs w:val="24"/>
        </w:rPr>
      </w:pPr>
    </w:p>
    <w:p w14:paraId="1540640E" w14:textId="4F4D6E64" w:rsidR="000432F8" w:rsidRPr="00045904" w:rsidRDefault="000432F8" w:rsidP="000432F8">
      <w:pPr>
        <w:pStyle w:val="Caption"/>
        <w:spacing w:after="0"/>
        <w:rPr>
          <w:rFonts w:cs="Times New Roman"/>
          <w:b/>
          <w:i w:val="0"/>
          <w:color w:val="auto"/>
          <w:sz w:val="24"/>
          <w:szCs w:val="24"/>
        </w:rPr>
      </w:pPr>
      <w:r w:rsidRPr="00045904">
        <w:rPr>
          <w:b/>
          <w:i w:val="0"/>
          <w:color w:val="auto"/>
          <w:sz w:val="24"/>
        </w:rPr>
        <w:t xml:space="preserve">Table </w:t>
      </w:r>
      <w:r w:rsidRPr="00045904">
        <w:rPr>
          <w:b/>
          <w:i w:val="0"/>
          <w:color w:val="auto"/>
          <w:sz w:val="24"/>
        </w:rPr>
        <w:fldChar w:fldCharType="begin"/>
      </w:r>
      <w:r w:rsidRPr="00045904">
        <w:rPr>
          <w:b/>
          <w:i w:val="0"/>
          <w:color w:val="auto"/>
          <w:sz w:val="24"/>
        </w:rPr>
        <w:instrText xml:space="preserve"> SEQ Table \* ARABIC </w:instrText>
      </w:r>
      <w:r w:rsidRPr="00045904">
        <w:rPr>
          <w:b/>
          <w:i w:val="0"/>
          <w:color w:val="auto"/>
          <w:sz w:val="24"/>
        </w:rPr>
        <w:fldChar w:fldCharType="separate"/>
      </w:r>
      <w:r w:rsidR="0067710A">
        <w:rPr>
          <w:b/>
          <w:i w:val="0"/>
          <w:noProof/>
          <w:color w:val="auto"/>
          <w:sz w:val="24"/>
        </w:rPr>
        <w:t>1</w:t>
      </w:r>
      <w:r w:rsidRPr="00045904">
        <w:rPr>
          <w:b/>
          <w:i w:val="0"/>
          <w:color w:val="auto"/>
          <w:sz w:val="24"/>
        </w:rPr>
        <w:fldChar w:fldCharType="end"/>
      </w:r>
      <w:r w:rsidRPr="00045904">
        <w:rPr>
          <w:rFonts w:cs="Times New Roman"/>
          <w:b/>
          <w:i w:val="0"/>
          <w:color w:val="auto"/>
          <w:sz w:val="24"/>
          <w:szCs w:val="24"/>
        </w:rPr>
        <w:t xml:space="preserve"> Summary Statistics of Lynx Bus Ridership (August 2013 to </w:t>
      </w:r>
      <w:r>
        <w:rPr>
          <w:rFonts w:cs="Times New Roman"/>
          <w:b/>
          <w:i w:val="0"/>
          <w:color w:val="auto"/>
          <w:sz w:val="24"/>
          <w:szCs w:val="24"/>
        </w:rPr>
        <w:t>December 2016</w:t>
      </w:r>
      <w:r w:rsidRPr="00045904">
        <w:rPr>
          <w:rFonts w:cs="Times New Roman"/>
          <w:b/>
          <w:i w:val="0"/>
          <w:color w:val="auto"/>
          <w:sz w:val="24"/>
          <w:szCs w:val="24"/>
        </w:rPr>
        <w:t>)</w:t>
      </w:r>
    </w:p>
    <w:tbl>
      <w:tblPr>
        <w:tblW w:w="5000" w:type="pct"/>
        <w:tblLook w:val="04A0" w:firstRow="1" w:lastRow="0" w:firstColumn="1" w:lastColumn="0" w:noHBand="0" w:noVBand="1"/>
      </w:tblPr>
      <w:tblGrid>
        <w:gridCol w:w="991"/>
        <w:gridCol w:w="1647"/>
        <w:gridCol w:w="1669"/>
        <w:gridCol w:w="1669"/>
        <w:gridCol w:w="1669"/>
        <w:gridCol w:w="1669"/>
      </w:tblGrid>
      <w:tr w:rsidR="000432F8" w:rsidRPr="00415D18" w14:paraId="22508CBC" w14:textId="77777777" w:rsidTr="009B637B">
        <w:trPr>
          <w:trHeight w:val="288"/>
        </w:trPr>
        <w:tc>
          <w:tcPr>
            <w:tcW w:w="532" w:type="pct"/>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624B383D"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Time-period</w:t>
            </w:r>
          </w:p>
        </w:tc>
        <w:tc>
          <w:tcPr>
            <w:tcW w:w="884" w:type="pct"/>
            <w:vMerge w:val="restart"/>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B95D1D"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Quarter Name</w:t>
            </w:r>
          </w:p>
        </w:tc>
        <w:tc>
          <w:tcPr>
            <w:tcW w:w="1792" w:type="pct"/>
            <w:gridSpan w:val="2"/>
            <w:tcBorders>
              <w:top w:val="double" w:sz="6" w:space="0" w:color="auto"/>
              <w:left w:val="nil"/>
              <w:bottom w:val="single" w:sz="4" w:space="0" w:color="auto"/>
              <w:right w:val="single" w:sz="4" w:space="0" w:color="auto"/>
            </w:tcBorders>
            <w:shd w:val="clear" w:color="auto" w:fill="D9D9D9" w:themeFill="background1" w:themeFillShade="D9"/>
            <w:vAlign w:val="center"/>
            <w:hideMark/>
          </w:tcPr>
          <w:p w14:paraId="34362363"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Boarding</w:t>
            </w:r>
          </w:p>
        </w:tc>
        <w:tc>
          <w:tcPr>
            <w:tcW w:w="1792" w:type="pct"/>
            <w:gridSpan w:val="2"/>
            <w:tcBorders>
              <w:top w:val="double" w:sz="6" w:space="0" w:color="auto"/>
              <w:left w:val="nil"/>
              <w:bottom w:val="single" w:sz="4" w:space="0" w:color="auto"/>
              <w:right w:val="double" w:sz="6" w:space="0" w:color="000000"/>
            </w:tcBorders>
            <w:shd w:val="clear" w:color="auto" w:fill="D9D9D9" w:themeFill="background1" w:themeFillShade="D9"/>
            <w:vAlign w:val="center"/>
            <w:hideMark/>
          </w:tcPr>
          <w:p w14:paraId="1BF85E90"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Alighting</w:t>
            </w:r>
          </w:p>
        </w:tc>
      </w:tr>
      <w:tr w:rsidR="000432F8" w:rsidRPr="00415D18" w14:paraId="5700CE6B" w14:textId="77777777" w:rsidTr="009B637B">
        <w:trPr>
          <w:trHeight w:val="288"/>
        </w:trPr>
        <w:tc>
          <w:tcPr>
            <w:tcW w:w="532" w:type="pct"/>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0733DAA6" w14:textId="77777777" w:rsidR="000432F8" w:rsidRPr="002F1BD8" w:rsidRDefault="000432F8" w:rsidP="009B637B">
            <w:pPr>
              <w:jc w:val="left"/>
              <w:rPr>
                <w:rFonts w:eastAsia="Times New Roman" w:cs="Times New Roman"/>
                <w:b/>
                <w:bCs/>
                <w:color w:val="000000" w:themeColor="text1"/>
                <w:sz w:val="20"/>
                <w:szCs w:val="24"/>
                <w:lang w:val="en-US"/>
              </w:rPr>
            </w:pPr>
          </w:p>
        </w:tc>
        <w:tc>
          <w:tcPr>
            <w:tcW w:w="884" w:type="pct"/>
            <w:vMerge/>
            <w:tcBorders>
              <w:top w:val="double" w:sz="6"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7B751" w14:textId="77777777" w:rsidR="000432F8" w:rsidRPr="002F1BD8" w:rsidRDefault="000432F8" w:rsidP="009B637B">
            <w:pPr>
              <w:jc w:val="left"/>
              <w:rPr>
                <w:rFonts w:eastAsia="Times New Roman" w:cs="Times New Roman"/>
                <w:b/>
                <w:bCs/>
                <w:color w:val="000000" w:themeColor="text1"/>
                <w:sz w:val="20"/>
                <w:szCs w:val="24"/>
                <w:lang w:val="en-US"/>
              </w:rPr>
            </w:pPr>
          </w:p>
        </w:tc>
        <w:tc>
          <w:tcPr>
            <w:tcW w:w="896" w:type="pct"/>
            <w:tcBorders>
              <w:top w:val="nil"/>
              <w:left w:val="nil"/>
              <w:bottom w:val="single" w:sz="4" w:space="0" w:color="auto"/>
              <w:right w:val="single" w:sz="4" w:space="0" w:color="auto"/>
            </w:tcBorders>
            <w:shd w:val="clear" w:color="auto" w:fill="D9D9D9" w:themeFill="background1" w:themeFillShade="D9"/>
            <w:vAlign w:val="center"/>
            <w:hideMark/>
          </w:tcPr>
          <w:p w14:paraId="1F20944A"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Mean</w:t>
            </w:r>
          </w:p>
        </w:tc>
        <w:tc>
          <w:tcPr>
            <w:tcW w:w="896" w:type="pct"/>
            <w:tcBorders>
              <w:top w:val="nil"/>
              <w:left w:val="nil"/>
              <w:bottom w:val="single" w:sz="4" w:space="0" w:color="auto"/>
              <w:right w:val="single" w:sz="4" w:space="0" w:color="auto"/>
            </w:tcBorders>
            <w:shd w:val="clear" w:color="auto" w:fill="D9D9D9" w:themeFill="background1" w:themeFillShade="D9"/>
            <w:vAlign w:val="center"/>
            <w:hideMark/>
          </w:tcPr>
          <w:p w14:paraId="3FE5AA15"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Standard Deviation</w:t>
            </w:r>
          </w:p>
        </w:tc>
        <w:tc>
          <w:tcPr>
            <w:tcW w:w="896" w:type="pct"/>
            <w:tcBorders>
              <w:top w:val="nil"/>
              <w:left w:val="nil"/>
              <w:bottom w:val="single" w:sz="4" w:space="0" w:color="auto"/>
              <w:right w:val="single" w:sz="4" w:space="0" w:color="auto"/>
            </w:tcBorders>
            <w:shd w:val="clear" w:color="auto" w:fill="D9D9D9" w:themeFill="background1" w:themeFillShade="D9"/>
            <w:vAlign w:val="center"/>
            <w:hideMark/>
          </w:tcPr>
          <w:p w14:paraId="68BAC13E"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Mean</w:t>
            </w:r>
          </w:p>
        </w:tc>
        <w:tc>
          <w:tcPr>
            <w:tcW w:w="896" w:type="pct"/>
            <w:tcBorders>
              <w:top w:val="nil"/>
              <w:left w:val="nil"/>
              <w:bottom w:val="single" w:sz="4" w:space="0" w:color="auto"/>
              <w:right w:val="double" w:sz="6" w:space="0" w:color="auto"/>
            </w:tcBorders>
            <w:shd w:val="clear" w:color="auto" w:fill="D9D9D9" w:themeFill="background1" w:themeFillShade="D9"/>
            <w:vAlign w:val="center"/>
            <w:hideMark/>
          </w:tcPr>
          <w:p w14:paraId="5F944AA7" w14:textId="77777777" w:rsidR="000432F8" w:rsidRPr="002F1BD8" w:rsidRDefault="000432F8" w:rsidP="009B637B">
            <w:pPr>
              <w:jc w:val="left"/>
              <w:rPr>
                <w:rFonts w:eastAsia="Times New Roman" w:cs="Times New Roman"/>
                <w:b/>
                <w:bCs/>
                <w:color w:val="000000" w:themeColor="text1"/>
                <w:sz w:val="20"/>
                <w:szCs w:val="24"/>
                <w:lang w:val="en-US"/>
              </w:rPr>
            </w:pPr>
            <w:r w:rsidRPr="002F1BD8">
              <w:rPr>
                <w:rFonts w:eastAsia="Times New Roman" w:cs="Times New Roman"/>
                <w:b/>
                <w:bCs/>
                <w:color w:val="000000" w:themeColor="text1"/>
                <w:sz w:val="20"/>
                <w:szCs w:val="24"/>
                <w:lang w:val="en-US"/>
              </w:rPr>
              <w:t>Standard Deviation</w:t>
            </w:r>
          </w:p>
        </w:tc>
      </w:tr>
      <w:tr w:rsidR="000432F8" w:rsidRPr="00415D18" w14:paraId="6AC2A6D7"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hideMark/>
          </w:tcPr>
          <w:p w14:paraId="54FBD256"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w:t>
            </w:r>
          </w:p>
        </w:tc>
        <w:tc>
          <w:tcPr>
            <w:tcW w:w="884" w:type="pct"/>
            <w:tcBorders>
              <w:top w:val="nil"/>
              <w:left w:val="nil"/>
              <w:bottom w:val="single" w:sz="4" w:space="0" w:color="auto"/>
              <w:right w:val="single" w:sz="4" w:space="0" w:color="auto"/>
            </w:tcBorders>
            <w:shd w:val="clear" w:color="auto" w:fill="auto"/>
            <w:vAlign w:val="center"/>
            <w:hideMark/>
          </w:tcPr>
          <w:p w14:paraId="5BC1038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August-13</w:t>
            </w:r>
          </w:p>
        </w:tc>
        <w:tc>
          <w:tcPr>
            <w:tcW w:w="896" w:type="pct"/>
            <w:tcBorders>
              <w:top w:val="nil"/>
              <w:left w:val="nil"/>
              <w:bottom w:val="single" w:sz="4" w:space="0" w:color="auto"/>
              <w:right w:val="single" w:sz="4" w:space="0" w:color="auto"/>
            </w:tcBorders>
            <w:shd w:val="clear" w:color="auto" w:fill="auto"/>
            <w:vAlign w:val="center"/>
            <w:hideMark/>
          </w:tcPr>
          <w:p w14:paraId="16B2686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19.91</w:t>
            </w:r>
          </w:p>
        </w:tc>
        <w:tc>
          <w:tcPr>
            <w:tcW w:w="896" w:type="pct"/>
            <w:tcBorders>
              <w:top w:val="nil"/>
              <w:left w:val="nil"/>
              <w:bottom w:val="single" w:sz="4" w:space="0" w:color="auto"/>
              <w:right w:val="single" w:sz="4" w:space="0" w:color="auto"/>
            </w:tcBorders>
            <w:shd w:val="clear" w:color="auto" w:fill="auto"/>
            <w:vAlign w:val="center"/>
            <w:hideMark/>
          </w:tcPr>
          <w:p w14:paraId="555B2C80"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140.54</w:t>
            </w:r>
          </w:p>
        </w:tc>
        <w:tc>
          <w:tcPr>
            <w:tcW w:w="896" w:type="pct"/>
            <w:tcBorders>
              <w:top w:val="nil"/>
              <w:left w:val="nil"/>
              <w:bottom w:val="single" w:sz="4" w:space="0" w:color="auto"/>
              <w:right w:val="single" w:sz="4" w:space="0" w:color="auto"/>
            </w:tcBorders>
            <w:shd w:val="clear" w:color="auto" w:fill="auto"/>
            <w:vAlign w:val="center"/>
          </w:tcPr>
          <w:p w14:paraId="25C70D7B"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19.63</w:t>
            </w:r>
          </w:p>
        </w:tc>
        <w:tc>
          <w:tcPr>
            <w:tcW w:w="896" w:type="pct"/>
            <w:tcBorders>
              <w:top w:val="nil"/>
              <w:left w:val="nil"/>
              <w:bottom w:val="single" w:sz="4" w:space="0" w:color="auto"/>
              <w:right w:val="double" w:sz="6" w:space="0" w:color="auto"/>
            </w:tcBorders>
            <w:shd w:val="clear" w:color="auto" w:fill="auto"/>
            <w:vAlign w:val="center"/>
          </w:tcPr>
          <w:p w14:paraId="605CFF7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132.67</w:t>
            </w:r>
          </w:p>
        </w:tc>
      </w:tr>
      <w:tr w:rsidR="000432F8" w:rsidRPr="00415D18" w14:paraId="319B8D28"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hideMark/>
          </w:tcPr>
          <w:p w14:paraId="48878209"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2</w:t>
            </w:r>
          </w:p>
        </w:tc>
        <w:tc>
          <w:tcPr>
            <w:tcW w:w="884" w:type="pct"/>
            <w:tcBorders>
              <w:top w:val="nil"/>
              <w:left w:val="nil"/>
              <w:bottom w:val="single" w:sz="4" w:space="0" w:color="auto"/>
              <w:right w:val="single" w:sz="4" w:space="0" w:color="auto"/>
            </w:tcBorders>
            <w:shd w:val="clear" w:color="auto" w:fill="auto"/>
            <w:vAlign w:val="center"/>
            <w:hideMark/>
          </w:tcPr>
          <w:p w14:paraId="11947DB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December-13</w:t>
            </w:r>
          </w:p>
        </w:tc>
        <w:tc>
          <w:tcPr>
            <w:tcW w:w="896" w:type="pct"/>
            <w:tcBorders>
              <w:top w:val="nil"/>
              <w:left w:val="nil"/>
              <w:bottom w:val="single" w:sz="4" w:space="0" w:color="auto"/>
              <w:right w:val="single" w:sz="4" w:space="0" w:color="auto"/>
            </w:tcBorders>
            <w:shd w:val="clear" w:color="auto" w:fill="auto"/>
            <w:vAlign w:val="center"/>
            <w:hideMark/>
          </w:tcPr>
          <w:p w14:paraId="08A8C02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19.17</w:t>
            </w:r>
          </w:p>
        </w:tc>
        <w:tc>
          <w:tcPr>
            <w:tcW w:w="896" w:type="pct"/>
            <w:tcBorders>
              <w:top w:val="nil"/>
              <w:left w:val="nil"/>
              <w:bottom w:val="single" w:sz="4" w:space="0" w:color="auto"/>
              <w:right w:val="single" w:sz="4" w:space="0" w:color="auto"/>
            </w:tcBorders>
            <w:shd w:val="clear" w:color="auto" w:fill="auto"/>
            <w:vAlign w:val="center"/>
            <w:hideMark/>
          </w:tcPr>
          <w:p w14:paraId="4CDFB796"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135.70</w:t>
            </w:r>
          </w:p>
        </w:tc>
        <w:tc>
          <w:tcPr>
            <w:tcW w:w="896" w:type="pct"/>
            <w:tcBorders>
              <w:top w:val="nil"/>
              <w:left w:val="nil"/>
              <w:bottom w:val="single" w:sz="4" w:space="0" w:color="auto"/>
              <w:right w:val="single" w:sz="4" w:space="0" w:color="auto"/>
            </w:tcBorders>
            <w:shd w:val="clear" w:color="auto" w:fill="auto"/>
            <w:vAlign w:val="center"/>
          </w:tcPr>
          <w:p w14:paraId="3D92CA29"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19.04</w:t>
            </w:r>
          </w:p>
        </w:tc>
        <w:tc>
          <w:tcPr>
            <w:tcW w:w="896" w:type="pct"/>
            <w:tcBorders>
              <w:top w:val="nil"/>
              <w:left w:val="nil"/>
              <w:bottom w:val="single" w:sz="4" w:space="0" w:color="auto"/>
              <w:right w:val="double" w:sz="6" w:space="0" w:color="auto"/>
            </w:tcBorders>
            <w:shd w:val="clear" w:color="auto" w:fill="auto"/>
            <w:vAlign w:val="center"/>
          </w:tcPr>
          <w:p w14:paraId="43626A79"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129.16</w:t>
            </w:r>
          </w:p>
        </w:tc>
      </w:tr>
      <w:tr w:rsidR="000432F8" w:rsidRPr="00415D18" w14:paraId="1510EC61"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hideMark/>
          </w:tcPr>
          <w:p w14:paraId="3783124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3</w:t>
            </w:r>
          </w:p>
        </w:tc>
        <w:tc>
          <w:tcPr>
            <w:tcW w:w="884" w:type="pct"/>
            <w:tcBorders>
              <w:top w:val="nil"/>
              <w:left w:val="nil"/>
              <w:bottom w:val="single" w:sz="4" w:space="0" w:color="auto"/>
              <w:right w:val="single" w:sz="4" w:space="0" w:color="auto"/>
            </w:tcBorders>
            <w:shd w:val="clear" w:color="auto" w:fill="auto"/>
            <w:vAlign w:val="center"/>
            <w:hideMark/>
          </w:tcPr>
          <w:p w14:paraId="3A60B9A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April-14</w:t>
            </w:r>
          </w:p>
        </w:tc>
        <w:tc>
          <w:tcPr>
            <w:tcW w:w="896" w:type="pct"/>
            <w:tcBorders>
              <w:top w:val="nil"/>
              <w:left w:val="nil"/>
              <w:bottom w:val="single" w:sz="4" w:space="0" w:color="auto"/>
              <w:right w:val="single" w:sz="4" w:space="0" w:color="auto"/>
            </w:tcBorders>
            <w:shd w:val="clear" w:color="auto" w:fill="auto"/>
            <w:vAlign w:val="center"/>
          </w:tcPr>
          <w:p w14:paraId="2BBE4A27"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19.03</w:t>
            </w:r>
          </w:p>
        </w:tc>
        <w:tc>
          <w:tcPr>
            <w:tcW w:w="896" w:type="pct"/>
            <w:tcBorders>
              <w:top w:val="nil"/>
              <w:left w:val="nil"/>
              <w:bottom w:val="single" w:sz="4" w:space="0" w:color="auto"/>
              <w:right w:val="single" w:sz="4" w:space="0" w:color="auto"/>
            </w:tcBorders>
            <w:shd w:val="clear" w:color="auto" w:fill="auto"/>
            <w:vAlign w:val="center"/>
          </w:tcPr>
          <w:p w14:paraId="3E2F8CE4"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142.17</w:t>
            </w:r>
          </w:p>
        </w:tc>
        <w:tc>
          <w:tcPr>
            <w:tcW w:w="896" w:type="pct"/>
            <w:tcBorders>
              <w:top w:val="nil"/>
              <w:left w:val="nil"/>
              <w:bottom w:val="single" w:sz="4" w:space="0" w:color="auto"/>
              <w:right w:val="single" w:sz="4" w:space="0" w:color="auto"/>
            </w:tcBorders>
            <w:shd w:val="clear" w:color="auto" w:fill="auto"/>
            <w:vAlign w:val="center"/>
          </w:tcPr>
          <w:p w14:paraId="413CCEA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18.88</w:t>
            </w:r>
          </w:p>
        </w:tc>
        <w:tc>
          <w:tcPr>
            <w:tcW w:w="896" w:type="pct"/>
            <w:tcBorders>
              <w:top w:val="nil"/>
              <w:left w:val="nil"/>
              <w:bottom w:val="single" w:sz="4" w:space="0" w:color="auto"/>
              <w:right w:val="double" w:sz="6" w:space="0" w:color="auto"/>
            </w:tcBorders>
            <w:shd w:val="clear" w:color="auto" w:fill="auto"/>
            <w:vAlign w:val="center"/>
          </w:tcPr>
          <w:p w14:paraId="54D1F0D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137.42</w:t>
            </w:r>
          </w:p>
        </w:tc>
      </w:tr>
      <w:tr w:rsidR="000432F8" w:rsidRPr="00415D18" w14:paraId="4AC6DE13"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hideMark/>
          </w:tcPr>
          <w:p w14:paraId="45490647"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4</w:t>
            </w:r>
          </w:p>
        </w:tc>
        <w:tc>
          <w:tcPr>
            <w:tcW w:w="884" w:type="pct"/>
            <w:tcBorders>
              <w:top w:val="nil"/>
              <w:left w:val="nil"/>
              <w:bottom w:val="single" w:sz="4" w:space="0" w:color="auto"/>
              <w:right w:val="single" w:sz="4" w:space="0" w:color="auto"/>
            </w:tcBorders>
            <w:shd w:val="clear" w:color="auto" w:fill="auto"/>
            <w:vAlign w:val="center"/>
            <w:hideMark/>
          </w:tcPr>
          <w:p w14:paraId="1D829EB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August-14</w:t>
            </w:r>
          </w:p>
        </w:tc>
        <w:tc>
          <w:tcPr>
            <w:tcW w:w="896" w:type="pct"/>
            <w:tcBorders>
              <w:top w:val="nil"/>
              <w:left w:val="nil"/>
              <w:bottom w:val="single" w:sz="4" w:space="0" w:color="auto"/>
              <w:right w:val="single" w:sz="4" w:space="0" w:color="auto"/>
            </w:tcBorders>
            <w:shd w:val="clear" w:color="auto" w:fill="auto"/>
            <w:vAlign w:val="center"/>
          </w:tcPr>
          <w:p w14:paraId="3710CDC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19.66</w:t>
            </w:r>
          </w:p>
        </w:tc>
        <w:tc>
          <w:tcPr>
            <w:tcW w:w="896" w:type="pct"/>
            <w:tcBorders>
              <w:top w:val="nil"/>
              <w:left w:val="nil"/>
              <w:bottom w:val="single" w:sz="4" w:space="0" w:color="auto"/>
              <w:right w:val="single" w:sz="4" w:space="0" w:color="auto"/>
            </w:tcBorders>
            <w:shd w:val="clear" w:color="auto" w:fill="auto"/>
            <w:vAlign w:val="center"/>
          </w:tcPr>
          <w:p w14:paraId="1AB2C3E1"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144.18</w:t>
            </w:r>
          </w:p>
        </w:tc>
        <w:tc>
          <w:tcPr>
            <w:tcW w:w="896" w:type="pct"/>
            <w:tcBorders>
              <w:top w:val="nil"/>
              <w:left w:val="nil"/>
              <w:bottom w:val="single" w:sz="4" w:space="0" w:color="auto"/>
              <w:right w:val="single" w:sz="4" w:space="0" w:color="auto"/>
            </w:tcBorders>
            <w:shd w:val="clear" w:color="auto" w:fill="auto"/>
            <w:vAlign w:val="center"/>
          </w:tcPr>
          <w:p w14:paraId="571142E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19.50</w:t>
            </w:r>
          </w:p>
        </w:tc>
        <w:tc>
          <w:tcPr>
            <w:tcW w:w="896" w:type="pct"/>
            <w:tcBorders>
              <w:top w:val="nil"/>
              <w:left w:val="nil"/>
              <w:bottom w:val="single" w:sz="4" w:space="0" w:color="auto"/>
              <w:right w:val="double" w:sz="6" w:space="0" w:color="auto"/>
            </w:tcBorders>
            <w:shd w:val="clear" w:color="auto" w:fill="auto"/>
            <w:vAlign w:val="center"/>
          </w:tcPr>
          <w:p w14:paraId="4C3FE87D"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136.68</w:t>
            </w:r>
          </w:p>
        </w:tc>
      </w:tr>
      <w:tr w:rsidR="000432F8" w:rsidRPr="00415D18" w14:paraId="777FD202"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tcPr>
          <w:p w14:paraId="4A425080"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5</w:t>
            </w:r>
          </w:p>
        </w:tc>
        <w:tc>
          <w:tcPr>
            <w:tcW w:w="884" w:type="pct"/>
            <w:tcBorders>
              <w:top w:val="nil"/>
              <w:left w:val="nil"/>
              <w:bottom w:val="single" w:sz="4" w:space="0" w:color="auto"/>
              <w:right w:val="single" w:sz="4" w:space="0" w:color="auto"/>
            </w:tcBorders>
            <w:shd w:val="clear" w:color="auto" w:fill="auto"/>
            <w:vAlign w:val="center"/>
          </w:tcPr>
          <w:p w14:paraId="6D1710EB"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December-14</w:t>
            </w:r>
          </w:p>
        </w:tc>
        <w:tc>
          <w:tcPr>
            <w:tcW w:w="896" w:type="pct"/>
            <w:tcBorders>
              <w:top w:val="nil"/>
              <w:left w:val="nil"/>
              <w:bottom w:val="single" w:sz="4" w:space="0" w:color="auto"/>
              <w:right w:val="single" w:sz="4" w:space="0" w:color="auto"/>
            </w:tcBorders>
            <w:shd w:val="clear" w:color="auto" w:fill="auto"/>
            <w:vAlign w:val="center"/>
          </w:tcPr>
          <w:p w14:paraId="28F1001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18.51</w:t>
            </w:r>
          </w:p>
        </w:tc>
        <w:tc>
          <w:tcPr>
            <w:tcW w:w="896" w:type="pct"/>
            <w:tcBorders>
              <w:top w:val="nil"/>
              <w:left w:val="nil"/>
              <w:bottom w:val="single" w:sz="4" w:space="0" w:color="auto"/>
              <w:right w:val="single" w:sz="4" w:space="0" w:color="auto"/>
            </w:tcBorders>
            <w:shd w:val="clear" w:color="auto" w:fill="auto"/>
            <w:vAlign w:val="center"/>
          </w:tcPr>
          <w:p w14:paraId="409CF11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132.80</w:t>
            </w:r>
          </w:p>
        </w:tc>
        <w:tc>
          <w:tcPr>
            <w:tcW w:w="896" w:type="pct"/>
            <w:tcBorders>
              <w:top w:val="nil"/>
              <w:left w:val="nil"/>
              <w:bottom w:val="single" w:sz="4" w:space="0" w:color="auto"/>
              <w:right w:val="single" w:sz="4" w:space="0" w:color="auto"/>
            </w:tcBorders>
            <w:shd w:val="clear" w:color="auto" w:fill="auto"/>
            <w:vAlign w:val="center"/>
          </w:tcPr>
          <w:p w14:paraId="5FD98918"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18.45</w:t>
            </w:r>
          </w:p>
        </w:tc>
        <w:tc>
          <w:tcPr>
            <w:tcW w:w="896" w:type="pct"/>
            <w:tcBorders>
              <w:top w:val="nil"/>
              <w:left w:val="nil"/>
              <w:bottom w:val="single" w:sz="4" w:space="0" w:color="auto"/>
              <w:right w:val="double" w:sz="6" w:space="0" w:color="auto"/>
            </w:tcBorders>
            <w:shd w:val="clear" w:color="auto" w:fill="auto"/>
            <w:vAlign w:val="center"/>
          </w:tcPr>
          <w:p w14:paraId="376D4F16"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128.70</w:t>
            </w:r>
          </w:p>
        </w:tc>
      </w:tr>
      <w:tr w:rsidR="000432F8" w:rsidRPr="00415D18" w14:paraId="434B5427"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tcPr>
          <w:p w14:paraId="7DA8A0D1"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6</w:t>
            </w:r>
          </w:p>
        </w:tc>
        <w:tc>
          <w:tcPr>
            <w:tcW w:w="884" w:type="pct"/>
            <w:tcBorders>
              <w:top w:val="nil"/>
              <w:left w:val="nil"/>
              <w:bottom w:val="single" w:sz="4" w:space="0" w:color="auto"/>
              <w:right w:val="single" w:sz="4" w:space="0" w:color="auto"/>
            </w:tcBorders>
            <w:shd w:val="clear" w:color="auto" w:fill="auto"/>
            <w:vAlign w:val="center"/>
          </w:tcPr>
          <w:p w14:paraId="492E692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April-15</w:t>
            </w:r>
          </w:p>
        </w:tc>
        <w:tc>
          <w:tcPr>
            <w:tcW w:w="896" w:type="pct"/>
            <w:tcBorders>
              <w:top w:val="nil"/>
              <w:left w:val="nil"/>
              <w:bottom w:val="single" w:sz="4" w:space="0" w:color="auto"/>
              <w:right w:val="single" w:sz="4" w:space="0" w:color="auto"/>
            </w:tcBorders>
            <w:shd w:val="clear" w:color="auto" w:fill="auto"/>
            <w:vAlign w:val="center"/>
          </w:tcPr>
          <w:p w14:paraId="14843D4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18.81</w:t>
            </w:r>
          </w:p>
        </w:tc>
        <w:tc>
          <w:tcPr>
            <w:tcW w:w="896" w:type="pct"/>
            <w:tcBorders>
              <w:top w:val="nil"/>
              <w:left w:val="nil"/>
              <w:bottom w:val="single" w:sz="4" w:space="0" w:color="auto"/>
              <w:right w:val="single" w:sz="4" w:space="0" w:color="auto"/>
            </w:tcBorders>
            <w:shd w:val="clear" w:color="auto" w:fill="auto"/>
            <w:vAlign w:val="center"/>
          </w:tcPr>
          <w:p w14:paraId="302EC2C7"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138.54</w:t>
            </w:r>
          </w:p>
        </w:tc>
        <w:tc>
          <w:tcPr>
            <w:tcW w:w="896" w:type="pct"/>
            <w:tcBorders>
              <w:top w:val="nil"/>
              <w:left w:val="nil"/>
              <w:bottom w:val="single" w:sz="4" w:space="0" w:color="auto"/>
              <w:right w:val="single" w:sz="4" w:space="0" w:color="auto"/>
            </w:tcBorders>
            <w:shd w:val="clear" w:color="auto" w:fill="auto"/>
            <w:vAlign w:val="center"/>
          </w:tcPr>
          <w:p w14:paraId="0CF30FC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18.89</w:t>
            </w:r>
          </w:p>
        </w:tc>
        <w:tc>
          <w:tcPr>
            <w:tcW w:w="896" w:type="pct"/>
            <w:tcBorders>
              <w:top w:val="nil"/>
              <w:left w:val="nil"/>
              <w:bottom w:val="single" w:sz="4" w:space="0" w:color="auto"/>
              <w:right w:val="double" w:sz="6" w:space="0" w:color="auto"/>
            </w:tcBorders>
            <w:shd w:val="clear" w:color="auto" w:fill="auto"/>
            <w:vAlign w:val="center"/>
          </w:tcPr>
          <w:p w14:paraId="63B21E90"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133.20</w:t>
            </w:r>
          </w:p>
        </w:tc>
      </w:tr>
      <w:tr w:rsidR="000432F8" w:rsidRPr="00415D18" w14:paraId="70961D9A"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tcPr>
          <w:p w14:paraId="3BE82DD7"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7</w:t>
            </w:r>
          </w:p>
        </w:tc>
        <w:tc>
          <w:tcPr>
            <w:tcW w:w="884" w:type="pct"/>
            <w:tcBorders>
              <w:top w:val="nil"/>
              <w:left w:val="nil"/>
              <w:bottom w:val="single" w:sz="4" w:space="0" w:color="auto"/>
              <w:right w:val="single" w:sz="4" w:space="0" w:color="auto"/>
            </w:tcBorders>
            <w:shd w:val="clear" w:color="auto" w:fill="auto"/>
            <w:vAlign w:val="center"/>
          </w:tcPr>
          <w:p w14:paraId="55336A7E"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August-15</w:t>
            </w:r>
          </w:p>
        </w:tc>
        <w:tc>
          <w:tcPr>
            <w:tcW w:w="896" w:type="pct"/>
            <w:tcBorders>
              <w:top w:val="nil"/>
              <w:left w:val="nil"/>
              <w:bottom w:val="single" w:sz="4" w:space="0" w:color="auto"/>
              <w:right w:val="single" w:sz="4" w:space="0" w:color="auto"/>
            </w:tcBorders>
            <w:shd w:val="clear" w:color="auto" w:fill="auto"/>
            <w:vAlign w:val="center"/>
          </w:tcPr>
          <w:p w14:paraId="3089585D"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18.79</w:t>
            </w:r>
          </w:p>
        </w:tc>
        <w:tc>
          <w:tcPr>
            <w:tcW w:w="896" w:type="pct"/>
            <w:tcBorders>
              <w:top w:val="nil"/>
              <w:left w:val="nil"/>
              <w:bottom w:val="single" w:sz="4" w:space="0" w:color="auto"/>
              <w:right w:val="single" w:sz="4" w:space="0" w:color="auto"/>
            </w:tcBorders>
            <w:shd w:val="clear" w:color="auto" w:fill="auto"/>
            <w:vAlign w:val="center"/>
          </w:tcPr>
          <w:p w14:paraId="200FB38A"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138.63</w:t>
            </w:r>
          </w:p>
        </w:tc>
        <w:tc>
          <w:tcPr>
            <w:tcW w:w="896" w:type="pct"/>
            <w:tcBorders>
              <w:top w:val="nil"/>
              <w:left w:val="nil"/>
              <w:bottom w:val="single" w:sz="4" w:space="0" w:color="auto"/>
              <w:right w:val="single" w:sz="4" w:space="0" w:color="auto"/>
            </w:tcBorders>
            <w:shd w:val="clear" w:color="auto" w:fill="auto"/>
            <w:vAlign w:val="center"/>
          </w:tcPr>
          <w:p w14:paraId="1567811D"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18.77</w:t>
            </w:r>
          </w:p>
        </w:tc>
        <w:tc>
          <w:tcPr>
            <w:tcW w:w="896" w:type="pct"/>
            <w:tcBorders>
              <w:top w:val="nil"/>
              <w:left w:val="nil"/>
              <w:bottom w:val="single" w:sz="4" w:space="0" w:color="auto"/>
              <w:right w:val="double" w:sz="6" w:space="0" w:color="auto"/>
            </w:tcBorders>
            <w:shd w:val="clear" w:color="auto" w:fill="auto"/>
            <w:vAlign w:val="center"/>
          </w:tcPr>
          <w:p w14:paraId="3ED0F00E"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132.55</w:t>
            </w:r>
          </w:p>
        </w:tc>
      </w:tr>
      <w:tr w:rsidR="000432F8" w:rsidRPr="00415D18" w14:paraId="4D957B36"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tcPr>
          <w:p w14:paraId="49FA98F4"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8</w:t>
            </w:r>
          </w:p>
        </w:tc>
        <w:tc>
          <w:tcPr>
            <w:tcW w:w="884" w:type="pct"/>
            <w:tcBorders>
              <w:top w:val="nil"/>
              <w:left w:val="nil"/>
              <w:bottom w:val="single" w:sz="4" w:space="0" w:color="auto"/>
              <w:right w:val="single" w:sz="4" w:space="0" w:color="auto"/>
            </w:tcBorders>
            <w:shd w:val="clear" w:color="auto" w:fill="auto"/>
            <w:vAlign w:val="center"/>
          </w:tcPr>
          <w:p w14:paraId="2DCA93CC"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December-15</w:t>
            </w:r>
          </w:p>
        </w:tc>
        <w:tc>
          <w:tcPr>
            <w:tcW w:w="896" w:type="pct"/>
            <w:tcBorders>
              <w:top w:val="nil"/>
              <w:left w:val="nil"/>
              <w:bottom w:val="single" w:sz="4" w:space="0" w:color="auto"/>
              <w:right w:val="single" w:sz="4" w:space="0" w:color="auto"/>
            </w:tcBorders>
            <w:shd w:val="clear" w:color="auto" w:fill="auto"/>
            <w:vAlign w:val="center"/>
          </w:tcPr>
          <w:p w14:paraId="4F94B3B4"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18.55</w:t>
            </w:r>
          </w:p>
        </w:tc>
        <w:tc>
          <w:tcPr>
            <w:tcW w:w="896" w:type="pct"/>
            <w:tcBorders>
              <w:top w:val="nil"/>
              <w:left w:val="nil"/>
              <w:bottom w:val="single" w:sz="4" w:space="0" w:color="auto"/>
              <w:right w:val="single" w:sz="4" w:space="0" w:color="auto"/>
            </w:tcBorders>
            <w:shd w:val="clear" w:color="auto" w:fill="auto"/>
            <w:vAlign w:val="center"/>
          </w:tcPr>
          <w:p w14:paraId="16BEDBE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131.09</w:t>
            </w:r>
          </w:p>
        </w:tc>
        <w:tc>
          <w:tcPr>
            <w:tcW w:w="896" w:type="pct"/>
            <w:tcBorders>
              <w:top w:val="nil"/>
              <w:left w:val="nil"/>
              <w:bottom w:val="single" w:sz="4" w:space="0" w:color="auto"/>
              <w:right w:val="single" w:sz="4" w:space="0" w:color="auto"/>
            </w:tcBorders>
            <w:shd w:val="clear" w:color="auto" w:fill="auto"/>
            <w:vAlign w:val="center"/>
          </w:tcPr>
          <w:p w14:paraId="3306184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18.43</w:t>
            </w:r>
          </w:p>
        </w:tc>
        <w:tc>
          <w:tcPr>
            <w:tcW w:w="896" w:type="pct"/>
            <w:tcBorders>
              <w:top w:val="nil"/>
              <w:left w:val="nil"/>
              <w:bottom w:val="single" w:sz="4" w:space="0" w:color="auto"/>
              <w:right w:val="double" w:sz="6" w:space="0" w:color="auto"/>
            </w:tcBorders>
            <w:shd w:val="clear" w:color="auto" w:fill="auto"/>
            <w:vAlign w:val="center"/>
          </w:tcPr>
          <w:p w14:paraId="0BDD8DCC"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129.42</w:t>
            </w:r>
          </w:p>
        </w:tc>
      </w:tr>
      <w:tr w:rsidR="000432F8" w:rsidRPr="00415D18" w14:paraId="550F47F4"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hideMark/>
          </w:tcPr>
          <w:p w14:paraId="7AA4B7FB"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lastRenderedPageBreak/>
              <w:t>9</w:t>
            </w:r>
          </w:p>
        </w:tc>
        <w:tc>
          <w:tcPr>
            <w:tcW w:w="884" w:type="pct"/>
            <w:tcBorders>
              <w:top w:val="nil"/>
              <w:left w:val="nil"/>
              <w:bottom w:val="single" w:sz="4" w:space="0" w:color="auto"/>
              <w:right w:val="single" w:sz="4" w:space="0" w:color="auto"/>
            </w:tcBorders>
            <w:shd w:val="clear" w:color="auto" w:fill="auto"/>
            <w:vAlign w:val="center"/>
            <w:hideMark/>
          </w:tcPr>
          <w:p w14:paraId="1C33119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April-16</w:t>
            </w:r>
          </w:p>
        </w:tc>
        <w:tc>
          <w:tcPr>
            <w:tcW w:w="896" w:type="pct"/>
            <w:tcBorders>
              <w:top w:val="nil"/>
              <w:left w:val="nil"/>
              <w:bottom w:val="single" w:sz="4" w:space="0" w:color="auto"/>
              <w:right w:val="single" w:sz="4" w:space="0" w:color="auto"/>
            </w:tcBorders>
            <w:shd w:val="clear" w:color="auto" w:fill="auto"/>
            <w:vAlign w:val="center"/>
          </w:tcPr>
          <w:p w14:paraId="6E35CB67"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17.84</w:t>
            </w:r>
          </w:p>
        </w:tc>
        <w:tc>
          <w:tcPr>
            <w:tcW w:w="896" w:type="pct"/>
            <w:tcBorders>
              <w:top w:val="nil"/>
              <w:left w:val="nil"/>
              <w:bottom w:val="single" w:sz="4" w:space="0" w:color="auto"/>
              <w:right w:val="single" w:sz="4" w:space="0" w:color="auto"/>
            </w:tcBorders>
            <w:shd w:val="clear" w:color="auto" w:fill="auto"/>
            <w:vAlign w:val="center"/>
          </w:tcPr>
          <w:p w14:paraId="20C9258E"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127.10</w:t>
            </w:r>
          </w:p>
        </w:tc>
        <w:tc>
          <w:tcPr>
            <w:tcW w:w="896" w:type="pct"/>
            <w:tcBorders>
              <w:top w:val="nil"/>
              <w:left w:val="nil"/>
              <w:bottom w:val="single" w:sz="4" w:space="0" w:color="auto"/>
              <w:right w:val="single" w:sz="4" w:space="0" w:color="auto"/>
            </w:tcBorders>
            <w:shd w:val="clear" w:color="auto" w:fill="auto"/>
            <w:vAlign w:val="center"/>
          </w:tcPr>
          <w:p w14:paraId="5FB28B3B"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17.83</w:t>
            </w:r>
          </w:p>
        </w:tc>
        <w:tc>
          <w:tcPr>
            <w:tcW w:w="896" w:type="pct"/>
            <w:tcBorders>
              <w:top w:val="nil"/>
              <w:left w:val="nil"/>
              <w:bottom w:val="single" w:sz="4" w:space="0" w:color="auto"/>
              <w:right w:val="double" w:sz="6" w:space="0" w:color="auto"/>
            </w:tcBorders>
            <w:shd w:val="clear" w:color="auto" w:fill="auto"/>
            <w:vAlign w:val="center"/>
          </w:tcPr>
          <w:p w14:paraId="5F943DA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126.67</w:t>
            </w:r>
          </w:p>
        </w:tc>
      </w:tr>
      <w:tr w:rsidR="000432F8" w:rsidRPr="00415D18" w14:paraId="5E42DE42" w14:textId="77777777" w:rsidTr="009B637B">
        <w:trPr>
          <w:trHeight w:val="288"/>
        </w:trPr>
        <w:tc>
          <w:tcPr>
            <w:tcW w:w="532" w:type="pct"/>
            <w:tcBorders>
              <w:top w:val="nil"/>
              <w:left w:val="double" w:sz="6" w:space="0" w:color="auto"/>
              <w:bottom w:val="single" w:sz="4" w:space="0" w:color="auto"/>
              <w:right w:val="single" w:sz="4" w:space="0" w:color="auto"/>
            </w:tcBorders>
            <w:shd w:val="clear" w:color="auto" w:fill="auto"/>
            <w:vAlign w:val="center"/>
          </w:tcPr>
          <w:p w14:paraId="46482C4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10</w:t>
            </w:r>
          </w:p>
        </w:tc>
        <w:tc>
          <w:tcPr>
            <w:tcW w:w="884" w:type="pct"/>
            <w:tcBorders>
              <w:top w:val="nil"/>
              <w:left w:val="nil"/>
              <w:bottom w:val="single" w:sz="4" w:space="0" w:color="auto"/>
              <w:right w:val="single" w:sz="4" w:space="0" w:color="auto"/>
            </w:tcBorders>
            <w:shd w:val="clear" w:color="auto" w:fill="auto"/>
            <w:vAlign w:val="center"/>
          </w:tcPr>
          <w:p w14:paraId="59D6F14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August-16</w:t>
            </w:r>
          </w:p>
        </w:tc>
        <w:tc>
          <w:tcPr>
            <w:tcW w:w="896" w:type="pct"/>
            <w:tcBorders>
              <w:top w:val="nil"/>
              <w:left w:val="nil"/>
              <w:bottom w:val="single" w:sz="4" w:space="0" w:color="auto"/>
              <w:right w:val="single" w:sz="4" w:space="0" w:color="auto"/>
            </w:tcBorders>
            <w:shd w:val="clear" w:color="auto" w:fill="auto"/>
            <w:vAlign w:val="center"/>
          </w:tcPr>
          <w:p w14:paraId="25F278E6"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18.64</w:t>
            </w:r>
          </w:p>
        </w:tc>
        <w:tc>
          <w:tcPr>
            <w:tcW w:w="896" w:type="pct"/>
            <w:tcBorders>
              <w:top w:val="nil"/>
              <w:left w:val="nil"/>
              <w:bottom w:val="single" w:sz="4" w:space="0" w:color="auto"/>
              <w:right w:val="single" w:sz="4" w:space="0" w:color="auto"/>
            </w:tcBorders>
            <w:shd w:val="clear" w:color="auto" w:fill="auto"/>
            <w:vAlign w:val="center"/>
          </w:tcPr>
          <w:p w14:paraId="6214D60F"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131.77</w:t>
            </w:r>
          </w:p>
        </w:tc>
        <w:tc>
          <w:tcPr>
            <w:tcW w:w="896" w:type="pct"/>
            <w:tcBorders>
              <w:top w:val="nil"/>
              <w:left w:val="nil"/>
              <w:bottom w:val="single" w:sz="4" w:space="0" w:color="auto"/>
              <w:right w:val="single" w:sz="4" w:space="0" w:color="auto"/>
            </w:tcBorders>
            <w:shd w:val="clear" w:color="auto" w:fill="auto"/>
            <w:vAlign w:val="center"/>
          </w:tcPr>
          <w:p w14:paraId="5464FABA"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18.50</w:t>
            </w:r>
          </w:p>
        </w:tc>
        <w:tc>
          <w:tcPr>
            <w:tcW w:w="896" w:type="pct"/>
            <w:tcBorders>
              <w:top w:val="nil"/>
              <w:left w:val="nil"/>
              <w:bottom w:val="single" w:sz="4" w:space="0" w:color="auto"/>
              <w:right w:val="double" w:sz="6" w:space="0" w:color="auto"/>
            </w:tcBorders>
            <w:shd w:val="clear" w:color="auto" w:fill="auto"/>
            <w:vAlign w:val="center"/>
          </w:tcPr>
          <w:p w14:paraId="40F3A66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130.15</w:t>
            </w:r>
          </w:p>
        </w:tc>
      </w:tr>
      <w:tr w:rsidR="000432F8" w:rsidRPr="00415D18" w14:paraId="12870476" w14:textId="77777777" w:rsidTr="009B637B">
        <w:trPr>
          <w:trHeight w:val="288"/>
        </w:trPr>
        <w:tc>
          <w:tcPr>
            <w:tcW w:w="532" w:type="pct"/>
            <w:tcBorders>
              <w:top w:val="nil"/>
              <w:left w:val="double" w:sz="6" w:space="0" w:color="auto"/>
              <w:bottom w:val="double" w:sz="6" w:space="0" w:color="auto"/>
              <w:right w:val="single" w:sz="4" w:space="0" w:color="auto"/>
            </w:tcBorders>
            <w:shd w:val="clear" w:color="auto" w:fill="auto"/>
            <w:vAlign w:val="center"/>
            <w:hideMark/>
          </w:tcPr>
          <w:p w14:paraId="46556FF4"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11</w:t>
            </w:r>
          </w:p>
        </w:tc>
        <w:tc>
          <w:tcPr>
            <w:tcW w:w="884" w:type="pct"/>
            <w:tcBorders>
              <w:top w:val="nil"/>
              <w:left w:val="nil"/>
              <w:bottom w:val="double" w:sz="6" w:space="0" w:color="auto"/>
              <w:right w:val="single" w:sz="4" w:space="0" w:color="auto"/>
            </w:tcBorders>
            <w:shd w:val="clear" w:color="auto" w:fill="auto"/>
            <w:vAlign w:val="center"/>
            <w:hideMark/>
          </w:tcPr>
          <w:p w14:paraId="56B4C5A5"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December-16</w:t>
            </w:r>
          </w:p>
        </w:tc>
        <w:tc>
          <w:tcPr>
            <w:tcW w:w="896" w:type="pct"/>
            <w:tcBorders>
              <w:top w:val="nil"/>
              <w:left w:val="nil"/>
              <w:bottom w:val="double" w:sz="6" w:space="0" w:color="auto"/>
              <w:right w:val="single" w:sz="4" w:space="0" w:color="auto"/>
            </w:tcBorders>
            <w:shd w:val="clear" w:color="auto" w:fill="auto"/>
            <w:vAlign w:val="center"/>
          </w:tcPr>
          <w:p w14:paraId="700F3B4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18.29</w:t>
            </w:r>
          </w:p>
        </w:tc>
        <w:tc>
          <w:tcPr>
            <w:tcW w:w="896" w:type="pct"/>
            <w:tcBorders>
              <w:top w:val="nil"/>
              <w:left w:val="nil"/>
              <w:bottom w:val="double" w:sz="6" w:space="0" w:color="auto"/>
              <w:right w:val="single" w:sz="4" w:space="0" w:color="auto"/>
            </w:tcBorders>
            <w:shd w:val="clear" w:color="auto" w:fill="auto"/>
            <w:vAlign w:val="center"/>
          </w:tcPr>
          <w:p w14:paraId="13613789"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129.38</w:t>
            </w:r>
          </w:p>
        </w:tc>
        <w:tc>
          <w:tcPr>
            <w:tcW w:w="896" w:type="pct"/>
            <w:tcBorders>
              <w:top w:val="nil"/>
              <w:left w:val="nil"/>
              <w:bottom w:val="double" w:sz="6" w:space="0" w:color="auto"/>
              <w:right w:val="single" w:sz="4" w:space="0" w:color="auto"/>
            </w:tcBorders>
            <w:shd w:val="clear" w:color="auto" w:fill="auto"/>
            <w:vAlign w:val="center"/>
          </w:tcPr>
          <w:p w14:paraId="139C2D42"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17.84</w:t>
            </w:r>
          </w:p>
        </w:tc>
        <w:tc>
          <w:tcPr>
            <w:tcW w:w="896" w:type="pct"/>
            <w:tcBorders>
              <w:top w:val="nil"/>
              <w:left w:val="nil"/>
              <w:bottom w:val="double" w:sz="6" w:space="0" w:color="auto"/>
              <w:right w:val="double" w:sz="6" w:space="0" w:color="auto"/>
            </w:tcBorders>
            <w:shd w:val="clear" w:color="auto" w:fill="auto"/>
            <w:vAlign w:val="center"/>
          </w:tcPr>
          <w:p w14:paraId="6980F013" w14:textId="77777777" w:rsidR="000432F8" w:rsidRPr="002F1BD8" w:rsidRDefault="000432F8" w:rsidP="009B637B">
            <w:pPr>
              <w:jc w:val="left"/>
              <w:rPr>
                <w:rFonts w:eastAsia="Times New Roman" w:cs="Times New Roman"/>
                <w:color w:val="000000" w:themeColor="text1"/>
                <w:sz w:val="20"/>
                <w:szCs w:val="24"/>
                <w:lang w:val="en-US"/>
              </w:rPr>
            </w:pPr>
            <w:r w:rsidRPr="002F1BD8">
              <w:rPr>
                <w:rFonts w:eastAsia="Times New Roman" w:cs="Times New Roman"/>
                <w:color w:val="000000" w:themeColor="text1"/>
                <w:sz w:val="20"/>
                <w:szCs w:val="24"/>
                <w:lang w:val="en-US"/>
              </w:rPr>
              <w:t>124.80</w:t>
            </w:r>
          </w:p>
        </w:tc>
      </w:tr>
    </w:tbl>
    <w:p w14:paraId="5579B270" w14:textId="77777777" w:rsidR="00A33B44" w:rsidRDefault="00A33B44" w:rsidP="00413B61">
      <w:pPr>
        <w:rPr>
          <w:rFonts w:cs="Times New Roman"/>
          <w:szCs w:val="24"/>
        </w:rPr>
      </w:pPr>
    </w:p>
    <w:p w14:paraId="38BF54FF" w14:textId="77777777" w:rsidR="00A33B44" w:rsidRDefault="00A33B44" w:rsidP="00413B61">
      <w:pPr>
        <w:pStyle w:val="Heading2"/>
        <w:spacing w:before="0" w:after="0"/>
        <w:rPr>
          <w:rFonts w:eastAsiaTheme="minorEastAsia" w:cs="Times New Roman"/>
          <w:lang w:val="en-US"/>
        </w:rPr>
      </w:pPr>
      <w:r>
        <w:rPr>
          <w:rFonts w:cs="Times New Roman"/>
          <w:szCs w:val="24"/>
        </w:rPr>
        <w:t>Independent Variables</w:t>
      </w:r>
    </w:p>
    <w:p w14:paraId="1F2C7A1A" w14:textId="12581685" w:rsidR="00A33B44" w:rsidRDefault="00A33B44" w:rsidP="00413B61">
      <w:pPr>
        <w:rPr>
          <w:rFonts w:cs="Times New Roman"/>
          <w:szCs w:val="24"/>
        </w:rPr>
        <w:sectPr w:rsidR="00A33B44" w:rsidSect="00413B61">
          <w:headerReference w:type="default" r:id="rId10"/>
          <w:footerReference w:type="default" r:id="rId11"/>
          <w:pgSz w:w="12240" w:h="15840"/>
          <w:pgMar w:top="1440" w:right="1440" w:bottom="1440" w:left="1440" w:header="720" w:footer="720" w:gutter="0"/>
          <w:cols w:space="720"/>
          <w:docGrid w:linePitch="360"/>
        </w:sectPr>
      </w:pPr>
      <w:r>
        <w:rPr>
          <w:rFonts w:cs="Times New Roman"/>
          <w:szCs w:val="24"/>
        </w:rPr>
        <w:t>Several exogenous variables are generated to augment the ridership information. The information is sourced from Lynx GIS shapefiles, 2010 US census data, American Community Survey, Florida Geographic Data Library, and Florida Department of Transportation (FDOT) databases. The exogenous attributes considered in our study can be divided into four broad categories: (1) Stop level attributes (such as headway), (2) Transportation and transit infrastructure variables (secondary highway length, rail road length and local road length, sidewalk length, Lynx bus route length, presence of shelter and distance of bus stop from central business district</w:t>
      </w:r>
      <w:r w:rsidR="0061786F">
        <w:rPr>
          <w:rFonts w:cs="Times New Roman"/>
          <w:szCs w:val="24"/>
        </w:rPr>
        <w:t xml:space="preserve"> </w:t>
      </w:r>
      <w:r>
        <w:rPr>
          <w:rFonts w:cs="Times New Roman"/>
          <w:szCs w:val="24"/>
        </w:rPr>
        <w:t>(CBD)), (3) Built environment and land use attributes (such as institutional area, residential area, recreation area, office area) (4) Demographic and socioeconomic variables in the vicinity of the stop (such as income, vehicle ownership, and age and gender distribution) for each time period. For generating exogenous variable values, we have considered several buffer distances (800m, 600m, and 400m) around each bus stop. The descriptive statistics of exogenous variables are presented in Table 2.</w:t>
      </w:r>
    </w:p>
    <w:p w14:paraId="08550B85" w14:textId="77777777" w:rsidR="00A33B44" w:rsidRDefault="00A33B44" w:rsidP="00413B61">
      <w:pPr>
        <w:rPr>
          <w:rFonts w:cs="Times New Roman"/>
          <w:szCs w:val="24"/>
        </w:rPr>
      </w:pPr>
    </w:p>
    <w:p w14:paraId="41A79926" w14:textId="77777777" w:rsidR="00A33B44" w:rsidRPr="00354237" w:rsidRDefault="00A33B44" w:rsidP="00413B61">
      <w:pPr>
        <w:pStyle w:val="Heading1"/>
        <w:spacing w:before="0" w:after="0"/>
        <w:ind w:left="0" w:firstLine="0"/>
        <w:rPr>
          <w:szCs w:val="24"/>
        </w:rPr>
      </w:pPr>
      <w:r>
        <w:rPr>
          <w:szCs w:val="24"/>
        </w:rPr>
        <w:t>M</w:t>
      </w:r>
      <w:r w:rsidRPr="00354237">
        <w:rPr>
          <w:szCs w:val="24"/>
        </w:rPr>
        <w:t>ODEL ESTIMATION RESULTS</w:t>
      </w:r>
    </w:p>
    <w:p w14:paraId="55AB2A9C" w14:textId="77777777" w:rsidR="00A33B44" w:rsidRPr="00276762" w:rsidRDefault="00A33B44" w:rsidP="00413B61"/>
    <w:p w14:paraId="228E7A6A" w14:textId="77777777" w:rsidR="00A33B44" w:rsidRDefault="00A33B44" w:rsidP="00413B61">
      <w:pPr>
        <w:pStyle w:val="Heading2"/>
        <w:spacing w:before="0" w:after="0"/>
        <w:rPr>
          <w:rFonts w:eastAsiaTheme="minorEastAsia" w:cs="Times New Roman"/>
          <w:lang w:val="en-US"/>
        </w:rPr>
      </w:pPr>
      <w:r w:rsidRPr="003228DF">
        <w:rPr>
          <w:rFonts w:eastAsiaTheme="minorEastAsia" w:cs="Times New Roman"/>
          <w:lang w:val="en-US"/>
        </w:rPr>
        <w:t>Model Specification and Overall Measures of Fit</w:t>
      </w:r>
    </w:p>
    <w:p w14:paraId="4EFB02E2" w14:textId="77777777" w:rsidR="00A33B44" w:rsidRDefault="00A33B44" w:rsidP="00413B61">
      <w:pPr>
        <w:rPr>
          <w:rFonts w:eastAsiaTheme="minorEastAsia"/>
        </w:rPr>
      </w:pPr>
      <w:r w:rsidRPr="00FE140F">
        <w:rPr>
          <w:rFonts w:eastAsiaTheme="minorEastAsia"/>
        </w:rPr>
        <w:t xml:space="preserve">The empirical analysis involves estimation of different models: 1) </w:t>
      </w:r>
      <w:r>
        <w:rPr>
          <w:rFonts w:eastAsiaTheme="minorEastAsia"/>
        </w:rPr>
        <w:t>Independent ridership-headway (IRH) model that does not accommodate for headway endogeneity and 2)</w:t>
      </w:r>
      <w:r w:rsidRPr="00FE140F">
        <w:rPr>
          <w:rFonts w:eastAsiaTheme="minorEastAsia"/>
        </w:rPr>
        <w:t xml:space="preserve"> </w:t>
      </w:r>
      <w:r>
        <w:rPr>
          <w:rFonts w:eastAsiaTheme="minorEastAsia"/>
        </w:rPr>
        <w:t xml:space="preserve">Joint ridership-headway (JRH) model that explicitly accommodates for headway endogeneity. </w:t>
      </w:r>
      <w:r w:rsidRPr="00FE140F">
        <w:rPr>
          <w:rFonts w:eastAsiaTheme="minorEastAsia"/>
        </w:rPr>
        <w:t>Prior to discussing the estimation results, we compare the performance of these models in this section. We employ the Bayesian Information Criterion (BIC) to determine the best model between independent and</w:t>
      </w:r>
      <w:r>
        <w:rPr>
          <w:rFonts w:eastAsiaTheme="minorEastAsia"/>
        </w:rPr>
        <w:t xml:space="preserve"> joint model</w:t>
      </w:r>
      <w:r w:rsidRPr="00FE140F">
        <w:rPr>
          <w:rFonts w:eastAsiaTheme="minorEastAsia"/>
        </w:rPr>
        <w:t>. The BIC for a given empirical model is equal to:</w:t>
      </w:r>
    </w:p>
    <w:p w14:paraId="0EAA71CB" w14:textId="77777777" w:rsidR="00A33B44" w:rsidRPr="00FE140F" w:rsidRDefault="00A33B44" w:rsidP="00413B61">
      <w:pPr>
        <w:rPr>
          <w:rFonts w:eastAsiaTheme="minorEastAsia"/>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1404"/>
      </w:tblGrid>
      <w:tr w:rsidR="00A33B44" w:rsidRPr="00FE140F" w14:paraId="77901CE6" w14:textId="77777777" w:rsidTr="00413B61">
        <w:tc>
          <w:tcPr>
            <w:tcW w:w="4250" w:type="pct"/>
            <w:vAlign w:val="center"/>
            <w:hideMark/>
          </w:tcPr>
          <w:p w14:paraId="3BDC3C7B" w14:textId="77777777" w:rsidR="00A33B44" w:rsidRPr="00FE140F" w:rsidRDefault="00A33B44" w:rsidP="00413B61">
            <w:pPr>
              <w:jc w:val="left"/>
              <w:rPr>
                <w:i/>
              </w:rPr>
            </w:pPr>
            <m:oMathPara>
              <m:oMathParaPr>
                <m:jc m:val="left"/>
              </m:oMathParaPr>
              <m:oMath>
                <m:r>
                  <w:rPr>
                    <w:rFonts w:ascii="Cambria Math" w:hAnsi="Cambria Math"/>
                  </w:rPr>
                  <m:t xml:space="preserve">BIC= </m:t>
                </m:r>
                <m:r>
                  <w:rPr>
                    <w:rFonts w:ascii="Cambria Math" w:eastAsia="Calibri" w:hAnsi="Cambria Math"/>
                    <w:color w:val="000000"/>
                  </w:rPr>
                  <m:t>- 2LL + K ln(Q)</m:t>
                </m:r>
              </m:oMath>
            </m:oMathPara>
          </w:p>
        </w:tc>
        <w:tc>
          <w:tcPr>
            <w:tcW w:w="750" w:type="pct"/>
            <w:vAlign w:val="center"/>
          </w:tcPr>
          <w:p w14:paraId="0B091C52" w14:textId="77777777" w:rsidR="00A33B44" w:rsidRPr="006A7FB9" w:rsidRDefault="00A33B44" w:rsidP="00413B61">
            <w:pPr>
              <w:contextualSpacing/>
              <w:jc w:val="center"/>
              <w:rPr>
                <w:rFonts w:cs="Times New Roman"/>
              </w:rPr>
            </w:pPr>
            <w:r>
              <w:rPr>
                <w:rFonts w:cs="Times New Roman"/>
              </w:rPr>
              <w:t>(10)</w:t>
            </w:r>
          </w:p>
        </w:tc>
      </w:tr>
    </w:tbl>
    <w:p w14:paraId="6EB19CB6" w14:textId="77777777" w:rsidR="00A33B44" w:rsidRDefault="00A33B44" w:rsidP="00413B61">
      <w:pPr>
        <w:rPr>
          <w:rFonts w:eastAsiaTheme="minorEastAsia"/>
        </w:rPr>
      </w:pPr>
    </w:p>
    <w:p w14:paraId="2ED5E762" w14:textId="5864A064" w:rsidR="00A33B44" w:rsidRPr="003228DF" w:rsidRDefault="00A33B44" w:rsidP="00413B61">
      <w:pPr>
        <w:rPr>
          <w:rFonts w:cs="Times New Roman"/>
          <w:szCs w:val="24"/>
          <w:lang w:val="en-US"/>
        </w:rPr>
      </w:pPr>
      <w:r w:rsidRPr="00FE140F">
        <w:rPr>
          <w:rFonts w:eastAsiaTheme="minorEastAsia"/>
        </w:rPr>
        <w:t xml:space="preserve">where </w:t>
      </w:r>
      <m:oMath>
        <m:r>
          <w:rPr>
            <w:rFonts w:ascii="Cambria Math" w:eastAsia="Calibri" w:hAnsi="Cambria Math"/>
            <w:color w:val="000000"/>
          </w:rPr>
          <m:t>LL</m:t>
        </m:r>
      </m:oMath>
      <w:r w:rsidRPr="00FE140F">
        <w:rPr>
          <w:rFonts w:eastAsiaTheme="minorEastAsia"/>
        </w:rPr>
        <w:t xml:space="preserve"> is the log</w:t>
      </w:r>
      <w:r w:rsidR="00716F5C">
        <w:rPr>
          <w:rFonts w:eastAsiaTheme="minorEastAsia"/>
        </w:rPr>
        <w:t>-</w:t>
      </w:r>
      <w:r w:rsidRPr="00FE140F">
        <w:rPr>
          <w:rFonts w:eastAsiaTheme="minorEastAsia"/>
        </w:rPr>
        <w:t xml:space="preserve">likelihood value at convergence, </w:t>
      </w:r>
      <m:oMath>
        <m:r>
          <w:rPr>
            <w:rFonts w:ascii="Cambria Math" w:eastAsiaTheme="minorEastAsia" w:hAnsi="Cambria Math"/>
          </w:rPr>
          <m:t>K</m:t>
        </m:r>
      </m:oMath>
      <w:r w:rsidRPr="00FE140F">
        <w:rPr>
          <w:rFonts w:eastAsiaTheme="minorEastAsia"/>
        </w:rPr>
        <w:t xml:space="preserve"> is the number of parameters, and </w:t>
      </w:r>
      <m:oMath>
        <m:r>
          <w:rPr>
            <w:rFonts w:ascii="Cambria Math" w:eastAsia="Calibri" w:hAnsi="Cambria Math"/>
            <w:color w:val="000000"/>
          </w:rPr>
          <m:t>Q</m:t>
        </m:r>
      </m:oMath>
      <w:r w:rsidRPr="00FE140F">
        <w:rPr>
          <w:rFonts w:eastAsiaTheme="minorEastAsia"/>
        </w:rPr>
        <w:t xml:space="preserve"> is the number of observations. The model with the lower BIC is the preferred model. The log-</w:t>
      </w:r>
      <w:r w:rsidRPr="00FE140F">
        <w:rPr>
          <w:rFonts w:eastAsia="Calibri"/>
          <w:lang w:eastAsia="ko-KR"/>
        </w:rPr>
        <w:t>likelihood</w:t>
      </w:r>
      <w:r w:rsidRPr="00FE140F">
        <w:rPr>
          <w:rFonts w:eastAsiaTheme="minorEastAsia"/>
        </w:rPr>
        <w:t xml:space="preserve"> values at convergence for the models estimated are as follows: (1) </w:t>
      </w:r>
      <w:r>
        <w:rPr>
          <w:rFonts w:eastAsiaTheme="minorEastAsia"/>
        </w:rPr>
        <w:t xml:space="preserve">IRH model </w:t>
      </w:r>
      <w:r w:rsidRPr="00FE140F">
        <w:rPr>
          <w:rFonts w:eastAsiaTheme="minorEastAsia"/>
        </w:rPr>
        <w:t xml:space="preserve">(with </w:t>
      </w:r>
      <w:r>
        <w:rPr>
          <w:rFonts w:eastAsiaTheme="minorEastAsia"/>
        </w:rPr>
        <w:t>54</w:t>
      </w:r>
      <w:r w:rsidRPr="00FE140F">
        <w:rPr>
          <w:rFonts w:eastAsiaTheme="minorEastAsia"/>
        </w:rPr>
        <w:t xml:space="preserve"> parameters) is -</w:t>
      </w:r>
      <w:r>
        <w:rPr>
          <w:rFonts w:eastAsiaTheme="minorEastAsia"/>
        </w:rPr>
        <w:t>110,705.364</w:t>
      </w:r>
      <w:r w:rsidRPr="00FE140F">
        <w:rPr>
          <w:rFonts w:eastAsiaTheme="minorEastAsia"/>
        </w:rPr>
        <w:t xml:space="preserve"> (2) </w:t>
      </w:r>
      <w:r>
        <w:rPr>
          <w:rFonts w:eastAsiaTheme="minorEastAsia"/>
        </w:rPr>
        <w:t>JRH model (with 56</w:t>
      </w:r>
      <w:r w:rsidRPr="00FE140F">
        <w:rPr>
          <w:rFonts w:eastAsiaTheme="minorEastAsia"/>
        </w:rPr>
        <w:t xml:space="preserve"> parameters) </w:t>
      </w:r>
      <w:r>
        <w:rPr>
          <w:rFonts w:eastAsiaTheme="minorEastAsia"/>
        </w:rPr>
        <w:t xml:space="preserve">is -104,965.476. </w:t>
      </w:r>
      <w:r w:rsidRPr="00FE140F">
        <w:rPr>
          <w:rFonts w:eastAsiaTheme="minorEastAsia"/>
        </w:rPr>
        <w:t>The BIC values for the final specifications of</w:t>
      </w:r>
      <w:r>
        <w:rPr>
          <w:rFonts w:eastAsiaTheme="minorEastAsia"/>
        </w:rPr>
        <w:t xml:space="preserve"> IRH and JRH are 221,968.833 </w:t>
      </w:r>
      <w:r w:rsidRPr="00FE140F">
        <w:rPr>
          <w:rFonts w:eastAsiaTheme="minorEastAsia"/>
        </w:rPr>
        <w:t xml:space="preserve">and </w:t>
      </w:r>
      <w:r>
        <w:rPr>
          <w:rFonts w:eastAsiaTheme="minorEastAsia"/>
        </w:rPr>
        <w:t>210,509.727</w:t>
      </w:r>
      <w:r w:rsidR="0061786F">
        <w:rPr>
          <w:rFonts w:eastAsiaTheme="minorEastAsia"/>
        </w:rPr>
        <w:t>,</w:t>
      </w:r>
      <w:r>
        <w:rPr>
          <w:rFonts w:eastAsiaTheme="minorEastAsia"/>
        </w:rPr>
        <w:t xml:space="preserve"> </w:t>
      </w:r>
      <w:r w:rsidRPr="00FE140F">
        <w:rPr>
          <w:rFonts w:eastAsiaTheme="minorEastAsia"/>
        </w:rPr>
        <w:t xml:space="preserve">respectively. The comparison exercise clearly highlights the superiority of the </w:t>
      </w:r>
      <w:r>
        <w:rPr>
          <w:rFonts w:eastAsiaTheme="minorEastAsia"/>
        </w:rPr>
        <w:t xml:space="preserve">Joint model </w:t>
      </w:r>
      <w:r w:rsidRPr="00FE140F">
        <w:rPr>
          <w:rFonts w:eastAsiaTheme="minorEastAsia"/>
        </w:rPr>
        <w:t xml:space="preserve">in terms of data fit compared to </w:t>
      </w:r>
      <w:r>
        <w:rPr>
          <w:rFonts w:eastAsiaTheme="minorEastAsia"/>
        </w:rPr>
        <w:t xml:space="preserve">independent </w:t>
      </w:r>
      <w:r w:rsidRPr="00FE140F">
        <w:rPr>
          <w:rFonts w:eastAsiaTheme="minorEastAsia"/>
        </w:rPr>
        <w:t>model.</w:t>
      </w:r>
      <w:r w:rsidRPr="00280D10">
        <w:rPr>
          <w:rFonts w:eastAsiaTheme="minorEastAsia"/>
        </w:rPr>
        <w:t xml:space="preserve"> </w:t>
      </w:r>
    </w:p>
    <w:p w14:paraId="5F1A586A" w14:textId="77777777" w:rsidR="00A33B44" w:rsidRPr="00276762" w:rsidRDefault="00A33B44" w:rsidP="00413B61">
      <w:pPr>
        <w:rPr>
          <w:szCs w:val="24"/>
        </w:rPr>
      </w:pPr>
    </w:p>
    <w:p w14:paraId="10BED518" w14:textId="77777777" w:rsidR="00A33B44" w:rsidRDefault="00A33B44" w:rsidP="00413B61">
      <w:pPr>
        <w:pStyle w:val="Heading2"/>
        <w:spacing w:before="0" w:after="0"/>
        <w:rPr>
          <w:rFonts w:eastAsiaTheme="minorEastAsia" w:cs="Times New Roman"/>
          <w:lang w:val="en-US"/>
        </w:rPr>
      </w:pPr>
      <w:r w:rsidRPr="00354237">
        <w:rPr>
          <w:rFonts w:eastAsiaTheme="minorEastAsia" w:cs="Times New Roman"/>
          <w:lang w:val="en-US"/>
        </w:rPr>
        <w:t>Variable Effects</w:t>
      </w:r>
    </w:p>
    <w:p w14:paraId="0401B37E" w14:textId="7B5153C9" w:rsidR="00A33B44" w:rsidRDefault="00A33B44" w:rsidP="00DD792C">
      <w:pPr>
        <w:rPr>
          <w:rFonts w:cs="Times New Roman"/>
          <w:szCs w:val="24"/>
        </w:rPr>
      </w:pPr>
      <w:r>
        <w:t>In presenting the effects of the exogenous variables, we will restrict ourselves to the discussion of the joint model</w:t>
      </w:r>
      <w:r w:rsidR="00D46413">
        <w:rPr>
          <w:rStyle w:val="FootnoteReference"/>
        </w:rPr>
        <w:footnoteReference w:id="2"/>
      </w:r>
      <w:r>
        <w:t xml:space="preserve">. </w:t>
      </w:r>
      <w:r w:rsidRPr="00D6035C">
        <w:t xml:space="preserve">The final specification of the model was based on removing </w:t>
      </w:r>
      <w:r>
        <w:t xml:space="preserve">the </w:t>
      </w:r>
      <w:r w:rsidRPr="00D6035C">
        <w:t xml:space="preserve">statistically insignificant variables in a systematic process based on statistical confidence (95% confidence level). The specification process was also guided by prior research and parsimony considerations. In estimating the models, several functional forms and variable specifications are explored. The </w:t>
      </w:r>
      <w:r w:rsidRPr="00D6035C">
        <w:lastRenderedPageBreak/>
        <w:t xml:space="preserve">functional form that provided the best result </w:t>
      </w:r>
      <w:r>
        <w:t>was</w:t>
      </w:r>
      <w:r w:rsidRPr="00D6035C">
        <w:t xml:space="preserve"> used for the final model specifications. In determining the appropriate buffer sizes, each variable for a buffer size was systematically introduced (starting from 800m to 400m buffer size) and the buffer variable that offered the best fit was considered in the final </w:t>
      </w:r>
      <w:r w:rsidR="00541F2C">
        <w:t xml:space="preserve">model </w:t>
      </w:r>
      <w:r w:rsidRPr="00D6035C">
        <w:t>specification.</w:t>
      </w:r>
      <w:r>
        <w:t xml:space="preserve"> </w:t>
      </w:r>
    </w:p>
    <w:p w14:paraId="196C31F3" w14:textId="2C885EEE" w:rsidR="00A33B44" w:rsidRDefault="00A33B44" w:rsidP="00DD792C">
      <w:pPr>
        <w:ind w:firstLine="720"/>
      </w:pPr>
      <w:r>
        <w:rPr>
          <w:rFonts w:cs="Times New Roman"/>
          <w:szCs w:val="24"/>
          <w:lang w:val="en-US"/>
        </w:rPr>
        <w:t xml:space="preserve">Table 3 presents the </w:t>
      </w:r>
      <w:r w:rsidRPr="00DD792C">
        <w:rPr>
          <w:rFonts w:eastAsia="Times New Roman"/>
        </w:rPr>
        <w:t>estimation</w:t>
      </w:r>
      <w:r>
        <w:rPr>
          <w:rFonts w:cs="Times New Roman"/>
          <w:szCs w:val="24"/>
          <w:lang w:val="en-US"/>
        </w:rPr>
        <w:t xml:space="preserve"> results of the joint model. Specifically, columns 2 and 3 provide the variable impacts of the headway component while columns 4 through 7 present the results of boarding and alighting components. </w:t>
      </w:r>
      <w:r w:rsidR="00086CE5">
        <w:rPr>
          <w:rFonts w:cs="Times New Roman"/>
          <w:szCs w:val="24"/>
          <w:lang w:val="en-US"/>
        </w:rPr>
        <w:t xml:space="preserve">The results are organized in 4 categories: (a) independent variables, (b) alternative specific effects for ridership </w:t>
      </w:r>
      <w:r w:rsidR="00A53D88">
        <w:rPr>
          <w:rFonts w:cs="Times New Roman"/>
          <w:szCs w:val="24"/>
          <w:lang w:val="en-US"/>
        </w:rPr>
        <w:t>component</w:t>
      </w:r>
      <w:r w:rsidR="00086CE5">
        <w:rPr>
          <w:rFonts w:cs="Times New Roman"/>
          <w:szCs w:val="24"/>
          <w:lang w:val="en-US"/>
        </w:rPr>
        <w:t>, (c) variance parameters</w:t>
      </w:r>
      <w:r w:rsidR="00A53D88">
        <w:rPr>
          <w:rFonts w:cs="Times New Roman"/>
          <w:szCs w:val="24"/>
          <w:lang w:val="en-US"/>
        </w:rPr>
        <w:t xml:space="preserve"> for ridership component</w:t>
      </w:r>
      <w:r w:rsidR="00086CE5">
        <w:rPr>
          <w:rFonts w:cs="Times New Roman"/>
          <w:szCs w:val="24"/>
          <w:lang w:val="en-US"/>
        </w:rPr>
        <w:t xml:space="preserve"> and (d) joint </w:t>
      </w:r>
      <w:r w:rsidR="00CC462D">
        <w:rPr>
          <w:rFonts w:cs="Times New Roman"/>
          <w:szCs w:val="24"/>
          <w:lang w:val="en-US"/>
        </w:rPr>
        <w:t xml:space="preserve">common unobserved factors. </w:t>
      </w:r>
      <w:r w:rsidR="00A53D88">
        <w:rPr>
          <w:rFonts w:cs="Times New Roman"/>
          <w:szCs w:val="24"/>
          <w:lang w:val="en-US"/>
        </w:rPr>
        <w:t xml:space="preserve">The reader would note that after accounting for joint common unobserved factors across the three variables, the impact of other unobserved factors - parameter vectors </w:t>
      </w:r>
      <m:oMath>
        <m:sSub>
          <m:sSubPr>
            <m:ctrlPr>
              <w:rPr>
                <w:rFonts w:ascii="Cambria Math" w:eastAsiaTheme="minorEastAsia" w:hAnsi="Cambria Math" w:cs="Vrinda"/>
                <w:i/>
              </w:rPr>
            </m:ctrlPr>
          </m:sSubPr>
          <m:e>
            <m:sSub>
              <m:sSubPr>
                <m:ctrlPr>
                  <w:rPr>
                    <w:rFonts w:ascii="Cambria Math" w:eastAsiaTheme="minorEastAsia" w:hAnsi="Cambria Math" w:cs="Vrinda"/>
                    <w:i/>
                  </w:rPr>
                </m:ctrlPr>
              </m:sSubPr>
              <m:e>
                <m:r>
                  <w:rPr>
                    <w:rFonts w:ascii="Cambria Math" w:eastAsiaTheme="minorEastAsia" w:hAnsi="Cambria Math"/>
                  </w:rPr>
                  <m:t>γ</m:t>
                </m:r>
              </m:e>
              <m:sub>
                <m:r>
                  <w:rPr>
                    <w:rFonts w:ascii="Cambria Math" w:eastAsiaTheme="minorEastAsia" w:hAnsi="Cambria Math"/>
                  </w:rPr>
                  <m:t>q</m:t>
                </m:r>
              </m:sub>
            </m:sSub>
            <m:r>
              <w:rPr>
                <w:rFonts w:ascii="Cambria Math" w:eastAsiaTheme="minorEastAsia" w:hAnsi="Cambria Math"/>
              </w:rPr>
              <m:t>,δ</m:t>
            </m:r>
          </m:e>
          <m:sub>
            <m:r>
              <w:rPr>
                <w:rFonts w:ascii="Cambria Math" w:eastAsiaTheme="minorEastAsia" w:hAnsi="Cambria Math"/>
              </w:rPr>
              <m:t>q</m:t>
            </m:r>
          </m:sub>
        </m:sSub>
      </m:oMath>
      <w:r w:rsidR="00A53D88">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σ</m:t>
            </m:r>
          </m:e>
          <m:sub>
            <m:r>
              <w:rPr>
                <w:rFonts w:ascii="Cambria Math" w:eastAsia="Times New Roman" w:hAnsi="Cambria Math"/>
              </w:rPr>
              <m:t>q</m:t>
            </m:r>
          </m:sub>
        </m:sSub>
      </m:oMath>
      <w:r w:rsidR="00A53D88">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μ</m:t>
            </m:r>
          </m:e>
          <m:sub>
            <m:r>
              <w:rPr>
                <w:rFonts w:ascii="Cambria Math" w:eastAsia="Times New Roman" w:hAnsi="Cambria Math"/>
              </w:rPr>
              <m:t>q</m:t>
            </m:r>
          </m:sub>
        </m:sSub>
      </m:oMath>
      <w:r w:rsidR="00A53D88">
        <w:rPr>
          <w:rFonts w:cs="Times New Roman"/>
          <w:szCs w:val="24"/>
          <w:lang w:val="en-US"/>
        </w:rPr>
        <w:t xml:space="preserve">- in the headway and ridership models were not statistically significant. </w:t>
      </w:r>
      <w:r>
        <w:t xml:space="preserve">The model results are discussed separately for headway and ridership components. </w:t>
      </w:r>
    </w:p>
    <w:p w14:paraId="66C4FE9B" w14:textId="77777777" w:rsidR="00A33B44" w:rsidRDefault="00A33B44" w:rsidP="00413B61"/>
    <w:p w14:paraId="2E687D84" w14:textId="77777777" w:rsidR="00A33B44" w:rsidRDefault="00A33B44" w:rsidP="00413B61">
      <w:pPr>
        <w:pStyle w:val="Heading3"/>
        <w:spacing w:before="0"/>
        <w:rPr>
          <w:rFonts w:cs="Times New Roman"/>
        </w:rPr>
      </w:pPr>
      <w:r>
        <w:rPr>
          <w:rFonts w:cs="Times New Roman"/>
        </w:rPr>
        <w:t>Headway Component</w:t>
      </w:r>
    </w:p>
    <w:p w14:paraId="07459DA3" w14:textId="77777777" w:rsidR="009B637B" w:rsidRDefault="00A33B44" w:rsidP="00DD792C">
      <w:pPr>
        <w:rPr>
          <w:rFonts w:cs="Times New Roman"/>
          <w:lang w:val="en-US"/>
        </w:rPr>
      </w:pPr>
      <w:r>
        <w:rPr>
          <w:rFonts w:cs="Times New Roman"/>
          <w:lang w:val="en-US"/>
        </w:rPr>
        <w:t>T</w:t>
      </w:r>
      <w:r w:rsidRPr="00D3668D">
        <w:rPr>
          <w:rFonts w:cs="Times New Roman"/>
          <w:lang w:val="en-US"/>
        </w:rPr>
        <w:t xml:space="preserve">he positive (negative) coefficient corresponds to increased (decreased) </w:t>
      </w:r>
      <w:r>
        <w:rPr>
          <w:rFonts w:cs="Times New Roman"/>
          <w:lang w:val="en-US"/>
        </w:rPr>
        <w:t>propensity</w:t>
      </w:r>
      <w:r w:rsidRPr="00D3668D">
        <w:rPr>
          <w:rFonts w:cs="Times New Roman"/>
          <w:lang w:val="en-US"/>
        </w:rPr>
        <w:t xml:space="preserve"> for </w:t>
      </w:r>
      <w:r>
        <w:rPr>
          <w:rFonts w:cs="Times New Roman"/>
          <w:lang w:val="en-US"/>
        </w:rPr>
        <w:t>longer headway</w:t>
      </w:r>
      <w:r w:rsidRPr="00D3668D">
        <w:rPr>
          <w:rFonts w:cs="Times New Roman"/>
          <w:lang w:val="en-US"/>
        </w:rPr>
        <w:t xml:space="preserve"> categories.</w:t>
      </w:r>
      <w:r>
        <w:rPr>
          <w:rFonts w:cs="Times New Roman"/>
          <w:lang w:val="en-US"/>
        </w:rPr>
        <w:t xml:space="preserve"> </w:t>
      </w:r>
    </w:p>
    <w:p w14:paraId="37FDDC96" w14:textId="77777777" w:rsidR="003642B9" w:rsidRDefault="003642B9" w:rsidP="00DD792C">
      <w:pPr>
        <w:rPr>
          <w:rFonts w:cs="Times New Roman"/>
          <w:lang w:val="en-US"/>
        </w:rPr>
      </w:pPr>
    </w:p>
    <w:p w14:paraId="21043385" w14:textId="77777777" w:rsidR="003642B9" w:rsidRPr="000A44AC" w:rsidRDefault="003642B9" w:rsidP="003642B9">
      <w:pPr>
        <w:pStyle w:val="Heading4"/>
      </w:pPr>
      <w:r w:rsidRPr="000A44AC">
        <w:t>Transportation Infrastructure Characteristics</w:t>
      </w:r>
    </w:p>
    <w:p w14:paraId="393944AB" w14:textId="5CD9FF97" w:rsidR="003642B9" w:rsidRDefault="003642B9" w:rsidP="003642B9">
      <w:pPr>
        <w:rPr>
          <w:rFonts w:cs="Times New Roman"/>
          <w:szCs w:val="24"/>
        </w:rPr>
      </w:pPr>
      <w:r>
        <w:rPr>
          <w:rFonts w:cs="Times New Roman"/>
          <w:szCs w:val="24"/>
        </w:rPr>
        <w:t xml:space="preserve">The bus route length of 800m buffer has a negative impact on headway. The variable impact is expected. Bus stops with larger bus route length are likely to have higher frequency of bus arrivals i.e. lower headway. A negative impact of the presence of bike length in 800m vicinity of the bus stop on headway is also along expected lines. The presence of bicycle infrastructure serves as a proxy for denser neighborhoods encouraging non-automobile alternatives. The presence of increased secondary highway length in the 800m buffer decreases the headway while a corresponding increase in local road length increases headway. The roadway length variable is possibly serving as an indicator of urban locations. The results also indicate that in the presence of a railroad, headway is likely to be lower. The result warrants further investigation.  </w:t>
      </w:r>
    </w:p>
    <w:p w14:paraId="650C154F" w14:textId="77777777" w:rsidR="003642B9" w:rsidRPr="00415D18" w:rsidRDefault="003642B9" w:rsidP="003642B9">
      <w:pPr>
        <w:rPr>
          <w:rFonts w:cs="Times New Roman"/>
          <w:szCs w:val="24"/>
        </w:rPr>
      </w:pPr>
    </w:p>
    <w:p w14:paraId="1B9A5297" w14:textId="77777777" w:rsidR="003642B9" w:rsidRDefault="003642B9" w:rsidP="003642B9">
      <w:pPr>
        <w:pStyle w:val="Heading4"/>
      </w:pPr>
      <w:r w:rsidRPr="00415D18">
        <w:t>Built Environment</w:t>
      </w:r>
      <w:r>
        <w:t xml:space="preserve"> </w:t>
      </w:r>
      <w:r w:rsidRPr="009C7F2B">
        <w:t>Attributes</w:t>
      </w:r>
    </w:p>
    <w:p w14:paraId="0A5F2AFF" w14:textId="322F39B8" w:rsidR="003642B9" w:rsidRDefault="003642B9" w:rsidP="003642B9">
      <w:pPr>
        <w:rPr>
          <w:rFonts w:cs="Times New Roman"/>
          <w:szCs w:val="24"/>
        </w:rPr>
      </w:pPr>
      <w:r>
        <w:rPr>
          <w:rFonts w:cs="Times New Roman"/>
          <w:szCs w:val="24"/>
        </w:rPr>
        <w:t>The built environment around a bus stop has a significant impact on bus frequency. The presence of industrial and residential areas within an 800m buffer of a bus stop is likely to increase the headway. On the other hand, in the presence of institutional, recreational and office area (800m buffer)</w:t>
      </w:r>
      <w:r w:rsidR="00A058CC">
        <w:rPr>
          <w:rFonts w:cs="Times New Roman"/>
          <w:szCs w:val="24"/>
        </w:rPr>
        <w:t>,</w:t>
      </w:r>
      <w:r>
        <w:rPr>
          <w:rFonts w:cs="Times New Roman"/>
          <w:szCs w:val="24"/>
        </w:rPr>
        <w:t xml:space="preserve"> the headway is likely to be lower. The results are intuitive. An increase in the stop distance from the CBD is likely to increase the headway (as expected).</w:t>
      </w:r>
    </w:p>
    <w:p w14:paraId="00013EB3" w14:textId="77777777" w:rsidR="003642B9" w:rsidRPr="00415D18" w:rsidRDefault="003642B9" w:rsidP="003642B9">
      <w:pPr>
        <w:rPr>
          <w:rFonts w:cs="Times New Roman"/>
          <w:szCs w:val="24"/>
        </w:rPr>
      </w:pPr>
    </w:p>
    <w:p w14:paraId="4ACF0622" w14:textId="77777777" w:rsidR="003642B9" w:rsidRDefault="003642B9" w:rsidP="003642B9">
      <w:pPr>
        <w:pStyle w:val="Heading4"/>
      </w:pPr>
      <w:r>
        <w:t>D</w:t>
      </w:r>
      <w:r w:rsidRPr="00415D18">
        <w:t xml:space="preserve">emographic and Socioeconomic </w:t>
      </w:r>
      <w:r>
        <w:t>C</w:t>
      </w:r>
      <w:r>
        <w:rPr>
          <w:szCs w:val="24"/>
        </w:rPr>
        <w:t>haracteristics</w:t>
      </w:r>
    </w:p>
    <w:p w14:paraId="032B2D89" w14:textId="77777777" w:rsidR="003642B9" w:rsidRDefault="003642B9" w:rsidP="003642B9">
      <w:pPr>
        <w:rPr>
          <w:rFonts w:cs="Times New Roman"/>
          <w:szCs w:val="24"/>
        </w:rPr>
      </w:pPr>
      <w:r>
        <w:rPr>
          <w:rFonts w:cs="Times New Roman"/>
          <w:szCs w:val="24"/>
        </w:rPr>
        <w:t xml:space="preserve">In terms of demographic and socioeconomic variables, vehicle ownership variable has a significant impact. Specifically, locations with higher proportion of households with no vehicle are likely to have a lower headway value. The result is perhaps indicating the fact that households with no vehicles are captive to transit mode. </w:t>
      </w:r>
    </w:p>
    <w:p w14:paraId="33AB7EFC" w14:textId="14BD29EB" w:rsidR="003642B9" w:rsidRDefault="003642B9" w:rsidP="00DD792C">
      <w:pPr>
        <w:rPr>
          <w:rFonts w:cs="Times New Roman"/>
          <w:lang w:val="en-US"/>
        </w:rPr>
        <w:sectPr w:rsidR="003642B9" w:rsidSect="00413B61">
          <w:headerReference w:type="default" r:id="rId12"/>
          <w:type w:val="continuous"/>
          <w:pgSz w:w="12240" w:h="15840"/>
          <w:pgMar w:top="1440" w:right="1440" w:bottom="1440" w:left="1440" w:header="708" w:footer="708" w:gutter="0"/>
          <w:pgNumType w:start="18"/>
          <w:cols w:space="708"/>
          <w:docGrid w:linePitch="360"/>
        </w:sectPr>
      </w:pPr>
    </w:p>
    <w:p w14:paraId="1A2EDF8D" w14:textId="2D9423C0" w:rsidR="009B637B" w:rsidRPr="008A59F1" w:rsidRDefault="009B637B" w:rsidP="009B637B">
      <w:pPr>
        <w:pStyle w:val="Caption"/>
        <w:spacing w:after="0"/>
        <w:rPr>
          <w:rFonts w:cs="Times New Roman"/>
          <w:b/>
          <w:i w:val="0"/>
          <w:color w:val="auto"/>
          <w:sz w:val="24"/>
          <w:szCs w:val="24"/>
        </w:rPr>
      </w:pPr>
      <w:r w:rsidRPr="008A59F1">
        <w:rPr>
          <w:b/>
          <w:i w:val="0"/>
          <w:color w:val="auto"/>
          <w:sz w:val="24"/>
        </w:rPr>
        <w:lastRenderedPageBreak/>
        <w:t xml:space="preserve">Table </w:t>
      </w:r>
      <w:r w:rsidRPr="008A59F1">
        <w:rPr>
          <w:b/>
          <w:i w:val="0"/>
          <w:color w:val="auto"/>
          <w:sz w:val="24"/>
        </w:rPr>
        <w:fldChar w:fldCharType="begin"/>
      </w:r>
      <w:r w:rsidRPr="008A59F1">
        <w:rPr>
          <w:b/>
          <w:i w:val="0"/>
          <w:color w:val="auto"/>
          <w:sz w:val="24"/>
        </w:rPr>
        <w:instrText xml:space="preserve"> SEQ Table \* ARABIC </w:instrText>
      </w:r>
      <w:r w:rsidRPr="008A59F1">
        <w:rPr>
          <w:b/>
          <w:i w:val="0"/>
          <w:color w:val="auto"/>
          <w:sz w:val="24"/>
        </w:rPr>
        <w:fldChar w:fldCharType="separate"/>
      </w:r>
      <w:r w:rsidR="0067710A">
        <w:rPr>
          <w:b/>
          <w:i w:val="0"/>
          <w:noProof/>
          <w:color w:val="auto"/>
          <w:sz w:val="24"/>
        </w:rPr>
        <w:t>2</w:t>
      </w:r>
      <w:r w:rsidRPr="008A59F1">
        <w:rPr>
          <w:b/>
          <w:i w:val="0"/>
          <w:color w:val="auto"/>
          <w:sz w:val="24"/>
        </w:rPr>
        <w:fldChar w:fldCharType="end"/>
      </w:r>
      <w:r w:rsidRPr="008A59F1">
        <w:rPr>
          <w:rFonts w:cs="Times New Roman"/>
          <w:b/>
          <w:i w:val="0"/>
          <w:color w:val="auto"/>
          <w:sz w:val="24"/>
          <w:szCs w:val="24"/>
        </w:rPr>
        <w:t xml:space="preserve"> Descriptive Statistics of Exogenous Variables</w:t>
      </w:r>
    </w:p>
    <w:tbl>
      <w:tblPr>
        <w:tblW w:w="12937" w:type="dxa"/>
        <w:tblLayout w:type="fixed"/>
        <w:tblLook w:val="04A0" w:firstRow="1" w:lastRow="0" w:firstColumn="1" w:lastColumn="0" w:noHBand="0" w:noVBand="1"/>
      </w:tblPr>
      <w:tblGrid>
        <w:gridCol w:w="3487"/>
        <w:gridCol w:w="4950"/>
        <w:gridCol w:w="1260"/>
        <w:gridCol w:w="1080"/>
        <w:gridCol w:w="1260"/>
        <w:gridCol w:w="900"/>
      </w:tblGrid>
      <w:tr w:rsidR="009B637B" w:rsidRPr="00415D18" w14:paraId="399143BB" w14:textId="77777777" w:rsidTr="009B637B">
        <w:trPr>
          <w:trHeight w:val="288"/>
        </w:trPr>
        <w:tc>
          <w:tcPr>
            <w:tcW w:w="3487" w:type="dxa"/>
            <w:tcBorders>
              <w:top w:val="double" w:sz="6" w:space="0" w:color="auto"/>
              <w:left w:val="double" w:sz="6" w:space="0" w:color="auto"/>
              <w:bottom w:val="nil"/>
              <w:right w:val="single" w:sz="4" w:space="0" w:color="auto"/>
            </w:tcBorders>
            <w:shd w:val="clear" w:color="auto" w:fill="D9D9D9" w:themeFill="background1" w:themeFillShade="D9"/>
            <w:hideMark/>
          </w:tcPr>
          <w:p w14:paraId="1342F453"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Variable Name</w:t>
            </w:r>
          </w:p>
        </w:tc>
        <w:tc>
          <w:tcPr>
            <w:tcW w:w="4950" w:type="dxa"/>
            <w:tcBorders>
              <w:top w:val="double" w:sz="6" w:space="0" w:color="auto"/>
              <w:left w:val="nil"/>
              <w:bottom w:val="nil"/>
              <w:right w:val="single" w:sz="4" w:space="0" w:color="auto"/>
            </w:tcBorders>
            <w:shd w:val="clear" w:color="auto" w:fill="D9D9D9" w:themeFill="background1" w:themeFillShade="D9"/>
            <w:hideMark/>
          </w:tcPr>
          <w:p w14:paraId="0AA3CE4D"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Variable Description</w:t>
            </w:r>
          </w:p>
        </w:tc>
        <w:tc>
          <w:tcPr>
            <w:tcW w:w="1260" w:type="dxa"/>
            <w:tcBorders>
              <w:top w:val="double" w:sz="6" w:space="0" w:color="auto"/>
              <w:left w:val="nil"/>
              <w:bottom w:val="double" w:sz="6" w:space="0" w:color="auto"/>
              <w:right w:val="nil"/>
            </w:tcBorders>
            <w:shd w:val="clear" w:color="auto" w:fill="D9D9D9" w:themeFill="background1" w:themeFillShade="D9"/>
          </w:tcPr>
          <w:p w14:paraId="492E11A6"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Percentage</w:t>
            </w:r>
          </w:p>
        </w:tc>
        <w:tc>
          <w:tcPr>
            <w:tcW w:w="1080" w:type="dxa"/>
            <w:tcBorders>
              <w:top w:val="double" w:sz="6" w:space="0" w:color="auto"/>
              <w:left w:val="nil"/>
              <w:bottom w:val="nil"/>
              <w:right w:val="single" w:sz="4" w:space="0" w:color="auto"/>
            </w:tcBorders>
            <w:shd w:val="clear" w:color="auto" w:fill="D9D9D9" w:themeFill="background1" w:themeFillShade="D9"/>
            <w:hideMark/>
          </w:tcPr>
          <w:p w14:paraId="0767F78F"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Minimum</w:t>
            </w:r>
          </w:p>
        </w:tc>
        <w:tc>
          <w:tcPr>
            <w:tcW w:w="1260" w:type="dxa"/>
            <w:tcBorders>
              <w:top w:val="double" w:sz="6" w:space="0" w:color="auto"/>
              <w:left w:val="nil"/>
              <w:bottom w:val="nil"/>
              <w:right w:val="single" w:sz="4" w:space="0" w:color="auto"/>
            </w:tcBorders>
            <w:shd w:val="clear" w:color="auto" w:fill="D9D9D9" w:themeFill="background1" w:themeFillShade="D9"/>
            <w:hideMark/>
          </w:tcPr>
          <w:p w14:paraId="3A90CBCB"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Maximum</w:t>
            </w:r>
          </w:p>
        </w:tc>
        <w:tc>
          <w:tcPr>
            <w:tcW w:w="900" w:type="dxa"/>
            <w:tcBorders>
              <w:top w:val="double" w:sz="6" w:space="0" w:color="auto"/>
              <w:left w:val="nil"/>
              <w:bottom w:val="nil"/>
              <w:right w:val="double" w:sz="6" w:space="0" w:color="auto"/>
            </w:tcBorders>
            <w:shd w:val="clear" w:color="auto" w:fill="D9D9D9" w:themeFill="background1" w:themeFillShade="D9"/>
            <w:hideMark/>
          </w:tcPr>
          <w:p w14:paraId="5FE6EFFA"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Mean</w:t>
            </w:r>
          </w:p>
        </w:tc>
      </w:tr>
      <w:tr w:rsidR="009B637B" w:rsidRPr="00415D18" w14:paraId="408E5C6F" w14:textId="77777777" w:rsidTr="009B637B">
        <w:trPr>
          <w:trHeight w:val="288"/>
        </w:trPr>
        <w:tc>
          <w:tcPr>
            <w:tcW w:w="3487" w:type="dxa"/>
            <w:tcBorders>
              <w:top w:val="double" w:sz="6" w:space="0" w:color="auto"/>
              <w:left w:val="double" w:sz="6" w:space="0" w:color="auto"/>
              <w:bottom w:val="single" w:sz="4" w:space="0" w:color="auto"/>
              <w:right w:val="single" w:sz="4" w:space="0" w:color="auto"/>
            </w:tcBorders>
            <w:shd w:val="clear" w:color="auto" w:fill="auto"/>
            <w:hideMark/>
          </w:tcPr>
          <w:p w14:paraId="14E024B8" w14:textId="77777777" w:rsidR="009B637B" w:rsidRPr="002F1BD8" w:rsidRDefault="009B637B" w:rsidP="009B637B">
            <w:pPr>
              <w:jc w:val="left"/>
              <w:rPr>
                <w:rFonts w:eastAsia="Times New Roman" w:cs="Times New Roman"/>
                <w:b/>
                <w:color w:val="000000"/>
                <w:sz w:val="20"/>
                <w:szCs w:val="20"/>
                <w:lang w:val="en-US"/>
              </w:rPr>
            </w:pPr>
            <w:r w:rsidRPr="002F1BD8">
              <w:rPr>
                <w:rFonts w:eastAsia="Times New Roman" w:cs="Times New Roman"/>
                <w:b/>
                <w:color w:val="000000"/>
                <w:sz w:val="20"/>
                <w:szCs w:val="20"/>
                <w:lang w:val="en-US"/>
              </w:rPr>
              <w:t>Stop Level Attributes</w:t>
            </w:r>
          </w:p>
        </w:tc>
        <w:tc>
          <w:tcPr>
            <w:tcW w:w="4950" w:type="dxa"/>
            <w:tcBorders>
              <w:top w:val="double" w:sz="6" w:space="0" w:color="auto"/>
              <w:left w:val="nil"/>
              <w:bottom w:val="single" w:sz="4" w:space="0" w:color="auto"/>
              <w:right w:val="single" w:sz="4" w:space="0" w:color="auto"/>
            </w:tcBorders>
            <w:shd w:val="clear" w:color="auto" w:fill="auto"/>
            <w:hideMark/>
          </w:tcPr>
          <w:p w14:paraId="75ED5AC4"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 </w:t>
            </w:r>
          </w:p>
        </w:tc>
        <w:tc>
          <w:tcPr>
            <w:tcW w:w="1260" w:type="dxa"/>
            <w:tcBorders>
              <w:top w:val="double" w:sz="6" w:space="0" w:color="auto"/>
              <w:left w:val="nil"/>
              <w:bottom w:val="single" w:sz="4" w:space="0" w:color="auto"/>
              <w:right w:val="dotted" w:sz="4" w:space="0" w:color="auto"/>
            </w:tcBorders>
          </w:tcPr>
          <w:p w14:paraId="2DC00CB0" w14:textId="77777777" w:rsidR="009B637B" w:rsidRPr="002F1BD8" w:rsidRDefault="009B637B" w:rsidP="009B637B">
            <w:pPr>
              <w:jc w:val="left"/>
              <w:rPr>
                <w:rFonts w:eastAsia="Times New Roman" w:cs="Times New Roman"/>
                <w:b/>
                <w:bCs/>
                <w:color w:val="000000"/>
                <w:sz w:val="20"/>
                <w:szCs w:val="20"/>
                <w:lang w:val="en-US"/>
              </w:rPr>
            </w:pPr>
          </w:p>
        </w:tc>
        <w:tc>
          <w:tcPr>
            <w:tcW w:w="1080" w:type="dxa"/>
            <w:tcBorders>
              <w:top w:val="double" w:sz="6" w:space="0" w:color="auto"/>
              <w:left w:val="dotted" w:sz="4" w:space="0" w:color="auto"/>
              <w:bottom w:val="single" w:sz="4" w:space="0" w:color="auto"/>
              <w:right w:val="single" w:sz="4" w:space="0" w:color="auto"/>
            </w:tcBorders>
            <w:shd w:val="clear" w:color="auto" w:fill="auto"/>
            <w:hideMark/>
          </w:tcPr>
          <w:p w14:paraId="3BB37C9A"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 </w:t>
            </w:r>
          </w:p>
        </w:tc>
        <w:tc>
          <w:tcPr>
            <w:tcW w:w="1260" w:type="dxa"/>
            <w:tcBorders>
              <w:top w:val="double" w:sz="6" w:space="0" w:color="auto"/>
              <w:left w:val="nil"/>
              <w:bottom w:val="single" w:sz="4" w:space="0" w:color="auto"/>
              <w:right w:val="single" w:sz="4" w:space="0" w:color="auto"/>
            </w:tcBorders>
            <w:shd w:val="clear" w:color="auto" w:fill="auto"/>
            <w:hideMark/>
          </w:tcPr>
          <w:p w14:paraId="6FBFF06A"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 </w:t>
            </w:r>
          </w:p>
        </w:tc>
        <w:tc>
          <w:tcPr>
            <w:tcW w:w="900" w:type="dxa"/>
            <w:tcBorders>
              <w:top w:val="double" w:sz="6" w:space="0" w:color="auto"/>
              <w:left w:val="nil"/>
              <w:bottom w:val="single" w:sz="4" w:space="0" w:color="auto"/>
              <w:right w:val="double" w:sz="6" w:space="0" w:color="auto"/>
            </w:tcBorders>
            <w:shd w:val="clear" w:color="auto" w:fill="auto"/>
            <w:hideMark/>
          </w:tcPr>
          <w:p w14:paraId="317715DC"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 </w:t>
            </w:r>
          </w:p>
        </w:tc>
      </w:tr>
      <w:tr w:rsidR="009B637B" w:rsidRPr="00415D18" w14:paraId="574A7964" w14:textId="77777777" w:rsidTr="009B637B">
        <w:trPr>
          <w:trHeight w:val="288"/>
        </w:trPr>
        <w:tc>
          <w:tcPr>
            <w:tcW w:w="3487" w:type="dxa"/>
            <w:tcBorders>
              <w:top w:val="single" w:sz="4" w:space="0" w:color="auto"/>
              <w:left w:val="double" w:sz="6" w:space="0" w:color="auto"/>
              <w:bottom w:val="single" w:sz="4" w:space="0" w:color="auto"/>
              <w:right w:val="single" w:sz="4" w:space="0" w:color="auto"/>
            </w:tcBorders>
            <w:shd w:val="clear" w:color="auto" w:fill="auto"/>
          </w:tcPr>
          <w:p w14:paraId="307CDB0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Dummy for headway category 1 </w:t>
            </w:r>
          </w:p>
        </w:tc>
        <w:tc>
          <w:tcPr>
            <w:tcW w:w="4950" w:type="dxa"/>
            <w:tcBorders>
              <w:top w:val="single" w:sz="4" w:space="0" w:color="auto"/>
              <w:left w:val="nil"/>
              <w:bottom w:val="single" w:sz="4" w:space="0" w:color="auto"/>
              <w:right w:val="single" w:sz="4" w:space="0" w:color="auto"/>
            </w:tcBorders>
            <w:shd w:val="clear" w:color="auto" w:fill="auto"/>
          </w:tcPr>
          <w:p w14:paraId="40EC5B90"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color w:val="000000"/>
                <w:sz w:val="20"/>
                <w:szCs w:val="20"/>
                <w:lang w:val="en-US"/>
              </w:rPr>
              <w:t>Headway 0~15 minutes</w:t>
            </w:r>
          </w:p>
        </w:tc>
        <w:tc>
          <w:tcPr>
            <w:tcW w:w="1260" w:type="dxa"/>
            <w:tcBorders>
              <w:top w:val="single" w:sz="4" w:space="0" w:color="auto"/>
              <w:left w:val="nil"/>
              <w:bottom w:val="single" w:sz="4" w:space="0" w:color="auto"/>
              <w:right w:val="dotted" w:sz="4" w:space="0" w:color="auto"/>
            </w:tcBorders>
          </w:tcPr>
          <w:p w14:paraId="468174FC" w14:textId="77777777" w:rsidR="009B637B" w:rsidRPr="002F1BD8" w:rsidRDefault="009B637B" w:rsidP="009B637B">
            <w:pPr>
              <w:jc w:val="left"/>
              <w:rPr>
                <w:rFonts w:eastAsia="Times New Roman" w:cs="Times New Roman"/>
                <w:bCs/>
                <w:color w:val="000000"/>
                <w:sz w:val="20"/>
                <w:szCs w:val="20"/>
                <w:lang w:val="en-US"/>
              </w:rPr>
            </w:pPr>
            <w:r w:rsidRPr="002F1BD8">
              <w:rPr>
                <w:rFonts w:eastAsia="Times New Roman" w:cs="Times New Roman"/>
                <w:bCs/>
                <w:color w:val="000000"/>
                <w:sz w:val="20"/>
                <w:szCs w:val="20"/>
                <w:lang w:val="en-US"/>
              </w:rPr>
              <w:t>9.094%</w:t>
            </w:r>
          </w:p>
        </w:tc>
        <w:tc>
          <w:tcPr>
            <w:tcW w:w="1080" w:type="dxa"/>
            <w:tcBorders>
              <w:top w:val="single" w:sz="4" w:space="0" w:color="auto"/>
              <w:left w:val="dotted" w:sz="4" w:space="0" w:color="auto"/>
              <w:bottom w:val="single" w:sz="4" w:space="0" w:color="auto"/>
              <w:right w:val="single" w:sz="4" w:space="0" w:color="auto"/>
            </w:tcBorders>
            <w:shd w:val="clear" w:color="auto" w:fill="auto"/>
          </w:tcPr>
          <w:p w14:paraId="6F71C0EF"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w:t>
            </w:r>
          </w:p>
        </w:tc>
        <w:tc>
          <w:tcPr>
            <w:tcW w:w="1260" w:type="dxa"/>
            <w:tcBorders>
              <w:top w:val="single" w:sz="4" w:space="0" w:color="auto"/>
              <w:left w:val="nil"/>
              <w:bottom w:val="single" w:sz="4" w:space="0" w:color="auto"/>
              <w:right w:val="single" w:sz="4" w:space="0" w:color="auto"/>
            </w:tcBorders>
            <w:shd w:val="clear" w:color="auto" w:fill="auto"/>
          </w:tcPr>
          <w:p w14:paraId="7A038569"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w:t>
            </w:r>
          </w:p>
        </w:tc>
        <w:tc>
          <w:tcPr>
            <w:tcW w:w="900" w:type="dxa"/>
            <w:tcBorders>
              <w:top w:val="single" w:sz="4" w:space="0" w:color="auto"/>
              <w:left w:val="nil"/>
              <w:bottom w:val="single" w:sz="4" w:space="0" w:color="auto"/>
              <w:right w:val="double" w:sz="6" w:space="0" w:color="auto"/>
            </w:tcBorders>
            <w:shd w:val="clear" w:color="auto" w:fill="auto"/>
          </w:tcPr>
          <w:p w14:paraId="7421FF42"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bCs/>
                <w:color w:val="000000"/>
                <w:sz w:val="20"/>
                <w:szCs w:val="20"/>
                <w:lang w:val="en-US"/>
              </w:rPr>
              <w:t>-</w:t>
            </w:r>
          </w:p>
        </w:tc>
      </w:tr>
      <w:tr w:rsidR="009B637B" w:rsidRPr="00415D18" w14:paraId="7F97CC6D" w14:textId="77777777" w:rsidTr="009B637B">
        <w:trPr>
          <w:trHeight w:val="288"/>
        </w:trPr>
        <w:tc>
          <w:tcPr>
            <w:tcW w:w="3487" w:type="dxa"/>
            <w:tcBorders>
              <w:top w:val="single" w:sz="4" w:space="0" w:color="auto"/>
              <w:left w:val="double" w:sz="6" w:space="0" w:color="auto"/>
              <w:bottom w:val="single" w:sz="4" w:space="0" w:color="auto"/>
              <w:right w:val="single" w:sz="4" w:space="0" w:color="auto"/>
            </w:tcBorders>
            <w:shd w:val="clear" w:color="auto" w:fill="auto"/>
          </w:tcPr>
          <w:p w14:paraId="5F1FD94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Dummy for headway category 2</w:t>
            </w:r>
          </w:p>
        </w:tc>
        <w:tc>
          <w:tcPr>
            <w:tcW w:w="4950" w:type="dxa"/>
            <w:tcBorders>
              <w:top w:val="single" w:sz="4" w:space="0" w:color="auto"/>
              <w:left w:val="nil"/>
              <w:bottom w:val="single" w:sz="4" w:space="0" w:color="auto"/>
              <w:right w:val="single" w:sz="4" w:space="0" w:color="auto"/>
            </w:tcBorders>
            <w:shd w:val="clear" w:color="auto" w:fill="auto"/>
            <w:noWrap/>
          </w:tcPr>
          <w:p w14:paraId="63DE69FA"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Headway </w:t>
            </w:r>
            <w:r>
              <w:rPr>
                <w:rFonts w:eastAsia="Times New Roman" w:cs="Times New Roman"/>
                <w:color w:val="000000"/>
                <w:sz w:val="20"/>
                <w:szCs w:val="20"/>
                <w:lang w:val="en-US"/>
              </w:rPr>
              <w:t>&gt;</w:t>
            </w:r>
            <w:r w:rsidRPr="002F1BD8">
              <w:rPr>
                <w:rFonts w:eastAsia="Times New Roman" w:cs="Times New Roman"/>
                <w:color w:val="000000"/>
                <w:sz w:val="20"/>
                <w:szCs w:val="20"/>
                <w:lang w:val="en-US"/>
              </w:rPr>
              <w:t>15~30 minutes</w:t>
            </w:r>
          </w:p>
        </w:tc>
        <w:tc>
          <w:tcPr>
            <w:tcW w:w="1260" w:type="dxa"/>
            <w:tcBorders>
              <w:top w:val="single" w:sz="4" w:space="0" w:color="auto"/>
              <w:left w:val="nil"/>
              <w:bottom w:val="single" w:sz="4" w:space="0" w:color="auto"/>
              <w:right w:val="dotted" w:sz="4" w:space="0" w:color="auto"/>
            </w:tcBorders>
          </w:tcPr>
          <w:p w14:paraId="66949414"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37.688%</w:t>
            </w:r>
          </w:p>
        </w:tc>
        <w:tc>
          <w:tcPr>
            <w:tcW w:w="1080" w:type="dxa"/>
            <w:tcBorders>
              <w:top w:val="single" w:sz="4" w:space="0" w:color="auto"/>
              <w:left w:val="dotted" w:sz="4" w:space="0" w:color="auto"/>
              <w:bottom w:val="single" w:sz="4" w:space="0" w:color="auto"/>
              <w:right w:val="single" w:sz="4" w:space="0" w:color="auto"/>
            </w:tcBorders>
            <w:shd w:val="clear" w:color="auto" w:fill="auto"/>
            <w:noWrap/>
          </w:tcPr>
          <w:p w14:paraId="6D01B18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c>
          <w:tcPr>
            <w:tcW w:w="1260" w:type="dxa"/>
            <w:tcBorders>
              <w:top w:val="single" w:sz="4" w:space="0" w:color="auto"/>
              <w:left w:val="nil"/>
              <w:bottom w:val="single" w:sz="4" w:space="0" w:color="auto"/>
              <w:right w:val="single" w:sz="4" w:space="0" w:color="auto"/>
            </w:tcBorders>
            <w:shd w:val="clear" w:color="auto" w:fill="auto"/>
            <w:noWrap/>
          </w:tcPr>
          <w:p w14:paraId="7505A32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c>
          <w:tcPr>
            <w:tcW w:w="900" w:type="dxa"/>
            <w:tcBorders>
              <w:top w:val="single" w:sz="4" w:space="0" w:color="auto"/>
              <w:left w:val="nil"/>
              <w:bottom w:val="single" w:sz="4" w:space="0" w:color="auto"/>
              <w:right w:val="double" w:sz="6" w:space="0" w:color="auto"/>
            </w:tcBorders>
            <w:shd w:val="clear" w:color="auto" w:fill="auto"/>
            <w:noWrap/>
          </w:tcPr>
          <w:p w14:paraId="7451C24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r>
      <w:tr w:rsidR="009B637B" w:rsidRPr="00415D18" w14:paraId="074F6778" w14:textId="77777777" w:rsidTr="009B637B">
        <w:trPr>
          <w:trHeight w:val="288"/>
        </w:trPr>
        <w:tc>
          <w:tcPr>
            <w:tcW w:w="3487" w:type="dxa"/>
            <w:tcBorders>
              <w:top w:val="single" w:sz="4" w:space="0" w:color="auto"/>
              <w:left w:val="double" w:sz="6" w:space="0" w:color="auto"/>
              <w:bottom w:val="single" w:sz="4" w:space="0" w:color="auto"/>
              <w:right w:val="single" w:sz="4" w:space="0" w:color="auto"/>
            </w:tcBorders>
            <w:shd w:val="clear" w:color="auto" w:fill="auto"/>
            <w:hideMark/>
          </w:tcPr>
          <w:p w14:paraId="7D8A644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Dummy for headway category 3</w:t>
            </w:r>
          </w:p>
        </w:tc>
        <w:tc>
          <w:tcPr>
            <w:tcW w:w="4950" w:type="dxa"/>
            <w:tcBorders>
              <w:top w:val="single" w:sz="4" w:space="0" w:color="auto"/>
              <w:left w:val="nil"/>
              <w:bottom w:val="single" w:sz="4" w:space="0" w:color="auto"/>
              <w:right w:val="single" w:sz="4" w:space="0" w:color="auto"/>
            </w:tcBorders>
            <w:shd w:val="clear" w:color="auto" w:fill="auto"/>
            <w:noWrap/>
            <w:hideMark/>
          </w:tcPr>
          <w:p w14:paraId="41372E8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Headway &gt;30 minutes</w:t>
            </w:r>
          </w:p>
        </w:tc>
        <w:tc>
          <w:tcPr>
            <w:tcW w:w="1260" w:type="dxa"/>
            <w:tcBorders>
              <w:top w:val="single" w:sz="4" w:space="0" w:color="auto"/>
              <w:left w:val="nil"/>
              <w:bottom w:val="single" w:sz="4" w:space="0" w:color="auto"/>
              <w:right w:val="dotted" w:sz="4" w:space="0" w:color="auto"/>
            </w:tcBorders>
          </w:tcPr>
          <w:p w14:paraId="7CFFAB74"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53.218%</w:t>
            </w:r>
          </w:p>
        </w:tc>
        <w:tc>
          <w:tcPr>
            <w:tcW w:w="1080" w:type="dxa"/>
            <w:tcBorders>
              <w:top w:val="single" w:sz="4" w:space="0" w:color="auto"/>
              <w:left w:val="dotted" w:sz="4" w:space="0" w:color="auto"/>
              <w:bottom w:val="single" w:sz="4" w:space="0" w:color="auto"/>
              <w:right w:val="single" w:sz="4" w:space="0" w:color="auto"/>
            </w:tcBorders>
            <w:shd w:val="clear" w:color="auto" w:fill="auto"/>
            <w:noWrap/>
          </w:tcPr>
          <w:p w14:paraId="776181D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c>
          <w:tcPr>
            <w:tcW w:w="1260" w:type="dxa"/>
            <w:tcBorders>
              <w:top w:val="single" w:sz="4" w:space="0" w:color="auto"/>
              <w:left w:val="nil"/>
              <w:bottom w:val="single" w:sz="4" w:space="0" w:color="auto"/>
              <w:right w:val="single" w:sz="4" w:space="0" w:color="auto"/>
            </w:tcBorders>
            <w:shd w:val="clear" w:color="auto" w:fill="auto"/>
            <w:noWrap/>
          </w:tcPr>
          <w:p w14:paraId="72BFFDE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c>
          <w:tcPr>
            <w:tcW w:w="900" w:type="dxa"/>
            <w:tcBorders>
              <w:top w:val="single" w:sz="4" w:space="0" w:color="auto"/>
              <w:left w:val="nil"/>
              <w:bottom w:val="single" w:sz="4" w:space="0" w:color="auto"/>
              <w:right w:val="double" w:sz="6" w:space="0" w:color="auto"/>
            </w:tcBorders>
            <w:shd w:val="clear" w:color="auto" w:fill="auto"/>
            <w:noWrap/>
          </w:tcPr>
          <w:p w14:paraId="4A7BB80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b/>
                <w:bCs/>
                <w:color w:val="000000"/>
                <w:sz w:val="20"/>
                <w:szCs w:val="20"/>
                <w:lang w:val="en-US"/>
              </w:rPr>
              <w:t>-</w:t>
            </w:r>
          </w:p>
        </w:tc>
      </w:tr>
      <w:tr w:rsidR="009B637B" w:rsidRPr="00415D18" w14:paraId="53337AB8" w14:textId="77777777" w:rsidTr="009B637B">
        <w:trPr>
          <w:trHeight w:val="288"/>
        </w:trPr>
        <w:tc>
          <w:tcPr>
            <w:tcW w:w="3487" w:type="dxa"/>
            <w:tcBorders>
              <w:top w:val="single" w:sz="4" w:space="0" w:color="auto"/>
              <w:left w:val="double" w:sz="6" w:space="0" w:color="auto"/>
              <w:bottom w:val="double" w:sz="4" w:space="0" w:color="auto"/>
              <w:right w:val="single" w:sz="4" w:space="0" w:color="auto"/>
            </w:tcBorders>
            <w:shd w:val="clear" w:color="auto" w:fill="auto"/>
          </w:tcPr>
          <w:p w14:paraId="0C411D4B"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Number of bus stop (800m buffer) </w:t>
            </w:r>
          </w:p>
        </w:tc>
        <w:tc>
          <w:tcPr>
            <w:tcW w:w="4950" w:type="dxa"/>
            <w:tcBorders>
              <w:top w:val="single" w:sz="4" w:space="0" w:color="auto"/>
              <w:left w:val="nil"/>
              <w:bottom w:val="double" w:sz="4" w:space="0" w:color="auto"/>
              <w:right w:val="single" w:sz="4" w:space="0" w:color="auto"/>
            </w:tcBorders>
            <w:shd w:val="clear" w:color="auto" w:fill="auto"/>
            <w:noWrap/>
          </w:tcPr>
          <w:p w14:paraId="390D90A7" w14:textId="77777777" w:rsidR="009B637B" w:rsidRPr="002F1BD8" w:rsidRDefault="009B637B" w:rsidP="009B637B">
            <w:pPr>
              <w:jc w:val="left"/>
              <w:rPr>
                <w:rFonts w:eastAsia="Times New Roman" w:cs="Times New Roman"/>
                <w:color w:val="000000"/>
                <w:sz w:val="20"/>
                <w:szCs w:val="20"/>
                <w:lang w:val="en-US"/>
              </w:rPr>
            </w:pPr>
            <w:r w:rsidRPr="002F1BD8">
              <w:rPr>
                <w:rFonts w:cs="Times New Roman"/>
                <w:color w:val="000000"/>
                <w:sz w:val="20"/>
                <w:szCs w:val="20"/>
                <w:lang w:val="en-US"/>
              </w:rPr>
              <w:t>No of bus stop within 800m buffer of a stop/10</w:t>
            </w:r>
          </w:p>
        </w:tc>
        <w:tc>
          <w:tcPr>
            <w:tcW w:w="1260" w:type="dxa"/>
            <w:tcBorders>
              <w:top w:val="single" w:sz="4" w:space="0" w:color="auto"/>
              <w:left w:val="nil"/>
              <w:bottom w:val="double" w:sz="4" w:space="0" w:color="auto"/>
              <w:right w:val="dotted" w:sz="4" w:space="0" w:color="auto"/>
            </w:tcBorders>
          </w:tcPr>
          <w:p w14:paraId="5873184E"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single" w:sz="4" w:space="0" w:color="auto"/>
              <w:left w:val="dotted" w:sz="4" w:space="0" w:color="auto"/>
              <w:bottom w:val="double" w:sz="4" w:space="0" w:color="auto"/>
              <w:right w:val="single" w:sz="4" w:space="0" w:color="auto"/>
            </w:tcBorders>
            <w:shd w:val="clear" w:color="auto" w:fill="auto"/>
            <w:noWrap/>
          </w:tcPr>
          <w:p w14:paraId="527846AB" w14:textId="77777777" w:rsidR="009B637B" w:rsidRPr="002F1BD8" w:rsidRDefault="009B637B" w:rsidP="009B637B">
            <w:pPr>
              <w:jc w:val="left"/>
              <w:rPr>
                <w:rFonts w:eastAsia="Times New Roman" w:cs="Times New Roman"/>
                <w:bCs/>
                <w:color w:val="000000"/>
                <w:sz w:val="20"/>
                <w:szCs w:val="20"/>
                <w:lang w:val="en-US"/>
              </w:rPr>
            </w:pPr>
            <w:r w:rsidRPr="002F1BD8">
              <w:rPr>
                <w:rFonts w:eastAsia="Times New Roman" w:cs="Times New Roman"/>
                <w:bCs/>
                <w:color w:val="000000"/>
                <w:sz w:val="20"/>
                <w:szCs w:val="20"/>
                <w:lang w:val="en-US"/>
              </w:rPr>
              <w:t>0.100</w:t>
            </w:r>
          </w:p>
        </w:tc>
        <w:tc>
          <w:tcPr>
            <w:tcW w:w="1260" w:type="dxa"/>
            <w:tcBorders>
              <w:top w:val="single" w:sz="4" w:space="0" w:color="auto"/>
              <w:left w:val="nil"/>
              <w:bottom w:val="double" w:sz="4" w:space="0" w:color="auto"/>
              <w:right w:val="single" w:sz="4" w:space="0" w:color="auto"/>
            </w:tcBorders>
            <w:shd w:val="clear" w:color="auto" w:fill="auto"/>
            <w:noWrap/>
          </w:tcPr>
          <w:p w14:paraId="6B3C0242" w14:textId="77777777" w:rsidR="009B637B" w:rsidRPr="002F1BD8" w:rsidRDefault="009B637B" w:rsidP="009B637B">
            <w:pPr>
              <w:jc w:val="left"/>
              <w:rPr>
                <w:rFonts w:eastAsia="Times New Roman" w:cs="Times New Roman"/>
                <w:bCs/>
                <w:color w:val="000000"/>
                <w:sz w:val="20"/>
                <w:szCs w:val="20"/>
                <w:lang w:val="en-US"/>
              </w:rPr>
            </w:pPr>
            <w:r w:rsidRPr="002F1BD8">
              <w:rPr>
                <w:rFonts w:eastAsia="Times New Roman" w:cs="Times New Roman"/>
                <w:bCs/>
                <w:color w:val="000000"/>
                <w:sz w:val="20"/>
                <w:szCs w:val="20"/>
                <w:lang w:val="en-US"/>
              </w:rPr>
              <w:t>9.300</w:t>
            </w:r>
          </w:p>
        </w:tc>
        <w:tc>
          <w:tcPr>
            <w:tcW w:w="900" w:type="dxa"/>
            <w:tcBorders>
              <w:top w:val="single" w:sz="4" w:space="0" w:color="auto"/>
              <w:left w:val="nil"/>
              <w:bottom w:val="double" w:sz="4" w:space="0" w:color="auto"/>
              <w:right w:val="double" w:sz="6" w:space="0" w:color="auto"/>
            </w:tcBorders>
            <w:shd w:val="clear" w:color="auto" w:fill="auto"/>
            <w:noWrap/>
          </w:tcPr>
          <w:p w14:paraId="782F8CA4" w14:textId="77777777" w:rsidR="009B637B" w:rsidRPr="002F1BD8" w:rsidRDefault="009B637B" w:rsidP="009B637B">
            <w:pPr>
              <w:jc w:val="left"/>
              <w:rPr>
                <w:rFonts w:eastAsia="Times New Roman" w:cs="Times New Roman"/>
                <w:bCs/>
                <w:color w:val="000000"/>
                <w:sz w:val="20"/>
                <w:szCs w:val="20"/>
                <w:lang w:val="en-US"/>
              </w:rPr>
            </w:pPr>
            <w:r w:rsidRPr="002F1BD8">
              <w:rPr>
                <w:rFonts w:eastAsia="Times New Roman" w:cs="Times New Roman"/>
                <w:bCs/>
                <w:color w:val="000000"/>
                <w:sz w:val="20"/>
                <w:szCs w:val="20"/>
                <w:lang w:val="en-US"/>
              </w:rPr>
              <w:t>1.727</w:t>
            </w:r>
          </w:p>
        </w:tc>
      </w:tr>
      <w:tr w:rsidR="009B637B" w:rsidRPr="00415D18" w14:paraId="55213CD0" w14:textId="77777777" w:rsidTr="009B637B">
        <w:trPr>
          <w:trHeight w:val="288"/>
        </w:trPr>
        <w:tc>
          <w:tcPr>
            <w:tcW w:w="12937" w:type="dxa"/>
            <w:gridSpan w:val="6"/>
            <w:tcBorders>
              <w:top w:val="double" w:sz="4" w:space="0" w:color="auto"/>
              <w:left w:val="double" w:sz="6" w:space="0" w:color="auto"/>
              <w:bottom w:val="single" w:sz="4" w:space="0" w:color="auto"/>
              <w:right w:val="double" w:sz="6" w:space="0" w:color="auto"/>
            </w:tcBorders>
          </w:tcPr>
          <w:p w14:paraId="78F7CA85" w14:textId="77777777" w:rsidR="009B637B" w:rsidRPr="002F1BD8" w:rsidRDefault="009B637B" w:rsidP="009B637B">
            <w:pPr>
              <w:jc w:val="left"/>
              <w:rPr>
                <w:rFonts w:eastAsia="Times New Roman" w:cs="Times New Roman"/>
                <w:b/>
                <w:bCs/>
                <w:color w:val="000000"/>
                <w:sz w:val="20"/>
                <w:szCs w:val="20"/>
                <w:lang w:val="en-US"/>
              </w:rPr>
            </w:pPr>
            <w:r w:rsidRPr="002F1BD8">
              <w:rPr>
                <w:rFonts w:eastAsia="Times New Roman" w:cs="Times New Roman"/>
                <w:b/>
                <w:color w:val="000000"/>
                <w:sz w:val="20"/>
                <w:szCs w:val="20"/>
                <w:lang w:val="en-US"/>
              </w:rPr>
              <w:t>Transportation Infrastructure Around the Stop</w:t>
            </w:r>
          </w:p>
        </w:tc>
      </w:tr>
      <w:tr w:rsidR="009B637B" w:rsidRPr="00415D18" w14:paraId="1D2BDB48" w14:textId="77777777" w:rsidTr="009B637B">
        <w:trPr>
          <w:trHeight w:val="288"/>
        </w:trPr>
        <w:tc>
          <w:tcPr>
            <w:tcW w:w="3487" w:type="dxa"/>
            <w:tcBorders>
              <w:top w:val="single" w:sz="4" w:space="0" w:color="auto"/>
              <w:left w:val="double" w:sz="6" w:space="0" w:color="auto"/>
              <w:bottom w:val="dotted" w:sz="4" w:space="0" w:color="auto"/>
              <w:right w:val="single" w:sz="4" w:space="0" w:color="auto"/>
            </w:tcBorders>
            <w:shd w:val="clear" w:color="auto" w:fill="auto"/>
          </w:tcPr>
          <w:p w14:paraId="7726D1FF"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Bus route length in a 800m buffer</w:t>
            </w:r>
          </w:p>
        </w:tc>
        <w:tc>
          <w:tcPr>
            <w:tcW w:w="4950" w:type="dxa"/>
            <w:tcBorders>
              <w:top w:val="single" w:sz="4" w:space="0" w:color="auto"/>
              <w:left w:val="nil"/>
              <w:bottom w:val="dotted" w:sz="4" w:space="0" w:color="auto"/>
              <w:right w:val="single" w:sz="4" w:space="0" w:color="auto"/>
            </w:tcBorders>
            <w:shd w:val="clear" w:color="auto" w:fill="auto"/>
            <w:noWrap/>
          </w:tcPr>
          <w:p w14:paraId="27532D0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Bus route length in kilometers (Bus route length in 800 m buffer/10)</w:t>
            </w:r>
          </w:p>
        </w:tc>
        <w:tc>
          <w:tcPr>
            <w:tcW w:w="1260" w:type="dxa"/>
            <w:tcBorders>
              <w:top w:val="single" w:sz="4" w:space="0" w:color="auto"/>
              <w:left w:val="nil"/>
              <w:bottom w:val="dotted" w:sz="4" w:space="0" w:color="auto"/>
              <w:right w:val="dotted" w:sz="4" w:space="0" w:color="auto"/>
            </w:tcBorders>
          </w:tcPr>
          <w:p w14:paraId="3CF4510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single" w:sz="4" w:space="0" w:color="auto"/>
              <w:left w:val="dotted" w:sz="4" w:space="0" w:color="auto"/>
              <w:bottom w:val="dotted" w:sz="4" w:space="0" w:color="auto"/>
              <w:right w:val="single" w:sz="4" w:space="0" w:color="auto"/>
            </w:tcBorders>
            <w:shd w:val="clear" w:color="auto" w:fill="auto"/>
            <w:noWrap/>
          </w:tcPr>
          <w:p w14:paraId="03D50BFB"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single" w:sz="4" w:space="0" w:color="auto"/>
              <w:left w:val="nil"/>
              <w:bottom w:val="dotted" w:sz="4" w:space="0" w:color="auto"/>
              <w:right w:val="single" w:sz="4" w:space="0" w:color="auto"/>
            </w:tcBorders>
            <w:shd w:val="clear" w:color="auto" w:fill="auto"/>
            <w:noWrap/>
          </w:tcPr>
          <w:p w14:paraId="1F394386"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8.710</w:t>
            </w:r>
          </w:p>
        </w:tc>
        <w:tc>
          <w:tcPr>
            <w:tcW w:w="900" w:type="dxa"/>
            <w:tcBorders>
              <w:top w:val="single" w:sz="4" w:space="0" w:color="auto"/>
              <w:left w:val="nil"/>
              <w:bottom w:val="dotted" w:sz="4" w:space="0" w:color="auto"/>
              <w:right w:val="double" w:sz="6" w:space="0" w:color="auto"/>
            </w:tcBorders>
            <w:shd w:val="clear" w:color="auto" w:fill="auto"/>
            <w:noWrap/>
          </w:tcPr>
          <w:p w14:paraId="72E02D04"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0.878</w:t>
            </w:r>
          </w:p>
        </w:tc>
      </w:tr>
      <w:tr w:rsidR="009B637B" w:rsidRPr="00415D18" w14:paraId="0A69CD35"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tcPr>
          <w:p w14:paraId="36881121" w14:textId="426BFABD" w:rsidR="009B637B" w:rsidRPr="002F1BD8" w:rsidRDefault="00A058CC"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Sidewalk</w:t>
            </w:r>
            <w:r w:rsidR="009B637B" w:rsidRPr="002F1BD8">
              <w:rPr>
                <w:rFonts w:eastAsia="Times New Roman" w:cs="Times New Roman"/>
                <w:color w:val="000000"/>
                <w:sz w:val="20"/>
                <w:szCs w:val="20"/>
                <w:lang w:val="en-US"/>
              </w:rPr>
              <w:t xml:space="preserve"> length in an 4</w:t>
            </w:r>
            <w:r w:rsidR="009B637B" w:rsidRPr="002F1BD8">
              <w:rPr>
                <w:rFonts w:eastAsia="Times New Roman" w:cs="Times New Roman"/>
                <w:iCs/>
                <w:color w:val="000000"/>
                <w:sz w:val="20"/>
                <w:szCs w:val="20"/>
                <w:lang w:val="en-US"/>
              </w:rPr>
              <w:t>00m buffer</w:t>
            </w:r>
          </w:p>
        </w:tc>
        <w:tc>
          <w:tcPr>
            <w:tcW w:w="4950" w:type="dxa"/>
            <w:tcBorders>
              <w:top w:val="dotted" w:sz="4" w:space="0" w:color="auto"/>
              <w:left w:val="nil"/>
              <w:bottom w:val="dotted" w:sz="4" w:space="0" w:color="auto"/>
              <w:right w:val="single" w:sz="4" w:space="0" w:color="auto"/>
            </w:tcBorders>
            <w:shd w:val="clear" w:color="auto" w:fill="auto"/>
            <w:noWrap/>
          </w:tcPr>
          <w:p w14:paraId="1D05ECC4" w14:textId="28773163" w:rsidR="009B637B" w:rsidRPr="002F1BD8" w:rsidRDefault="0061786F"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Sidewalk</w:t>
            </w:r>
            <w:r w:rsidR="009B637B" w:rsidRPr="002F1BD8">
              <w:rPr>
                <w:rFonts w:eastAsia="Times New Roman" w:cs="Times New Roman"/>
                <w:color w:val="000000"/>
                <w:sz w:val="20"/>
                <w:szCs w:val="20"/>
                <w:lang w:val="en-US"/>
              </w:rPr>
              <w:t xml:space="preserve"> length in kilometers</w:t>
            </w:r>
            <w:r w:rsidR="009B637B">
              <w:rPr>
                <w:rFonts w:eastAsia="Times New Roman" w:cs="Times New Roman"/>
                <w:color w:val="000000"/>
                <w:sz w:val="20"/>
                <w:szCs w:val="20"/>
                <w:lang w:val="en-US"/>
              </w:rPr>
              <w:t xml:space="preserve"> in 400m buffer</w:t>
            </w:r>
          </w:p>
        </w:tc>
        <w:tc>
          <w:tcPr>
            <w:tcW w:w="1260" w:type="dxa"/>
            <w:tcBorders>
              <w:top w:val="dotted" w:sz="4" w:space="0" w:color="auto"/>
              <w:left w:val="nil"/>
              <w:bottom w:val="dotted" w:sz="4" w:space="0" w:color="auto"/>
              <w:right w:val="dotted" w:sz="4" w:space="0" w:color="auto"/>
            </w:tcBorders>
          </w:tcPr>
          <w:p w14:paraId="0758E383"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781CD6E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056E4719"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7.557</w:t>
            </w:r>
          </w:p>
        </w:tc>
        <w:tc>
          <w:tcPr>
            <w:tcW w:w="900" w:type="dxa"/>
            <w:tcBorders>
              <w:top w:val="dotted" w:sz="4" w:space="0" w:color="auto"/>
              <w:left w:val="nil"/>
              <w:bottom w:val="dotted" w:sz="4" w:space="0" w:color="auto"/>
              <w:right w:val="double" w:sz="6" w:space="0" w:color="auto"/>
            </w:tcBorders>
            <w:shd w:val="clear" w:color="auto" w:fill="auto"/>
            <w:noWrap/>
          </w:tcPr>
          <w:p w14:paraId="72AA4D7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0.985</w:t>
            </w:r>
          </w:p>
        </w:tc>
      </w:tr>
      <w:tr w:rsidR="009B637B" w:rsidRPr="00415D18" w14:paraId="09DAF0CF"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tcPr>
          <w:p w14:paraId="17F2262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Bike Lane Length (800m buffer)</w:t>
            </w:r>
          </w:p>
        </w:tc>
        <w:tc>
          <w:tcPr>
            <w:tcW w:w="4950" w:type="dxa"/>
            <w:tcBorders>
              <w:top w:val="dotted" w:sz="4" w:space="0" w:color="auto"/>
              <w:left w:val="nil"/>
              <w:bottom w:val="dotted" w:sz="4" w:space="0" w:color="auto"/>
              <w:right w:val="single" w:sz="4" w:space="0" w:color="auto"/>
            </w:tcBorders>
            <w:shd w:val="clear" w:color="auto" w:fill="auto"/>
            <w:noWrap/>
          </w:tcPr>
          <w:p w14:paraId="3FAD521F" w14:textId="77777777" w:rsidR="009B637B" w:rsidRPr="002F1BD8" w:rsidRDefault="009B637B" w:rsidP="009B637B">
            <w:pPr>
              <w:jc w:val="left"/>
              <w:rPr>
                <w:rFonts w:eastAsia="Times New Roman" w:cs="Times New Roman"/>
                <w:color w:val="000000"/>
                <w:sz w:val="20"/>
                <w:szCs w:val="20"/>
                <w:lang w:val="en-US"/>
              </w:rPr>
            </w:pPr>
            <w:r w:rsidRPr="002F1BD8">
              <w:rPr>
                <w:rFonts w:cs="Times New Roman"/>
                <w:color w:val="000000"/>
                <w:sz w:val="20"/>
                <w:szCs w:val="20"/>
                <w:lang w:val="en-US"/>
              </w:rPr>
              <w:t xml:space="preserve">Bike Lane length in km in 800m buffer </w:t>
            </w:r>
          </w:p>
        </w:tc>
        <w:tc>
          <w:tcPr>
            <w:tcW w:w="1260" w:type="dxa"/>
            <w:tcBorders>
              <w:top w:val="dotted" w:sz="4" w:space="0" w:color="auto"/>
              <w:left w:val="nil"/>
              <w:bottom w:val="dotted" w:sz="4" w:space="0" w:color="auto"/>
              <w:right w:val="dotted" w:sz="4" w:space="0" w:color="auto"/>
            </w:tcBorders>
          </w:tcPr>
          <w:p w14:paraId="77344773"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2BA5FEF7"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1A330AB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9.100</w:t>
            </w:r>
          </w:p>
        </w:tc>
        <w:tc>
          <w:tcPr>
            <w:tcW w:w="900" w:type="dxa"/>
            <w:tcBorders>
              <w:top w:val="dotted" w:sz="4" w:space="0" w:color="auto"/>
              <w:left w:val="nil"/>
              <w:bottom w:val="dotted" w:sz="4" w:space="0" w:color="auto"/>
              <w:right w:val="double" w:sz="6" w:space="0" w:color="auto"/>
            </w:tcBorders>
            <w:shd w:val="clear" w:color="auto" w:fill="auto"/>
            <w:noWrap/>
          </w:tcPr>
          <w:p w14:paraId="332E14A6"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0.458</w:t>
            </w:r>
          </w:p>
        </w:tc>
      </w:tr>
      <w:tr w:rsidR="009B637B" w:rsidRPr="00415D18" w14:paraId="0BEE3522"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hideMark/>
          </w:tcPr>
          <w:p w14:paraId="2F54FA2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Secondary highway length (</w:t>
            </w:r>
            <w:r w:rsidRPr="002F1BD8">
              <w:rPr>
                <w:rFonts w:eastAsia="Times New Roman" w:cs="Times New Roman"/>
                <w:iCs/>
                <w:color w:val="000000"/>
                <w:sz w:val="20"/>
                <w:szCs w:val="20"/>
                <w:lang w:val="en-US"/>
              </w:rPr>
              <w:t>800m buffer)</w:t>
            </w:r>
          </w:p>
        </w:tc>
        <w:tc>
          <w:tcPr>
            <w:tcW w:w="4950" w:type="dxa"/>
            <w:tcBorders>
              <w:top w:val="dotted" w:sz="4" w:space="0" w:color="auto"/>
              <w:left w:val="nil"/>
              <w:bottom w:val="dotted" w:sz="4" w:space="0" w:color="auto"/>
              <w:right w:val="single" w:sz="4" w:space="0" w:color="auto"/>
            </w:tcBorders>
            <w:shd w:val="clear" w:color="auto" w:fill="auto"/>
            <w:noWrap/>
            <w:hideMark/>
          </w:tcPr>
          <w:p w14:paraId="6A0CC86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Secondary highway length in 800 m buffer / 10</w:t>
            </w:r>
          </w:p>
        </w:tc>
        <w:tc>
          <w:tcPr>
            <w:tcW w:w="1260" w:type="dxa"/>
            <w:tcBorders>
              <w:top w:val="dotted" w:sz="4" w:space="0" w:color="auto"/>
              <w:left w:val="nil"/>
              <w:bottom w:val="dotted" w:sz="4" w:space="0" w:color="auto"/>
              <w:right w:val="dotted" w:sz="4" w:space="0" w:color="auto"/>
            </w:tcBorders>
          </w:tcPr>
          <w:p w14:paraId="0770563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7BA8EE38"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1AC7E3EA"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4.278</w:t>
            </w:r>
          </w:p>
        </w:tc>
        <w:tc>
          <w:tcPr>
            <w:tcW w:w="900" w:type="dxa"/>
            <w:tcBorders>
              <w:top w:val="dotted" w:sz="4" w:space="0" w:color="auto"/>
              <w:left w:val="nil"/>
              <w:bottom w:val="dotted" w:sz="4" w:space="0" w:color="auto"/>
              <w:right w:val="double" w:sz="6" w:space="0" w:color="auto"/>
            </w:tcBorders>
            <w:shd w:val="clear" w:color="auto" w:fill="auto"/>
            <w:noWrap/>
          </w:tcPr>
          <w:p w14:paraId="017F4E5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0.964</w:t>
            </w:r>
          </w:p>
        </w:tc>
      </w:tr>
      <w:tr w:rsidR="009B637B" w:rsidRPr="00415D18" w14:paraId="4CCEB4EA"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hideMark/>
          </w:tcPr>
          <w:p w14:paraId="4C7909AE" w14:textId="7BF8CF05" w:rsidR="009B637B" w:rsidRPr="002F1BD8" w:rsidRDefault="00A058CC"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Railroad</w:t>
            </w:r>
            <w:r w:rsidR="009B637B" w:rsidRPr="002F1BD8">
              <w:rPr>
                <w:rFonts w:eastAsia="Times New Roman" w:cs="Times New Roman"/>
                <w:color w:val="000000"/>
                <w:sz w:val="20"/>
                <w:szCs w:val="20"/>
                <w:lang w:val="en-US"/>
              </w:rPr>
              <w:t xml:space="preserve"> length in an</w:t>
            </w:r>
            <w:r w:rsidR="009B637B" w:rsidRPr="002F1BD8">
              <w:rPr>
                <w:rFonts w:eastAsia="Times New Roman" w:cs="Times New Roman"/>
                <w:iCs/>
                <w:color w:val="000000"/>
                <w:sz w:val="20"/>
                <w:szCs w:val="20"/>
                <w:lang w:val="en-US"/>
              </w:rPr>
              <w:t xml:space="preserve"> 800m buffer</w:t>
            </w:r>
          </w:p>
        </w:tc>
        <w:tc>
          <w:tcPr>
            <w:tcW w:w="4950" w:type="dxa"/>
            <w:tcBorders>
              <w:top w:val="dotted" w:sz="4" w:space="0" w:color="auto"/>
              <w:left w:val="nil"/>
              <w:bottom w:val="dotted" w:sz="4" w:space="0" w:color="auto"/>
              <w:right w:val="single" w:sz="4" w:space="0" w:color="auto"/>
            </w:tcBorders>
            <w:shd w:val="clear" w:color="auto" w:fill="auto"/>
            <w:noWrap/>
            <w:hideMark/>
          </w:tcPr>
          <w:p w14:paraId="5A75439F" w14:textId="62AC2B61" w:rsidR="009B637B" w:rsidRPr="002F1BD8" w:rsidRDefault="0061786F"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Railroad</w:t>
            </w:r>
            <w:r w:rsidR="009B637B" w:rsidRPr="002F1BD8">
              <w:rPr>
                <w:rFonts w:eastAsia="Times New Roman" w:cs="Times New Roman"/>
                <w:color w:val="000000"/>
                <w:sz w:val="20"/>
                <w:szCs w:val="20"/>
                <w:lang w:val="en-US"/>
              </w:rPr>
              <w:t xml:space="preserve"> length in kilometers</w:t>
            </w:r>
            <w:r w:rsidR="009B637B">
              <w:rPr>
                <w:rFonts w:eastAsia="Times New Roman" w:cs="Times New Roman"/>
                <w:color w:val="000000"/>
                <w:sz w:val="20"/>
                <w:szCs w:val="20"/>
                <w:lang w:val="en-US"/>
              </w:rPr>
              <w:t xml:space="preserve"> in 800m buffer</w:t>
            </w:r>
          </w:p>
        </w:tc>
        <w:tc>
          <w:tcPr>
            <w:tcW w:w="1260" w:type="dxa"/>
            <w:tcBorders>
              <w:top w:val="dotted" w:sz="4" w:space="0" w:color="auto"/>
              <w:left w:val="nil"/>
              <w:bottom w:val="dotted" w:sz="4" w:space="0" w:color="auto"/>
              <w:right w:val="dotted" w:sz="4" w:space="0" w:color="auto"/>
            </w:tcBorders>
          </w:tcPr>
          <w:p w14:paraId="5FB00007"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7DFE018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148CA076"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6.312</w:t>
            </w:r>
          </w:p>
        </w:tc>
        <w:tc>
          <w:tcPr>
            <w:tcW w:w="900" w:type="dxa"/>
            <w:tcBorders>
              <w:top w:val="dotted" w:sz="4" w:space="0" w:color="auto"/>
              <w:left w:val="nil"/>
              <w:bottom w:val="dotted" w:sz="4" w:space="0" w:color="auto"/>
              <w:right w:val="double" w:sz="6" w:space="0" w:color="auto"/>
            </w:tcBorders>
            <w:shd w:val="clear" w:color="auto" w:fill="auto"/>
            <w:noWrap/>
          </w:tcPr>
          <w:p w14:paraId="71F4863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0.301</w:t>
            </w:r>
          </w:p>
        </w:tc>
      </w:tr>
      <w:tr w:rsidR="009B637B" w:rsidRPr="00415D18" w14:paraId="486B2B90"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tcPr>
          <w:p w14:paraId="30FF5E6F"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Local road length in an</w:t>
            </w:r>
            <w:r w:rsidRPr="002F1BD8">
              <w:rPr>
                <w:rFonts w:eastAsia="Times New Roman" w:cs="Times New Roman"/>
                <w:iCs/>
                <w:color w:val="000000"/>
                <w:sz w:val="20"/>
                <w:szCs w:val="20"/>
                <w:lang w:val="en-US"/>
              </w:rPr>
              <w:t xml:space="preserve"> 800m buffer</w:t>
            </w:r>
          </w:p>
        </w:tc>
        <w:tc>
          <w:tcPr>
            <w:tcW w:w="4950" w:type="dxa"/>
            <w:tcBorders>
              <w:top w:val="dotted" w:sz="4" w:space="0" w:color="auto"/>
              <w:left w:val="nil"/>
              <w:bottom w:val="dotted" w:sz="4" w:space="0" w:color="auto"/>
              <w:right w:val="single" w:sz="4" w:space="0" w:color="auto"/>
            </w:tcBorders>
            <w:shd w:val="clear" w:color="auto" w:fill="auto"/>
            <w:noWrap/>
          </w:tcPr>
          <w:p w14:paraId="4FD6919A"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Local road length in 800 m buffer / 10</w:t>
            </w:r>
          </w:p>
        </w:tc>
        <w:tc>
          <w:tcPr>
            <w:tcW w:w="1260" w:type="dxa"/>
            <w:tcBorders>
              <w:top w:val="dotted" w:sz="4" w:space="0" w:color="auto"/>
              <w:left w:val="nil"/>
              <w:bottom w:val="dotted" w:sz="4" w:space="0" w:color="auto"/>
              <w:right w:val="dotted" w:sz="4" w:space="0" w:color="auto"/>
            </w:tcBorders>
          </w:tcPr>
          <w:p w14:paraId="759CB38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179F7804"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5BCBF99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6.048</w:t>
            </w:r>
          </w:p>
        </w:tc>
        <w:tc>
          <w:tcPr>
            <w:tcW w:w="900" w:type="dxa"/>
            <w:tcBorders>
              <w:top w:val="dotted" w:sz="4" w:space="0" w:color="auto"/>
              <w:left w:val="nil"/>
              <w:bottom w:val="dotted" w:sz="4" w:space="0" w:color="auto"/>
              <w:right w:val="double" w:sz="6" w:space="0" w:color="auto"/>
            </w:tcBorders>
            <w:shd w:val="clear" w:color="auto" w:fill="auto"/>
            <w:noWrap/>
          </w:tcPr>
          <w:p w14:paraId="3B33AC7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2.138</w:t>
            </w:r>
          </w:p>
        </w:tc>
      </w:tr>
      <w:tr w:rsidR="009B637B" w:rsidRPr="00415D18" w14:paraId="404CE01A" w14:textId="77777777" w:rsidTr="009B637B">
        <w:trPr>
          <w:trHeight w:val="288"/>
        </w:trPr>
        <w:tc>
          <w:tcPr>
            <w:tcW w:w="3487" w:type="dxa"/>
            <w:tcBorders>
              <w:top w:val="dotted" w:sz="4" w:space="0" w:color="auto"/>
              <w:left w:val="double" w:sz="6" w:space="0" w:color="auto"/>
              <w:bottom w:val="double" w:sz="6" w:space="0" w:color="auto"/>
              <w:right w:val="single" w:sz="4" w:space="0" w:color="auto"/>
            </w:tcBorders>
            <w:shd w:val="clear" w:color="auto" w:fill="auto"/>
          </w:tcPr>
          <w:p w14:paraId="52731C36"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Presence of shelter in bus stop</w:t>
            </w:r>
          </w:p>
        </w:tc>
        <w:tc>
          <w:tcPr>
            <w:tcW w:w="4950" w:type="dxa"/>
            <w:tcBorders>
              <w:top w:val="dotted" w:sz="4" w:space="0" w:color="auto"/>
              <w:left w:val="nil"/>
              <w:bottom w:val="double" w:sz="4" w:space="0" w:color="auto"/>
              <w:right w:val="single" w:sz="4" w:space="0" w:color="auto"/>
            </w:tcBorders>
            <w:shd w:val="clear" w:color="auto" w:fill="auto"/>
            <w:noWrap/>
          </w:tcPr>
          <w:p w14:paraId="250E28D9" w14:textId="77777777" w:rsidR="009B637B" w:rsidRPr="002F1BD8"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 xml:space="preserve">Shelter </w:t>
            </w:r>
            <w:r w:rsidRPr="002F1BD8">
              <w:rPr>
                <w:rFonts w:eastAsia="Times New Roman" w:cs="Times New Roman"/>
                <w:color w:val="000000"/>
                <w:sz w:val="20"/>
                <w:szCs w:val="20"/>
                <w:lang w:val="en-US"/>
              </w:rPr>
              <w:t>(1 = Yes and 0 = No)</w:t>
            </w:r>
          </w:p>
        </w:tc>
        <w:tc>
          <w:tcPr>
            <w:tcW w:w="1260" w:type="dxa"/>
            <w:tcBorders>
              <w:top w:val="dotted" w:sz="4" w:space="0" w:color="auto"/>
              <w:left w:val="nil"/>
              <w:bottom w:val="double" w:sz="4" w:space="0" w:color="auto"/>
              <w:right w:val="dotted" w:sz="4" w:space="0" w:color="auto"/>
            </w:tcBorders>
          </w:tcPr>
          <w:p w14:paraId="2B41CF8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22.750%</w:t>
            </w:r>
          </w:p>
        </w:tc>
        <w:tc>
          <w:tcPr>
            <w:tcW w:w="1080" w:type="dxa"/>
            <w:tcBorders>
              <w:top w:val="dotted" w:sz="4" w:space="0" w:color="auto"/>
              <w:left w:val="dotted" w:sz="4" w:space="0" w:color="auto"/>
              <w:bottom w:val="double" w:sz="4" w:space="0" w:color="auto"/>
              <w:right w:val="single" w:sz="4" w:space="0" w:color="auto"/>
            </w:tcBorders>
            <w:shd w:val="clear" w:color="auto" w:fill="auto"/>
            <w:noWrap/>
          </w:tcPr>
          <w:p w14:paraId="16C2EE1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260" w:type="dxa"/>
            <w:tcBorders>
              <w:top w:val="dotted" w:sz="4" w:space="0" w:color="auto"/>
              <w:left w:val="nil"/>
              <w:bottom w:val="double" w:sz="4" w:space="0" w:color="auto"/>
              <w:right w:val="single" w:sz="4" w:space="0" w:color="auto"/>
            </w:tcBorders>
            <w:shd w:val="clear" w:color="auto" w:fill="auto"/>
            <w:noWrap/>
          </w:tcPr>
          <w:p w14:paraId="4F35D5B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900" w:type="dxa"/>
            <w:tcBorders>
              <w:top w:val="dotted" w:sz="4" w:space="0" w:color="auto"/>
              <w:left w:val="nil"/>
              <w:bottom w:val="double" w:sz="4" w:space="0" w:color="auto"/>
              <w:right w:val="double" w:sz="6" w:space="0" w:color="auto"/>
            </w:tcBorders>
            <w:shd w:val="clear" w:color="auto" w:fill="auto"/>
            <w:noWrap/>
          </w:tcPr>
          <w:p w14:paraId="5F544E4E"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r>
      <w:tr w:rsidR="009B637B" w:rsidRPr="00415D18" w14:paraId="47FE5F51" w14:textId="77777777" w:rsidTr="009B637B">
        <w:trPr>
          <w:trHeight w:val="288"/>
        </w:trPr>
        <w:tc>
          <w:tcPr>
            <w:tcW w:w="12937" w:type="dxa"/>
            <w:gridSpan w:val="6"/>
            <w:tcBorders>
              <w:top w:val="double" w:sz="6" w:space="0" w:color="auto"/>
              <w:left w:val="double" w:sz="6" w:space="0" w:color="auto"/>
              <w:bottom w:val="single" w:sz="4" w:space="0" w:color="auto"/>
              <w:right w:val="double" w:sz="6" w:space="0" w:color="auto"/>
            </w:tcBorders>
          </w:tcPr>
          <w:p w14:paraId="603E1026" w14:textId="77777777" w:rsidR="009B637B" w:rsidRPr="002F1BD8" w:rsidRDefault="009B637B" w:rsidP="009B637B">
            <w:pPr>
              <w:jc w:val="left"/>
              <w:rPr>
                <w:rFonts w:eastAsia="Times New Roman" w:cs="Times New Roman"/>
                <w:b/>
                <w:color w:val="000000"/>
                <w:sz w:val="20"/>
                <w:szCs w:val="20"/>
                <w:lang w:val="en-US"/>
              </w:rPr>
            </w:pPr>
            <w:r w:rsidRPr="002F1BD8">
              <w:rPr>
                <w:rFonts w:eastAsia="Times New Roman" w:cs="Times New Roman"/>
                <w:b/>
                <w:color w:val="000000"/>
                <w:sz w:val="20"/>
                <w:szCs w:val="20"/>
                <w:lang w:val="en-US"/>
              </w:rPr>
              <w:t>Built Environment Around the Bus Stop </w:t>
            </w:r>
          </w:p>
        </w:tc>
      </w:tr>
      <w:tr w:rsidR="009B637B" w:rsidRPr="00415D18" w14:paraId="5D95B62C" w14:textId="77777777" w:rsidTr="009B637B">
        <w:trPr>
          <w:trHeight w:val="288"/>
        </w:trPr>
        <w:tc>
          <w:tcPr>
            <w:tcW w:w="3487" w:type="dxa"/>
            <w:tcBorders>
              <w:top w:val="single" w:sz="4" w:space="0" w:color="auto"/>
              <w:left w:val="double" w:sz="6" w:space="0" w:color="auto"/>
              <w:bottom w:val="dotted" w:sz="4" w:space="0" w:color="auto"/>
              <w:right w:val="dotted" w:sz="4" w:space="0" w:color="auto"/>
            </w:tcBorders>
            <w:shd w:val="clear" w:color="auto" w:fill="auto"/>
          </w:tcPr>
          <w:p w14:paraId="049B7448"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Industrial area (800m buffer)</w:t>
            </w:r>
          </w:p>
        </w:tc>
        <w:tc>
          <w:tcPr>
            <w:tcW w:w="4950" w:type="dxa"/>
            <w:tcBorders>
              <w:top w:val="single" w:sz="4" w:space="0" w:color="auto"/>
              <w:left w:val="dotted" w:sz="4" w:space="0" w:color="auto"/>
              <w:bottom w:val="dotted" w:sz="4" w:space="0" w:color="auto"/>
              <w:right w:val="dotted" w:sz="4" w:space="0" w:color="auto"/>
            </w:tcBorders>
            <w:shd w:val="clear" w:color="auto" w:fill="auto"/>
            <w:noWrap/>
          </w:tcPr>
          <w:p w14:paraId="5AC8971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Proportion of the industrial area</w:t>
            </w:r>
            <w:r>
              <w:rPr>
                <w:rFonts w:eastAsia="Times New Roman" w:cs="Times New Roman"/>
                <w:color w:val="000000"/>
                <w:sz w:val="20"/>
                <w:szCs w:val="20"/>
                <w:lang w:val="en-US"/>
              </w:rPr>
              <w:t xml:space="preserve"> in 800m buffer</w:t>
            </w:r>
            <w:r w:rsidRPr="002F1BD8">
              <w:rPr>
                <w:rFonts w:eastAsia="Times New Roman" w:cs="Times New Roman"/>
                <w:color w:val="000000"/>
                <w:sz w:val="20"/>
                <w:szCs w:val="20"/>
                <w:lang w:val="en-US"/>
              </w:rPr>
              <w:t xml:space="preserve"> = Industrial</w:t>
            </w:r>
            <w:r>
              <w:rPr>
                <w:rFonts w:eastAsia="Times New Roman" w:cs="Times New Roman"/>
                <w:color w:val="000000"/>
                <w:sz w:val="20"/>
                <w:szCs w:val="20"/>
                <w:lang w:val="en-US"/>
              </w:rPr>
              <w:t xml:space="preserve"> area</w:t>
            </w:r>
            <w:r w:rsidRPr="002F1BD8">
              <w:rPr>
                <w:rFonts w:eastAsia="Times New Roman" w:cs="Times New Roman"/>
                <w:color w:val="000000"/>
                <w:sz w:val="20"/>
                <w:szCs w:val="20"/>
                <w:lang w:val="en-US"/>
              </w:rPr>
              <w:t>/Total area</w:t>
            </w:r>
          </w:p>
        </w:tc>
        <w:tc>
          <w:tcPr>
            <w:tcW w:w="1260" w:type="dxa"/>
            <w:tcBorders>
              <w:top w:val="single" w:sz="4" w:space="0" w:color="auto"/>
              <w:left w:val="dotted" w:sz="4" w:space="0" w:color="auto"/>
              <w:bottom w:val="dotted" w:sz="4" w:space="0" w:color="auto"/>
              <w:right w:val="dotted" w:sz="4" w:space="0" w:color="auto"/>
            </w:tcBorders>
          </w:tcPr>
          <w:p w14:paraId="5C5847C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single" w:sz="4" w:space="0" w:color="auto"/>
              <w:left w:val="dotted" w:sz="4" w:space="0" w:color="auto"/>
              <w:bottom w:val="dotted" w:sz="4" w:space="0" w:color="auto"/>
              <w:right w:val="dotted" w:sz="4" w:space="0" w:color="auto"/>
            </w:tcBorders>
            <w:shd w:val="clear" w:color="auto" w:fill="auto"/>
            <w:noWrap/>
          </w:tcPr>
          <w:p w14:paraId="41C5BC7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single" w:sz="4" w:space="0" w:color="auto"/>
              <w:left w:val="dotted" w:sz="4" w:space="0" w:color="auto"/>
              <w:bottom w:val="dotted" w:sz="4" w:space="0" w:color="auto"/>
              <w:right w:val="dotted" w:sz="4" w:space="0" w:color="auto"/>
            </w:tcBorders>
            <w:shd w:val="clear" w:color="auto" w:fill="auto"/>
            <w:noWrap/>
          </w:tcPr>
          <w:p w14:paraId="59DCC72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0.738</w:t>
            </w:r>
          </w:p>
        </w:tc>
        <w:tc>
          <w:tcPr>
            <w:tcW w:w="900" w:type="dxa"/>
            <w:tcBorders>
              <w:top w:val="single" w:sz="4" w:space="0" w:color="auto"/>
              <w:left w:val="dotted" w:sz="4" w:space="0" w:color="auto"/>
              <w:bottom w:val="dotted" w:sz="4" w:space="0" w:color="auto"/>
              <w:right w:val="double" w:sz="6" w:space="0" w:color="auto"/>
            </w:tcBorders>
            <w:shd w:val="clear" w:color="auto" w:fill="auto"/>
            <w:noWrap/>
          </w:tcPr>
          <w:p w14:paraId="05D1D2EE"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0.054</w:t>
            </w:r>
          </w:p>
        </w:tc>
      </w:tr>
      <w:tr w:rsidR="009B637B" w:rsidRPr="00415D18" w14:paraId="53AC5B7B" w14:textId="77777777" w:rsidTr="009B637B">
        <w:trPr>
          <w:trHeight w:val="288"/>
        </w:trPr>
        <w:tc>
          <w:tcPr>
            <w:tcW w:w="3487" w:type="dxa"/>
            <w:tcBorders>
              <w:top w:val="dotted" w:sz="4" w:space="0" w:color="auto"/>
              <w:left w:val="double" w:sz="6" w:space="0" w:color="auto"/>
              <w:bottom w:val="dotted" w:sz="4" w:space="0" w:color="auto"/>
              <w:right w:val="dotted" w:sz="4" w:space="0" w:color="auto"/>
            </w:tcBorders>
            <w:shd w:val="clear" w:color="auto" w:fill="auto"/>
          </w:tcPr>
          <w:p w14:paraId="537A9B49"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Residential area (800m buffer)</w:t>
            </w:r>
          </w:p>
        </w:tc>
        <w:tc>
          <w:tcPr>
            <w:tcW w:w="4950" w:type="dxa"/>
            <w:tcBorders>
              <w:top w:val="dotted" w:sz="4" w:space="0" w:color="auto"/>
              <w:left w:val="dotted" w:sz="4" w:space="0" w:color="auto"/>
              <w:bottom w:val="dotted" w:sz="4" w:space="0" w:color="auto"/>
              <w:right w:val="dotted" w:sz="4" w:space="0" w:color="auto"/>
            </w:tcBorders>
            <w:shd w:val="clear" w:color="auto" w:fill="auto"/>
          </w:tcPr>
          <w:p w14:paraId="21A42F8A"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Proportion of the Residential area</w:t>
            </w:r>
            <w:r>
              <w:rPr>
                <w:rFonts w:eastAsia="Times New Roman" w:cs="Times New Roman"/>
                <w:color w:val="000000"/>
                <w:sz w:val="20"/>
                <w:szCs w:val="20"/>
                <w:lang w:val="en-US"/>
              </w:rPr>
              <w:t xml:space="preserve"> in 800m buffer</w:t>
            </w:r>
            <w:r w:rsidRPr="002F1BD8">
              <w:rPr>
                <w:rFonts w:eastAsia="Times New Roman" w:cs="Times New Roman"/>
                <w:color w:val="000000"/>
                <w:sz w:val="20"/>
                <w:szCs w:val="20"/>
                <w:lang w:val="en-US"/>
              </w:rPr>
              <w:t xml:space="preserve"> = Residential </w:t>
            </w:r>
            <w:r>
              <w:rPr>
                <w:rFonts w:eastAsia="Times New Roman" w:cs="Times New Roman"/>
                <w:color w:val="000000"/>
                <w:sz w:val="20"/>
                <w:szCs w:val="20"/>
                <w:lang w:val="en-US"/>
              </w:rPr>
              <w:t>area</w:t>
            </w:r>
            <w:r w:rsidRPr="002F1BD8">
              <w:rPr>
                <w:rFonts w:eastAsia="Times New Roman" w:cs="Times New Roman"/>
                <w:color w:val="000000"/>
                <w:sz w:val="20"/>
                <w:szCs w:val="20"/>
                <w:lang w:val="en-US"/>
              </w:rPr>
              <w:t>/Total area</w:t>
            </w:r>
          </w:p>
        </w:tc>
        <w:tc>
          <w:tcPr>
            <w:tcW w:w="1260" w:type="dxa"/>
            <w:tcBorders>
              <w:top w:val="dotted" w:sz="4" w:space="0" w:color="auto"/>
              <w:left w:val="dotted" w:sz="4" w:space="0" w:color="auto"/>
              <w:bottom w:val="dotted" w:sz="4" w:space="0" w:color="auto"/>
              <w:right w:val="dotted" w:sz="4" w:space="0" w:color="auto"/>
            </w:tcBorders>
          </w:tcPr>
          <w:p w14:paraId="32C089D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dotted" w:sz="4" w:space="0" w:color="auto"/>
            </w:tcBorders>
            <w:shd w:val="clear" w:color="auto" w:fill="auto"/>
            <w:noWrap/>
          </w:tcPr>
          <w:p w14:paraId="1F73D1B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14:paraId="3942566B"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0.992</w:t>
            </w:r>
          </w:p>
        </w:tc>
        <w:tc>
          <w:tcPr>
            <w:tcW w:w="900" w:type="dxa"/>
            <w:tcBorders>
              <w:top w:val="dotted" w:sz="4" w:space="0" w:color="auto"/>
              <w:left w:val="dotted" w:sz="4" w:space="0" w:color="auto"/>
              <w:bottom w:val="dotted" w:sz="4" w:space="0" w:color="auto"/>
              <w:right w:val="double" w:sz="6" w:space="0" w:color="auto"/>
            </w:tcBorders>
            <w:shd w:val="clear" w:color="auto" w:fill="auto"/>
            <w:noWrap/>
          </w:tcPr>
          <w:p w14:paraId="40FA0C08"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0.443</w:t>
            </w:r>
          </w:p>
        </w:tc>
      </w:tr>
      <w:tr w:rsidR="009B637B" w:rsidRPr="00415D18" w14:paraId="7F5D76E2" w14:textId="77777777" w:rsidTr="009B637B">
        <w:trPr>
          <w:trHeight w:val="288"/>
        </w:trPr>
        <w:tc>
          <w:tcPr>
            <w:tcW w:w="3487" w:type="dxa"/>
            <w:tcBorders>
              <w:top w:val="dotted" w:sz="4" w:space="0" w:color="auto"/>
              <w:left w:val="double" w:sz="6" w:space="0" w:color="auto"/>
              <w:bottom w:val="dotted" w:sz="4" w:space="0" w:color="auto"/>
              <w:right w:val="dotted" w:sz="4" w:space="0" w:color="auto"/>
            </w:tcBorders>
            <w:shd w:val="clear" w:color="auto" w:fill="auto"/>
          </w:tcPr>
          <w:p w14:paraId="163E6FF4"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Institutional area (800m buffer)</w:t>
            </w:r>
          </w:p>
        </w:tc>
        <w:tc>
          <w:tcPr>
            <w:tcW w:w="4950" w:type="dxa"/>
            <w:tcBorders>
              <w:top w:val="dotted" w:sz="4" w:space="0" w:color="auto"/>
              <w:left w:val="dotted" w:sz="4" w:space="0" w:color="auto"/>
              <w:bottom w:val="dotted" w:sz="4" w:space="0" w:color="auto"/>
              <w:right w:val="dotted" w:sz="4" w:space="0" w:color="auto"/>
            </w:tcBorders>
            <w:shd w:val="clear" w:color="auto" w:fill="auto"/>
          </w:tcPr>
          <w:p w14:paraId="7459973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Proportion of the Institutional area</w:t>
            </w:r>
            <w:r>
              <w:rPr>
                <w:rFonts w:eastAsia="Times New Roman" w:cs="Times New Roman"/>
                <w:color w:val="000000"/>
                <w:sz w:val="20"/>
                <w:szCs w:val="20"/>
                <w:lang w:val="en-US"/>
              </w:rPr>
              <w:t xml:space="preserve"> in 800m buffer</w:t>
            </w:r>
            <w:r w:rsidRPr="002F1BD8">
              <w:rPr>
                <w:rFonts w:eastAsia="Times New Roman" w:cs="Times New Roman"/>
                <w:color w:val="000000"/>
                <w:sz w:val="20"/>
                <w:szCs w:val="20"/>
                <w:lang w:val="en-US"/>
              </w:rPr>
              <w:t xml:space="preserve"> = Institutional </w:t>
            </w:r>
            <w:r>
              <w:rPr>
                <w:rFonts w:eastAsia="Times New Roman" w:cs="Times New Roman"/>
                <w:color w:val="000000"/>
                <w:sz w:val="20"/>
                <w:szCs w:val="20"/>
                <w:lang w:val="en-US"/>
              </w:rPr>
              <w:t>area</w:t>
            </w:r>
            <w:r w:rsidRPr="002F1BD8">
              <w:rPr>
                <w:rFonts w:eastAsia="Times New Roman" w:cs="Times New Roman"/>
                <w:color w:val="000000"/>
                <w:sz w:val="20"/>
                <w:szCs w:val="20"/>
                <w:lang w:val="en-US"/>
              </w:rPr>
              <w:t>/Total area</w:t>
            </w:r>
          </w:p>
        </w:tc>
        <w:tc>
          <w:tcPr>
            <w:tcW w:w="1260" w:type="dxa"/>
            <w:tcBorders>
              <w:top w:val="dotted" w:sz="4" w:space="0" w:color="auto"/>
              <w:left w:val="dotted" w:sz="4" w:space="0" w:color="auto"/>
              <w:bottom w:val="dotted" w:sz="4" w:space="0" w:color="auto"/>
              <w:right w:val="dotted" w:sz="4" w:space="0" w:color="auto"/>
            </w:tcBorders>
          </w:tcPr>
          <w:p w14:paraId="2C0A0B7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dotted" w:sz="4" w:space="0" w:color="auto"/>
            </w:tcBorders>
            <w:shd w:val="clear" w:color="auto" w:fill="auto"/>
            <w:noWrap/>
          </w:tcPr>
          <w:p w14:paraId="1865C366"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14:paraId="1305CF43"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0.720</w:t>
            </w:r>
          </w:p>
        </w:tc>
        <w:tc>
          <w:tcPr>
            <w:tcW w:w="900" w:type="dxa"/>
            <w:tcBorders>
              <w:top w:val="dotted" w:sz="4" w:space="0" w:color="auto"/>
              <w:left w:val="dotted" w:sz="4" w:space="0" w:color="auto"/>
              <w:bottom w:val="dotted" w:sz="4" w:space="0" w:color="auto"/>
              <w:right w:val="double" w:sz="6" w:space="0" w:color="auto"/>
            </w:tcBorders>
            <w:shd w:val="clear" w:color="auto" w:fill="auto"/>
            <w:noWrap/>
          </w:tcPr>
          <w:p w14:paraId="60ED0173"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0.041</w:t>
            </w:r>
          </w:p>
        </w:tc>
      </w:tr>
      <w:tr w:rsidR="009B637B" w:rsidRPr="00415D18" w14:paraId="33BC2430" w14:textId="77777777" w:rsidTr="009B637B">
        <w:trPr>
          <w:trHeight w:val="288"/>
        </w:trPr>
        <w:tc>
          <w:tcPr>
            <w:tcW w:w="3487" w:type="dxa"/>
            <w:tcBorders>
              <w:top w:val="dotted" w:sz="4" w:space="0" w:color="auto"/>
              <w:left w:val="double" w:sz="6" w:space="0" w:color="auto"/>
              <w:bottom w:val="dotted" w:sz="4" w:space="0" w:color="auto"/>
              <w:right w:val="dotted" w:sz="4" w:space="0" w:color="auto"/>
            </w:tcBorders>
            <w:shd w:val="clear" w:color="auto" w:fill="auto"/>
          </w:tcPr>
          <w:p w14:paraId="3FA6C1B3"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Recreational area (800m buffer)</w:t>
            </w:r>
          </w:p>
        </w:tc>
        <w:tc>
          <w:tcPr>
            <w:tcW w:w="4950" w:type="dxa"/>
            <w:tcBorders>
              <w:top w:val="dotted" w:sz="4" w:space="0" w:color="auto"/>
              <w:left w:val="dotted" w:sz="4" w:space="0" w:color="auto"/>
              <w:bottom w:val="dotted" w:sz="4" w:space="0" w:color="auto"/>
              <w:right w:val="dotted" w:sz="4" w:space="0" w:color="auto"/>
            </w:tcBorders>
            <w:shd w:val="clear" w:color="auto" w:fill="auto"/>
          </w:tcPr>
          <w:p w14:paraId="7B61C4C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Proportion of the Recreational area </w:t>
            </w:r>
            <w:r>
              <w:rPr>
                <w:rFonts w:eastAsia="Times New Roman" w:cs="Times New Roman"/>
                <w:color w:val="000000"/>
                <w:sz w:val="20"/>
                <w:szCs w:val="20"/>
                <w:lang w:val="en-US"/>
              </w:rPr>
              <w:t>in 800m buffer</w:t>
            </w:r>
            <w:r w:rsidRPr="002F1BD8">
              <w:rPr>
                <w:rFonts w:eastAsia="Times New Roman" w:cs="Times New Roman"/>
                <w:color w:val="000000"/>
                <w:sz w:val="20"/>
                <w:szCs w:val="20"/>
                <w:lang w:val="en-US"/>
              </w:rPr>
              <w:t xml:space="preserve"> </w:t>
            </w:r>
            <w:r>
              <w:rPr>
                <w:rFonts w:eastAsia="Times New Roman" w:cs="Times New Roman"/>
                <w:color w:val="000000"/>
                <w:sz w:val="20"/>
                <w:szCs w:val="20"/>
                <w:lang w:val="en-US"/>
              </w:rPr>
              <w:t xml:space="preserve"> </w:t>
            </w:r>
            <w:r w:rsidRPr="002F1BD8">
              <w:rPr>
                <w:rFonts w:eastAsia="Times New Roman" w:cs="Times New Roman"/>
                <w:color w:val="000000"/>
                <w:sz w:val="20"/>
                <w:szCs w:val="20"/>
                <w:lang w:val="en-US"/>
              </w:rPr>
              <w:t xml:space="preserve">= Recreational </w:t>
            </w:r>
            <w:r>
              <w:rPr>
                <w:rFonts w:eastAsia="Times New Roman" w:cs="Times New Roman"/>
                <w:color w:val="000000"/>
                <w:sz w:val="20"/>
                <w:szCs w:val="20"/>
                <w:lang w:val="en-US"/>
              </w:rPr>
              <w:t>area</w:t>
            </w:r>
            <w:r w:rsidRPr="002F1BD8">
              <w:rPr>
                <w:rFonts w:eastAsia="Times New Roman" w:cs="Times New Roman"/>
                <w:color w:val="000000"/>
                <w:sz w:val="20"/>
                <w:szCs w:val="20"/>
                <w:lang w:val="en-US"/>
              </w:rPr>
              <w:t>/Total area</w:t>
            </w:r>
          </w:p>
        </w:tc>
        <w:tc>
          <w:tcPr>
            <w:tcW w:w="1260" w:type="dxa"/>
            <w:tcBorders>
              <w:top w:val="dotted" w:sz="4" w:space="0" w:color="auto"/>
              <w:left w:val="dotted" w:sz="4" w:space="0" w:color="auto"/>
              <w:bottom w:val="dotted" w:sz="4" w:space="0" w:color="auto"/>
              <w:right w:val="dotted" w:sz="4" w:space="0" w:color="auto"/>
            </w:tcBorders>
          </w:tcPr>
          <w:p w14:paraId="70C6A41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dotted" w:sz="4" w:space="0" w:color="auto"/>
            </w:tcBorders>
            <w:shd w:val="clear" w:color="auto" w:fill="auto"/>
            <w:noWrap/>
          </w:tcPr>
          <w:p w14:paraId="0F92D1C4"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14:paraId="0E860EF8"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0.557</w:t>
            </w:r>
          </w:p>
        </w:tc>
        <w:tc>
          <w:tcPr>
            <w:tcW w:w="900" w:type="dxa"/>
            <w:tcBorders>
              <w:top w:val="dotted" w:sz="4" w:space="0" w:color="auto"/>
              <w:left w:val="dotted" w:sz="4" w:space="0" w:color="auto"/>
              <w:bottom w:val="dotted" w:sz="4" w:space="0" w:color="auto"/>
              <w:right w:val="double" w:sz="6" w:space="0" w:color="auto"/>
            </w:tcBorders>
            <w:shd w:val="clear" w:color="auto" w:fill="auto"/>
            <w:noWrap/>
          </w:tcPr>
          <w:p w14:paraId="47F8ED8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0.012</w:t>
            </w:r>
          </w:p>
        </w:tc>
      </w:tr>
      <w:tr w:rsidR="009B637B" w:rsidRPr="00415D18" w14:paraId="657C6D9E" w14:textId="77777777" w:rsidTr="009B637B">
        <w:trPr>
          <w:trHeight w:val="288"/>
        </w:trPr>
        <w:tc>
          <w:tcPr>
            <w:tcW w:w="3487" w:type="dxa"/>
            <w:tcBorders>
              <w:top w:val="dotted" w:sz="4" w:space="0" w:color="auto"/>
              <w:left w:val="double" w:sz="6" w:space="0" w:color="auto"/>
              <w:bottom w:val="dotted" w:sz="4" w:space="0" w:color="auto"/>
              <w:right w:val="dotted" w:sz="4" w:space="0" w:color="auto"/>
            </w:tcBorders>
            <w:shd w:val="clear" w:color="auto" w:fill="auto"/>
          </w:tcPr>
          <w:p w14:paraId="53C5135D" w14:textId="77777777" w:rsidR="009B637B" w:rsidRPr="002F1BD8" w:rsidRDefault="009B637B" w:rsidP="009B637B">
            <w:pPr>
              <w:jc w:val="left"/>
              <w:rPr>
                <w:rFonts w:eastAsia="Times New Roman" w:cs="Times New Roman"/>
                <w:iCs/>
                <w:color w:val="000000"/>
                <w:sz w:val="20"/>
                <w:szCs w:val="20"/>
                <w:lang w:val="en-US"/>
              </w:rPr>
            </w:pPr>
            <w:r w:rsidRPr="002F1BD8">
              <w:rPr>
                <w:rFonts w:eastAsia="Times New Roman" w:cs="Times New Roman"/>
                <w:color w:val="000000"/>
                <w:sz w:val="20"/>
                <w:szCs w:val="20"/>
                <w:lang w:val="en-US"/>
              </w:rPr>
              <w:t>Office area (800m buffer)</w:t>
            </w:r>
          </w:p>
        </w:tc>
        <w:tc>
          <w:tcPr>
            <w:tcW w:w="4950" w:type="dxa"/>
            <w:tcBorders>
              <w:top w:val="dotted" w:sz="4" w:space="0" w:color="auto"/>
              <w:left w:val="dotted" w:sz="4" w:space="0" w:color="auto"/>
              <w:bottom w:val="dotted" w:sz="4" w:space="0" w:color="auto"/>
              <w:right w:val="dotted" w:sz="4" w:space="0" w:color="auto"/>
            </w:tcBorders>
            <w:shd w:val="clear" w:color="auto" w:fill="auto"/>
          </w:tcPr>
          <w:p w14:paraId="4A84AD07"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Proportion of the office area </w:t>
            </w:r>
            <w:r>
              <w:rPr>
                <w:rFonts w:eastAsia="Times New Roman" w:cs="Times New Roman"/>
                <w:color w:val="000000"/>
                <w:sz w:val="20"/>
                <w:szCs w:val="20"/>
                <w:lang w:val="en-US"/>
              </w:rPr>
              <w:t>in 800m buffer</w:t>
            </w:r>
            <w:r w:rsidRPr="002F1BD8">
              <w:rPr>
                <w:rFonts w:eastAsia="Times New Roman" w:cs="Times New Roman"/>
                <w:color w:val="000000"/>
                <w:sz w:val="20"/>
                <w:szCs w:val="20"/>
                <w:lang w:val="en-US"/>
              </w:rPr>
              <w:t xml:space="preserve"> = Office</w:t>
            </w:r>
            <w:r>
              <w:rPr>
                <w:rFonts w:eastAsia="Times New Roman" w:cs="Times New Roman"/>
                <w:color w:val="000000"/>
                <w:sz w:val="20"/>
                <w:szCs w:val="20"/>
                <w:lang w:val="en-US"/>
              </w:rPr>
              <w:t xml:space="preserve"> area</w:t>
            </w:r>
            <w:r w:rsidRPr="002F1BD8">
              <w:rPr>
                <w:rFonts w:eastAsia="Times New Roman" w:cs="Times New Roman"/>
                <w:color w:val="000000"/>
                <w:sz w:val="20"/>
                <w:szCs w:val="20"/>
                <w:lang w:val="en-US"/>
              </w:rPr>
              <w:t>/Total area</w:t>
            </w:r>
          </w:p>
        </w:tc>
        <w:tc>
          <w:tcPr>
            <w:tcW w:w="1260" w:type="dxa"/>
            <w:tcBorders>
              <w:top w:val="dotted" w:sz="4" w:space="0" w:color="auto"/>
              <w:left w:val="dotted" w:sz="4" w:space="0" w:color="auto"/>
              <w:bottom w:val="dotted" w:sz="4" w:space="0" w:color="auto"/>
              <w:right w:val="dotted" w:sz="4" w:space="0" w:color="auto"/>
            </w:tcBorders>
          </w:tcPr>
          <w:p w14:paraId="5EEEC20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dotted" w:sz="4" w:space="0" w:color="auto"/>
            </w:tcBorders>
            <w:shd w:val="clear" w:color="auto" w:fill="auto"/>
            <w:noWrap/>
          </w:tcPr>
          <w:p w14:paraId="08957FC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dotted" w:sz="4" w:space="0" w:color="auto"/>
              <w:bottom w:val="dotted" w:sz="4" w:space="0" w:color="auto"/>
              <w:right w:val="dotted" w:sz="4" w:space="0" w:color="auto"/>
            </w:tcBorders>
            <w:shd w:val="clear" w:color="auto" w:fill="auto"/>
            <w:noWrap/>
          </w:tcPr>
          <w:p w14:paraId="6A52A4FD"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0.957</w:t>
            </w:r>
          </w:p>
        </w:tc>
        <w:tc>
          <w:tcPr>
            <w:tcW w:w="900" w:type="dxa"/>
            <w:tcBorders>
              <w:top w:val="dotted" w:sz="4" w:space="0" w:color="auto"/>
              <w:left w:val="dotted" w:sz="4" w:space="0" w:color="auto"/>
              <w:bottom w:val="dotted" w:sz="4" w:space="0" w:color="auto"/>
              <w:right w:val="double" w:sz="6" w:space="0" w:color="auto"/>
            </w:tcBorders>
            <w:shd w:val="clear" w:color="auto" w:fill="auto"/>
            <w:noWrap/>
          </w:tcPr>
          <w:p w14:paraId="7F907F9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0.171</w:t>
            </w:r>
          </w:p>
        </w:tc>
      </w:tr>
      <w:tr w:rsidR="009B637B" w:rsidRPr="00415D18" w14:paraId="5814AFAA" w14:textId="77777777" w:rsidTr="009B637B">
        <w:trPr>
          <w:trHeight w:val="288"/>
        </w:trPr>
        <w:tc>
          <w:tcPr>
            <w:tcW w:w="3487" w:type="dxa"/>
            <w:tcBorders>
              <w:top w:val="dotted" w:sz="4" w:space="0" w:color="auto"/>
              <w:left w:val="double" w:sz="6" w:space="0" w:color="auto"/>
              <w:bottom w:val="double" w:sz="6" w:space="0" w:color="auto"/>
              <w:right w:val="dotted" w:sz="4" w:space="0" w:color="auto"/>
            </w:tcBorders>
            <w:shd w:val="clear" w:color="auto" w:fill="auto"/>
            <w:hideMark/>
          </w:tcPr>
          <w:p w14:paraId="7186409B"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Central business district (CBD) distance</w:t>
            </w:r>
          </w:p>
        </w:tc>
        <w:tc>
          <w:tcPr>
            <w:tcW w:w="4950" w:type="dxa"/>
            <w:tcBorders>
              <w:top w:val="dotted" w:sz="4" w:space="0" w:color="auto"/>
              <w:left w:val="dotted" w:sz="4" w:space="0" w:color="auto"/>
              <w:bottom w:val="double" w:sz="6" w:space="0" w:color="auto"/>
              <w:right w:val="dotted" w:sz="4" w:space="0" w:color="auto"/>
            </w:tcBorders>
            <w:shd w:val="clear" w:color="auto" w:fill="auto"/>
            <w:noWrap/>
            <w:hideMark/>
          </w:tcPr>
          <w:p w14:paraId="46695DF7"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r>
              <w:rPr>
                <w:rFonts w:eastAsia="Times New Roman" w:cs="Times New Roman"/>
                <w:color w:val="000000"/>
                <w:sz w:val="20"/>
                <w:szCs w:val="20"/>
                <w:lang w:val="en-US"/>
              </w:rPr>
              <w:t>CBD</w:t>
            </w:r>
            <w:r w:rsidRPr="002F1BD8">
              <w:rPr>
                <w:rFonts w:eastAsia="Times New Roman" w:cs="Times New Roman"/>
                <w:color w:val="000000"/>
                <w:sz w:val="20"/>
                <w:szCs w:val="20"/>
                <w:lang w:val="en-US"/>
              </w:rPr>
              <w:t xml:space="preserve"> distance in km from bus stop)/10</w:t>
            </w:r>
          </w:p>
        </w:tc>
        <w:tc>
          <w:tcPr>
            <w:tcW w:w="1260" w:type="dxa"/>
            <w:tcBorders>
              <w:top w:val="dotted" w:sz="4" w:space="0" w:color="auto"/>
              <w:left w:val="dotted" w:sz="4" w:space="0" w:color="auto"/>
              <w:bottom w:val="double" w:sz="6" w:space="0" w:color="auto"/>
              <w:right w:val="dotted" w:sz="4" w:space="0" w:color="auto"/>
            </w:tcBorders>
          </w:tcPr>
          <w:p w14:paraId="534696A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uble" w:sz="6" w:space="0" w:color="auto"/>
              <w:right w:val="dotted" w:sz="4" w:space="0" w:color="auto"/>
            </w:tcBorders>
            <w:shd w:val="clear" w:color="auto" w:fill="auto"/>
            <w:noWrap/>
          </w:tcPr>
          <w:p w14:paraId="560F9C2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0.003</w:t>
            </w:r>
          </w:p>
        </w:tc>
        <w:tc>
          <w:tcPr>
            <w:tcW w:w="1260" w:type="dxa"/>
            <w:tcBorders>
              <w:top w:val="dotted" w:sz="4" w:space="0" w:color="auto"/>
              <w:left w:val="dotted" w:sz="4" w:space="0" w:color="auto"/>
              <w:bottom w:val="double" w:sz="6" w:space="0" w:color="auto"/>
              <w:right w:val="dotted" w:sz="4" w:space="0" w:color="auto"/>
            </w:tcBorders>
            <w:shd w:val="clear" w:color="auto" w:fill="auto"/>
            <w:noWrap/>
          </w:tcPr>
          <w:p w14:paraId="2FE56EB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5.058</w:t>
            </w:r>
          </w:p>
        </w:tc>
        <w:tc>
          <w:tcPr>
            <w:tcW w:w="900" w:type="dxa"/>
            <w:tcBorders>
              <w:top w:val="dotted" w:sz="4" w:space="0" w:color="auto"/>
              <w:left w:val="dotted" w:sz="4" w:space="0" w:color="auto"/>
              <w:bottom w:val="double" w:sz="6" w:space="0" w:color="auto"/>
              <w:right w:val="double" w:sz="6" w:space="0" w:color="auto"/>
            </w:tcBorders>
            <w:shd w:val="clear" w:color="auto" w:fill="auto"/>
            <w:noWrap/>
          </w:tcPr>
          <w:p w14:paraId="0FD42178"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1.183</w:t>
            </w:r>
          </w:p>
        </w:tc>
      </w:tr>
      <w:tr w:rsidR="009B637B" w:rsidRPr="00415D18" w14:paraId="29BACBC3" w14:textId="77777777" w:rsidTr="009B637B">
        <w:trPr>
          <w:trHeight w:val="288"/>
        </w:trPr>
        <w:tc>
          <w:tcPr>
            <w:tcW w:w="12937" w:type="dxa"/>
            <w:gridSpan w:val="6"/>
            <w:tcBorders>
              <w:top w:val="double" w:sz="6" w:space="0" w:color="auto"/>
              <w:left w:val="double" w:sz="6" w:space="0" w:color="auto"/>
              <w:bottom w:val="single" w:sz="4" w:space="0" w:color="auto"/>
              <w:right w:val="double" w:sz="6" w:space="0" w:color="auto"/>
            </w:tcBorders>
          </w:tcPr>
          <w:p w14:paraId="2CA3FA01" w14:textId="77777777" w:rsidR="009B637B" w:rsidRPr="002F1BD8" w:rsidRDefault="009B637B" w:rsidP="009B637B">
            <w:pPr>
              <w:jc w:val="left"/>
              <w:rPr>
                <w:rFonts w:eastAsia="Times New Roman" w:cs="Times New Roman"/>
                <w:b/>
                <w:color w:val="000000"/>
                <w:sz w:val="20"/>
                <w:szCs w:val="20"/>
                <w:lang w:val="en-US"/>
              </w:rPr>
            </w:pPr>
            <w:r>
              <w:rPr>
                <w:rFonts w:eastAsia="Times New Roman" w:cs="Times New Roman"/>
                <w:b/>
                <w:color w:val="000000"/>
                <w:sz w:val="20"/>
                <w:szCs w:val="20"/>
                <w:lang w:val="en-US"/>
              </w:rPr>
              <w:t>D</w:t>
            </w:r>
            <w:r w:rsidRPr="002F1BD8">
              <w:rPr>
                <w:rFonts w:eastAsia="Times New Roman" w:cs="Times New Roman"/>
                <w:b/>
                <w:color w:val="000000"/>
                <w:sz w:val="20"/>
                <w:szCs w:val="20"/>
                <w:lang w:val="en-US"/>
              </w:rPr>
              <w:t>emographic and Socioeconomic Variables in Census Tract </w:t>
            </w:r>
          </w:p>
        </w:tc>
      </w:tr>
      <w:tr w:rsidR="009B637B" w:rsidRPr="00415D18" w14:paraId="2A7E37A8" w14:textId="77777777" w:rsidTr="009B637B">
        <w:trPr>
          <w:trHeight w:val="288"/>
        </w:trPr>
        <w:tc>
          <w:tcPr>
            <w:tcW w:w="3487" w:type="dxa"/>
            <w:tcBorders>
              <w:top w:val="single" w:sz="4" w:space="0" w:color="auto"/>
              <w:left w:val="double" w:sz="6" w:space="0" w:color="auto"/>
              <w:bottom w:val="dotted" w:sz="4" w:space="0" w:color="auto"/>
              <w:right w:val="single" w:sz="4" w:space="0" w:color="auto"/>
            </w:tcBorders>
            <w:shd w:val="clear" w:color="auto" w:fill="auto"/>
          </w:tcPr>
          <w:p w14:paraId="7E27B1AE"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 xml:space="preserve">Zero vehicle in </w:t>
            </w:r>
            <w:r>
              <w:rPr>
                <w:rFonts w:eastAsia="Times New Roman" w:cs="Times New Roman"/>
                <w:color w:val="000000"/>
                <w:sz w:val="20"/>
                <w:szCs w:val="20"/>
                <w:lang w:val="en-US"/>
              </w:rPr>
              <w:t>household (</w:t>
            </w:r>
            <w:r w:rsidRPr="002F1BD8">
              <w:rPr>
                <w:rFonts w:eastAsia="Times New Roman" w:cs="Times New Roman"/>
                <w:color w:val="000000"/>
                <w:sz w:val="20"/>
                <w:szCs w:val="20"/>
                <w:lang w:val="en-US"/>
              </w:rPr>
              <w:t>HH</w:t>
            </w:r>
            <w:r>
              <w:rPr>
                <w:rFonts w:eastAsia="Times New Roman" w:cs="Times New Roman"/>
                <w:color w:val="000000"/>
                <w:sz w:val="20"/>
                <w:szCs w:val="20"/>
                <w:lang w:val="en-US"/>
              </w:rPr>
              <w:t>)</w:t>
            </w:r>
          </w:p>
        </w:tc>
        <w:tc>
          <w:tcPr>
            <w:tcW w:w="4950" w:type="dxa"/>
            <w:tcBorders>
              <w:top w:val="single" w:sz="4" w:space="0" w:color="auto"/>
              <w:left w:val="nil"/>
              <w:bottom w:val="dotted" w:sz="4" w:space="0" w:color="auto"/>
              <w:right w:val="single" w:sz="4" w:space="0" w:color="auto"/>
            </w:tcBorders>
            <w:shd w:val="clear" w:color="auto" w:fill="auto"/>
            <w:hideMark/>
          </w:tcPr>
          <w:p w14:paraId="53D8691B" w14:textId="77777777" w:rsidR="009B637B" w:rsidRPr="002F1BD8" w:rsidRDefault="009B637B" w:rsidP="009B637B">
            <w:pPr>
              <w:jc w:val="left"/>
              <w:rPr>
                <w:rFonts w:eastAsia="Times New Roman" w:cs="Times New Roman"/>
                <w:color w:val="000000"/>
                <w:sz w:val="20"/>
                <w:szCs w:val="20"/>
                <w:lang w:val="en-US"/>
              </w:rPr>
            </w:pPr>
            <w:r w:rsidRPr="002F1BD8">
              <w:rPr>
                <w:rFonts w:cs="Times New Roman"/>
                <w:color w:val="000000"/>
                <w:sz w:val="20"/>
                <w:szCs w:val="20"/>
                <w:lang w:val="en-US"/>
              </w:rPr>
              <w:t>Percentage of zero vehicle HH</w:t>
            </w:r>
          </w:p>
        </w:tc>
        <w:tc>
          <w:tcPr>
            <w:tcW w:w="1260" w:type="dxa"/>
            <w:tcBorders>
              <w:top w:val="single" w:sz="4" w:space="0" w:color="auto"/>
              <w:left w:val="nil"/>
              <w:bottom w:val="dotted" w:sz="4" w:space="0" w:color="auto"/>
              <w:right w:val="dotted" w:sz="4" w:space="0" w:color="auto"/>
            </w:tcBorders>
          </w:tcPr>
          <w:p w14:paraId="3045054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single" w:sz="4" w:space="0" w:color="auto"/>
              <w:left w:val="dotted" w:sz="4" w:space="0" w:color="auto"/>
              <w:bottom w:val="dotted" w:sz="4" w:space="0" w:color="auto"/>
              <w:right w:val="single" w:sz="4" w:space="0" w:color="auto"/>
            </w:tcBorders>
            <w:shd w:val="clear" w:color="auto" w:fill="auto"/>
            <w:noWrap/>
          </w:tcPr>
          <w:p w14:paraId="62E75D49"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single" w:sz="4" w:space="0" w:color="auto"/>
              <w:left w:val="nil"/>
              <w:bottom w:val="dotted" w:sz="4" w:space="0" w:color="auto"/>
              <w:right w:val="single" w:sz="4" w:space="0" w:color="auto"/>
            </w:tcBorders>
            <w:shd w:val="clear" w:color="auto" w:fill="auto"/>
            <w:noWrap/>
          </w:tcPr>
          <w:p w14:paraId="60F2AF1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0.618</w:t>
            </w:r>
          </w:p>
        </w:tc>
        <w:tc>
          <w:tcPr>
            <w:tcW w:w="900" w:type="dxa"/>
            <w:tcBorders>
              <w:top w:val="single" w:sz="4" w:space="0" w:color="auto"/>
              <w:left w:val="nil"/>
              <w:bottom w:val="dotted" w:sz="4" w:space="0" w:color="auto"/>
              <w:right w:val="double" w:sz="6" w:space="0" w:color="auto"/>
            </w:tcBorders>
            <w:shd w:val="clear" w:color="auto" w:fill="auto"/>
            <w:noWrap/>
          </w:tcPr>
          <w:p w14:paraId="5933923E"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0.061</w:t>
            </w:r>
          </w:p>
        </w:tc>
      </w:tr>
      <w:tr w:rsidR="009B637B" w:rsidRPr="00415D18" w14:paraId="35B6303E" w14:textId="77777777" w:rsidTr="009B637B">
        <w:trPr>
          <w:trHeight w:val="288"/>
        </w:trPr>
        <w:tc>
          <w:tcPr>
            <w:tcW w:w="3487" w:type="dxa"/>
            <w:tcBorders>
              <w:top w:val="dotted" w:sz="4" w:space="0" w:color="auto"/>
              <w:left w:val="double" w:sz="6" w:space="0" w:color="auto"/>
              <w:bottom w:val="dotted" w:sz="4" w:space="0" w:color="auto"/>
              <w:right w:val="single" w:sz="4" w:space="0" w:color="auto"/>
            </w:tcBorders>
            <w:shd w:val="clear" w:color="auto" w:fill="auto"/>
            <w:hideMark/>
          </w:tcPr>
          <w:p w14:paraId="4729E76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High income (&gt;100k)</w:t>
            </w:r>
          </w:p>
        </w:tc>
        <w:tc>
          <w:tcPr>
            <w:tcW w:w="4950" w:type="dxa"/>
            <w:tcBorders>
              <w:top w:val="dotted" w:sz="4" w:space="0" w:color="auto"/>
              <w:left w:val="nil"/>
              <w:bottom w:val="dotted" w:sz="4" w:space="0" w:color="auto"/>
              <w:right w:val="single" w:sz="4" w:space="0" w:color="auto"/>
            </w:tcBorders>
            <w:shd w:val="clear" w:color="auto" w:fill="auto"/>
          </w:tcPr>
          <w:p w14:paraId="2D9FE756" w14:textId="77777777" w:rsidR="009B637B" w:rsidRPr="002F1BD8" w:rsidRDefault="009B637B" w:rsidP="009B637B">
            <w:pPr>
              <w:jc w:val="left"/>
              <w:rPr>
                <w:rFonts w:eastAsia="Times New Roman" w:cs="Times New Roman"/>
                <w:color w:val="000000"/>
                <w:sz w:val="20"/>
                <w:szCs w:val="20"/>
                <w:lang w:val="en-US"/>
              </w:rPr>
            </w:pPr>
            <w:r w:rsidRPr="002F1BD8">
              <w:rPr>
                <w:rFonts w:cs="Times New Roman"/>
                <w:color w:val="000000"/>
                <w:sz w:val="20"/>
                <w:szCs w:val="20"/>
                <w:lang w:val="en-US"/>
              </w:rPr>
              <w:t>Percentage of High income HH (&gt;100k</w:t>
            </w:r>
            <w:r>
              <w:rPr>
                <w:rFonts w:cs="Times New Roman"/>
                <w:color w:val="000000"/>
                <w:sz w:val="20"/>
                <w:szCs w:val="20"/>
                <w:lang w:val="en-US"/>
              </w:rPr>
              <w:t>)</w:t>
            </w:r>
          </w:p>
        </w:tc>
        <w:tc>
          <w:tcPr>
            <w:tcW w:w="1260" w:type="dxa"/>
            <w:tcBorders>
              <w:top w:val="dotted" w:sz="4" w:space="0" w:color="auto"/>
              <w:left w:val="nil"/>
              <w:bottom w:val="dotted" w:sz="4" w:space="0" w:color="auto"/>
              <w:right w:val="dotted" w:sz="4" w:space="0" w:color="auto"/>
            </w:tcBorders>
          </w:tcPr>
          <w:p w14:paraId="6A7AA48F"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080" w:type="dxa"/>
            <w:tcBorders>
              <w:top w:val="dotted" w:sz="4" w:space="0" w:color="auto"/>
              <w:left w:val="dotted" w:sz="4" w:space="0" w:color="auto"/>
              <w:bottom w:val="dotted" w:sz="4" w:space="0" w:color="auto"/>
              <w:right w:val="single" w:sz="4" w:space="0" w:color="auto"/>
            </w:tcBorders>
            <w:shd w:val="clear" w:color="auto" w:fill="auto"/>
            <w:noWrap/>
          </w:tcPr>
          <w:p w14:paraId="7E07E56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0.000</w:t>
            </w:r>
          </w:p>
        </w:tc>
        <w:tc>
          <w:tcPr>
            <w:tcW w:w="1260" w:type="dxa"/>
            <w:tcBorders>
              <w:top w:val="dotted" w:sz="4" w:space="0" w:color="auto"/>
              <w:left w:val="nil"/>
              <w:bottom w:val="dotted" w:sz="4" w:space="0" w:color="auto"/>
              <w:right w:val="single" w:sz="4" w:space="0" w:color="auto"/>
            </w:tcBorders>
            <w:shd w:val="clear" w:color="auto" w:fill="auto"/>
            <w:noWrap/>
          </w:tcPr>
          <w:p w14:paraId="0FF7958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0.695</w:t>
            </w:r>
          </w:p>
        </w:tc>
        <w:tc>
          <w:tcPr>
            <w:tcW w:w="900" w:type="dxa"/>
            <w:tcBorders>
              <w:top w:val="dotted" w:sz="4" w:space="0" w:color="auto"/>
              <w:left w:val="nil"/>
              <w:bottom w:val="dotted" w:sz="4" w:space="0" w:color="auto"/>
              <w:right w:val="double" w:sz="6" w:space="0" w:color="auto"/>
            </w:tcBorders>
            <w:shd w:val="clear" w:color="auto" w:fill="auto"/>
            <w:noWrap/>
          </w:tcPr>
          <w:p w14:paraId="282F32A2"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0.131</w:t>
            </w:r>
          </w:p>
        </w:tc>
      </w:tr>
      <w:tr w:rsidR="009B637B" w:rsidRPr="00415D18" w14:paraId="33D65AF1" w14:textId="77777777" w:rsidTr="009B637B">
        <w:trPr>
          <w:trHeight w:val="288"/>
        </w:trPr>
        <w:tc>
          <w:tcPr>
            <w:tcW w:w="3487" w:type="dxa"/>
            <w:tcBorders>
              <w:top w:val="dotted" w:sz="4" w:space="0" w:color="auto"/>
              <w:left w:val="double" w:sz="6" w:space="0" w:color="auto"/>
              <w:bottom w:val="double" w:sz="4" w:space="0" w:color="auto"/>
              <w:right w:val="single" w:sz="4" w:space="0" w:color="auto"/>
            </w:tcBorders>
            <w:shd w:val="clear" w:color="auto" w:fill="auto"/>
            <w:hideMark/>
          </w:tcPr>
          <w:p w14:paraId="296587A0"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Household rent</w:t>
            </w:r>
          </w:p>
        </w:tc>
        <w:tc>
          <w:tcPr>
            <w:tcW w:w="4950" w:type="dxa"/>
            <w:tcBorders>
              <w:top w:val="dotted" w:sz="4" w:space="0" w:color="auto"/>
              <w:left w:val="nil"/>
              <w:bottom w:val="double" w:sz="4" w:space="0" w:color="auto"/>
              <w:right w:val="single" w:sz="4" w:space="0" w:color="auto"/>
            </w:tcBorders>
            <w:shd w:val="clear" w:color="auto" w:fill="auto"/>
          </w:tcPr>
          <w:p w14:paraId="3710DB71" w14:textId="77777777" w:rsidR="009B637B" w:rsidRPr="002F1BD8" w:rsidRDefault="009B637B" w:rsidP="009B637B">
            <w:pPr>
              <w:jc w:val="left"/>
              <w:rPr>
                <w:rFonts w:eastAsia="Times New Roman" w:cs="Times New Roman"/>
                <w:color w:val="000000"/>
                <w:sz w:val="20"/>
                <w:szCs w:val="20"/>
                <w:lang w:val="en-US"/>
              </w:rPr>
            </w:pPr>
            <w:r w:rsidRPr="002F1BD8">
              <w:rPr>
                <w:rFonts w:cs="Times New Roman"/>
                <w:color w:val="000000"/>
                <w:sz w:val="20"/>
                <w:szCs w:val="20"/>
                <w:lang w:val="en-US"/>
              </w:rPr>
              <w:t xml:space="preserve">Percentage of </w:t>
            </w:r>
            <w:r>
              <w:rPr>
                <w:rFonts w:cs="Times New Roman"/>
                <w:color w:val="000000"/>
                <w:sz w:val="20"/>
                <w:szCs w:val="20"/>
                <w:lang w:val="en-US"/>
              </w:rPr>
              <w:t>rented</w:t>
            </w:r>
            <w:r w:rsidRPr="002F1BD8">
              <w:rPr>
                <w:rFonts w:cs="Times New Roman"/>
                <w:color w:val="000000"/>
                <w:sz w:val="20"/>
                <w:szCs w:val="20"/>
                <w:lang w:val="en-US"/>
              </w:rPr>
              <w:t xml:space="preserve"> HH </w:t>
            </w:r>
          </w:p>
        </w:tc>
        <w:tc>
          <w:tcPr>
            <w:tcW w:w="1260" w:type="dxa"/>
            <w:tcBorders>
              <w:top w:val="dotted" w:sz="4" w:space="0" w:color="auto"/>
              <w:left w:val="nil"/>
              <w:bottom w:val="double" w:sz="4" w:space="0" w:color="auto"/>
              <w:right w:val="dotted" w:sz="4" w:space="0" w:color="auto"/>
            </w:tcBorders>
          </w:tcPr>
          <w:p w14:paraId="1CBF617C"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50.058%</w:t>
            </w:r>
          </w:p>
        </w:tc>
        <w:tc>
          <w:tcPr>
            <w:tcW w:w="1080" w:type="dxa"/>
            <w:tcBorders>
              <w:top w:val="dotted" w:sz="4" w:space="0" w:color="auto"/>
              <w:left w:val="dotted" w:sz="4" w:space="0" w:color="auto"/>
              <w:bottom w:val="double" w:sz="4" w:space="0" w:color="auto"/>
              <w:right w:val="single" w:sz="4" w:space="0" w:color="auto"/>
            </w:tcBorders>
            <w:shd w:val="clear" w:color="auto" w:fill="auto"/>
            <w:noWrap/>
          </w:tcPr>
          <w:p w14:paraId="750B86F1"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1260" w:type="dxa"/>
            <w:tcBorders>
              <w:top w:val="dotted" w:sz="4" w:space="0" w:color="auto"/>
              <w:left w:val="nil"/>
              <w:bottom w:val="double" w:sz="4" w:space="0" w:color="auto"/>
              <w:right w:val="single" w:sz="4" w:space="0" w:color="auto"/>
            </w:tcBorders>
            <w:shd w:val="clear" w:color="auto" w:fill="auto"/>
            <w:noWrap/>
          </w:tcPr>
          <w:p w14:paraId="5644D4E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c>
          <w:tcPr>
            <w:tcW w:w="900" w:type="dxa"/>
            <w:tcBorders>
              <w:top w:val="dotted" w:sz="4" w:space="0" w:color="auto"/>
              <w:left w:val="nil"/>
              <w:bottom w:val="double" w:sz="4" w:space="0" w:color="auto"/>
              <w:right w:val="double" w:sz="6" w:space="0" w:color="auto"/>
            </w:tcBorders>
            <w:shd w:val="clear" w:color="auto" w:fill="auto"/>
            <w:noWrap/>
          </w:tcPr>
          <w:p w14:paraId="29A82D15" w14:textId="77777777" w:rsidR="009B637B" w:rsidRPr="002F1BD8" w:rsidRDefault="009B637B" w:rsidP="009B637B">
            <w:pPr>
              <w:jc w:val="left"/>
              <w:rPr>
                <w:rFonts w:eastAsia="Times New Roman" w:cs="Times New Roman"/>
                <w:color w:val="000000"/>
                <w:sz w:val="20"/>
                <w:szCs w:val="20"/>
                <w:lang w:val="en-US"/>
              </w:rPr>
            </w:pPr>
            <w:r w:rsidRPr="002F1BD8">
              <w:rPr>
                <w:rFonts w:eastAsia="Times New Roman" w:cs="Times New Roman"/>
                <w:color w:val="000000"/>
                <w:sz w:val="20"/>
                <w:szCs w:val="20"/>
                <w:lang w:val="en-US"/>
              </w:rPr>
              <w:t>-</w:t>
            </w:r>
          </w:p>
        </w:tc>
      </w:tr>
    </w:tbl>
    <w:p w14:paraId="2F02D194" w14:textId="77777777" w:rsidR="009B637B" w:rsidRDefault="009B637B" w:rsidP="00DD792C">
      <w:pPr>
        <w:rPr>
          <w:rFonts w:cs="Times New Roman"/>
          <w:lang w:val="en-US"/>
        </w:rPr>
        <w:sectPr w:rsidR="009B637B" w:rsidSect="009B637B">
          <w:pgSz w:w="15840" w:h="12240" w:orient="landscape"/>
          <w:pgMar w:top="1440" w:right="1440" w:bottom="1440" w:left="1440" w:header="708" w:footer="708" w:gutter="0"/>
          <w:pgNumType w:start="18"/>
          <w:cols w:space="708"/>
          <w:docGrid w:linePitch="360"/>
        </w:sectPr>
      </w:pPr>
    </w:p>
    <w:p w14:paraId="2D7E0666" w14:textId="73B309BF" w:rsidR="009B637B" w:rsidRPr="00E621B8" w:rsidRDefault="009B637B" w:rsidP="009B637B">
      <w:pPr>
        <w:pStyle w:val="Caption"/>
        <w:spacing w:after="0"/>
        <w:rPr>
          <w:rFonts w:eastAsia="Times New Roman" w:cs="Times New Roman"/>
          <w:b/>
          <w:i w:val="0"/>
          <w:color w:val="auto"/>
          <w:sz w:val="24"/>
          <w:szCs w:val="24"/>
          <w:lang w:val="en-US"/>
        </w:rPr>
      </w:pPr>
      <w:r w:rsidRPr="00E621B8">
        <w:rPr>
          <w:b/>
          <w:i w:val="0"/>
          <w:color w:val="auto"/>
          <w:sz w:val="24"/>
        </w:rPr>
        <w:lastRenderedPageBreak/>
        <w:t xml:space="preserve">Table </w:t>
      </w:r>
      <w:r w:rsidRPr="00E621B8">
        <w:rPr>
          <w:b/>
          <w:i w:val="0"/>
          <w:color w:val="auto"/>
          <w:sz w:val="24"/>
        </w:rPr>
        <w:fldChar w:fldCharType="begin"/>
      </w:r>
      <w:r w:rsidRPr="00E621B8">
        <w:rPr>
          <w:b/>
          <w:i w:val="0"/>
          <w:color w:val="auto"/>
          <w:sz w:val="24"/>
        </w:rPr>
        <w:instrText xml:space="preserve"> SEQ Table \* ARABIC </w:instrText>
      </w:r>
      <w:r w:rsidRPr="00E621B8">
        <w:rPr>
          <w:b/>
          <w:i w:val="0"/>
          <w:color w:val="auto"/>
          <w:sz w:val="24"/>
        </w:rPr>
        <w:fldChar w:fldCharType="separate"/>
      </w:r>
      <w:r w:rsidR="0067710A">
        <w:rPr>
          <w:b/>
          <w:i w:val="0"/>
          <w:noProof/>
          <w:color w:val="auto"/>
          <w:sz w:val="24"/>
        </w:rPr>
        <w:t>3</w:t>
      </w:r>
      <w:r w:rsidRPr="00E621B8">
        <w:rPr>
          <w:b/>
          <w:i w:val="0"/>
          <w:color w:val="auto"/>
          <w:sz w:val="24"/>
        </w:rPr>
        <w:fldChar w:fldCharType="end"/>
      </w:r>
      <w:r w:rsidRPr="00E621B8">
        <w:rPr>
          <w:rFonts w:cs="Times New Roman"/>
          <w:b/>
          <w:i w:val="0"/>
          <w:color w:val="auto"/>
          <w:sz w:val="24"/>
          <w:szCs w:val="24"/>
        </w:rPr>
        <w:t xml:space="preserve"> Lynx Ridership Analysis Results</w:t>
      </w:r>
    </w:p>
    <w:tbl>
      <w:tblPr>
        <w:tblW w:w="5020" w:type="pct"/>
        <w:jc w:val="center"/>
        <w:tblLayout w:type="fixed"/>
        <w:tblLook w:val="04A0" w:firstRow="1" w:lastRow="0" w:firstColumn="1" w:lastColumn="0" w:noHBand="0" w:noVBand="1"/>
      </w:tblPr>
      <w:tblGrid>
        <w:gridCol w:w="3226"/>
        <w:gridCol w:w="1083"/>
        <w:gridCol w:w="907"/>
        <w:gridCol w:w="1085"/>
        <w:gridCol w:w="993"/>
        <w:gridCol w:w="1083"/>
        <w:gridCol w:w="974"/>
      </w:tblGrid>
      <w:tr w:rsidR="009B637B" w:rsidRPr="00186395" w14:paraId="5F115785" w14:textId="77777777" w:rsidTr="003C2ABD">
        <w:trPr>
          <w:trHeight w:val="298"/>
          <w:jc w:val="center"/>
        </w:trPr>
        <w:tc>
          <w:tcPr>
            <w:tcW w:w="1725" w:type="pct"/>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56C8461A"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Variable Name</w:t>
            </w:r>
          </w:p>
        </w:tc>
        <w:tc>
          <w:tcPr>
            <w:tcW w:w="1064" w:type="pct"/>
            <w:gridSpan w:val="2"/>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5C36457C" w14:textId="77777777" w:rsidR="009B637B" w:rsidRPr="00EB7B4B" w:rsidRDefault="009B637B" w:rsidP="009B637B">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 xml:space="preserve">Headway </w:t>
            </w:r>
          </w:p>
        </w:tc>
        <w:tc>
          <w:tcPr>
            <w:tcW w:w="1111" w:type="pct"/>
            <w:gridSpan w:val="2"/>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2914916C"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Alighting</w:t>
            </w:r>
            <w:r>
              <w:rPr>
                <w:rFonts w:eastAsia="Times New Roman" w:cs="Times New Roman"/>
                <w:b/>
                <w:bCs/>
                <w:color w:val="000000"/>
                <w:sz w:val="20"/>
                <w:szCs w:val="20"/>
                <w:lang w:val="en-US"/>
              </w:rPr>
              <w:t xml:space="preserve"> </w:t>
            </w:r>
          </w:p>
        </w:tc>
        <w:tc>
          <w:tcPr>
            <w:tcW w:w="1101" w:type="pct"/>
            <w:gridSpan w:val="2"/>
            <w:tcBorders>
              <w:top w:val="double" w:sz="6" w:space="0" w:color="auto"/>
              <w:left w:val="single" w:sz="4" w:space="0" w:color="auto"/>
              <w:bottom w:val="single" w:sz="4" w:space="0" w:color="auto"/>
              <w:right w:val="double" w:sz="6" w:space="0" w:color="000000"/>
            </w:tcBorders>
            <w:shd w:val="clear" w:color="auto" w:fill="D9D9D9" w:themeFill="background1" w:themeFillShade="D9"/>
            <w:vAlign w:val="center"/>
          </w:tcPr>
          <w:p w14:paraId="151B9AE1"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Boarding</w:t>
            </w:r>
            <w:r>
              <w:rPr>
                <w:rFonts w:eastAsia="Times New Roman" w:cs="Times New Roman"/>
                <w:b/>
                <w:bCs/>
                <w:color w:val="000000"/>
                <w:sz w:val="20"/>
                <w:szCs w:val="20"/>
                <w:lang w:val="en-US"/>
              </w:rPr>
              <w:t xml:space="preserve"> </w:t>
            </w:r>
          </w:p>
        </w:tc>
      </w:tr>
      <w:tr w:rsidR="009B637B" w:rsidRPr="00186395" w14:paraId="342A7340" w14:textId="77777777" w:rsidTr="003C2ABD">
        <w:trPr>
          <w:trHeight w:val="137"/>
          <w:jc w:val="center"/>
        </w:trPr>
        <w:tc>
          <w:tcPr>
            <w:tcW w:w="1725" w:type="pct"/>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3757627B" w14:textId="77777777" w:rsidR="009B637B" w:rsidRPr="00EB7B4B" w:rsidRDefault="009B637B" w:rsidP="009B637B">
            <w:pPr>
              <w:jc w:val="left"/>
              <w:rPr>
                <w:rFonts w:eastAsia="Times New Roman" w:cs="Times New Roman"/>
                <w:b/>
                <w:bCs/>
                <w:color w:val="000000"/>
                <w:sz w:val="20"/>
                <w:szCs w:val="20"/>
                <w:lang w:val="en-US"/>
              </w:rPr>
            </w:pPr>
          </w:p>
        </w:tc>
        <w:tc>
          <w:tcPr>
            <w:tcW w:w="579" w:type="pct"/>
            <w:tcBorders>
              <w:top w:val="nil"/>
              <w:left w:val="nil"/>
              <w:bottom w:val="single" w:sz="4" w:space="0" w:color="auto"/>
              <w:right w:val="single" w:sz="4" w:space="0" w:color="auto"/>
            </w:tcBorders>
            <w:shd w:val="clear" w:color="auto" w:fill="D9D9D9" w:themeFill="background1" w:themeFillShade="D9"/>
            <w:noWrap/>
            <w:vAlign w:val="center"/>
            <w:hideMark/>
          </w:tcPr>
          <w:p w14:paraId="2E69E85E"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484" w:type="pct"/>
            <w:tcBorders>
              <w:top w:val="nil"/>
              <w:left w:val="nil"/>
              <w:bottom w:val="single" w:sz="4" w:space="0" w:color="auto"/>
              <w:right w:val="single" w:sz="4" w:space="0" w:color="auto"/>
            </w:tcBorders>
            <w:shd w:val="clear" w:color="auto" w:fill="D9D9D9" w:themeFill="background1" w:themeFillShade="D9"/>
            <w:noWrap/>
            <w:vAlign w:val="center"/>
            <w:hideMark/>
          </w:tcPr>
          <w:p w14:paraId="30043644"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c>
          <w:tcPr>
            <w:tcW w:w="580" w:type="pct"/>
            <w:tcBorders>
              <w:top w:val="nil"/>
              <w:left w:val="nil"/>
              <w:bottom w:val="single" w:sz="4" w:space="0" w:color="auto"/>
              <w:right w:val="single" w:sz="4" w:space="0" w:color="auto"/>
            </w:tcBorders>
            <w:shd w:val="clear" w:color="auto" w:fill="D9D9D9" w:themeFill="background1" w:themeFillShade="D9"/>
            <w:noWrap/>
            <w:vAlign w:val="center"/>
            <w:hideMark/>
          </w:tcPr>
          <w:p w14:paraId="2CA2998F"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531" w:type="pct"/>
            <w:tcBorders>
              <w:top w:val="nil"/>
              <w:left w:val="nil"/>
              <w:bottom w:val="single" w:sz="4" w:space="0" w:color="auto"/>
              <w:right w:val="single" w:sz="4" w:space="0" w:color="auto"/>
            </w:tcBorders>
            <w:shd w:val="clear" w:color="auto" w:fill="D9D9D9" w:themeFill="background1" w:themeFillShade="D9"/>
            <w:noWrap/>
            <w:vAlign w:val="center"/>
            <w:hideMark/>
          </w:tcPr>
          <w:p w14:paraId="74E9C808"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ABC6E1"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521" w:type="pct"/>
            <w:tcBorders>
              <w:top w:val="single" w:sz="4" w:space="0" w:color="auto"/>
              <w:left w:val="single" w:sz="4" w:space="0" w:color="auto"/>
              <w:bottom w:val="single" w:sz="4" w:space="0" w:color="auto"/>
              <w:right w:val="double" w:sz="6" w:space="0" w:color="auto"/>
            </w:tcBorders>
            <w:shd w:val="clear" w:color="auto" w:fill="D9D9D9" w:themeFill="background1" w:themeFillShade="D9"/>
            <w:vAlign w:val="center"/>
          </w:tcPr>
          <w:p w14:paraId="23F975D7" w14:textId="77777777" w:rsidR="009B637B" w:rsidRPr="00EB7B4B" w:rsidRDefault="009B637B" w:rsidP="009B637B">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r>
      <w:tr w:rsidR="00B02508" w:rsidRPr="00186395" w14:paraId="39B61408" w14:textId="77777777" w:rsidTr="003C2ABD">
        <w:trPr>
          <w:trHeight w:val="287"/>
          <w:jc w:val="center"/>
        </w:trPr>
        <w:tc>
          <w:tcPr>
            <w:tcW w:w="5000" w:type="pct"/>
            <w:gridSpan w:val="7"/>
            <w:tcBorders>
              <w:top w:val="nil"/>
              <w:left w:val="double" w:sz="6" w:space="0" w:color="auto"/>
              <w:bottom w:val="single" w:sz="4" w:space="0" w:color="auto"/>
              <w:right w:val="double" w:sz="6" w:space="0" w:color="auto"/>
            </w:tcBorders>
            <w:shd w:val="clear" w:color="auto" w:fill="auto"/>
            <w:noWrap/>
            <w:vAlign w:val="center"/>
          </w:tcPr>
          <w:p w14:paraId="78E30EA7" w14:textId="36FD01A0" w:rsidR="00B02508" w:rsidRPr="003642B9" w:rsidRDefault="00B02508" w:rsidP="003642B9">
            <w:pPr>
              <w:jc w:val="center"/>
              <w:rPr>
                <w:rFonts w:eastAsia="Times New Roman" w:cs="Times New Roman"/>
                <w:b/>
                <w:color w:val="000000"/>
                <w:sz w:val="20"/>
                <w:szCs w:val="20"/>
                <w:lang w:val="en-US"/>
              </w:rPr>
            </w:pPr>
            <w:r w:rsidRPr="003642B9">
              <w:rPr>
                <w:rFonts w:eastAsia="Times New Roman" w:cs="Times New Roman"/>
                <w:b/>
                <w:color w:val="000000"/>
                <w:sz w:val="20"/>
                <w:szCs w:val="20"/>
                <w:lang w:val="en-US"/>
              </w:rPr>
              <w:t>Independent Variables</w:t>
            </w:r>
            <w:r w:rsidR="00076804">
              <w:rPr>
                <w:rFonts w:eastAsia="Times New Roman" w:cs="Times New Roman"/>
                <w:b/>
                <w:color w:val="000000"/>
                <w:sz w:val="20"/>
                <w:szCs w:val="20"/>
                <w:lang w:val="en-US"/>
              </w:rPr>
              <w:t xml:space="preserve"> </w:t>
            </w:r>
            <w:r w:rsidR="00076804" w:rsidRPr="00076804">
              <w:rPr>
                <w:rFonts w:eastAsia="Times New Roman" w:cs="Times New Roman"/>
                <w:b/>
                <w:color w:val="000000"/>
                <w:sz w:val="20"/>
                <w:szCs w:val="20"/>
                <w:lang w:val="en-US"/>
              </w:rPr>
              <w:t>(</w:t>
            </w:r>
            <m:oMath>
              <m:r>
                <w:rPr>
                  <w:rFonts w:ascii="Cambria Math" w:eastAsia="Times New Roman" w:hAnsi="Cambria Math" w:cs="Vrinda"/>
                  <w:sz w:val="20"/>
                  <w:szCs w:val="20"/>
                </w:rPr>
                <m:t>ν</m:t>
              </m:r>
            </m:oMath>
            <w:r w:rsidR="00076804" w:rsidRPr="003642B9">
              <w:rPr>
                <w:rFonts w:eastAsia="Times New Roman" w:cs="Times New Roman"/>
                <w:sz w:val="20"/>
                <w:szCs w:val="20"/>
              </w:rPr>
              <w:t>,</w:t>
            </w:r>
            <w:r w:rsidR="00086CE5">
              <w:rPr>
                <w:rFonts w:eastAsia="Times New Roman" w:cs="Times New Roman"/>
                <w:sz w:val="20"/>
                <w:szCs w:val="20"/>
              </w:rPr>
              <w:t xml:space="preserve"> </w:t>
            </w:r>
            <m:oMath>
              <m:r>
                <w:rPr>
                  <w:rFonts w:ascii="Cambria Math" w:eastAsia="Times New Roman" w:hAnsi="Cambria Math"/>
                  <w:sz w:val="20"/>
                  <w:szCs w:val="20"/>
                </w:rPr>
                <m:t>α</m:t>
              </m:r>
            </m:oMath>
            <w:r w:rsidR="00076804" w:rsidRPr="003642B9">
              <w:rPr>
                <w:rFonts w:eastAsia="Times New Roman" w:cs="Times New Roman"/>
                <w:sz w:val="20"/>
                <w:szCs w:val="20"/>
              </w:rPr>
              <w:t>,</w:t>
            </w:r>
            <w:r w:rsidR="00086CE5">
              <w:rPr>
                <w:rFonts w:eastAsia="Times New Roman" w:cs="Times New Roman"/>
                <w:sz w:val="20"/>
                <w:szCs w:val="20"/>
              </w:rPr>
              <w:t xml:space="preserve"> </w:t>
            </w:r>
            <m:oMath>
              <m:r>
                <w:rPr>
                  <w:rFonts w:ascii="Cambria Math" w:eastAsia="Times New Roman" w:hAnsi="Cambria Math"/>
                  <w:sz w:val="20"/>
                  <w:szCs w:val="20"/>
                </w:rPr>
                <m:t>β</m:t>
              </m:r>
            </m:oMath>
            <w:r w:rsidR="00076804" w:rsidRPr="003642B9">
              <w:rPr>
                <w:rFonts w:eastAsia="Times New Roman" w:cs="Times New Roman"/>
                <w:sz w:val="20"/>
                <w:szCs w:val="20"/>
              </w:rPr>
              <w:t>)</w:t>
            </w:r>
          </w:p>
        </w:tc>
      </w:tr>
      <w:tr w:rsidR="00B02508" w:rsidRPr="00186395" w14:paraId="105558A8" w14:textId="77777777" w:rsidTr="003C2ABD">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48C28C80" w14:textId="5FDAAA94" w:rsidR="00B02508" w:rsidRPr="00EB7B4B" w:rsidRDefault="00B02508" w:rsidP="00B02508">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Constant</w:t>
            </w:r>
          </w:p>
        </w:tc>
        <w:tc>
          <w:tcPr>
            <w:tcW w:w="579" w:type="pct"/>
            <w:tcBorders>
              <w:top w:val="nil"/>
              <w:left w:val="nil"/>
              <w:bottom w:val="single" w:sz="4" w:space="0" w:color="auto"/>
              <w:right w:val="single" w:sz="4" w:space="0" w:color="auto"/>
            </w:tcBorders>
            <w:shd w:val="clear" w:color="auto" w:fill="auto"/>
            <w:noWrap/>
          </w:tcPr>
          <w:p w14:paraId="6A94E623" w14:textId="31786920" w:rsidR="00B02508" w:rsidRDefault="00B02508" w:rsidP="00B02508">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single" w:sz="4" w:space="0" w:color="auto"/>
              <w:right w:val="single" w:sz="4" w:space="0" w:color="auto"/>
            </w:tcBorders>
            <w:shd w:val="clear" w:color="auto" w:fill="auto"/>
            <w:noWrap/>
          </w:tcPr>
          <w:p w14:paraId="6D4DAC2C" w14:textId="7365ACB7" w:rsidR="00B02508" w:rsidRDefault="00B02508" w:rsidP="00B02508">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single" w:sz="4" w:space="0" w:color="auto"/>
              <w:right w:val="single" w:sz="4" w:space="0" w:color="auto"/>
            </w:tcBorders>
            <w:shd w:val="clear" w:color="auto" w:fill="auto"/>
            <w:noWrap/>
            <w:vAlign w:val="center"/>
          </w:tcPr>
          <w:p w14:paraId="57D2FD8F" w14:textId="1E9FDC3F" w:rsidR="00B02508" w:rsidRDefault="00B02508" w:rsidP="00B02508">
            <w:pPr>
              <w:jc w:val="left"/>
              <w:rPr>
                <w:rFonts w:eastAsia="Times New Roman" w:cs="Times New Roman"/>
                <w:color w:val="000000"/>
                <w:sz w:val="20"/>
                <w:szCs w:val="20"/>
                <w:lang w:val="en-US"/>
              </w:rPr>
            </w:pPr>
            <w:r>
              <w:rPr>
                <w:rFonts w:eastAsia="Times New Roman" w:cs="Times New Roman"/>
                <w:color w:val="000000"/>
                <w:sz w:val="20"/>
                <w:szCs w:val="20"/>
                <w:lang w:val="en-US"/>
              </w:rPr>
              <w:t>-13.010</w:t>
            </w:r>
          </w:p>
        </w:tc>
        <w:tc>
          <w:tcPr>
            <w:tcW w:w="531" w:type="pct"/>
            <w:tcBorders>
              <w:top w:val="nil"/>
              <w:left w:val="nil"/>
              <w:bottom w:val="single" w:sz="4" w:space="0" w:color="auto"/>
              <w:right w:val="single" w:sz="4" w:space="0" w:color="auto"/>
            </w:tcBorders>
            <w:shd w:val="clear" w:color="auto" w:fill="auto"/>
            <w:noWrap/>
            <w:vAlign w:val="center"/>
          </w:tcPr>
          <w:p w14:paraId="54562E3D" w14:textId="75D128C9" w:rsidR="00B02508" w:rsidRPr="00EB7B4B" w:rsidRDefault="00B02508" w:rsidP="00B02508">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w:t>
            </w:r>
            <w:r>
              <w:rPr>
                <w:rFonts w:eastAsia="Times New Roman" w:cs="Times New Roman"/>
                <w:color w:val="000000"/>
                <w:sz w:val="20"/>
                <w:szCs w:val="20"/>
                <w:lang w:val="en-US"/>
              </w:rPr>
              <w:t>16.049</w:t>
            </w:r>
          </w:p>
        </w:tc>
        <w:tc>
          <w:tcPr>
            <w:tcW w:w="579" w:type="pct"/>
            <w:tcBorders>
              <w:top w:val="nil"/>
              <w:left w:val="single" w:sz="4" w:space="0" w:color="auto"/>
              <w:bottom w:val="single" w:sz="4" w:space="0" w:color="auto"/>
              <w:right w:val="single" w:sz="4" w:space="0" w:color="auto"/>
            </w:tcBorders>
            <w:vAlign w:val="center"/>
          </w:tcPr>
          <w:p w14:paraId="0938CB75" w14:textId="7416A74B" w:rsidR="00B02508" w:rsidRDefault="00B02508" w:rsidP="00B02508">
            <w:pPr>
              <w:jc w:val="left"/>
              <w:rPr>
                <w:rFonts w:eastAsia="Times New Roman" w:cs="Times New Roman"/>
                <w:color w:val="000000"/>
                <w:sz w:val="20"/>
                <w:szCs w:val="20"/>
                <w:lang w:val="en-US"/>
              </w:rPr>
            </w:pPr>
            <w:r>
              <w:rPr>
                <w:rFonts w:eastAsia="Times New Roman" w:cs="Times New Roman"/>
                <w:color w:val="000000"/>
                <w:sz w:val="20"/>
                <w:szCs w:val="20"/>
                <w:lang w:val="en-US"/>
              </w:rPr>
              <w:t>-23.992</w:t>
            </w:r>
          </w:p>
        </w:tc>
        <w:tc>
          <w:tcPr>
            <w:tcW w:w="521" w:type="pct"/>
            <w:tcBorders>
              <w:top w:val="nil"/>
              <w:left w:val="single" w:sz="4" w:space="0" w:color="auto"/>
              <w:bottom w:val="single" w:sz="4" w:space="0" w:color="auto"/>
              <w:right w:val="double" w:sz="6" w:space="0" w:color="auto"/>
            </w:tcBorders>
            <w:vAlign w:val="center"/>
          </w:tcPr>
          <w:p w14:paraId="62E1ED31" w14:textId="5AB1536F" w:rsidR="00B02508" w:rsidRDefault="00B02508" w:rsidP="00B02508">
            <w:pPr>
              <w:jc w:val="left"/>
              <w:rPr>
                <w:rFonts w:eastAsia="Times New Roman" w:cs="Times New Roman"/>
                <w:color w:val="000000"/>
                <w:sz w:val="20"/>
                <w:szCs w:val="20"/>
                <w:lang w:val="en-US"/>
              </w:rPr>
            </w:pPr>
            <w:r>
              <w:rPr>
                <w:rFonts w:eastAsia="Times New Roman" w:cs="Times New Roman"/>
                <w:color w:val="000000"/>
                <w:sz w:val="20"/>
                <w:szCs w:val="20"/>
                <w:lang w:val="en-US"/>
              </w:rPr>
              <w:t>-24.242</w:t>
            </w:r>
          </w:p>
        </w:tc>
      </w:tr>
      <w:tr w:rsidR="009B637B" w:rsidRPr="00186395" w14:paraId="6AFD1F35" w14:textId="77777777" w:rsidTr="003C2ABD">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192B3806"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Threshold Value 1</w:t>
            </w:r>
          </w:p>
        </w:tc>
        <w:tc>
          <w:tcPr>
            <w:tcW w:w="579" w:type="pct"/>
            <w:tcBorders>
              <w:top w:val="nil"/>
              <w:left w:val="nil"/>
              <w:bottom w:val="single" w:sz="4" w:space="0" w:color="auto"/>
              <w:right w:val="single" w:sz="4" w:space="0" w:color="auto"/>
            </w:tcBorders>
            <w:shd w:val="clear" w:color="auto" w:fill="auto"/>
            <w:noWrap/>
          </w:tcPr>
          <w:p w14:paraId="2A10EBB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-3.998</w:t>
            </w:r>
          </w:p>
        </w:tc>
        <w:tc>
          <w:tcPr>
            <w:tcW w:w="484" w:type="pct"/>
            <w:tcBorders>
              <w:top w:val="nil"/>
              <w:left w:val="nil"/>
              <w:bottom w:val="single" w:sz="4" w:space="0" w:color="auto"/>
              <w:right w:val="single" w:sz="4" w:space="0" w:color="auto"/>
            </w:tcBorders>
            <w:shd w:val="clear" w:color="auto" w:fill="auto"/>
            <w:noWrap/>
          </w:tcPr>
          <w:p w14:paraId="663075E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-76.179</w:t>
            </w:r>
          </w:p>
        </w:tc>
        <w:tc>
          <w:tcPr>
            <w:tcW w:w="580" w:type="pct"/>
            <w:tcBorders>
              <w:top w:val="nil"/>
              <w:left w:val="nil"/>
              <w:bottom w:val="single" w:sz="4" w:space="0" w:color="auto"/>
              <w:right w:val="single" w:sz="4" w:space="0" w:color="auto"/>
            </w:tcBorders>
            <w:shd w:val="clear" w:color="auto" w:fill="auto"/>
            <w:noWrap/>
            <w:vAlign w:val="center"/>
          </w:tcPr>
          <w:p w14:paraId="6C28A46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single" w:sz="4" w:space="0" w:color="auto"/>
              <w:right w:val="single" w:sz="4" w:space="0" w:color="auto"/>
            </w:tcBorders>
            <w:shd w:val="clear" w:color="auto" w:fill="auto"/>
            <w:noWrap/>
            <w:vAlign w:val="center"/>
          </w:tcPr>
          <w:p w14:paraId="6E3873D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single" w:sz="4" w:space="0" w:color="auto"/>
              <w:right w:val="single" w:sz="4" w:space="0" w:color="auto"/>
            </w:tcBorders>
            <w:vAlign w:val="center"/>
          </w:tcPr>
          <w:p w14:paraId="06C1BAC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single" w:sz="4" w:space="0" w:color="auto"/>
              <w:right w:val="double" w:sz="6" w:space="0" w:color="auto"/>
            </w:tcBorders>
            <w:vAlign w:val="center"/>
          </w:tcPr>
          <w:p w14:paraId="512747D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22D4713D" w14:textId="77777777" w:rsidTr="003C2ABD">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0BA3355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Threshold Value 2</w:t>
            </w:r>
          </w:p>
        </w:tc>
        <w:tc>
          <w:tcPr>
            <w:tcW w:w="579" w:type="pct"/>
            <w:tcBorders>
              <w:top w:val="nil"/>
              <w:left w:val="nil"/>
              <w:bottom w:val="single" w:sz="4" w:space="0" w:color="auto"/>
              <w:right w:val="single" w:sz="4" w:space="0" w:color="auto"/>
            </w:tcBorders>
            <w:shd w:val="clear" w:color="auto" w:fill="auto"/>
            <w:noWrap/>
          </w:tcPr>
          <w:p w14:paraId="0F42BCB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0.302</w:t>
            </w:r>
          </w:p>
        </w:tc>
        <w:tc>
          <w:tcPr>
            <w:tcW w:w="484" w:type="pct"/>
            <w:tcBorders>
              <w:top w:val="nil"/>
              <w:left w:val="nil"/>
              <w:bottom w:val="single" w:sz="4" w:space="0" w:color="auto"/>
              <w:right w:val="single" w:sz="4" w:space="0" w:color="auto"/>
            </w:tcBorders>
            <w:shd w:val="clear" w:color="auto" w:fill="auto"/>
            <w:noWrap/>
          </w:tcPr>
          <w:p w14:paraId="0E4DF44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6.016</w:t>
            </w:r>
          </w:p>
        </w:tc>
        <w:tc>
          <w:tcPr>
            <w:tcW w:w="580" w:type="pct"/>
            <w:tcBorders>
              <w:top w:val="nil"/>
              <w:left w:val="nil"/>
              <w:bottom w:val="single" w:sz="4" w:space="0" w:color="auto"/>
              <w:right w:val="single" w:sz="4" w:space="0" w:color="auto"/>
            </w:tcBorders>
            <w:shd w:val="clear" w:color="auto" w:fill="auto"/>
            <w:noWrap/>
            <w:vAlign w:val="center"/>
          </w:tcPr>
          <w:p w14:paraId="5FA1D635"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single" w:sz="4" w:space="0" w:color="auto"/>
              <w:right w:val="single" w:sz="4" w:space="0" w:color="auto"/>
            </w:tcBorders>
            <w:shd w:val="clear" w:color="auto" w:fill="auto"/>
            <w:noWrap/>
            <w:vAlign w:val="center"/>
          </w:tcPr>
          <w:p w14:paraId="5EA39DD9"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single" w:sz="4" w:space="0" w:color="auto"/>
              <w:right w:val="single" w:sz="4" w:space="0" w:color="auto"/>
            </w:tcBorders>
            <w:vAlign w:val="center"/>
          </w:tcPr>
          <w:p w14:paraId="45EB6B9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single" w:sz="4" w:space="0" w:color="auto"/>
              <w:right w:val="double" w:sz="6" w:space="0" w:color="auto"/>
            </w:tcBorders>
            <w:vAlign w:val="center"/>
          </w:tcPr>
          <w:p w14:paraId="738A7C6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3068C52E" w14:textId="77777777" w:rsidTr="003C2ABD">
        <w:trPr>
          <w:trHeight w:val="287"/>
          <w:jc w:val="center"/>
        </w:trPr>
        <w:tc>
          <w:tcPr>
            <w:tcW w:w="5000" w:type="pct"/>
            <w:gridSpan w:val="7"/>
            <w:tcBorders>
              <w:top w:val="nil"/>
              <w:left w:val="double" w:sz="6" w:space="0" w:color="auto"/>
              <w:bottom w:val="single" w:sz="4" w:space="0" w:color="auto"/>
              <w:right w:val="double" w:sz="6" w:space="0" w:color="auto"/>
            </w:tcBorders>
            <w:shd w:val="clear" w:color="auto" w:fill="auto"/>
            <w:vAlign w:val="center"/>
            <w:hideMark/>
          </w:tcPr>
          <w:p w14:paraId="4B08EC94" w14:textId="77777777" w:rsidR="009B637B" w:rsidRPr="003642B9" w:rsidRDefault="009B637B" w:rsidP="009B637B">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Stop Level Attributes</w:t>
            </w:r>
          </w:p>
        </w:tc>
      </w:tr>
      <w:tr w:rsidR="009B637B" w:rsidRPr="00186395" w14:paraId="0A7A6AAA" w14:textId="77777777" w:rsidTr="003C2ABD">
        <w:trPr>
          <w:trHeight w:val="371"/>
          <w:jc w:val="center"/>
        </w:trPr>
        <w:tc>
          <w:tcPr>
            <w:tcW w:w="1725" w:type="pct"/>
            <w:tcBorders>
              <w:top w:val="nil"/>
              <w:left w:val="double" w:sz="6" w:space="0" w:color="auto"/>
              <w:bottom w:val="nil"/>
              <w:right w:val="single" w:sz="4" w:space="0" w:color="auto"/>
            </w:tcBorders>
            <w:shd w:val="clear" w:color="auto" w:fill="auto"/>
            <w:vAlign w:val="center"/>
            <w:hideMark/>
          </w:tcPr>
          <w:p w14:paraId="3E614044" w14:textId="77777777" w:rsidR="009B637B" w:rsidRPr="000D4ED0" w:rsidRDefault="009B637B" w:rsidP="009B637B">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Headway</w:t>
            </w:r>
            <w:r>
              <w:rPr>
                <w:rFonts w:eastAsia="Times New Roman" w:cs="Times New Roman"/>
                <w:color w:val="000000"/>
                <w:sz w:val="20"/>
                <w:szCs w:val="20"/>
                <w:lang w:val="en-US"/>
              </w:rPr>
              <w:t xml:space="preserve"> (Base: Category 1)</w:t>
            </w:r>
          </w:p>
        </w:tc>
        <w:tc>
          <w:tcPr>
            <w:tcW w:w="579" w:type="pct"/>
            <w:tcBorders>
              <w:top w:val="nil"/>
              <w:left w:val="nil"/>
              <w:bottom w:val="nil"/>
              <w:right w:val="single" w:sz="4" w:space="0" w:color="auto"/>
            </w:tcBorders>
            <w:shd w:val="clear" w:color="auto" w:fill="auto"/>
            <w:noWrap/>
            <w:vAlign w:val="center"/>
          </w:tcPr>
          <w:p w14:paraId="33EB4047" w14:textId="77777777" w:rsidR="009B637B" w:rsidRPr="00EB7B4B" w:rsidRDefault="009B637B" w:rsidP="009B637B">
            <w:pPr>
              <w:jc w:val="left"/>
              <w:rPr>
                <w:rFonts w:eastAsia="Times New Roman" w:cs="Times New Roman"/>
                <w:color w:val="000000"/>
                <w:sz w:val="20"/>
                <w:szCs w:val="20"/>
                <w:lang w:val="en-US"/>
              </w:rPr>
            </w:pPr>
          </w:p>
        </w:tc>
        <w:tc>
          <w:tcPr>
            <w:tcW w:w="484" w:type="pct"/>
            <w:tcBorders>
              <w:top w:val="nil"/>
              <w:left w:val="nil"/>
              <w:bottom w:val="nil"/>
              <w:right w:val="single" w:sz="4" w:space="0" w:color="auto"/>
            </w:tcBorders>
            <w:shd w:val="clear" w:color="auto" w:fill="auto"/>
            <w:noWrap/>
            <w:vAlign w:val="center"/>
          </w:tcPr>
          <w:p w14:paraId="630DB9E2" w14:textId="77777777" w:rsidR="009B637B" w:rsidRPr="00EB7B4B" w:rsidRDefault="009B637B" w:rsidP="009B637B">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20A107FE" w14:textId="77777777" w:rsidR="009B637B" w:rsidRPr="00EB7B4B" w:rsidRDefault="009B637B" w:rsidP="009B637B">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5CBC5C89" w14:textId="77777777" w:rsidR="009B637B" w:rsidRPr="00EB7B4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4136D5A0" w14:textId="77777777" w:rsidR="009B637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6FAE3D81" w14:textId="77777777" w:rsidR="009B637B" w:rsidRDefault="009B637B" w:rsidP="009B637B">
            <w:pPr>
              <w:jc w:val="left"/>
              <w:rPr>
                <w:rFonts w:eastAsia="Times New Roman" w:cs="Times New Roman"/>
                <w:color w:val="000000"/>
                <w:sz w:val="20"/>
                <w:szCs w:val="20"/>
                <w:lang w:val="en-US"/>
              </w:rPr>
            </w:pPr>
          </w:p>
        </w:tc>
      </w:tr>
      <w:tr w:rsidR="009B637B" w:rsidRPr="00186395" w14:paraId="1C5EE77B"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55AA559" w14:textId="77777777" w:rsidR="009B637B" w:rsidRPr="00EB7B4B" w:rsidRDefault="009B637B" w:rsidP="009B637B">
            <w:pPr>
              <w:jc w:val="left"/>
              <w:rPr>
                <w:rFonts w:eastAsia="Times New Roman" w:cs="Times New Roman"/>
                <w:color w:val="000000"/>
                <w:sz w:val="20"/>
                <w:szCs w:val="20"/>
                <w:lang w:val="en-US"/>
              </w:rPr>
            </w:pPr>
            <w:r w:rsidRPr="001151CB">
              <w:rPr>
                <w:rFonts w:eastAsia="Times New Roman" w:cs="Times New Roman"/>
                <w:i/>
                <w:iCs/>
                <w:color w:val="000000"/>
                <w:sz w:val="20"/>
                <w:szCs w:val="20"/>
                <w:lang w:val="en-US"/>
              </w:rPr>
              <w:t>Dummy for headway category 2</w:t>
            </w:r>
          </w:p>
        </w:tc>
        <w:tc>
          <w:tcPr>
            <w:tcW w:w="579" w:type="pct"/>
            <w:tcBorders>
              <w:top w:val="nil"/>
              <w:left w:val="nil"/>
              <w:bottom w:val="nil"/>
              <w:right w:val="single" w:sz="4" w:space="0" w:color="auto"/>
            </w:tcBorders>
            <w:shd w:val="clear" w:color="auto" w:fill="auto"/>
            <w:noWrap/>
            <w:vAlign w:val="center"/>
          </w:tcPr>
          <w:p w14:paraId="5185F38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nil"/>
              <w:right w:val="single" w:sz="4" w:space="0" w:color="auto"/>
            </w:tcBorders>
            <w:shd w:val="clear" w:color="auto" w:fill="auto"/>
            <w:noWrap/>
            <w:vAlign w:val="center"/>
          </w:tcPr>
          <w:p w14:paraId="1ADCD56B"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24F42D0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-45.477</w:t>
            </w:r>
          </w:p>
        </w:tc>
        <w:tc>
          <w:tcPr>
            <w:tcW w:w="531" w:type="pct"/>
            <w:tcBorders>
              <w:top w:val="nil"/>
              <w:left w:val="nil"/>
              <w:bottom w:val="nil"/>
              <w:right w:val="single" w:sz="4" w:space="0" w:color="auto"/>
            </w:tcBorders>
            <w:shd w:val="clear" w:color="auto" w:fill="auto"/>
            <w:noWrap/>
            <w:vAlign w:val="center"/>
          </w:tcPr>
          <w:p w14:paraId="466F75F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-99.782</w:t>
            </w:r>
          </w:p>
        </w:tc>
        <w:tc>
          <w:tcPr>
            <w:tcW w:w="579" w:type="pct"/>
            <w:tcBorders>
              <w:top w:val="nil"/>
              <w:left w:val="single" w:sz="4" w:space="0" w:color="auto"/>
              <w:bottom w:val="nil"/>
              <w:right w:val="single" w:sz="4" w:space="0" w:color="auto"/>
            </w:tcBorders>
            <w:vAlign w:val="center"/>
          </w:tcPr>
          <w:p w14:paraId="3D0DBFE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-51.083</w:t>
            </w:r>
          </w:p>
        </w:tc>
        <w:tc>
          <w:tcPr>
            <w:tcW w:w="521" w:type="pct"/>
            <w:tcBorders>
              <w:top w:val="nil"/>
              <w:left w:val="single" w:sz="4" w:space="0" w:color="auto"/>
              <w:bottom w:val="nil"/>
              <w:right w:val="double" w:sz="6" w:space="0" w:color="auto"/>
            </w:tcBorders>
            <w:vAlign w:val="center"/>
          </w:tcPr>
          <w:p w14:paraId="5387D0B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-99.457</w:t>
            </w:r>
          </w:p>
        </w:tc>
      </w:tr>
      <w:tr w:rsidR="009B637B" w:rsidRPr="00186395" w14:paraId="20F7EC37"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7FE31BD7" w14:textId="77777777" w:rsidR="009B637B" w:rsidRPr="00EB7B4B" w:rsidRDefault="009B637B" w:rsidP="009B637B">
            <w:pPr>
              <w:jc w:val="left"/>
              <w:rPr>
                <w:rFonts w:eastAsia="Times New Roman" w:cs="Times New Roman"/>
                <w:color w:val="000000"/>
                <w:sz w:val="20"/>
                <w:szCs w:val="20"/>
                <w:lang w:val="en-US"/>
              </w:rPr>
            </w:pPr>
            <w:r w:rsidRPr="001B085F">
              <w:rPr>
                <w:rFonts w:eastAsia="Times New Roman" w:cs="Times New Roman"/>
                <w:i/>
                <w:iCs/>
                <w:color w:val="000000"/>
                <w:sz w:val="20"/>
                <w:szCs w:val="20"/>
                <w:lang w:val="en-US"/>
              </w:rPr>
              <w:t xml:space="preserve">Dummy for headway category </w:t>
            </w:r>
            <w:r>
              <w:rPr>
                <w:rFonts w:eastAsia="Times New Roman" w:cs="Times New Roman"/>
                <w:i/>
                <w:iCs/>
                <w:color w:val="000000"/>
                <w:sz w:val="20"/>
                <w:szCs w:val="20"/>
                <w:lang w:val="en-US"/>
              </w:rPr>
              <w:t>3</w:t>
            </w:r>
          </w:p>
        </w:tc>
        <w:tc>
          <w:tcPr>
            <w:tcW w:w="579" w:type="pct"/>
            <w:tcBorders>
              <w:top w:val="nil"/>
              <w:left w:val="nil"/>
              <w:bottom w:val="nil"/>
              <w:right w:val="single" w:sz="4" w:space="0" w:color="auto"/>
            </w:tcBorders>
            <w:shd w:val="clear" w:color="auto" w:fill="auto"/>
            <w:noWrap/>
            <w:vAlign w:val="center"/>
          </w:tcPr>
          <w:p w14:paraId="46B0163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nil"/>
              <w:right w:val="single" w:sz="4" w:space="0" w:color="auto"/>
            </w:tcBorders>
            <w:shd w:val="clear" w:color="auto" w:fill="auto"/>
            <w:noWrap/>
            <w:vAlign w:val="center"/>
          </w:tcPr>
          <w:p w14:paraId="6C5139C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0322ACE3"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-70.976</w:t>
            </w:r>
          </w:p>
        </w:tc>
        <w:tc>
          <w:tcPr>
            <w:tcW w:w="531" w:type="pct"/>
            <w:tcBorders>
              <w:top w:val="nil"/>
              <w:left w:val="nil"/>
              <w:bottom w:val="nil"/>
              <w:right w:val="single" w:sz="4" w:space="0" w:color="auto"/>
            </w:tcBorders>
            <w:shd w:val="clear" w:color="auto" w:fill="auto"/>
            <w:noWrap/>
            <w:vAlign w:val="center"/>
          </w:tcPr>
          <w:p w14:paraId="644F446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-135.682</w:t>
            </w:r>
          </w:p>
        </w:tc>
        <w:tc>
          <w:tcPr>
            <w:tcW w:w="579" w:type="pct"/>
            <w:tcBorders>
              <w:top w:val="nil"/>
              <w:left w:val="single" w:sz="4" w:space="0" w:color="auto"/>
              <w:bottom w:val="nil"/>
              <w:right w:val="single" w:sz="4" w:space="0" w:color="auto"/>
            </w:tcBorders>
            <w:vAlign w:val="center"/>
          </w:tcPr>
          <w:p w14:paraId="5000D9C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-77.723</w:t>
            </w:r>
          </w:p>
        </w:tc>
        <w:tc>
          <w:tcPr>
            <w:tcW w:w="521" w:type="pct"/>
            <w:tcBorders>
              <w:top w:val="nil"/>
              <w:left w:val="single" w:sz="4" w:space="0" w:color="auto"/>
              <w:bottom w:val="nil"/>
              <w:right w:val="double" w:sz="6" w:space="0" w:color="auto"/>
            </w:tcBorders>
            <w:vAlign w:val="center"/>
          </w:tcPr>
          <w:p w14:paraId="4BAF590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-130.697</w:t>
            </w:r>
          </w:p>
        </w:tc>
      </w:tr>
      <w:tr w:rsidR="009B637B" w:rsidRPr="00186395" w14:paraId="3BA713B7"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hideMark/>
          </w:tcPr>
          <w:p w14:paraId="622DBF10" w14:textId="07EBC781" w:rsidR="009B637B" w:rsidRPr="007F0587" w:rsidRDefault="009B637B" w:rsidP="009B637B">
            <w:pPr>
              <w:jc w:val="left"/>
              <w:rPr>
                <w:rFonts w:eastAsia="Times New Roman" w:cs="Times New Roman"/>
                <w:iCs/>
                <w:color w:val="000000"/>
                <w:sz w:val="20"/>
                <w:szCs w:val="20"/>
                <w:lang w:val="en-US"/>
              </w:rPr>
            </w:pPr>
            <w:r w:rsidRPr="007F0587">
              <w:rPr>
                <w:rFonts w:eastAsia="Times New Roman" w:cs="Times New Roman"/>
                <w:color w:val="000000"/>
                <w:sz w:val="20"/>
                <w:szCs w:val="20"/>
                <w:lang w:val="en-US"/>
              </w:rPr>
              <w:t>No of Bus stop in a</w:t>
            </w:r>
            <w:r w:rsidR="00D46413">
              <w:rPr>
                <w:rFonts w:eastAsia="Times New Roman" w:cs="Times New Roman"/>
                <w:color w:val="000000"/>
                <w:sz w:val="20"/>
                <w:szCs w:val="20"/>
                <w:lang w:val="en-US"/>
              </w:rPr>
              <w:t>n</w:t>
            </w:r>
            <w:r w:rsidRPr="007F0587">
              <w:rPr>
                <w:rFonts w:eastAsia="Times New Roman" w:cs="Times New Roman"/>
                <w:iCs/>
                <w:color w:val="000000"/>
                <w:sz w:val="20"/>
                <w:szCs w:val="20"/>
                <w:lang w:val="en-US"/>
              </w:rPr>
              <w:t xml:space="preserve"> 800 m buffer</w:t>
            </w:r>
          </w:p>
        </w:tc>
        <w:tc>
          <w:tcPr>
            <w:tcW w:w="579" w:type="pct"/>
            <w:tcBorders>
              <w:top w:val="nil"/>
              <w:left w:val="nil"/>
              <w:bottom w:val="nil"/>
              <w:right w:val="single" w:sz="4" w:space="0" w:color="auto"/>
            </w:tcBorders>
            <w:shd w:val="clear" w:color="auto" w:fill="auto"/>
            <w:noWrap/>
            <w:vAlign w:val="center"/>
          </w:tcPr>
          <w:p w14:paraId="1007B4CA"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nil"/>
              <w:right w:val="single" w:sz="4" w:space="0" w:color="auto"/>
            </w:tcBorders>
            <w:shd w:val="clear" w:color="auto" w:fill="auto"/>
            <w:noWrap/>
            <w:vAlign w:val="center"/>
          </w:tcPr>
          <w:p w14:paraId="12AF530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6B11A688"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-4.422</w:t>
            </w:r>
          </w:p>
        </w:tc>
        <w:tc>
          <w:tcPr>
            <w:tcW w:w="531" w:type="pct"/>
            <w:tcBorders>
              <w:top w:val="nil"/>
              <w:left w:val="nil"/>
              <w:bottom w:val="nil"/>
              <w:right w:val="single" w:sz="4" w:space="0" w:color="auto"/>
            </w:tcBorders>
            <w:shd w:val="clear" w:color="auto" w:fill="auto"/>
            <w:noWrap/>
            <w:vAlign w:val="center"/>
          </w:tcPr>
          <w:p w14:paraId="1F2EB1EF"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-29.238</w:t>
            </w:r>
          </w:p>
        </w:tc>
        <w:tc>
          <w:tcPr>
            <w:tcW w:w="579" w:type="pct"/>
            <w:tcBorders>
              <w:top w:val="nil"/>
              <w:left w:val="single" w:sz="4" w:space="0" w:color="auto"/>
              <w:bottom w:val="nil"/>
              <w:right w:val="single" w:sz="4" w:space="0" w:color="auto"/>
            </w:tcBorders>
            <w:vAlign w:val="center"/>
          </w:tcPr>
          <w:p w14:paraId="5D6CE17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-4.447</w:t>
            </w:r>
          </w:p>
        </w:tc>
        <w:tc>
          <w:tcPr>
            <w:tcW w:w="521" w:type="pct"/>
            <w:tcBorders>
              <w:top w:val="nil"/>
              <w:left w:val="single" w:sz="4" w:space="0" w:color="auto"/>
              <w:bottom w:val="nil"/>
              <w:right w:val="double" w:sz="6" w:space="0" w:color="auto"/>
            </w:tcBorders>
            <w:vAlign w:val="center"/>
          </w:tcPr>
          <w:p w14:paraId="35132CB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-26.104</w:t>
            </w:r>
          </w:p>
        </w:tc>
      </w:tr>
      <w:tr w:rsidR="009B637B" w:rsidRPr="00186395" w14:paraId="5CFC53BE"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3AC25E8" w14:textId="77777777" w:rsidR="009B637B" w:rsidRPr="007F0587" w:rsidRDefault="009B637B" w:rsidP="009B637B">
            <w:pPr>
              <w:jc w:val="left"/>
              <w:rPr>
                <w:rFonts w:eastAsia="Times New Roman" w:cs="Times New Roman"/>
                <w:color w:val="000000"/>
                <w:sz w:val="20"/>
                <w:szCs w:val="20"/>
                <w:lang w:val="en-US"/>
              </w:rPr>
            </w:pPr>
            <w:r w:rsidRPr="007F0587">
              <w:rPr>
                <w:rFonts w:eastAsia="Times New Roman" w:cs="Times New Roman"/>
                <w:color w:val="000000"/>
                <w:sz w:val="20"/>
                <w:szCs w:val="20"/>
                <w:lang w:val="en-US"/>
              </w:rPr>
              <w:t>Bus route Length in an 800 m buffer</w:t>
            </w:r>
          </w:p>
        </w:tc>
        <w:tc>
          <w:tcPr>
            <w:tcW w:w="579" w:type="pct"/>
            <w:tcBorders>
              <w:top w:val="nil"/>
              <w:left w:val="nil"/>
              <w:bottom w:val="nil"/>
              <w:right w:val="single" w:sz="4" w:space="0" w:color="auto"/>
            </w:tcBorders>
            <w:shd w:val="clear" w:color="auto" w:fill="auto"/>
            <w:noWrap/>
            <w:vAlign w:val="center"/>
          </w:tcPr>
          <w:p w14:paraId="4E36E143"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-0.815</w:t>
            </w:r>
          </w:p>
        </w:tc>
        <w:tc>
          <w:tcPr>
            <w:tcW w:w="484" w:type="pct"/>
            <w:tcBorders>
              <w:top w:val="nil"/>
              <w:left w:val="nil"/>
              <w:bottom w:val="nil"/>
              <w:right w:val="single" w:sz="4" w:space="0" w:color="auto"/>
            </w:tcBorders>
            <w:shd w:val="clear" w:color="auto" w:fill="auto"/>
            <w:noWrap/>
            <w:vAlign w:val="center"/>
          </w:tcPr>
          <w:p w14:paraId="2A6CB915"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-73.068</w:t>
            </w:r>
          </w:p>
        </w:tc>
        <w:tc>
          <w:tcPr>
            <w:tcW w:w="580" w:type="pct"/>
            <w:tcBorders>
              <w:top w:val="nil"/>
              <w:left w:val="nil"/>
              <w:bottom w:val="nil"/>
              <w:right w:val="single" w:sz="4" w:space="0" w:color="auto"/>
            </w:tcBorders>
            <w:shd w:val="clear" w:color="auto" w:fill="auto"/>
            <w:noWrap/>
            <w:vAlign w:val="center"/>
          </w:tcPr>
          <w:p w14:paraId="28052A2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-2.374</w:t>
            </w:r>
          </w:p>
        </w:tc>
        <w:tc>
          <w:tcPr>
            <w:tcW w:w="531" w:type="pct"/>
            <w:tcBorders>
              <w:top w:val="nil"/>
              <w:left w:val="nil"/>
              <w:bottom w:val="nil"/>
              <w:right w:val="single" w:sz="4" w:space="0" w:color="auto"/>
            </w:tcBorders>
            <w:shd w:val="clear" w:color="auto" w:fill="auto"/>
            <w:noWrap/>
            <w:vAlign w:val="center"/>
          </w:tcPr>
          <w:p w14:paraId="692E031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-15.692</w:t>
            </w:r>
          </w:p>
        </w:tc>
        <w:tc>
          <w:tcPr>
            <w:tcW w:w="579" w:type="pct"/>
            <w:tcBorders>
              <w:top w:val="nil"/>
              <w:left w:val="single" w:sz="4" w:space="0" w:color="auto"/>
              <w:bottom w:val="nil"/>
              <w:right w:val="single" w:sz="4" w:space="0" w:color="auto"/>
            </w:tcBorders>
            <w:vAlign w:val="center"/>
          </w:tcPr>
          <w:p w14:paraId="253A422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-3.546</w:t>
            </w:r>
          </w:p>
        </w:tc>
        <w:tc>
          <w:tcPr>
            <w:tcW w:w="521" w:type="pct"/>
            <w:tcBorders>
              <w:top w:val="nil"/>
              <w:left w:val="single" w:sz="4" w:space="0" w:color="auto"/>
              <w:bottom w:val="nil"/>
              <w:right w:val="double" w:sz="6" w:space="0" w:color="auto"/>
            </w:tcBorders>
            <w:vAlign w:val="center"/>
          </w:tcPr>
          <w:p w14:paraId="4709C5F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-21.583</w:t>
            </w:r>
          </w:p>
        </w:tc>
      </w:tr>
      <w:tr w:rsidR="009B637B" w:rsidRPr="00186395" w14:paraId="72F0229F"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57259702" w14:textId="77777777" w:rsidR="009B637B" w:rsidRPr="007F0587" w:rsidRDefault="009B637B" w:rsidP="009B637B">
            <w:pPr>
              <w:jc w:val="left"/>
              <w:rPr>
                <w:rFonts w:eastAsia="Times New Roman" w:cs="Times New Roman"/>
                <w:color w:val="000000"/>
                <w:sz w:val="20"/>
                <w:szCs w:val="20"/>
                <w:lang w:val="en-US"/>
              </w:rPr>
            </w:pPr>
            <w:r w:rsidRPr="007F0587">
              <w:rPr>
                <w:rFonts w:eastAsia="Times New Roman" w:cs="Times New Roman"/>
                <w:color w:val="000000"/>
                <w:sz w:val="20"/>
                <w:szCs w:val="20"/>
                <w:lang w:val="en-US"/>
              </w:rPr>
              <w:t>Presence of shelter in bus stop</w:t>
            </w:r>
          </w:p>
        </w:tc>
        <w:tc>
          <w:tcPr>
            <w:tcW w:w="579" w:type="pct"/>
            <w:tcBorders>
              <w:top w:val="nil"/>
              <w:left w:val="nil"/>
              <w:bottom w:val="nil"/>
              <w:right w:val="single" w:sz="4" w:space="0" w:color="auto"/>
            </w:tcBorders>
            <w:shd w:val="clear" w:color="auto" w:fill="auto"/>
            <w:noWrap/>
            <w:vAlign w:val="center"/>
          </w:tcPr>
          <w:p w14:paraId="581F12A6"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nil"/>
              <w:right w:val="single" w:sz="4" w:space="0" w:color="auto"/>
            </w:tcBorders>
            <w:shd w:val="clear" w:color="auto" w:fill="auto"/>
            <w:noWrap/>
            <w:vAlign w:val="center"/>
          </w:tcPr>
          <w:p w14:paraId="3B1B4BD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213A23C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19.981</w:t>
            </w:r>
          </w:p>
        </w:tc>
        <w:tc>
          <w:tcPr>
            <w:tcW w:w="531" w:type="pct"/>
            <w:tcBorders>
              <w:top w:val="nil"/>
              <w:left w:val="nil"/>
              <w:bottom w:val="nil"/>
              <w:right w:val="single" w:sz="4" w:space="0" w:color="auto"/>
            </w:tcBorders>
            <w:shd w:val="clear" w:color="auto" w:fill="auto"/>
            <w:noWrap/>
            <w:vAlign w:val="center"/>
          </w:tcPr>
          <w:p w14:paraId="4E7BF9AA"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75.939</w:t>
            </w:r>
          </w:p>
        </w:tc>
        <w:tc>
          <w:tcPr>
            <w:tcW w:w="579" w:type="pct"/>
            <w:tcBorders>
              <w:top w:val="nil"/>
              <w:left w:val="single" w:sz="4" w:space="0" w:color="auto"/>
              <w:bottom w:val="nil"/>
              <w:right w:val="single" w:sz="4" w:space="0" w:color="auto"/>
            </w:tcBorders>
            <w:vAlign w:val="center"/>
          </w:tcPr>
          <w:p w14:paraId="0525BD3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34.953</w:t>
            </w:r>
          </w:p>
        </w:tc>
        <w:tc>
          <w:tcPr>
            <w:tcW w:w="521" w:type="pct"/>
            <w:tcBorders>
              <w:top w:val="nil"/>
              <w:left w:val="single" w:sz="4" w:space="0" w:color="auto"/>
              <w:bottom w:val="nil"/>
              <w:right w:val="double" w:sz="6" w:space="0" w:color="auto"/>
            </w:tcBorders>
            <w:vAlign w:val="center"/>
          </w:tcPr>
          <w:p w14:paraId="13D87AE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111.848</w:t>
            </w:r>
          </w:p>
        </w:tc>
      </w:tr>
      <w:tr w:rsidR="009B637B" w:rsidRPr="00186395" w14:paraId="5002C285" w14:textId="77777777" w:rsidTr="003C2ABD">
        <w:trPr>
          <w:trHeight w:val="305"/>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016D0FC6" w14:textId="59723333" w:rsidR="009B637B" w:rsidRPr="003642B9" w:rsidRDefault="009B637B" w:rsidP="00B02508">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 xml:space="preserve">Transportation Infrastructure </w:t>
            </w:r>
          </w:p>
        </w:tc>
      </w:tr>
      <w:tr w:rsidR="009B637B" w:rsidRPr="00186395" w14:paraId="489D19A3"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4ED4CE0" w14:textId="520D68F6" w:rsidR="009B637B" w:rsidRPr="00EB7B4B" w:rsidRDefault="003642B9" w:rsidP="009B637B">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Sidewalk</w:t>
            </w:r>
            <w:r w:rsidR="009B637B" w:rsidRPr="00EB7B4B">
              <w:rPr>
                <w:rFonts w:eastAsia="Times New Roman" w:cs="Times New Roman"/>
                <w:color w:val="000000"/>
                <w:sz w:val="20"/>
                <w:szCs w:val="20"/>
                <w:lang w:val="en-US"/>
              </w:rPr>
              <w:t xml:space="preserve"> length in a</w:t>
            </w:r>
            <w:r w:rsidR="009B637B">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6EAAE32C" w14:textId="77777777" w:rsidR="009B637B" w:rsidRPr="00EB7B4B" w:rsidRDefault="009B637B" w:rsidP="009B637B">
            <w:pPr>
              <w:jc w:val="left"/>
              <w:rPr>
                <w:rFonts w:eastAsia="Times New Roman" w:cs="Times New Roman"/>
                <w:color w:val="000000"/>
                <w:sz w:val="20"/>
                <w:szCs w:val="20"/>
                <w:lang w:val="en-US"/>
              </w:rPr>
            </w:pPr>
          </w:p>
        </w:tc>
        <w:tc>
          <w:tcPr>
            <w:tcW w:w="484" w:type="pct"/>
            <w:tcBorders>
              <w:top w:val="nil"/>
              <w:left w:val="nil"/>
              <w:bottom w:val="nil"/>
              <w:right w:val="single" w:sz="4" w:space="0" w:color="auto"/>
            </w:tcBorders>
            <w:shd w:val="clear" w:color="auto" w:fill="auto"/>
            <w:noWrap/>
            <w:vAlign w:val="center"/>
          </w:tcPr>
          <w:p w14:paraId="2CD9F8DC" w14:textId="77777777" w:rsidR="009B637B" w:rsidRPr="00EB7B4B" w:rsidRDefault="009B637B" w:rsidP="009B637B">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412CDCB9" w14:textId="77777777" w:rsidR="009B637B" w:rsidRPr="00EB7B4B" w:rsidRDefault="009B637B" w:rsidP="009B637B">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711C8603" w14:textId="77777777" w:rsidR="009B637B" w:rsidRPr="00EB7B4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6E4E1500" w14:textId="77777777" w:rsidR="009B637B" w:rsidRPr="00EB7B4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4488A134" w14:textId="77777777" w:rsidR="009B637B" w:rsidRPr="00EB7B4B" w:rsidRDefault="009B637B" w:rsidP="009B637B">
            <w:pPr>
              <w:jc w:val="left"/>
              <w:rPr>
                <w:rFonts w:eastAsia="Times New Roman" w:cs="Times New Roman"/>
                <w:color w:val="000000"/>
                <w:sz w:val="20"/>
                <w:szCs w:val="20"/>
                <w:lang w:val="en-US"/>
              </w:rPr>
            </w:pPr>
          </w:p>
        </w:tc>
      </w:tr>
      <w:tr w:rsidR="009B637B" w:rsidRPr="00186395" w14:paraId="21B1A4A6"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DED6292"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i/>
                <w:iCs/>
                <w:color w:val="000000"/>
                <w:sz w:val="20"/>
                <w:szCs w:val="20"/>
                <w:lang w:val="en-US"/>
              </w:rPr>
              <w:t>4</w:t>
            </w:r>
            <w:r w:rsidRPr="00EB7B4B">
              <w:rPr>
                <w:rFonts w:eastAsia="Times New Roman" w:cs="Times New Roman"/>
                <w:i/>
                <w:iCs/>
                <w:color w:val="000000"/>
                <w:sz w:val="20"/>
                <w:szCs w:val="20"/>
                <w:lang w:val="en-US"/>
              </w:rPr>
              <w:t>00 m buffer</w:t>
            </w:r>
          </w:p>
        </w:tc>
        <w:tc>
          <w:tcPr>
            <w:tcW w:w="579" w:type="pct"/>
            <w:tcBorders>
              <w:top w:val="nil"/>
              <w:left w:val="nil"/>
              <w:bottom w:val="nil"/>
              <w:right w:val="single" w:sz="4" w:space="0" w:color="auto"/>
            </w:tcBorders>
            <w:shd w:val="clear" w:color="auto" w:fill="auto"/>
            <w:noWrap/>
            <w:vAlign w:val="center"/>
          </w:tcPr>
          <w:p w14:paraId="26EB6B82"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nil"/>
              <w:right w:val="single" w:sz="4" w:space="0" w:color="auto"/>
            </w:tcBorders>
            <w:shd w:val="clear" w:color="auto" w:fill="auto"/>
            <w:noWrap/>
            <w:vAlign w:val="center"/>
          </w:tcPr>
          <w:p w14:paraId="3088265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72343983"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2.694</w:t>
            </w:r>
          </w:p>
        </w:tc>
        <w:tc>
          <w:tcPr>
            <w:tcW w:w="531" w:type="pct"/>
            <w:tcBorders>
              <w:top w:val="nil"/>
              <w:left w:val="nil"/>
              <w:bottom w:val="nil"/>
              <w:right w:val="single" w:sz="4" w:space="0" w:color="auto"/>
            </w:tcBorders>
            <w:shd w:val="clear" w:color="auto" w:fill="auto"/>
            <w:noWrap/>
            <w:vAlign w:val="center"/>
          </w:tcPr>
          <w:p w14:paraId="588F493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14.902</w:t>
            </w:r>
          </w:p>
        </w:tc>
        <w:tc>
          <w:tcPr>
            <w:tcW w:w="579" w:type="pct"/>
            <w:tcBorders>
              <w:top w:val="nil"/>
              <w:left w:val="single" w:sz="4" w:space="0" w:color="auto"/>
              <w:bottom w:val="nil"/>
              <w:right w:val="single" w:sz="4" w:space="0" w:color="auto"/>
            </w:tcBorders>
            <w:vAlign w:val="center"/>
          </w:tcPr>
          <w:p w14:paraId="0BF932FB"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2.184</w:t>
            </w:r>
          </w:p>
        </w:tc>
        <w:tc>
          <w:tcPr>
            <w:tcW w:w="521" w:type="pct"/>
            <w:tcBorders>
              <w:top w:val="nil"/>
              <w:left w:val="single" w:sz="4" w:space="0" w:color="auto"/>
              <w:bottom w:val="nil"/>
              <w:right w:val="double" w:sz="6" w:space="0" w:color="auto"/>
            </w:tcBorders>
            <w:vAlign w:val="center"/>
          </w:tcPr>
          <w:p w14:paraId="722572C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10.767</w:t>
            </w:r>
          </w:p>
        </w:tc>
      </w:tr>
      <w:tr w:rsidR="009B637B" w:rsidRPr="00186395" w14:paraId="262B6034"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3706321F"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color w:val="000000"/>
                <w:sz w:val="20"/>
                <w:szCs w:val="20"/>
                <w:lang w:val="en-US"/>
              </w:rPr>
              <w:t>Bike road</w:t>
            </w:r>
            <w:r w:rsidRPr="00EB7B4B">
              <w:rPr>
                <w:rFonts w:eastAsia="Times New Roman" w:cs="Times New Roman"/>
                <w:color w:val="000000"/>
                <w:sz w:val="20"/>
                <w:szCs w:val="20"/>
                <w:lang w:val="en-US"/>
              </w:rPr>
              <w:t xml:space="preserve"> length in a</w:t>
            </w:r>
            <w:r>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03BDA37C" w14:textId="77777777" w:rsidR="009B637B" w:rsidRDefault="009B637B" w:rsidP="009B637B">
            <w:pPr>
              <w:jc w:val="left"/>
              <w:rPr>
                <w:rFonts w:eastAsia="Times New Roman" w:cs="Times New Roman"/>
                <w:color w:val="000000"/>
                <w:sz w:val="20"/>
                <w:szCs w:val="20"/>
                <w:lang w:val="en-US"/>
              </w:rPr>
            </w:pPr>
          </w:p>
        </w:tc>
        <w:tc>
          <w:tcPr>
            <w:tcW w:w="484" w:type="pct"/>
            <w:tcBorders>
              <w:top w:val="nil"/>
              <w:left w:val="nil"/>
              <w:bottom w:val="nil"/>
              <w:right w:val="single" w:sz="4" w:space="0" w:color="auto"/>
            </w:tcBorders>
            <w:shd w:val="clear" w:color="auto" w:fill="auto"/>
            <w:noWrap/>
            <w:vAlign w:val="center"/>
          </w:tcPr>
          <w:p w14:paraId="1D3585D2" w14:textId="77777777" w:rsidR="009B637B" w:rsidRDefault="009B637B" w:rsidP="009B637B">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295B7E7D" w14:textId="77777777" w:rsidR="009B637B" w:rsidRDefault="009B637B" w:rsidP="009B637B">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361059E7" w14:textId="77777777" w:rsidR="009B637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2C55BA40" w14:textId="77777777" w:rsidR="009B637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6FD70017" w14:textId="77777777" w:rsidR="009B637B" w:rsidRDefault="009B637B" w:rsidP="009B637B">
            <w:pPr>
              <w:jc w:val="left"/>
              <w:rPr>
                <w:rFonts w:eastAsia="Times New Roman" w:cs="Times New Roman"/>
                <w:color w:val="000000"/>
                <w:sz w:val="20"/>
                <w:szCs w:val="20"/>
                <w:lang w:val="en-US"/>
              </w:rPr>
            </w:pPr>
          </w:p>
        </w:tc>
      </w:tr>
      <w:tr w:rsidR="009B637B" w:rsidRPr="00186395" w14:paraId="703B4FC6"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69166974"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bottom w:val="nil"/>
              <w:right w:val="single" w:sz="4" w:space="0" w:color="auto"/>
            </w:tcBorders>
            <w:shd w:val="clear" w:color="auto" w:fill="auto"/>
            <w:noWrap/>
            <w:vAlign w:val="center"/>
          </w:tcPr>
          <w:p w14:paraId="1BD87AA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-0.204</w:t>
            </w:r>
          </w:p>
        </w:tc>
        <w:tc>
          <w:tcPr>
            <w:tcW w:w="484" w:type="pct"/>
            <w:tcBorders>
              <w:top w:val="nil"/>
              <w:left w:val="nil"/>
              <w:bottom w:val="nil"/>
              <w:right w:val="single" w:sz="4" w:space="0" w:color="auto"/>
            </w:tcBorders>
            <w:shd w:val="clear" w:color="auto" w:fill="auto"/>
            <w:noWrap/>
            <w:vAlign w:val="center"/>
          </w:tcPr>
          <w:p w14:paraId="5AE7427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-26.582</w:t>
            </w:r>
          </w:p>
        </w:tc>
        <w:tc>
          <w:tcPr>
            <w:tcW w:w="580" w:type="pct"/>
            <w:tcBorders>
              <w:top w:val="nil"/>
              <w:left w:val="nil"/>
              <w:bottom w:val="nil"/>
              <w:right w:val="single" w:sz="4" w:space="0" w:color="auto"/>
            </w:tcBorders>
            <w:shd w:val="clear" w:color="auto" w:fill="auto"/>
            <w:noWrap/>
            <w:vAlign w:val="center"/>
          </w:tcPr>
          <w:p w14:paraId="74EEE17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0B4BAE0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7161084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nil"/>
              <w:right w:val="double" w:sz="6" w:space="0" w:color="auto"/>
            </w:tcBorders>
            <w:vAlign w:val="center"/>
          </w:tcPr>
          <w:p w14:paraId="3286962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327DC046" w14:textId="77777777" w:rsidTr="003C2ABD">
        <w:trPr>
          <w:trHeight w:val="287"/>
          <w:jc w:val="center"/>
        </w:trPr>
        <w:tc>
          <w:tcPr>
            <w:tcW w:w="1725" w:type="pct"/>
            <w:tcBorders>
              <w:top w:val="nil"/>
              <w:left w:val="double" w:sz="6" w:space="0" w:color="auto"/>
              <w:right w:val="single" w:sz="4" w:space="0" w:color="auto"/>
            </w:tcBorders>
            <w:shd w:val="clear" w:color="auto" w:fill="auto"/>
            <w:vAlign w:val="center"/>
            <w:hideMark/>
          </w:tcPr>
          <w:p w14:paraId="2E705791" w14:textId="77777777" w:rsidR="009B637B" w:rsidRPr="00EB7B4B" w:rsidRDefault="009B637B" w:rsidP="009B637B">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Secondary road length in a</w:t>
            </w:r>
            <w:r>
              <w:rPr>
                <w:rFonts w:eastAsia="Times New Roman" w:cs="Times New Roman"/>
                <w:color w:val="000000"/>
                <w:sz w:val="20"/>
                <w:szCs w:val="20"/>
                <w:lang w:val="en-US"/>
              </w:rPr>
              <w:t>n</w:t>
            </w:r>
          </w:p>
        </w:tc>
        <w:tc>
          <w:tcPr>
            <w:tcW w:w="579" w:type="pct"/>
            <w:tcBorders>
              <w:top w:val="nil"/>
              <w:left w:val="nil"/>
              <w:right w:val="single" w:sz="4" w:space="0" w:color="auto"/>
            </w:tcBorders>
            <w:shd w:val="clear" w:color="auto" w:fill="auto"/>
            <w:noWrap/>
            <w:vAlign w:val="center"/>
          </w:tcPr>
          <w:p w14:paraId="26DC1A3D" w14:textId="77777777" w:rsidR="009B637B" w:rsidRPr="00EB7B4B" w:rsidRDefault="009B637B" w:rsidP="009B637B">
            <w:pPr>
              <w:jc w:val="left"/>
              <w:rPr>
                <w:rFonts w:eastAsia="Times New Roman" w:cs="Times New Roman"/>
                <w:color w:val="000000"/>
                <w:sz w:val="20"/>
                <w:szCs w:val="20"/>
                <w:lang w:val="en-US"/>
              </w:rPr>
            </w:pPr>
          </w:p>
        </w:tc>
        <w:tc>
          <w:tcPr>
            <w:tcW w:w="484" w:type="pct"/>
            <w:tcBorders>
              <w:top w:val="nil"/>
              <w:left w:val="nil"/>
              <w:right w:val="single" w:sz="4" w:space="0" w:color="auto"/>
            </w:tcBorders>
            <w:shd w:val="clear" w:color="auto" w:fill="auto"/>
            <w:noWrap/>
            <w:vAlign w:val="center"/>
          </w:tcPr>
          <w:p w14:paraId="64E7515A" w14:textId="77777777" w:rsidR="009B637B" w:rsidRPr="00EB7B4B" w:rsidRDefault="009B637B" w:rsidP="009B637B">
            <w:pPr>
              <w:jc w:val="left"/>
              <w:rPr>
                <w:rFonts w:eastAsia="Times New Roman" w:cs="Times New Roman"/>
                <w:color w:val="000000"/>
                <w:sz w:val="20"/>
                <w:szCs w:val="20"/>
                <w:lang w:val="en-US"/>
              </w:rPr>
            </w:pPr>
          </w:p>
        </w:tc>
        <w:tc>
          <w:tcPr>
            <w:tcW w:w="580" w:type="pct"/>
            <w:tcBorders>
              <w:top w:val="nil"/>
              <w:left w:val="nil"/>
              <w:right w:val="single" w:sz="4" w:space="0" w:color="auto"/>
            </w:tcBorders>
            <w:shd w:val="clear" w:color="auto" w:fill="auto"/>
            <w:noWrap/>
            <w:vAlign w:val="center"/>
          </w:tcPr>
          <w:p w14:paraId="1928D692" w14:textId="77777777" w:rsidR="009B637B" w:rsidRPr="00EB7B4B" w:rsidRDefault="009B637B" w:rsidP="009B637B">
            <w:pPr>
              <w:jc w:val="left"/>
              <w:rPr>
                <w:rFonts w:eastAsia="Times New Roman" w:cs="Times New Roman"/>
                <w:color w:val="000000"/>
                <w:sz w:val="20"/>
                <w:szCs w:val="20"/>
                <w:lang w:val="en-US"/>
              </w:rPr>
            </w:pPr>
          </w:p>
        </w:tc>
        <w:tc>
          <w:tcPr>
            <w:tcW w:w="531" w:type="pct"/>
            <w:tcBorders>
              <w:top w:val="nil"/>
              <w:left w:val="nil"/>
              <w:right w:val="single" w:sz="4" w:space="0" w:color="auto"/>
            </w:tcBorders>
            <w:shd w:val="clear" w:color="auto" w:fill="auto"/>
            <w:noWrap/>
            <w:vAlign w:val="center"/>
          </w:tcPr>
          <w:p w14:paraId="4EBC4F98" w14:textId="77777777" w:rsidR="009B637B" w:rsidRPr="00EB7B4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right w:val="single" w:sz="4" w:space="0" w:color="auto"/>
            </w:tcBorders>
            <w:vAlign w:val="center"/>
          </w:tcPr>
          <w:p w14:paraId="294648AC" w14:textId="77777777" w:rsidR="009B637B" w:rsidRPr="00EB7B4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right w:val="double" w:sz="6" w:space="0" w:color="auto"/>
            </w:tcBorders>
            <w:vAlign w:val="center"/>
          </w:tcPr>
          <w:p w14:paraId="085EA8C8" w14:textId="77777777" w:rsidR="009B637B" w:rsidRPr="00EB7B4B" w:rsidRDefault="009B637B" w:rsidP="009B637B">
            <w:pPr>
              <w:jc w:val="left"/>
              <w:rPr>
                <w:rFonts w:eastAsia="Times New Roman" w:cs="Times New Roman"/>
                <w:color w:val="000000"/>
                <w:sz w:val="20"/>
                <w:szCs w:val="20"/>
                <w:lang w:val="en-US"/>
              </w:rPr>
            </w:pPr>
          </w:p>
        </w:tc>
      </w:tr>
      <w:tr w:rsidR="009B637B" w:rsidRPr="00186395" w14:paraId="67B1290E"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hideMark/>
          </w:tcPr>
          <w:p w14:paraId="1D45F913" w14:textId="77777777" w:rsidR="009B637B" w:rsidRPr="00EB7B4B" w:rsidRDefault="009B637B" w:rsidP="009B637B">
            <w:pPr>
              <w:jc w:val="left"/>
              <w:rPr>
                <w:rFonts w:eastAsia="Times New Roman" w:cs="Times New Roman"/>
                <w:i/>
                <w:iCs/>
                <w:color w:val="000000"/>
                <w:sz w:val="20"/>
                <w:szCs w:val="20"/>
                <w:lang w:val="en-US"/>
              </w:rPr>
            </w:pPr>
            <w:r w:rsidRPr="00EB7B4B">
              <w:rPr>
                <w:rFonts w:eastAsia="Times New Roman" w:cs="Times New Roman"/>
                <w:i/>
                <w:iCs/>
                <w:color w:val="000000"/>
                <w:sz w:val="20"/>
                <w:szCs w:val="20"/>
                <w:lang w:val="en-US"/>
              </w:rPr>
              <w:t>800 m buffer</w:t>
            </w:r>
          </w:p>
        </w:tc>
        <w:tc>
          <w:tcPr>
            <w:tcW w:w="579" w:type="pct"/>
            <w:tcBorders>
              <w:top w:val="nil"/>
              <w:left w:val="nil"/>
              <w:bottom w:val="nil"/>
              <w:right w:val="single" w:sz="4" w:space="0" w:color="auto"/>
            </w:tcBorders>
            <w:shd w:val="clear" w:color="auto" w:fill="auto"/>
            <w:noWrap/>
            <w:vAlign w:val="center"/>
          </w:tcPr>
          <w:p w14:paraId="207117D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-0.506</w:t>
            </w:r>
          </w:p>
        </w:tc>
        <w:tc>
          <w:tcPr>
            <w:tcW w:w="484" w:type="pct"/>
            <w:tcBorders>
              <w:top w:val="nil"/>
              <w:left w:val="nil"/>
              <w:bottom w:val="nil"/>
              <w:right w:val="single" w:sz="4" w:space="0" w:color="auto"/>
            </w:tcBorders>
            <w:shd w:val="clear" w:color="auto" w:fill="auto"/>
            <w:noWrap/>
            <w:vAlign w:val="center"/>
          </w:tcPr>
          <w:p w14:paraId="2DAD111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-38.451</w:t>
            </w:r>
          </w:p>
        </w:tc>
        <w:tc>
          <w:tcPr>
            <w:tcW w:w="580" w:type="pct"/>
            <w:tcBorders>
              <w:top w:val="nil"/>
              <w:left w:val="nil"/>
              <w:bottom w:val="nil"/>
              <w:right w:val="single" w:sz="4" w:space="0" w:color="auto"/>
            </w:tcBorders>
            <w:shd w:val="clear" w:color="auto" w:fill="auto"/>
            <w:noWrap/>
            <w:vAlign w:val="center"/>
          </w:tcPr>
          <w:p w14:paraId="6376563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8.436</w:t>
            </w:r>
          </w:p>
        </w:tc>
        <w:tc>
          <w:tcPr>
            <w:tcW w:w="531" w:type="pct"/>
            <w:tcBorders>
              <w:top w:val="nil"/>
              <w:left w:val="nil"/>
              <w:bottom w:val="nil"/>
              <w:right w:val="single" w:sz="4" w:space="0" w:color="auto"/>
            </w:tcBorders>
            <w:shd w:val="clear" w:color="auto" w:fill="auto"/>
            <w:noWrap/>
            <w:vAlign w:val="center"/>
          </w:tcPr>
          <w:p w14:paraId="4DD70753"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39.398</w:t>
            </w:r>
          </w:p>
        </w:tc>
        <w:tc>
          <w:tcPr>
            <w:tcW w:w="579" w:type="pct"/>
            <w:tcBorders>
              <w:top w:val="nil"/>
              <w:left w:val="single" w:sz="4" w:space="0" w:color="auto"/>
              <w:bottom w:val="nil"/>
              <w:right w:val="single" w:sz="4" w:space="0" w:color="auto"/>
            </w:tcBorders>
            <w:vAlign w:val="center"/>
          </w:tcPr>
          <w:p w14:paraId="4D40D89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7.011</w:t>
            </w:r>
          </w:p>
        </w:tc>
        <w:tc>
          <w:tcPr>
            <w:tcW w:w="521" w:type="pct"/>
            <w:tcBorders>
              <w:top w:val="nil"/>
              <w:left w:val="single" w:sz="4" w:space="0" w:color="auto"/>
              <w:bottom w:val="nil"/>
              <w:right w:val="double" w:sz="6" w:space="0" w:color="auto"/>
            </w:tcBorders>
            <w:vAlign w:val="center"/>
          </w:tcPr>
          <w:p w14:paraId="4BC1DFB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29.586</w:t>
            </w:r>
          </w:p>
        </w:tc>
      </w:tr>
      <w:tr w:rsidR="009B637B" w:rsidRPr="00186395" w14:paraId="061D0000"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280DE4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Local</w:t>
            </w:r>
            <w:r w:rsidRPr="00EB7B4B">
              <w:rPr>
                <w:rFonts w:eastAsia="Times New Roman" w:cs="Times New Roman"/>
                <w:color w:val="000000"/>
                <w:sz w:val="20"/>
                <w:szCs w:val="20"/>
                <w:lang w:val="en-US"/>
              </w:rPr>
              <w:t xml:space="preserve"> road length in a</w:t>
            </w:r>
            <w:r>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74DCC5C6" w14:textId="77777777" w:rsidR="009B637B" w:rsidRPr="00EB7B4B" w:rsidRDefault="009B637B" w:rsidP="009B637B">
            <w:pPr>
              <w:jc w:val="left"/>
              <w:rPr>
                <w:rFonts w:eastAsia="Times New Roman" w:cs="Times New Roman"/>
                <w:color w:val="000000"/>
                <w:sz w:val="20"/>
                <w:szCs w:val="20"/>
                <w:lang w:val="en-US"/>
              </w:rPr>
            </w:pPr>
          </w:p>
        </w:tc>
        <w:tc>
          <w:tcPr>
            <w:tcW w:w="484" w:type="pct"/>
            <w:tcBorders>
              <w:top w:val="nil"/>
              <w:left w:val="nil"/>
              <w:bottom w:val="nil"/>
              <w:right w:val="single" w:sz="4" w:space="0" w:color="auto"/>
            </w:tcBorders>
            <w:shd w:val="clear" w:color="auto" w:fill="auto"/>
            <w:noWrap/>
            <w:vAlign w:val="center"/>
          </w:tcPr>
          <w:p w14:paraId="549C37A9" w14:textId="77777777" w:rsidR="009B637B" w:rsidRPr="00EB7B4B" w:rsidRDefault="009B637B" w:rsidP="009B637B">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08103C9E" w14:textId="77777777" w:rsidR="009B637B" w:rsidRPr="00EB7B4B" w:rsidRDefault="009B637B" w:rsidP="009B637B">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71F2344A" w14:textId="77777777" w:rsidR="009B637B" w:rsidRPr="00EB7B4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73CCF23E" w14:textId="77777777" w:rsidR="009B637B" w:rsidRPr="00EB7B4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18761C01" w14:textId="77777777" w:rsidR="009B637B" w:rsidRPr="00EB7B4B" w:rsidRDefault="009B637B" w:rsidP="009B637B">
            <w:pPr>
              <w:jc w:val="left"/>
              <w:rPr>
                <w:rFonts w:eastAsia="Times New Roman" w:cs="Times New Roman"/>
                <w:color w:val="000000"/>
                <w:sz w:val="20"/>
                <w:szCs w:val="20"/>
                <w:lang w:val="en-US"/>
              </w:rPr>
            </w:pPr>
          </w:p>
        </w:tc>
      </w:tr>
      <w:tr w:rsidR="009B637B" w:rsidRPr="00186395" w14:paraId="67A9D468" w14:textId="77777777" w:rsidTr="003C2ABD">
        <w:trPr>
          <w:trHeight w:val="287"/>
          <w:jc w:val="center"/>
        </w:trPr>
        <w:tc>
          <w:tcPr>
            <w:tcW w:w="1725" w:type="pct"/>
            <w:tcBorders>
              <w:top w:val="nil"/>
              <w:left w:val="double" w:sz="6" w:space="0" w:color="auto"/>
              <w:right w:val="single" w:sz="4" w:space="0" w:color="auto"/>
            </w:tcBorders>
            <w:shd w:val="clear" w:color="auto" w:fill="auto"/>
            <w:vAlign w:val="center"/>
          </w:tcPr>
          <w:p w14:paraId="2195A4DE" w14:textId="77777777" w:rsidR="009B637B" w:rsidRPr="00EB7B4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right w:val="single" w:sz="4" w:space="0" w:color="auto"/>
            </w:tcBorders>
            <w:shd w:val="clear" w:color="auto" w:fill="auto"/>
            <w:noWrap/>
            <w:vAlign w:val="center"/>
          </w:tcPr>
          <w:p w14:paraId="04E29A37"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0.312</w:t>
            </w:r>
          </w:p>
        </w:tc>
        <w:tc>
          <w:tcPr>
            <w:tcW w:w="484" w:type="pct"/>
            <w:tcBorders>
              <w:top w:val="nil"/>
              <w:left w:val="nil"/>
              <w:right w:val="single" w:sz="4" w:space="0" w:color="auto"/>
            </w:tcBorders>
            <w:shd w:val="clear" w:color="auto" w:fill="auto"/>
            <w:noWrap/>
            <w:vAlign w:val="center"/>
          </w:tcPr>
          <w:p w14:paraId="0442E0F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21.616</w:t>
            </w:r>
          </w:p>
        </w:tc>
        <w:tc>
          <w:tcPr>
            <w:tcW w:w="580" w:type="pct"/>
            <w:tcBorders>
              <w:top w:val="nil"/>
              <w:left w:val="nil"/>
              <w:right w:val="single" w:sz="4" w:space="0" w:color="auto"/>
            </w:tcBorders>
            <w:shd w:val="clear" w:color="auto" w:fill="auto"/>
            <w:noWrap/>
            <w:vAlign w:val="center"/>
          </w:tcPr>
          <w:p w14:paraId="14BDF572"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4.568</w:t>
            </w:r>
          </w:p>
        </w:tc>
        <w:tc>
          <w:tcPr>
            <w:tcW w:w="531" w:type="pct"/>
            <w:tcBorders>
              <w:top w:val="nil"/>
              <w:left w:val="nil"/>
              <w:right w:val="single" w:sz="4" w:space="0" w:color="auto"/>
            </w:tcBorders>
            <w:shd w:val="clear" w:color="auto" w:fill="auto"/>
            <w:noWrap/>
            <w:vAlign w:val="center"/>
          </w:tcPr>
          <w:p w14:paraId="567DDE58"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22.290</w:t>
            </w:r>
          </w:p>
        </w:tc>
        <w:tc>
          <w:tcPr>
            <w:tcW w:w="579" w:type="pct"/>
            <w:tcBorders>
              <w:top w:val="nil"/>
              <w:left w:val="single" w:sz="4" w:space="0" w:color="auto"/>
              <w:right w:val="single" w:sz="4" w:space="0" w:color="auto"/>
            </w:tcBorders>
            <w:vAlign w:val="center"/>
          </w:tcPr>
          <w:p w14:paraId="35C7BE3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4.788</w:t>
            </w:r>
          </w:p>
        </w:tc>
        <w:tc>
          <w:tcPr>
            <w:tcW w:w="521" w:type="pct"/>
            <w:tcBorders>
              <w:top w:val="nil"/>
              <w:left w:val="single" w:sz="4" w:space="0" w:color="auto"/>
              <w:right w:val="double" w:sz="6" w:space="0" w:color="auto"/>
            </w:tcBorders>
            <w:vAlign w:val="center"/>
          </w:tcPr>
          <w:p w14:paraId="4AD8510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19.872</w:t>
            </w:r>
          </w:p>
        </w:tc>
      </w:tr>
      <w:tr w:rsidR="009B637B" w:rsidRPr="00186395" w14:paraId="023CE7D4" w14:textId="77777777" w:rsidTr="003C2ABD">
        <w:trPr>
          <w:trHeight w:val="287"/>
          <w:jc w:val="center"/>
        </w:trPr>
        <w:tc>
          <w:tcPr>
            <w:tcW w:w="1725" w:type="pct"/>
            <w:tcBorders>
              <w:top w:val="nil"/>
              <w:left w:val="double" w:sz="6" w:space="0" w:color="auto"/>
              <w:right w:val="single" w:sz="4" w:space="0" w:color="auto"/>
            </w:tcBorders>
            <w:shd w:val="clear" w:color="auto" w:fill="auto"/>
            <w:vAlign w:val="center"/>
          </w:tcPr>
          <w:p w14:paraId="79468992" w14:textId="2A01E36A" w:rsidR="009B637B" w:rsidRDefault="003642B9" w:rsidP="009B637B">
            <w:pPr>
              <w:jc w:val="left"/>
              <w:rPr>
                <w:rFonts w:eastAsia="Times New Roman" w:cs="Times New Roman"/>
                <w:i/>
                <w:iCs/>
                <w:color w:val="000000"/>
                <w:sz w:val="20"/>
                <w:szCs w:val="20"/>
                <w:lang w:val="en-US"/>
              </w:rPr>
            </w:pPr>
            <w:r>
              <w:rPr>
                <w:rFonts w:eastAsia="Times New Roman" w:cs="Times New Roman"/>
                <w:color w:val="000000"/>
                <w:sz w:val="20"/>
                <w:szCs w:val="20"/>
                <w:lang w:val="en-US"/>
              </w:rPr>
              <w:t>Rail</w:t>
            </w:r>
            <w:r w:rsidRPr="00EB7B4B">
              <w:rPr>
                <w:rFonts w:eastAsia="Times New Roman" w:cs="Times New Roman"/>
                <w:color w:val="000000"/>
                <w:sz w:val="20"/>
                <w:szCs w:val="20"/>
                <w:lang w:val="en-US"/>
              </w:rPr>
              <w:t>road</w:t>
            </w:r>
            <w:r w:rsidR="009B637B" w:rsidRPr="00EB7B4B">
              <w:rPr>
                <w:rFonts w:eastAsia="Times New Roman" w:cs="Times New Roman"/>
                <w:color w:val="000000"/>
                <w:sz w:val="20"/>
                <w:szCs w:val="20"/>
                <w:lang w:val="en-US"/>
              </w:rPr>
              <w:t xml:space="preserve"> length in a</w:t>
            </w:r>
            <w:r w:rsidR="009B637B">
              <w:rPr>
                <w:rFonts w:eastAsia="Times New Roman" w:cs="Times New Roman"/>
                <w:color w:val="000000"/>
                <w:sz w:val="20"/>
                <w:szCs w:val="20"/>
                <w:lang w:val="en-US"/>
              </w:rPr>
              <w:t>n</w:t>
            </w:r>
          </w:p>
        </w:tc>
        <w:tc>
          <w:tcPr>
            <w:tcW w:w="579" w:type="pct"/>
            <w:tcBorders>
              <w:top w:val="nil"/>
              <w:left w:val="nil"/>
              <w:right w:val="single" w:sz="4" w:space="0" w:color="auto"/>
            </w:tcBorders>
            <w:shd w:val="clear" w:color="auto" w:fill="auto"/>
            <w:noWrap/>
            <w:vAlign w:val="center"/>
          </w:tcPr>
          <w:p w14:paraId="2218A68B" w14:textId="77777777" w:rsidR="009B637B" w:rsidRDefault="009B637B" w:rsidP="009B637B">
            <w:pPr>
              <w:jc w:val="left"/>
              <w:rPr>
                <w:rFonts w:eastAsia="Times New Roman" w:cs="Times New Roman"/>
                <w:color w:val="000000"/>
                <w:sz w:val="20"/>
                <w:szCs w:val="20"/>
                <w:lang w:val="en-US"/>
              </w:rPr>
            </w:pPr>
          </w:p>
        </w:tc>
        <w:tc>
          <w:tcPr>
            <w:tcW w:w="484" w:type="pct"/>
            <w:tcBorders>
              <w:top w:val="nil"/>
              <w:left w:val="nil"/>
              <w:right w:val="single" w:sz="4" w:space="0" w:color="auto"/>
            </w:tcBorders>
            <w:shd w:val="clear" w:color="auto" w:fill="auto"/>
            <w:noWrap/>
            <w:vAlign w:val="center"/>
          </w:tcPr>
          <w:p w14:paraId="26B9E9C1" w14:textId="77777777" w:rsidR="009B637B" w:rsidRDefault="009B637B" w:rsidP="009B637B">
            <w:pPr>
              <w:jc w:val="left"/>
              <w:rPr>
                <w:rFonts w:eastAsia="Times New Roman" w:cs="Times New Roman"/>
                <w:color w:val="000000"/>
                <w:sz w:val="20"/>
                <w:szCs w:val="20"/>
                <w:lang w:val="en-US"/>
              </w:rPr>
            </w:pPr>
          </w:p>
        </w:tc>
        <w:tc>
          <w:tcPr>
            <w:tcW w:w="580" w:type="pct"/>
            <w:tcBorders>
              <w:top w:val="nil"/>
              <w:left w:val="nil"/>
              <w:right w:val="single" w:sz="4" w:space="0" w:color="auto"/>
            </w:tcBorders>
            <w:shd w:val="clear" w:color="auto" w:fill="auto"/>
            <w:noWrap/>
            <w:vAlign w:val="center"/>
          </w:tcPr>
          <w:p w14:paraId="454960FD" w14:textId="77777777" w:rsidR="009B637B" w:rsidRDefault="009B637B" w:rsidP="009B637B">
            <w:pPr>
              <w:jc w:val="left"/>
              <w:rPr>
                <w:rFonts w:eastAsia="Times New Roman" w:cs="Times New Roman"/>
                <w:color w:val="000000"/>
                <w:sz w:val="20"/>
                <w:szCs w:val="20"/>
                <w:lang w:val="en-US"/>
              </w:rPr>
            </w:pPr>
          </w:p>
        </w:tc>
        <w:tc>
          <w:tcPr>
            <w:tcW w:w="531" w:type="pct"/>
            <w:tcBorders>
              <w:top w:val="nil"/>
              <w:left w:val="nil"/>
              <w:right w:val="single" w:sz="4" w:space="0" w:color="auto"/>
            </w:tcBorders>
            <w:shd w:val="clear" w:color="auto" w:fill="auto"/>
            <w:noWrap/>
            <w:vAlign w:val="center"/>
          </w:tcPr>
          <w:p w14:paraId="2B1A9584" w14:textId="77777777" w:rsidR="009B637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right w:val="single" w:sz="4" w:space="0" w:color="auto"/>
            </w:tcBorders>
            <w:vAlign w:val="center"/>
          </w:tcPr>
          <w:p w14:paraId="35E6A6FF" w14:textId="77777777" w:rsidR="009B637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right w:val="double" w:sz="6" w:space="0" w:color="auto"/>
            </w:tcBorders>
            <w:vAlign w:val="center"/>
          </w:tcPr>
          <w:p w14:paraId="6CA14765" w14:textId="77777777" w:rsidR="009B637B" w:rsidRDefault="009B637B" w:rsidP="009B637B">
            <w:pPr>
              <w:jc w:val="left"/>
              <w:rPr>
                <w:rFonts w:eastAsia="Times New Roman" w:cs="Times New Roman"/>
                <w:color w:val="000000"/>
                <w:sz w:val="20"/>
                <w:szCs w:val="20"/>
                <w:lang w:val="en-US"/>
              </w:rPr>
            </w:pPr>
          </w:p>
        </w:tc>
      </w:tr>
      <w:tr w:rsidR="009B637B" w:rsidRPr="00186395" w14:paraId="2A75BCDA" w14:textId="77777777" w:rsidTr="003C2ABD">
        <w:trPr>
          <w:trHeight w:val="287"/>
          <w:jc w:val="center"/>
        </w:trPr>
        <w:tc>
          <w:tcPr>
            <w:tcW w:w="1725" w:type="pct"/>
            <w:tcBorders>
              <w:top w:val="nil"/>
              <w:left w:val="double" w:sz="6" w:space="0" w:color="auto"/>
              <w:right w:val="single" w:sz="4" w:space="0" w:color="auto"/>
            </w:tcBorders>
            <w:shd w:val="clear" w:color="auto" w:fill="auto"/>
            <w:vAlign w:val="center"/>
          </w:tcPr>
          <w:p w14:paraId="7596667C"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right w:val="single" w:sz="4" w:space="0" w:color="auto"/>
            </w:tcBorders>
            <w:shd w:val="clear" w:color="auto" w:fill="auto"/>
            <w:noWrap/>
            <w:vAlign w:val="center"/>
          </w:tcPr>
          <w:p w14:paraId="25E6A54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-0.633</w:t>
            </w:r>
          </w:p>
        </w:tc>
        <w:tc>
          <w:tcPr>
            <w:tcW w:w="484" w:type="pct"/>
            <w:tcBorders>
              <w:top w:val="nil"/>
              <w:left w:val="nil"/>
              <w:right w:val="single" w:sz="4" w:space="0" w:color="auto"/>
            </w:tcBorders>
            <w:shd w:val="clear" w:color="auto" w:fill="auto"/>
            <w:noWrap/>
            <w:vAlign w:val="center"/>
          </w:tcPr>
          <w:p w14:paraId="1C5F5383"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-53.374</w:t>
            </w:r>
          </w:p>
        </w:tc>
        <w:tc>
          <w:tcPr>
            <w:tcW w:w="580" w:type="pct"/>
            <w:tcBorders>
              <w:top w:val="nil"/>
              <w:left w:val="nil"/>
              <w:right w:val="single" w:sz="4" w:space="0" w:color="auto"/>
            </w:tcBorders>
            <w:shd w:val="clear" w:color="auto" w:fill="auto"/>
            <w:noWrap/>
            <w:vAlign w:val="center"/>
          </w:tcPr>
          <w:p w14:paraId="10137D5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right w:val="single" w:sz="4" w:space="0" w:color="auto"/>
            </w:tcBorders>
            <w:shd w:val="clear" w:color="auto" w:fill="auto"/>
            <w:noWrap/>
            <w:vAlign w:val="center"/>
          </w:tcPr>
          <w:p w14:paraId="56BC47A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right w:val="single" w:sz="4" w:space="0" w:color="auto"/>
            </w:tcBorders>
            <w:vAlign w:val="center"/>
          </w:tcPr>
          <w:p w14:paraId="10158B5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right w:val="double" w:sz="6" w:space="0" w:color="auto"/>
            </w:tcBorders>
            <w:vAlign w:val="center"/>
          </w:tcPr>
          <w:p w14:paraId="2590436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3FBDB888" w14:textId="77777777" w:rsidTr="003C2ABD">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01DABE28" w14:textId="2551C10E" w:rsidR="009B637B" w:rsidRPr="003642B9" w:rsidRDefault="009B637B" w:rsidP="009B637B">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Built Environment and Land-use Attributes</w:t>
            </w:r>
          </w:p>
        </w:tc>
      </w:tr>
      <w:tr w:rsidR="009B637B" w:rsidRPr="00186395" w14:paraId="5B222897"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6C5D157E" w14:textId="77777777" w:rsidR="009B637B" w:rsidRPr="00EB7B4B" w:rsidRDefault="009B637B" w:rsidP="009B637B">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 xml:space="preserve">Land </w:t>
            </w:r>
            <w:r>
              <w:rPr>
                <w:rFonts w:eastAsia="Times New Roman" w:cs="Times New Roman"/>
                <w:color w:val="000000"/>
                <w:sz w:val="20"/>
                <w:szCs w:val="20"/>
                <w:lang w:val="en-US"/>
              </w:rPr>
              <w:t>use</w:t>
            </w:r>
            <w:r w:rsidRPr="00EB7B4B">
              <w:rPr>
                <w:rFonts w:eastAsia="Times New Roman" w:cs="Times New Roman"/>
                <w:color w:val="000000"/>
                <w:sz w:val="20"/>
                <w:szCs w:val="20"/>
                <w:lang w:val="en-US"/>
              </w:rPr>
              <w:t xml:space="preserve"> area</w:t>
            </w:r>
            <w:r>
              <w:rPr>
                <w:rFonts w:eastAsia="Times New Roman" w:cs="Times New Roman"/>
                <w:color w:val="000000"/>
                <w:sz w:val="20"/>
                <w:szCs w:val="20"/>
                <w:lang w:val="en-US"/>
              </w:rPr>
              <w:t xml:space="preserve"> type in an 800m buffer</w:t>
            </w:r>
          </w:p>
        </w:tc>
        <w:tc>
          <w:tcPr>
            <w:tcW w:w="579" w:type="pct"/>
            <w:tcBorders>
              <w:top w:val="nil"/>
              <w:left w:val="nil"/>
              <w:bottom w:val="nil"/>
              <w:right w:val="single" w:sz="4" w:space="0" w:color="auto"/>
            </w:tcBorders>
            <w:shd w:val="clear" w:color="auto" w:fill="auto"/>
            <w:noWrap/>
            <w:vAlign w:val="center"/>
          </w:tcPr>
          <w:p w14:paraId="4A0E7CAE" w14:textId="77777777" w:rsidR="009B637B" w:rsidRDefault="009B637B" w:rsidP="009B637B">
            <w:pPr>
              <w:jc w:val="left"/>
              <w:rPr>
                <w:rFonts w:eastAsia="Times New Roman" w:cs="Times New Roman"/>
                <w:color w:val="000000"/>
                <w:sz w:val="20"/>
                <w:szCs w:val="20"/>
                <w:lang w:val="en-US"/>
              </w:rPr>
            </w:pPr>
          </w:p>
        </w:tc>
        <w:tc>
          <w:tcPr>
            <w:tcW w:w="484" w:type="pct"/>
            <w:tcBorders>
              <w:top w:val="nil"/>
              <w:left w:val="nil"/>
              <w:bottom w:val="nil"/>
              <w:right w:val="single" w:sz="4" w:space="0" w:color="auto"/>
            </w:tcBorders>
            <w:shd w:val="clear" w:color="auto" w:fill="auto"/>
            <w:noWrap/>
            <w:vAlign w:val="center"/>
          </w:tcPr>
          <w:p w14:paraId="28D20D6F" w14:textId="77777777" w:rsidR="009B637B" w:rsidRDefault="009B637B" w:rsidP="009B637B">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1D5A1638" w14:textId="77777777" w:rsidR="009B637B" w:rsidRDefault="009B637B" w:rsidP="009B637B">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24133358" w14:textId="77777777" w:rsidR="009B637B" w:rsidRDefault="009B637B" w:rsidP="009B637B">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0FA57803" w14:textId="77777777" w:rsidR="009B637B" w:rsidRDefault="009B637B" w:rsidP="009B637B">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59F9B1AD" w14:textId="77777777" w:rsidR="009B637B" w:rsidRDefault="009B637B" w:rsidP="009B637B">
            <w:pPr>
              <w:jc w:val="left"/>
              <w:rPr>
                <w:rFonts w:eastAsia="Times New Roman" w:cs="Times New Roman"/>
                <w:color w:val="000000"/>
                <w:sz w:val="20"/>
                <w:szCs w:val="20"/>
                <w:lang w:val="en-US"/>
              </w:rPr>
            </w:pPr>
          </w:p>
        </w:tc>
      </w:tr>
      <w:tr w:rsidR="009B637B" w:rsidRPr="00186395" w14:paraId="348417B5"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87C1487" w14:textId="77777777" w:rsidR="009B637B" w:rsidRPr="00EB7B4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Institutional area</w:t>
            </w:r>
          </w:p>
        </w:tc>
        <w:tc>
          <w:tcPr>
            <w:tcW w:w="579" w:type="pct"/>
            <w:tcBorders>
              <w:top w:val="nil"/>
              <w:left w:val="nil"/>
              <w:bottom w:val="nil"/>
              <w:right w:val="single" w:sz="4" w:space="0" w:color="auto"/>
            </w:tcBorders>
            <w:shd w:val="clear" w:color="auto" w:fill="auto"/>
            <w:noWrap/>
            <w:vAlign w:val="center"/>
          </w:tcPr>
          <w:p w14:paraId="5B2C598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-1.879</w:t>
            </w:r>
          </w:p>
        </w:tc>
        <w:tc>
          <w:tcPr>
            <w:tcW w:w="484" w:type="pct"/>
            <w:tcBorders>
              <w:top w:val="nil"/>
              <w:left w:val="nil"/>
              <w:bottom w:val="nil"/>
              <w:right w:val="single" w:sz="4" w:space="0" w:color="auto"/>
            </w:tcBorders>
            <w:shd w:val="clear" w:color="auto" w:fill="auto"/>
            <w:noWrap/>
            <w:vAlign w:val="center"/>
          </w:tcPr>
          <w:p w14:paraId="4F74869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-18.141</w:t>
            </w:r>
          </w:p>
        </w:tc>
        <w:tc>
          <w:tcPr>
            <w:tcW w:w="580" w:type="pct"/>
            <w:tcBorders>
              <w:top w:val="nil"/>
              <w:left w:val="nil"/>
              <w:bottom w:val="nil"/>
              <w:right w:val="single" w:sz="4" w:space="0" w:color="auto"/>
            </w:tcBorders>
            <w:shd w:val="clear" w:color="auto" w:fill="auto"/>
            <w:noWrap/>
            <w:vAlign w:val="center"/>
          </w:tcPr>
          <w:p w14:paraId="445CE95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24.718</w:t>
            </w:r>
          </w:p>
        </w:tc>
        <w:tc>
          <w:tcPr>
            <w:tcW w:w="531" w:type="pct"/>
            <w:tcBorders>
              <w:top w:val="nil"/>
              <w:left w:val="nil"/>
              <w:bottom w:val="nil"/>
              <w:right w:val="single" w:sz="4" w:space="0" w:color="auto"/>
            </w:tcBorders>
            <w:shd w:val="clear" w:color="auto" w:fill="auto"/>
            <w:noWrap/>
            <w:vAlign w:val="center"/>
          </w:tcPr>
          <w:p w14:paraId="3B7059D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13.492</w:t>
            </w:r>
          </w:p>
        </w:tc>
        <w:tc>
          <w:tcPr>
            <w:tcW w:w="579" w:type="pct"/>
            <w:tcBorders>
              <w:top w:val="nil"/>
              <w:left w:val="single" w:sz="4" w:space="0" w:color="auto"/>
              <w:bottom w:val="nil"/>
              <w:right w:val="single" w:sz="4" w:space="0" w:color="auto"/>
            </w:tcBorders>
            <w:vAlign w:val="center"/>
          </w:tcPr>
          <w:p w14:paraId="60335F8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6.032</w:t>
            </w:r>
          </w:p>
        </w:tc>
        <w:tc>
          <w:tcPr>
            <w:tcW w:w="521" w:type="pct"/>
            <w:tcBorders>
              <w:top w:val="nil"/>
              <w:left w:val="single" w:sz="4" w:space="0" w:color="auto"/>
              <w:bottom w:val="nil"/>
              <w:right w:val="double" w:sz="6" w:space="0" w:color="auto"/>
            </w:tcBorders>
            <w:vAlign w:val="center"/>
          </w:tcPr>
          <w:p w14:paraId="2DE4906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2.721</w:t>
            </w:r>
          </w:p>
        </w:tc>
      </w:tr>
      <w:tr w:rsidR="009B637B" w:rsidRPr="00186395" w14:paraId="1144CE90"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A8E4A41"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Residential area</w:t>
            </w:r>
          </w:p>
        </w:tc>
        <w:tc>
          <w:tcPr>
            <w:tcW w:w="579" w:type="pct"/>
            <w:tcBorders>
              <w:top w:val="nil"/>
              <w:left w:val="nil"/>
              <w:bottom w:val="nil"/>
              <w:right w:val="single" w:sz="4" w:space="0" w:color="auto"/>
            </w:tcBorders>
            <w:shd w:val="clear" w:color="auto" w:fill="auto"/>
            <w:noWrap/>
            <w:vAlign w:val="center"/>
          </w:tcPr>
          <w:p w14:paraId="4FC36EB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1.770</w:t>
            </w:r>
          </w:p>
        </w:tc>
        <w:tc>
          <w:tcPr>
            <w:tcW w:w="484" w:type="pct"/>
            <w:tcBorders>
              <w:top w:val="nil"/>
              <w:left w:val="nil"/>
              <w:bottom w:val="nil"/>
              <w:right w:val="single" w:sz="4" w:space="0" w:color="auto"/>
            </w:tcBorders>
            <w:shd w:val="clear" w:color="auto" w:fill="auto"/>
            <w:noWrap/>
            <w:vAlign w:val="center"/>
          </w:tcPr>
          <w:p w14:paraId="177C1B4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31.501</w:t>
            </w:r>
          </w:p>
        </w:tc>
        <w:tc>
          <w:tcPr>
            <w:tcW w:w="580" w:type="pct"/>
            <w:tcBorders>
              <w:top w:val="nil"/>
              <w:left w:val="nil"/>
              <w:bottom w:val="nil"/>
              <w:right w:val="single" w:sz="4" w:space="0" w:color="auto"/>
            </w:tcBorders>
            <w:shd w:val="clear" w:color="auto" w:fill="auto"/>
            <w:noWrap/>
            <w:vAlign w:val="center"/>
          </w:tcPr>
          <w:p w14:paraId="0F30669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4EDC6DD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796FD4A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14.806</w:t>
            </w:r>
          </w:p>
        </w:tc>
        <w:tc>
          <w:tcPr>
            <w:tcW w:w="521" w:type="pct"/>
            <w:tcBorders>
              <w:top w:val="nil"/>
              <w:left w:val="single" w:sz="4" w:space="0" w:color="auto"/>
              <w:bottom w:val="nil"/>
              <w:right w:val="double" w:sz="6" w:space="0" w:color="auto"/>
            </w:tcBorders>
            <w:vAlign w:val="center"/>
          </w:tcPr>
          <w:p w14:paraId="523D35C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17.950</w:t>
            </w:r>
          </w:p>
        </w:tc>
      </w:tr>
      <w:tr w:rsidR="009B637B" w:rsidRPr="00186395" w14:paraId="2D3C594B"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7B537CB"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Office area</w:t>
            </w:r>
          </w:p>
        </w:tc>
        <w:tc>
          <w:tcPr>
            <w:tcW w:w="579" w:type="pct"/>
            <w:tcBorders>
              <w:top w:val="nil"/>
              <w:left w:val="nil"/>
              <w:bottom w:val="nil"/>
              <w:right w:val="single" w:sz="4" w:space="0" w:color="auto"/>
            </w:tcBorders>
            <w:shd w:val="clear" w:color="auto" w:fill="auto"/>
            <w:noWrap/>
            <w:vAlign w:val="center"/>
          </w:tcPr>
          <w:p w14:paraId="1E2A132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-2.164</w:t>
            </w:r>
          </w:p>
        </w:tc>
        <w:tc>
          <w:tcPr>
            <w:tcW w:w="484" w:type="pct"/>
            <w:tcBorders>
              <w:top w:val="nil"/>
              <w:left w:val="nil"/>
              <w:bottom w:val="nil"/>
              <w:right w:val="single" w:sz="4" w:space="0" w:color="auto"/>
            </w:tcBorders>
            <w:shd w:val="clear" w:color="auto" w:fill="auto"/>
            <w:noWrap/>
            <w:vAlign w:val="center"/>
          </w:tcPr>
          <w:p w14:paraId="4F2E9A89"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-27.960</w:t>
            </w:r>
          </w:p>
        </w:tc>
        <w:tc>
          <w:tcPr>
            <w:tcW w:w="580" w:type="pct"/>
            <w:tcBorders>
              <w:top w:val="nil"/>
              <w:left w:val="nil"/>
              <w:bottom w:val="nil"/>
              <w:right w:val="single" w:sz="4" w:space="0" w:color="auto"/>
            </w:tcBorders>
            <w:shd w:val="clear" w:color="auto" w:fill="auto"/>
            <w:noWrap/>
            <w:vAlign w:val="center"/>
          </w:tcPr>
          <w:p w14:paraId="49EB56E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40.455</w:t>
            </w:r>
          </w:p>
        </w:tc>
        <w:tc>
          <w:tcPr>
            <w:tcW w:w="531" w:type="pct"/>
            <w:tcBorders>
              <w:top w:val="nil"/>
              <w:left w:val="nil"/>
              <w:bottom w:val="nil"/>
              <w:right w:val="single" w:sz="4" w:space="0" w:color="auto"/>
            </w:tcBorders>
            <w:shd w:val="clear" w:color="auto" w:fill="auto"/>
            <w:noWrap/>
            <w:vAlign w:val="center"/>
          </w:tcPr>
          <w:p w14:paraId="6471D3A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43.718</w:t>
            </w:r>
          </w:p>
        </w:tc>
        <w:tc>
          <w:tcPr>
            <w:tcW w:w="579" w:type="pct"/>
            <w:tcBorders>
              <w:top w:val="nil"/>
              <w:left w:val="single" w:sz="4" w:space="0" w:color="auto"/>
              <w:bottom w:val="nil"/>
              <w:right w:val="single" w:sz="4" w:space="0" w:color="auto"/>
            </w:tcBorders>
            <w:vAlign w:val="center"/>
          </w:tcPr>
          <w:p w14:paraId="7DD1918B"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42.40</w:t>
            </w:r>
          </w:p>
        </w:tc>
        <w:tc>
          <w:tcPr>
            <w:tcW w:w="521" w:type="pct"/>
            <w:tcBorders>
              <w:top w:val="nil"/>
              <w:left w:val="single" w:sz="4" w:space="0" w:color="auto"/>
              <w:bottom w:val="nil"/>
              <w:right w:val="double" w:sz="6" w:space="0" w:color="auto"/>
            </w:tcBorders>
            <w:vAlign w:val="center"/>
          </w:tcPr>
          <w:p w14:paraId="6BC9869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32.023</w:t>
            </w:r>
          </w:p>
        </w:tc>
      </w:tr>
      <w:tr w:rsidR="009B637B" w:rsidRPr="00186395" w14:paraId="25C1E616"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7F3A6C62"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Recreational area</w:t>
            </w:r>
          </w:p>
        </w:tc>
        <w:tc>
          <w:tcPr>
            <w:tcW w:w="579" w:type="pct"/>
            <w:tcBorders>
              <w:top w:val="nil"/>
              <w:left w:val="nil"/>
              <w:bottom w:val="nil"/>
              <w:right w:val="single" w:sz="4" w:space="0" w:color="auto"/>
            </w:tcBorders>
            <w:shd w:val="clear" w:color="auto" w:fill="auto"/>
            <w:noWrap/>
            <w:vAlign w:val="center"/>
          </w:tcPr>
          <w:p w14:paraId="7F5CD925"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-0.432</w:t>
            </w:r>
          </w:p>
        </w:tc>
        <w:tc>
          <w:tcPr>
            <w:tcW w:w="484" w:type="pct"/>
            <w:tcBorders>
              <w:top w:val="nil"/>
              <w:left w:val="nil"/>
              <w:bottom w:val="nil"/>
              <w:right w:val="single" w:sz="4" w:space="0" w:color="auto"/>
            </w:tcBorders>
            <w:shd w:val="clear" w:color="auto" w:fill="auto"/>
            <w:noWrap/>
            <w:vAlign w:val="center"/>
          </w:tcPr>
          <w:p w14:paraId="28034FD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-1.917</w:t>
            </w:r>
          </w:p>
        </w:tc>
        <w:tc>
          <w:tcPr>
            <w:tcW w:w="580" w:type="pct"/>
            <w:tcBorders>
              <w:top w:val="nil"/>
              <w:left w:val="nil"/>
              <w:bottom w:val="nil"/>
              <w:right w:val="single" w:sz="4" w:space="0" w:color="auto"/>
            </w:tcBorders>
            <w:shd w:val="clear" w:color="auto" w:fill="auto"/>
            <w:noWrap/>
            <w:vAlign w:val="center"/>
          </w:tcPr>
          <w:p w14:paraId="221B88A9"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-75.918</w:t>
            </w:r>
          </w:p>
        </w:tc>
        <w:tc>
          <w:tcPr>
            <w:tcW w:w="531" w:type="pct"/>
            <w:tcBorders>
              <w:top w:val="nil"/>
              <w:left w:val="nil"/>
              <w:bottom w:val="nil"/>
              <w:right w:val="single" w:sz="4" w:space="0" w:color="auto"/>
            </w:tcBorders>
            <w:shd w:val="clear" w:color="auto" w:fill="auto"/>
            <w:noWrap/>
            <w:vAlign w:val="center"/>
          </w:tcPr>
          <w:p w14:paraId="155677C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-25.522</w:t>
            </w:r>
          </w:p>
        </w:tc>
        <w:tc>
          <w:tcPr>
            <w:tcW w:w="579" w:type="pct"/>
            <w:tcBorders>
              <w:top w:val="nil"/>
              <w:left w:val="single" w:sz="4" w:space="0" w:color="auto"/>
              <w:bottom w:val="nil"/>
              <w:right w:val="single" w:sz="4" w:space="0" w:color="auto"/>
            </w:tcBorders>
            <w:vAlign w:val="center"/>
          </w:tcPr>
          <w:p w14:paraId="313E434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-65.009</w:t>
            </w:r>
          </w:p>
        </w:tc>
        <w:tc>
          <w:tcPr>
            <w:tcW w:w="521" w:type="pct"/>
            <w:tcBorders>
              <w:top w:val="nil"/>
              <w:left w:val="single" w:sz="4" w:space="0" w:color="auto"/>
              <w:bottom w:val="nil"/>
              <w:right w:val="double" w:sz="6" w:space="0" w:color="auto"/>
            </w:tcBorders>
            <w:vAlign w:val="center"/>
          </w:tcPr>
          <w:p w14:paraId="3CA875F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-19.079</w:t>
            </w:r>
          </w:p>
        </w:tc>
      </w:tr>
      <w:tr w:rsidR="009B637B" w:rsidRPr="00186395" w14:paraId="379E538A" w14:textId="77777777" w:rsidTr="003C2ABD">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AA4A8AB" w14:textId="77777777" w:rsidR="009B637B" w:rsidRDefault="009B637B" w:rsidP="009B637B">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Industrial Area</w:t>
            </w:r>
          </w:p>
        </w:tc>
        <w:tc>
          <w:tcPr>
            <w:tcW w:w="579" w:type="pct"/>
            <w:tcBorders>
              <w:top w:val="nil"/>
              <w:left w:val="nil"/>
              <w:bottom w:val="nil"/>
              <w:right w:val="single" w:sz="4" w:space="0" w:color="auto"/>
            </w:tcBorders>
            <w:shd w:val="clear" w:color="auto" w:fill="auto"/>
            <w:noWrap/>
            <w:vAlign w:val="center"/>
          </w:tcPr>
          <w:p w14:paraId="39E7775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5.208</w:t>
            </w:r>
          </w:p>
        </w:tc>
        <w:tc>
          <w:tcPr>
            <w:tcW w:w="484" w:type="pct"/>
            <w:tcBorders>
              <w:top w:val="nil"/>
              <w:left w:val="nil"/>
              <w:bottom w:val="nil"/>
              <w:right w:val="single" w:sz="4" w:space="0" w:color="auto"/>
            </w:tcBorders>
            <w:shd w:val="clear" w:color="auto" w:fill="auto"/>
            <w:noWrap/>
            <w:vAlign w:val="center"/>
          </w:tcPr>
          <w:p w14:paraId="7FD95E6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42.210</w:t>
            </w:r>
          </w:p>
        </w:tc>
        <w:tc>
          <w:tcPr>
            <w:tcW w:w="580" w:type="pct"/>
            <w:tcBorders>
              <w:top w:val="nil"/>
              <w:left w:val="nil"/>
              <w:bottom w:val="nil"/>
              <w:right w:val="single" w:sz="4" w:space="0" w:color="auto"/>
            </w:tcBorders>
            <w:shd w:val="clear" w:color="auto" w:fill="auto"/>
            <w:noWrap/>
            <w:vAlign w:val="center"/>
          </w:tcPr>
          <w:p w14:paraId="5107788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26A878B0"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282ACC0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nil"/>
              <w:right w:val="double" w:sz="6" w:space="0" w:color="auto"/>
            </w:tcBorders>
            <w:vAlign w:val="center"/>
          </w:tcPr>
          <w:p w14:paraId="0CE13AE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06AA4C82" w14:textId="77777777" w:rsidTr="003C2ABD">
        <w:trPr>
          <w:trHeight w:val="287"/>
          <w:jc w:val="center"/>
        </w:trPr>
        <w:tc>
          <w:tcPr>
            <w:tcW w:w="1725" w:type="pct"/>
            <w:tcBorders>
              <w:top w:val="nil"/>
              <w:left w:val="double" w:sz="6" w:space="0" w:color="auto"/>
              <w:bottom w:val="single" w:sz="4" w:space="0" w:color="auto"/>
              <w:right w:val="single" w:sz="4" w:space="0" w:color="auto"/>
            </w:tcBorders>
            <w:shd w:val="clear" w:color="auto" w:fill="auto"/>
            <w:vAlign w:val="center"/>
            <w:hideMark/>
          </w:tcPr>
          <w:p w14:paraId="4FF7ACE0"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 xml:space="preserve">Distance from </w:t>
            </w:r>
            <w:r w:rsidRPr="00F52339">
              <w:rPr>
                <w:rFonts w:eastAsia="Times New Roman" w:cs="Times New Roman"/>
                <w:color w:val="000000"/>
                <w:sz w:val="20"/>
                <w:szCs w:val="20"/>
                <w:lang w:val="en-US"/>
              </w:rPr>
              <w:t xml:space="preserve">Central business district (CBD) </w:t>
            </w:r>
          </w:p>
        </w:tc>
        <w:tc>
          <w:tcPr>
            <w:tcW w:w="579" w:type="pct"/>
            <w:tcBorders>
              <w:top w:val="nil"/>
              <w:left w:val="nil"/>
              <w:bottom w:val="single" w:sz="4" w:space="0" w:color="auto"/>
              <w:right w:val="single" w:sz="4" w:space="0" w:color="auto"/>
            </w:tcBorders>
            <w:shd w:val="clear" w:color="auto" w:fill="auto"/>
            <w:noWrap/>
            <w:vAlign w:val="center"/>
          </w:tcPr>
          <w:p w14:paraId="6BAFDBBF"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0.489</w:t>
            </w:r>
          </w:p>
        </w:tc>
        <w:tc>
          <w:tcPr>
            <w:tcW w:w="484" w:type="pct"/>
            <w:tcBorders>
              <w:top w:val="nil"/>
              <w:left w:val="nil"/>
              <w:bottom w:val="single" w:sz="4" w:space="0" w:color="auto"/>
              <w:right w:val="single" w:sz="4" w:space="0" w:color="auto"/>
            </w:tcBorders>
            <w:shd w:val="clear" w:color="auto" w:fill="auto"/>
            <w:noWrap/>
            <w:vAlign w:val="center"/>
          </w:tcPr>
          <w:p w14:paraId="548E2E70"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44.374</w:t>
            </w:r>
          </w:p>
        </w:tc>
        <w:tc>
          <w:tcPr>
            <w:tcW w:w="580" w:type="pct"/>
            <w:tcBorders>
              <w:top w:val="nil"/>
              <w:left w:val="nil"/>
              <w:bottom w:val="single" w:sz="4" w:space="0" w:color="auto"/>
              <w:right w:val="single" w:sz="4" w:space="0" w:color="auto"/>
            </w:tcBorders>
            <w:shd w:val="clear" w:color="auto" w:fill="auto"/>
            <w:noWrap/>
            <w:vAlign w:val="center"/>
          </w:tcPr>
          <w:p w14:paraId="6D9868D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-3.358</w:t>
            </w:r>
          </w:p>
        </w:tc>
        <w:tc>
          <w:tcPr>
            <w:tcW w:w="531" w:type="pct"/>
            <w:tcBorders>
              <w:top w:val="nil"/>
              <w:left w:val="nil"/>
              <w:bottom w:val="single" w:sz="4" w:space="0" w:color="auto"/>
              <w:right w:val="single" w:sz="4" w:space="0" w:color="auto"/>
            </w:tcBorders>
            <w:shd w:val="clear" w:color="auto" w:fill="auto"/>
            <w:noWrap/>
            <w:vAlign w:val="center"/>
          </w:tcPr>
          <w:p w14:paraId="0AFBA886"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-17.764</w:t>
            </w:r>
          </w:p>
        </w:tc>
        <w:tc>
          <w:tcPr>
            <w:tcW w:w="579" w:type="pct"/>
            <w:tcBorders>
              <w:top w:val="nil"/>
              <w:left w:val="single" w:sz="4" w:space="0" w:color="auto"/>
              <w:bottom w:val="single" w:sz="4" w:space="0" w:color="auto"/>
              <w:right w:val="single" w:sz="4" w:space="0" w:color="auto"/>
            </w:tcBorders>
            <w:vAlign w:val="center"/>
          </w:tcPr>
          <w:p w14:paraId="737CE60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-3.796</w:t>
            </w:r>
          </w:p>
        </w:tc>
        <w:tc>
          <w:tcPr>
            <w:tcW w:w="521" w:type="pct"/>
            <w:tcBorders>
              <w:top w:val="nil"/>
              <w:left w:val="single" w:sz="4" w:space="0" w:color="auto"/>
              <w:bottom w:val="single" w:sz="4" w:space="0" w:color="auto"/>
              <w:right w:val="double" w:sz="6" w:space="0" w:color="auto"/>
            </w:tcBorders>
            <w:vAlign w:val="center"/>
          </w:tcPr>
          <w:p w14:paraId="1991BA7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-18.357</w:t>
            </w:r>
          </w:p>
        </w:tc>
      </w:tr>
      <w:tr w:rsidR="009B637B" w:rsidRPr="00186395" w14:paraId="65FCD2E1" w14:textId="77777777" w:rsidTr="003C2ABD">
        <w:trPr>
          <w:trHeight w:val="285"/>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4E45C754" w14:textId="77777777" w:rsidR="009B637B" w:rsidRPr="003642B9" w:rsidRDefault="009B637B" w:rsidP="009B637B">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Demographic and Socioeconomic Variables</w:t>
            </w:r>
            <w:r w:rsidRPr="003642B9">
              <w:rPr>
                <w:rFonts w:cs="Times New Roman"/>
                <w:i/>
                <w:sz w:val="20"/>
                <w:szCs w:val="20"/>
              </w:rPr>
              <w:t xml:space="preserve"> </w:t>
            </w:r>
          </w:p>
        </w:tc>
      </w:tr>
      <w:tr w:rsidR="009B637B" w:rsidRPr="00186395" w14:paraId="1817399C" w14:textId="77777777" w:rsidTr="003C2ABD">
        <w:trPr>
          <w:trHeight w:val="287"/>
          <w:jc w:val="center"/>
        </w:trPr>
        <w:tc>
          <w:tcPr>
            <w:tcW w:w="1725" w:type="pct"/>
            <w:tcBorders>
              <w:top w:val="single" w:sz="4" w:space="0" w:color="auto"/>
              <w:left w:val="double" w:sz="6" w:space="0" w:color="auto"/>
              <w:right w:val="single" w:sz="4" w:space="0" w:color="auto"/>
            </w:tcBorders>
            <w:shd w:val="clear" w:color="auto" w:fill="auto"/>
            <w:noWrap/>
            <w:vAlign w:val="center"/>
            <w:hideMark/>
          </w:tcPr>
          <w:p w14:paraId="2F32FB20" w14:textId="77777777" w:rsidR="009B637B" w:rsidRPr="00EB7B4B" w:rsidRDefault="009B637B" w:rsidP="009B637B">
            <w:pPr>
              <w:jc w:val="left"/>
              <w:rPr>
                <w:rFonts w:eastAsia="Times New Roman" w:cs="Times New Roman"/>
                <w:color w:val="000000"/>
                <w:sz w:val="20"/>
                <w:szCs w:val="20"/>
                <w:lang w:val="en-US"/>
              </w:rPr>
            </w:pPr>
            <w:r w:rsidRPr="00DE6BBB">
              <w:rPr>
                <w:rFonts w:eastAsia="Times New Roman" w:cs="Times New Roman"/>
                <w:color w:val="000000"/>
                <w:sz w:val="20"/>
                <w:szCs w:val="20"/>
                <w:lang w:val="en-US"/>
              </w:rPr>
              <w:t>Zero vehicle in HH</w:t>
            </w:r>
          </w:p>
        </w:tc>
        <w:tc>
          <w:tcPr>
            <w:tcW w:w="579" w:type="pct"/>
            <w:tcBorders>
              <w:top w:val="single" w:sz="4" w:space="0" w:color="auto"/>
              <w:left w:val="nil"/>
              <w:right w:val="single" w:sz="4" w:space="0" w:color="auto"/>
            </w:tcBorders>
            <w:shd w:val="clear" w:color="auto" w:fill="auto"/>
            <w:noWrap/>
            <w:vAlign w:val="center"/>
          </w:tcPr>
          <w:p w14:paraId="51D8B7FE"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-2.206</w:t>
            </w:r>
          </w:p>
        </w:tc>
        <w:tc>
          <w:tcPr>
            <w:tcW w:w="484" w:type="pct"/>
            <w:tcBorders>
              <w:top w:val="single" w:sz="4" w:space="0" w:color="auto"/>
              <w:left w:val="nil"/>
              <w:right w:val="single" w:sz="4" w:space="0" w:color="auto"/>
            </w:tcBorders>
            <w:shd w:val="clear" w:color="auto" w:fill="auto"/>
            <w:noWrap/>
            <w:vAlign w:val="center"/>
          </w:tcPr>
          <w:p w14:paraId="02175C0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-14.453</w:t>
            </w:r>
          </w:p>
        </w:tc>
        <w:tc>
          <w:tcPr>
            <w:tcW w:w="580" w:type="pct"/>
            <w:tcBorders>
              <w:top w:val="single" w:sz="4" w:space="0" w:color="auto"/>
              <w:left w:val="nil"/>
              <w:right w:val="single" w:sz="4" w:space="0" w:color="auto"/>
            </w:tcBorders>
            <w:shd w:val="clear" w:color="auto" w:fill="auto"/>
            <w:noWrap/>
            <w:vAlign w:val="center"/>
          </w:tcPr>
          <w:p w14:paraId="55330AD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76.737</w:t>
            </w:r>
          </w:p>
        </w:tc>
        <w:tc>
          <w:tcPr>
            <w:tcW w:w="531" w:type="pct"/>
            <w:tcBorders>
              <w:top w:val="single" w:sz="4" w:space="0" w:color="auto"/>
              <w:left w:val="nil"/>
              <w:right w:val="single" w:sz="4" w:space="0" w:color="auto"/>
            </w:tcBorders>
            <w:shd w:val="clear" w:color="auto" w:fill="auto"/>
            <w:noWrap/>
            <w:vAlign w:val="center"/>
          </w:tcPr>
          <w:p w14:paraId="22344CE1"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29.154</w:t>
            </w:r>
          </w:p>
        </w:tc>
        <w:tc>
          <w:tcPr>
            <w:tcW w:w="579" w:type="pct"/>
            <w:tcBorders>
              <w:top w:val="single" w:sz="4" w:space="0" w:color="auto"/>
              <w:left w:val="single" w:sz="4" w:space="0" w:color="auto"/>
              <w:right w:val="single" w:sz="4" w:space="0" w:color="auto"/>
            </w:tcBorders>
            <w:vAlign w:val="center"/>
          </w:tcPr>
          <w:p w14:paraId="4B760BA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72.871</w:t>
            </w:r>
          </w:p>
        </w:tc>
        <w:tc>
          <w:tcPr>
            <w:tcW w:w="521" w:type="pct"/>
            <w:tcBorders>
              <w:top w:val="single" w:sz="4" w:space="0" w:color="auto"/>
              <w:left w:val="single" w:sz="4" w:space="0" w:color="auto"/>
              <w:right w:val="double" w:sz="6" w:space="0" w:color="auto"/>
            </w:tcBorders>
            <w:vAlign w:val="center"/>
          </w:tcPr>
          <w:p w14:paraId="0AA9330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24.309</w:t>
            </w:r>
          </w:p>
        </w:tc>
      </w:tr>
      <w:tr w:rsidR="009B637B" w:rsidRPr="00186395" w14:paraId="7B62F8C1" w14:textId="77777777" w:rsidTr="003C2ABD">
        <w:trPr>
          <w:trHeight w:val="287"/>
          <w:jc w:val="center"/>
        </w:trPr>
        <w:tc>
          <w:tcPr>
            <w:tcW w:w="1725" w:type="pct"/>
            <w:tcBorders>
              <w:top w:val="nil"/>
              <w:left w:val="double" w:sz="6" w:space="0" w:color="auto"/>
              <w:right w:val="single" w:sz="4" w:space="0" w:color="auto"/>
            </w:tcBorders>
            <w:shd w:val="clear" w:color="auto" w:fill="auto"/>
            <w:noWrap/>
            <w:vAlign w:val="center"/>
          </w:tcPr>
          <w:p w14:paraId="4E09D3A3" w14:textId="77777777" w:rsidR="009B637B" w:rsidRPr="00DE6BB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High income population</w:t>
            </w:r>
          </w:p>
        </w:tc>
        <w:tc>
          <w:tcPr>
            <w:tcW w:w="579" w:type="pct"/>
            <w:tcBorders>
              <w:top w:val="nil"/>
              <w:left w:val="nil"/>
              <w:right w:val="single" w:sz="4" w:space="0" w:color="auto"/>
            </w:tcBorders>
            <w:shd w:val="clear" w:color="auto" w:fill="auto"/>
            <w:noWrap/>
            <w:vAlign w:val="center"/>
          </w:tcPr>
          <w:p w14:paraId="6A08F65E"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-0.620</w:t>
            </w:r>
          </w:p>
        </w:tc>
        <w:tc>
          <w:tcPr>
            <w:tcW w:w="484" w:type="pct"/>
            <w:tcBorders>
              <w:top w:val="nil"/>
              <w:left w:val="nil"/>
              <w:right w:val="single" w:sz="4" w:space="0" w:color="auto"/>
            </w:tcBorders>
            <w:shd w:val="clear" w:color="auto" w:fill="auto"/>
            <w:noWrap/>
            <w:vAlign w:val="center"/>
          </w:tcPr>
          <w:p w14:paraId="74E0726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-8.667</w:t>
            </w:r>
          </w:p>
        </w:tc>
        <w:tc>
          <w:tcPr>
            <w:tcW w:w="580" w:type="pct"/>
            <w:tcBorders>
              <w:top w:val="nil"/>
              <w:left w:val="nil"/>
              <w:right w:val="single" w:sz="4" w:space="0" w:color="auto"/>
            </w:tcBorders>
            <w:shd w:val="clear" w:color="auto" w:fill="auto"/>
            <w:noWrap/>
            <w:vAlign w:val="center"/>
          </w:tcPr>
          <w:p w14:paraId="6191B5B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right w:val="single" w:sz="4" w:space="0" w:color="auto"/>
            </w:tcBorders>
            <w:shd w:val="clear" w:color="auto" w:fill="auto"/>
            <w:noWrap/>
            <w:vAlign w:val="center"/>
          </w:tcPr>
          <w:p w14:paraId="2DF5986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right w:val="single" w:sz="4" w:space="0" w:color="auto"/>
            </w:tcBorders>
            <w:vAlign w:val="center"/>
          </w:tcPr>
          <w:p w14:paraId="41E3AC1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right w:val="double" w:sz="6" w:space="0" w:color="auto"/>
            </w:tcBorders>
            <w:vAlign w:val="center"/>
          </w:tcPr>
          <w:p w14:paraId="564DA29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9B637B" w:rsidRPr="00186395" w14:paraId="0CAE8E97" w14:textId="77777777" w:rsidTr="003C2ABD">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1EEE0105" w14:textId="77777777" w:rsidR="009B637B" w:rsidRPr="00EB7B4B" w:rsidRDefault="009B637B" w:rsidP="009B637B">
            <w:pPr>
              <w:jc w:val="left"/>
              <w:rPr>
                <w:rFonts w:eastAsia="Times New Roman" w:cs="Times New Roman"/>
                <w:color w:val="000000"/>
                <w:sz w:val="20"/>
                <w:szCs w:val="20"/>
                <w:lang w:val="en-US"/>
              </w:rPr>
            </w:pPr>
            <w:r w:rsidRPr="00DE6BBB">
              <w:rPr>
                <w:rFonts w:eastAsia="Times New Roman" w:cs="Times New Roman"/>
                <w:color w:val="000000"/>
                <w:sz w:val="20"/>
                <w:szCs w:val="20"/>
                <w:lang w:val="en-US"/>
              </w:rPr>
              <w:t>Household rent</w:t>
            </w:r>
          </w:p>
        </w:tc>
        <w:tc>
          <w:tcPr>
            <w:tcW w:w="579" w:type="pct"/>
            <w:tcBorders>
              <w:top w:val="nil"/>
              <w:left w:val="nil"/>
              <w:bottom w:val="single" w:sz="4" w:space="0" w:color="auto"/>
              <w:right w:val="single" w:sz="4" w:space="0" w:color="auto"/>
            </w:tcBorders>
            <w:shd w:val="clear" w:color="auto" w:fill="auto"/>
            <w:noWrap/>
            <w:vAlign w:val="center"/>
          </w:tcPr>
          <w:p w14:paraId="2BA9EEDD"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nil"/>
              <w:left w:val="nil"/>
              <w:bottom w:val="single" w:sz="4" w:space="0" w:color="auto"/>
              <w:right w:val="single" w:sz="4" w:space="0" w:color="auto"/>
            </w:tcBorders>
            <w:shd w:val="clear" w:color="auto" w:fill="auto"/>
            <w:noWrap/>
            <w:vAlign w:val="center"/>
          </w:tcPr>
          <w:p w14:paraId="313D6A27"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single" w:sz="4" w:space="0" w:color="auto"/>
              <w:right w:val="single" w:sz="4" w:space="0" w:color="auto"/>
            </w:tcBorders>
            <w:shd w:val="clear" w:color="auto" w:fill="auto"/>
            <w:noWrap/>
            <w:vAlign w:val="center"/>
          </w:tcPr>
          <w:p w14:paraId="1C1E3A27"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30.784</w:t>
            </w:r>
          </w:p>
        </w:tc>
        <w:tc>
          <w:tcPr>
            <w:tcW w:w="531" w:type="pct"/>
            <w:tcBorders>
              <w:top w:val="nil"/>
              <w:left w:val="nil"/>
              <w:bottom w:val="single" w:sz="4" w:space="0" w:color="auto"/>
              <w:right w:val="single" w:sz="4" w:space="0" w:color="auto"/>
            </w:tcBorders>
            <w:shd w:val="clear" w:color="auto" w:fill="auto"/>
            <w:noWrap/>
            <w:vAlign w:val="center"/>
          </w:tcPr>
          <w:p w14:paraId="4EA9B7C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47.983</w:t>
            </w:r>
          </w:p>
        </w:tc>
        <w:tc>
          <w:tcPr>
            <w:tcW w:w="579" w:type="pct"/>
            <w:tcBorders>
              <w:top w:val="nil"/>
              <w:left w:val="single" w:sz="4" w:space="0" w:color="auto"/>
              <w:bottom w:val="single" w:sz="4" w:space="0" w:color="auto"/>
              <w:right w:val="single" w:sz="4" w:space="0" w:color="auto"/>
            </w:tcBorders>
            <w:vAlign w:val="center"/>
          </w:tcPr>
          <w:p w14:paraId="5FFCC77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35.120</w:t>
            </w:r>
          </w:p>
        </w:tc>
        <w:tc>
          <w:tcPr>
            <w:tcW w:w="521" w:type="pct"/>
            <w:tcBorders>
              <w:top w:val="nil"/>
              <w:left w:val="single" w:sz="4" w:space="0" w:color="auto"/>
              <w:bottom w:val="single" w:sz="4" w:space="0" w:color="auto"/>
              <w:right w:val="double" w:sz="6" w:space="0" w:color="auto"/>
            </w:tcBorders>
            <w:vAlign w:val="center"/>
          </w:tcPr>
          <w:p w14:paraId="7F7D8043"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48.800</w:t>
            </w:r>
          </w:p>
        </w:tc>
      </w:tr>
      <w:tr w:rsidR="009B637B" w:rsidRPr="00186395" w14:paraId="7EBA28F9" w14:textId="77777777" w:rsidTr="003C2ABD">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1FA10143" w14:textId="77777777" w:rsidR="009B637B" w:rsidRPr="003642B9" w:rsidRDefault="009B637B" w:rsidP="009B637B">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SunRail Effects</w:t>
            </w:r>
          </w:p>
        </w:tc>
      </w:tr>
      <w:tr w:rsidR="009B637B" w:rsidRPr="00186395" w14:paraId="410961CF" w14:textId="77777777" w:rsidTr="003C2ABD">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hideMark/>
          </w:tcPr>
          <w:p w14:paraId="46C2DD28" w14:textId="77777777" w:rsidR="009B637B" w:rsidRPr="00EB7B4B" w:rsidRDefault="009B637B" w:rsidP="009B637B">
            <w:pPr>
              <w:jc w:val="left"/>
              <w:rPr>
                <w:rFonts w:eastAsia="Times New Roman" w:cs="Times New Roman"/>
                <w:color w:val="000000"/>
                <w:sz w:val="20"/>
                <w:szCs w:val="20"/>
                <w:lang w:val="en-US"/>
              </w:rPr>
            </w:pPr>
            <w:r w:rsidRPr="005408AB">
              <w:rPr>
                <w:rFonts w:eastAsia="Times New Roman" w:cs="Times New Roman"/>
                <w:color w:val="000000"/>
                <w:sz w:val="20"/>
                <w:szCs w:val="20"/>
                <w:lang w:val="en-US"/>
              </w:rPr>
              <w:t xml:space="preserve">Distance Decay Function </w:t>
            </w:r>
            <w:r>
              <w:rPr>
                <w:rFonts w:eastAsia="Times New Roman" w:cs="Times New Roman"/>
                <w:color w:val="000000"/>
                <w:sz w:val="20"/>
                <w:szCs w:val="20"/>
                <w:lang w:val="en-US"/>
              </w:rPr>
              <w:t>for SunRail</w:t>
            </w:r>
            <w:r w:rsidRPr="00A82A2C">
              <w:rPr>
                <w:rFonts w:eastAsia="Calibri" w:cs="Times New Roman"/>
                <w:sz w:val="20"/>
                <w:szCs w:val="20"/>
              </w:rPr>
              <w:t>*SunRail operation period</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3CAB1562"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0A601FE1"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24B3B4F6"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-5.008</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1D31FA04"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-18.494</w:t>
            </w:r>
          </w:p>
        </w:tc>
        <w:tc>
          <w:tcPr>
            <w:tcW w:w="579" w:type="pct"/>
            <w:tcBorders>
              <w:top w:val="single" w:sz="4" w:space="0" w:color="auto"/>
              <w:left w:val="single" w:sz="4" w:space="0" w:color="auto"/>
              <w:bottom w:val="single" w:sz="4" w:space="0" w:color="auto"/>
              <w:right w:val="single" w:sz="4" w:space="0" w:color="auto"/>
            </w:tcBorders>
            <w:vAlign w:val="center"/>
          </w:tcPr>
          <w:p w14:paraId="21512B38"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-5.167</w:t>
            </w:r>
          </w:p>
        </w:tc>
        <w:tc>
          <w:tcPr>
            <w:tcW w:w="521" w:type="pct"/>
            <w:tcBorders>
              <w:top w:val="single" w:sz="4" w:space="0" w:color="auto"/>
              <w:left w:val="single" w:sz="4" w:space="0" w:color="auto"/>
              <w:bottom w:val="single" w:sz="4" w:space="0" w:color="auto"/>
              <w:right w:val="double" w:sz="6" w:space="0" w:color="auto"/>
            </w:tcBorders>
            <w:vAlign w:val="center"/>
          </w:tcPr>
          <w:p w14:paraId="41F3CCE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-17.671</w:t>
            </w:r>
          </w:p>
        </w:tc>
      </w:tr>
      <w:tr w:rsidR="009B637B" w:rsidRPr="00186395" w14:paraId="5ACA4984" w14:textId="77777777" w:rsidTr="003C2ABD">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tcPr>
          <w:p w14:paraId="1FFA2781" w14:textId="0D230213" w:rsidR="009B637B" w:rsidRPr="00B02508" w:rsidRDefault="00261EBF" w:rsidP="003642B9">
            <w:pPr>
              <w:jc w:val="center"/>
              <w:rPr>
                <w:rFonts w:eastAsia="Times New Roman" w:cs="Times New Roman"/>
                <w:b/>
                <w:color w:val="000000"/>
                <w:sz w:val="20"/>
                <w:szCs w:val="20"/>
                <w:lang w:val="en-US"/>
              </w:rPr>
            </w:pPr>
            <w:r w:rsidRPr="00B02508">
              <w:rPr>
                <w:rFonts w:eastAsia="Times New Roman" w:cs="Times New Roman"/>
                <w:b/>
                <w:color w:val="000000"/>
                <w:sz w:val="20"/>
                <w:szCs w:val="20"/>
                <w:lang w:val="en-US"/>
              </w:rPr>
              <w:t>Alternative Specific Effects (</w:t>
            </w:r>
            <m:oMath>
              <m:sSub>
                <m:sSubPr>
                  <m:ctrlPr>
                    <w:rPr>
                      <w:rFonts w:ascii="Cambria Math" w:eastAsia="Times New Roman" w:hAnsi="Cambria Math" w:cs="Vrinda"/>
                      <w:i/>
                      <w:sz w:val="20"/>
                      <w:szCs w:val="20"/>
                    </w:rPr>
                  </m:ctrlPr>
                </m:sSubPr>
                <m:e>
                  <m:r>
                    <w:rPr>
                      <w:rFonts w:ascii="Cambria Math" w:eastAsia="Times New Roman" w:hAnsi="Cambria Math"/>
                      <w:sz w:val="20"/>
                      <w:szCs w:val="20"/>
                    </w:rPr>
                    <m:t>ρ</m:t>
                  </m:r>
                </m:e>
                <m:sub>
                  <m:r>
                    <w:rPr>
                      <w:rFonts w:ascii="Cambria Math" w:eastAsia="Times New Roman" w:hAnsi="Cambria Math" w:cs="Vrinda"/>
                      <w:sz w:val="20"/>
                      <w:szCs w:val="20"/>
                    </w:rPr>
                    <m:t>j</m:t>
                  </m:r>
                </m:sub>
              </m:sSub>
            </m:oMath>
            <w:r w:rsidR="00B02508" w:rsidRPr="003642B9">
              <w:rPr>
                <w:rFonts w:eastAsia="Times New Roman" w:cs="Vrinda"/>
                <w:sz w:val="20"/>
                <w:szCs w:val="20"/>
              </w:rPr>
              <w:t xml:space="preserve"> and </w:t>
            </w:r>
            <m:oMath>
              <m:sSub>
                <m:sSubPr>
                  <m:ctrlPr>
                    <w:rPr>
                      <w:rFonts w:ascii="Cambria Math" w:eastAsia="Times New Roman" w:hAnsi="Cambria Math" w:cs="Vrinda"/>
                      <w:i/>
                      <w:sz w:val="20"/>
                      <w:szCs w:val="20"/>
                    </w:rPr>
                  </m:ctrlPr>
                </m:sSubPr>
                <m:e>
                  <m:r>
                    <w:rPr>
                      <w:rFonts w:ascii="Cambria Math" w:eastAsia="Times New Roman" w:hAnsi="Cambria Math" w:cs="Vrinda"/>
                      <w:sz w:val="20"/>
                      <w:szCs w:val="20"/>
                    </w:rPr>
                    <m:t>τ</m:t>
                  </m:r>
                </m:e>
                <m:sub>
                  <m:r>
                    <w:rPr>
                      <w:rFonts w:ascii="Cambria Math" w:eastAsia="Times New Roman" w:hAnsi="Cambria Math" w:cs="Vrinda"/>
                      <w:sz w:val="20"/>
                      <w:szCs w:val="20"/>
                    </w:rPr>
                    <m:t>j</m:t>
                  </m:r>
                </m:sub>
              </m:sSub>
            </m:oMath>
            <w:r w:rsidRPr="00B02508">
              <w:rPr>
                <w:rFonts w:eastAsia="Times New Roman" w:cs="Times New Roman"/>
                <w:b/>
                <w:color w:val="000000"/>
                <w:sz w:val="20"/>
                <w:szCs w:val="20"/>
                <w:lang w:val="en-US"/>
              </w:rPr>
              <w:t>)</w:t>
            </w:r>
          </w:p>
        </w:tc>
      </w:tr>
      <w:tr w:rsidR="009B637B" w:rsidRPr="00186395" w14:paraId="33A1A298" w14:textId="77777777" w:rsidTr="003C2ABD">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1D733C00" w14:textId="77777777" w:rsidR="009B637B" w:rsidRPr="005408AB" w:rsidRDefault="009B637B" w:rsidP="009B637B">
            <w:pPr>
              <w:jc w:val="left"/>
              <w:rPr>
                <w:rFonts w:eastAsia="Times New Roman" w:cs="Times New Roman"/>
                <w:color w:val="000000"/>
                <w:sz w:val="20"/>
                <w:szCs w:val="20"/>
                <w:lang w:val="en-US"/>
              </w:rPr>
            </w:pPr>
            <w:r w:rsidRPr="00A61F8C">
              <w:rPr>
                <w:sz w:val="20"/>
                <w:szCs w:val="20"/>
              </w:rPr>
              <w:t>Constant – Alternative 1 (0-5 ridership)</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68D186D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492DF05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02693EF4"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37.502</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1AA0BCDB"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125.131</w:t>
            </w:r>
          </w:p>
        </w:tc>
        <w:tc>
          <w:tcPr>
            <w:tcW w:w="579" w:type="pct"/>
            <w:tcBorders>
              <w:top w:val="single" w:sz="4" w:space="0" w:color="auto"/>
              <w:left w:val="single" w:sz="4" w:space="0" w:color="auto"/>
              <w:bottom w:val="single" w:sz="4" w:space="0" w:color="auto"/>
              <w:right w:val="single" w:sz="4" w:space="0" w:color="auto"/>
            </w:tcBorders>
            <w:vAlign w:val="center"/>
          </w:tcPr>
          <w:p w14:paraId="2379E977"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42.933</w:t>
            </w:r>
          </w:p>
        </w:tc>
        <w:tc>
          <w:tcPr>
            <w:tcW w:w="521" w:type="pct"/>
            <w:tcBorders>
              <w:top w:val="single" w:sz="4" w:space="0" w:color="auto"/>
              <w:left w:val="single" w:sz="4" w:space="0" w:color="auto"/>
              <w:bottom w:val="single" w:sz="4" w:space="0" w:color="auto"/>
              <w:right w:val="double" w:sz="6" w:space="0" w:color="auto"/>
            </w:tcBorders>
            <w:vAlign w:val="center"/>
          </w:tcPr>
          <w:p w14:paraId="16FE44C9"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123.530</w:t>
            </w:r>
          </w:p>
        </w:tc>
      </w:tr>
      <w:tr w:rsidR="009B637B" w:rsidRPr="00186395" w14:paraId="6687AB80" w14:textId="77777777" w:rsidTr="003C2ABD">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5AE7774F" w14:textId="77777777" w:rsidR="009B637B" w:rsidRPr="005408AB" w:rsidRDefault="009B637B" w:rsidP="009B637B">
            <w:pPr>
              <w:jc w:val="left"/>
              <w:rPr>
                <w:rFonts w:eastAsia="Times New Roman" w:cs="Times New Roman"/>
                <w:color w:val="000000"/>
                <w:sz w:val="20"/>
                <w:szCs w:val="20"/>
                <w:lang w:val="en-US"/>
              </w:rPr>
            </w:pPr>
            <w:r w:rsidRPr="00A61F8C">
              <w:rPr>
                <w:sz w:val="20"/>
                <w:szCs w:val="20"/>
              </w:rPr>
              <w:lastRenderedPageBreak/>
              <w:t>Constant – Alternative 2 (</w:t>
            </w:r>
            <w:r>
              <w:rPr>
                <w:sz w:val="20"/>
                <w:szCs w:val="20"/>
              </w:rPr>
              <w:t>&gt;</w:t>
            </w:r>
            <w:r w:rsidRPr="00A61F8C">
              <w:rPr>
                <w:sz w:val="20"/>
                <w:szCs w:val="20"/>
              </w:rPr>
              <w:t>5-10 ridership)</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7CD90695"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2CDE901F"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14BB0D4"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17.910</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FCB9E5C"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82.816</w:t>
            </w:r>
          </w:p>
        </w:tc>
        <w:tc>
          <w:tcPr>
            <w:tcW w:w="579" w:type="pct"/>
            <w:tcBorders>
              <w:top w:val="single" w:sz="4" w:space="0" w:color="auto"/>
              <w:left w:val="single" w:sz="4" w:space="0" w:color="auto"/>
              <w:bottom w:val="single" w:sz="4" w:space="0" w:color="auto"/>
              <w:right w:val="single" w:sz="4" w:space="0" w:color="auto"/>
            </w:tcBorders>
            <w:vAlign w:val="center"/>
          </w:tcPr>
          <w:p w14:paraId="41873E9C"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20.340</w:t>
            </w:r>
          </w:p>
        </w:tc>
        <w:tc>
          <w:tcPr>
            <w:tcW w:w="521" w:type="pct"/>
            <w:tcBorders>
              <w:top w:val="single" w:sz="4" w:space="0" w:color="auto"/>
              <w:left w:val="single" w:sz="4" w:space="0" w:color="auto"/>
              <w:bottom w:val="single" w:sz="4" w:space="0" w:color="auto"/>
              <w:right w:val="double" w:sz="6" w:space="0" w:color="auto"/>
            </w:tcBorders>
            <w:vAlign w:val="center"/>
          </w:tcPr>
          <w:p w14:paraId="7C79C501"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82.613</w:t>
            </w:r>
          </w:p>
        </w:tc>
      </w:tr>
      <w:tr w:rsidR="009B637B" w:rsidRPr="00186395" w14:paraId="78D5E210" w14:textId="77777777" w:rsidTr="003C2ABD">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tcPr>
          <w:p w14:paraId="7DCB3C51" w14:textId="131349FA" w:rsidR="009B637B" w:rsidRPr="00C31014" w:rsidRDefault="00B02508" w:rsidP="003642B9">
            <w:pPr>
              <w:jc w:val="center"/>
              <w:rPr>
                <w:b/>
                <w:sz w:val="20"/>
                <w:szCs w:val="20"/>
              </w:rPr>
            </w:pPr>
            <w:r>
              <w:rPr>
                <w:b/>
                <w:sz w:val="20"/>
                <w:szCs w:val="20"/>
              </w:rPr>
              <w:t xml:space="preserve">Variance </w:t>
            </w:r>
            <w:r w:rsidRPr="00B02508">
              <w:rPr>
                <w:b/>
                <w:sz w:val="20"/>
                <w:szCs w:val="20"/>
              </w:rPr>
              <w:t>(</w:t>
            </w:r>
            <m:oMath>
              <m:sSubSup>
                <m:sSubSupPr>
                  <m:ctrlPr>
                    <w:rPr>
                      <w:rFonts w:ascii="Cambria Math" w:eastAsia="Times New Roman" w:hAnsi="Cambria Math" w:cs="Vrinda"/>
                      <w:i/>
                      <w:sz w:val="20"/>
                      <w:szCs w:val="20"/>
                    </w:rPr>
                  </m:ctrlPr>
                </m:sSubSupPr>
                <m:e>
                  <m:r>
                    <w:rPr>
                      <w:rFonts w:ascii="Cambria Math" w:eastAsia="Times New Roman" w:hAnsi="Cambria Math"/>
                      <w:sz w:val="20"/>
                      <w:szCs w:val="20"/>
                    </w:rPr>
                    <m:t>λ</m:t>
                  </m:r>
                </m:e>
                <m:sub>
                  <m:r>
                    <w:rPr>
                      <w:rFonts w:ascii="Cambria Math" w:eastAsia="Times New Roman" w:hAnsi="Cambria Math"/>
                      <w:sz w:val="20"/>
                      <w:szCs w:val="20"/>
                    </w:rPr>
                    <m:t>B</m:t>
                  </m:r>
                </m:sub>
                <m:sup>
                  <m:r>
                    <w:rPr>
                      <w:rFonts w:ascii="Cambria Math" w:eastAsia="Times New Roman" w:hAnsi="Cambria Math"/>
                      <w:sz w:val="20"/>
                      <w:szCs w:val="20"/>
                    </w:rPr>
                    <m:t>2</m:t>
                  </m:r>
                </m:sup>
              </m:sSubSup>
            </m:oMath>
            <w:r w:rsidRPr="003642B9">
              <w:rPr>
                <w:rFonts w:eastAsia="Times New Roman"/>
                <w:sz w:val="20"/>
                <w:szCs w:val="20"/>
              </w:rPr>
              <w:t xml:space="preserve"> and </w:t>
            </w:r>
            <m:oMath>
              <m:sSubSup>
                <m:sSubSupPr>
                  <m:ctrlPr>
                    <w:rPr>
                      <w:rFonts w:ascii="Cambria Math" w:eastAsia="Times New Roman" w:hAnsi="Cambria Math" w:cs="Vrinda"/>
                      <w:i/>
                      <w:sz w:val="20"/>
                      <w:szCs w:val="20"/>
                    </w:rPr>
                  </m:ctrlPr>
                </m:sSubSupPr>
                <m:e>
                  <m:r>
                    <w:rPr>
                      <w:rFonts w:ascii="Cambria Math" w:eastAsia="Times New Roman" w:hAnsi="Cambria Math"/>
                      <w:sz w:val="20"/>
                      <w:szCs w:val="20"/>
                    </w:rPr>
                    <m:t>λ</m:t>
                  </m:r>
                </m:e>
                <m:sub>
                  <m:r>
                    <w:rPr>
                      <w:rFonts w:ascii="Cambria Math" w:eastAsia="Times New Roman" w:hAnsi="Cambria Math"/>
                      <w:sz w:val="20"/>
                      <w:szCs w:val="20"/>
                    </w:rPr>
                    <m:t>A</m:t>
                  </m:r>
                </m:sub>
                <m:sup>
                  <m:r>
                    <w:rPr>
                      <w:rFonts w:ascii="Cambria Math" w:eastAsia="Times New Roman" w:hAnsi="Cambria Math"/>
                      <w:sz w:val="20"/>
                      <w:szCs w:val="20"/>
                    </w:rPr>
                    <m:t>2</m:t>
                  </m:r>
                </m:sup>
              </m:sSubSup>
            </m:oMath>
            <w:r w:rsidRPr="00B02508">
              <w:rPr>
                <w:b/>
                <w:sz w:val="20"/>
                <w:szCs w:val="20"/>
              </w:rPr>
              <w:t>)</w:t>
            </w:r>
          </w:p>
        </w:tc>
      </w:tr>
      <w:tr w:rsidR="009B637B" w:rsidRPr="00186395" w14:paraId="05DA8B3D" w14:textId="77777777" w:rsidTr="003C2ABD">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404E7CB8" w14:textId="6609C2B3" w:rsidR="009B637B" w:rsidRPr="005408AB" w:rsidRDefault="00B02508"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Constant</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1E1370E5"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4" w:type="pct"/>
            <w:tcBorders>
              <w:top w:val="single" w:sz="4" w:space="0" w:color="auto"/>
              <w:left w:val="nil"/>
              <w:bottom w:val="single" w:sz="4" w:space="0" w:color="auto"/>
              <w:right w:val="single" w:sz="4" w:space="0" w:color="auto"/>
            </w:tcBorders>
            <w:shd w:val="clear" w:color="auto" w:fill="auto"/>
            <w:noWrap/>
            <w:vAlign w:val="center"/>
          </w:tcPr>
          <w:p w14:paraId="6ADEB0B2"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C2D7CA5"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3.263</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813BA01" w14:textId="77777777" w:rsidR="009B637B" w:rsidRPr="00EB7B4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753.061</w:t>
            </w:r>
          </w:p>
        </w:tc>
        <w:tc>
          <w:tcPr>
            <w:tcW w:w="579" w:type="pct"/>
            <w:tcBorders>
              <w:top w:val="single" w:sz="4" w:space="0" w:color="auto"/>
              <w:left w:val="single" w:sz="4" w:space="0" w:color="auto"/>
              <w:bottom w:val="single" w:sz="4" w:space="0" w:color="auto"/>
              <w:right w:val="single" w:sz="4" w:space="0" w:color="auto"/>
            </w:tcBorders>
            <w:vAlign w:val="center"/>
          </w:tcPr>
          <w:p w14:paraId="27D3A02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3.348</w:t>
            </w:r>
          </w:p>
        </w:tc>
        <w:tc>
          <w:tcPr>
            <w:tcW w:w="521" w:type="pct"/>
            <w:tcBorders>
              <w:top w:val="single" w:sz="4" w:space="0" w:color="auto"/>
              <w:left w:val="single" w:sz="4" w:space="0" w:color="auto"/>
              <w:bottom w:val="single" w:sz="4" w:space="0" w:color="auto"/>
              <w:right w:val="double" w:sz="6" w:space="0" w:color="auto"/>
            </w:tcBorders>
            <w:vAlign w:val="center"/>
          </w:tcPr>
          <w:p w14:paraId="7CB34E94"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706.331</w:t>
            </w:r>
          </w:p>
        </w:tc>
      </w:tr>
      <w:tr w:rsidR="009B637B" w:rsidRPr="00186395" w14:paraId="588A61FC" w14:textId="77777777" w:rsidTr="003C2ABD">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tcPr>
          <w:p w14:paraId="2C1C6639" w14:textId="70CB6D3A" w:rsidR="009B637B" w:rsidRDefault="00B02508" w:rsidP="003642B9">
            <w:pPr>
              <w:jc w:val="center"/>
              <w:rPr>
                <w:rFonts w:eastAsia="Times New Roman" w:cs="Times New Roman"/>
                <w:color w:val="000000"/>
                <w:sz w:val="20"/>
                <w:szCs w:val="20"/>
                <w:lang w:val="en-US"/>
              </w:rPr>
            </w:pPr>
            <w:r>
              <w:rPr>
                <w:rFonts w:eastAsia="Times New Roman" w:cs="Times New Roman"/>
                <w:b/>
                <w:color w:val="000000"/>
                <w:sz w:val="20"/>
                <w:szCs w:val="20"/>
                <w:lang w:val="en-US"/>
              </w:rPr>
              <w:t xml:space="preserve">Joint </w:t>
            </w:r>
            <w:r w:rsidR="00D66462">
              <w:rPr>
                <w:rFonts w:eastAsia="Times New Roman" w:cs="Times New Roman"/>
                <w:b/>
                <w:color w:val="000000"/>
                <w:sz w:val="20"/>
                <w:szCs w:val="20"/>
                <w:lang w:val="en-US"/>
              </w:rPr>
              <w:t>Common Unobserved Factors</w:t>
            </w:r>
            <w:r>
              <w:rPr>
                <w:rFonts w:eastAsia="Times New Roman" w:cs="Times New Roman"/>
                <w:b/>
                <w:color w:val="000000"/>
                <w:sz w:val="20"/>
                <w:szCs w:val="20"/>
                <w:lang w:val="en-US"/>
              </w:rPr>
              <w:t xml:space="preserve"> (</w:t>
            </w:r>
            <m:oMath>
              <m:sSub>
                <m:sSubPr>
                  <m:ctrlPr>
                    <w:rPr>
                      <w:rFonts w:ascii="Cambria Math" w:eastAsia="Times New Roman" w:hAnsi="Cambria Math" w:cs="Vrinda"/>
                      <w:i/>
                      <w:sz w:val="20"/>
                      <w:szCs w:val="20"/>
                    </w:rPr>
                  </m:ctrlPr>
                </m:sSubPr>
                <m:e>
                  <m:r>
                    <w:rPr>
                      <w:rFonts w:ascii="Cambria Math" w:eastAsia="Times New Roman" w:hAnsi="Cambria Math"/>
                      <w:sz w:val="20"/>
                      <w:szCs w:val="20"/>
                    </w:rPr>
                    <m:t>η'</m:t>
                  </m:r>
                </m:e>
                <m:sub>
                  <m:r>
                    <w:rPr>
                      <w:rFonts w:ascii="Cambria Math" w:eastAsia="Times New Roman" w:hAnsi="Cambria Math"/>
                      <w:sz w:val="20"/>
                      <w:szCs w:val="20"/>
                    </w:rPr>
                    <m:t>q</m:t>
                  </m:r>
                </m:sub>
              </m:sSub>
            </m:oMath>
            <w:r w:rsidRPr="00B02508">
              <w:rPr>
                <w:rFonts w:eastAsia="Times New Roman" w:cs="Times New Roman"/>
                <w:b/>
                <w:color w:val="000000"/>
                <w:sz w:val="20"/>
                <w:szCs w:val="20"/>
                <w:lang w:val="en-US"/>
              </w:rPr>
              <w:t>)</w:t>
            </w:r>
          </w:p>
        </w:tc>
      </w:tr>
      <w:tr w:rsidR="009B637B" w:rsidRPr="00186395" w14:paraId="1C183A73" w14:textId="77777777" w:rsidTr="003C2ABD">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4FDDF31D"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Constant</w:t>
            </w:r>
          </w:p>
        </w:tc>
        <w:tc>
          <w:tcPr>
            <w:tcW w:w="1643" w:type="pct"/>
            <w:gridSpan w:val="3"/>
            <w:tcBorders>
              <w:top w:val="single" w:sz="4" w:space="0" w:color="auto"/>
              <w:left w:val="nil"/>
              <w:bottom w:val="single" w:sz="4" w:space="0" w:color="auto"/>
              <w:right w:val="single" w:sz="4" w:space="0" w:color="auto"/>
            </w:tcBorders>
            <w:shd w:val="clear" w:color="auto" w:fill="auto"/>
            <w:noWrap/>
            <w:vAlign w:val="center"/>
          </w:tcPr>
          <w:p w14:paraId="10C46EF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1.736</w:t>
            </w:r>
          </w:p>
        </w:tc>
        <w:tc>
          <w:tcPr>
            <w:tcW w:w="1632" w:type="pct"/>
            <w:gridSpan w:val="3"/>
            <w:tcBorders>
              <w:top w:val="single" w:sz="4" w:space="0" w:color="auto"/>
              <w:left w:val="single" w:sz="4" w:space="0" w:color="auto"/>
              <w:bottom w:val="single" w:sz="4" w:space="0" w:color="auto"/>
              <w:right w:val="double" w:sz="6" w:space="0" w:color="auto"/>
            </w:tcBorders>
            <w:shd w:val="clear" w:color="auto" w:fill="auto"/>
            <w:vAlign w:val="center"/>
          </w:tcPr>
          <w:p w14:paraId="5AE19B86"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157.142</w:t>
            </w:r>
          </w:p>
        </w:tc>
      </w:tr>
      <w:tr w:rsidR="009B637B" w:rsidRPr="00186395" w14:paraId="2C3C8D27" w14:textId="77777777" w:rsidTr="003C2ABD">
        <w:trPr>
          <w:trHeight w:val="287"/>
          <w:jc w:val="center"/>
        </w:trPr>
        <w:tc>
          <w:tcPr>
            <w:tcW w:w="1725" w:type="pct"/>
            <w:tcBorders>
              <w:top w:val="single" w:sz="4" w:space="0" w:color="auto"/>
              <w:left w:val="double" w:sz="6" w:space="0" w:color="auto"/>
              <w:bottom w:val="double" w:sz="6" w:space="0" w:color="auto"/>
              <w:right w:val="single" w:sz="4" w:space="0" w:color="auto"/>
            </w:tcBorders>
            <w:shd w:val="clear" w:color="auto" w:fill="auto"/>
            <w:noWrap/>
          </w:tcPr>
          <w:p w14:paraId="68870E4A"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Route Length in 800m buffer</w:t>
            </w:r>
          </w:p>
        </w:tc>
        <w:tc>
          <w:tcPr>
            <w:tcW w:w="1643" w:type="pct"/>
            <w:gridSpan w:val="3"/>
            <w:tcBorders>
              <w:top w:val="single" w:sz="4" w:space="0" w:color="auto"/>
              <w:left w:val="nil"/>
              <w:bottom w:val="double" w:sz="6" w:space="0" w:color="auto"/>
              <w:right w:val="single" w:sz="4" w:space="0" w:color="auto"/>
            </w:tcBorders>
            <w:shd w:val="clear" w:color="auto" w:fill="auto"/>
            <w:noWrap/>
            <w:vAlign w:val="center"/>
          </w:tcPr>
          <w:p w14:paraId="203C15C9"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0.792</w:t>
            </w:r>
          </w:p>
        </w:tc>
        <w:tc>
          <w:tcPr>
            <w:tcW w:w="1632" w:type="pct"/>
            <w:gridSpan w:val="3"/>
            <w:tcBorders>
              <w:top w:val="single" w:sz="4" w:space="0" w:color="auto"/>
              <w:left w:val="single" w:sz="4" w:space="0" w:color="auto"/>
              <w:bottom w:val="double" w:sz="6" w:space="0" w:color="auto"/>
              <w:right w:val="double" w:sz="6" w:space="0" w:color="auto"/>
            </w:tcBorders>
            <w:shd w:val="clear" w:color="auto" w:fill="auto"/>
            <w:vAlign w:val="center"/>
          </w:tcPr>
          <w:p w14:paraId="3C1C7EE3" w14:textId="77777777" w:rsidR="009B637B" w:rsidRDefault="009B637B" w:rsidP="009B637B">
            <w:pPr>
              <w:jc w:val="left"/>
              <w:rPr>
                <w:rFonts w:eastAsia="Times New Roman" w:cs="Times New Roman"/>
                <w:color w:val="000000"/>
                <w:sz w:val="20"/>
                <w:szCs w:val="20"/>
                <w:lang w:val="en-US"/>
              </w:rPr>
            </w:pPr>
            <w:r>
              <w:rPr>
                <w:rFonts w:eastAsia="Times New Roman" w:cs="Times New Roman"/>
                <w:color w:val="000000"/>
                <w:sz w:val="20"/>
                <w:szCs w:val="20"/>
                <w:lang w:val="en-US"/>
              </w:rPr>
              <w:t>106.031</w:t>
            </w:r>
          </w:p>
        </w:tc>
      </w:tr>
    </w:tbl>
    <w:p w14:paraId="495E1D0D" w14:textId="77777777" w:rsidR="003C2ABD" w:rsidRDefault="003C2ABD" w:rsidP="003A2A12"/>
    <w:p w14:paraId="27467D70" w14:textId="4763591A" w:rsidR="00A33B44" w:rsidRPr="005F7BE4" w:rsidRDefault="00A33B44" w:rsidP="00413B61">
      <w:pPr>
        <w:pStyle w:val="Heading3"/>
        <w:spacing w:before="0"/>
        <w:rPr>
          <w:rFonts w:cs="Times New Roman"/>
        </w:rPr>
      </w:pPr>
      <w:r w:rsidRPr="005F7BE4">
        <w:rPr>
          <w:rFonts w:cs="Times New Roman"/>
        </w:rPr>
        <w:t xml:space="preserve">Boarding and Alighting Components </w:t>
      </w:r>
    </w:p>
    <w:p w14:paraId="5646F4BF" w14:textId="77777777" w:rsidR="00A33B44" w:rsidRPr="00640B0A" w:rsidRDefault="00A33B44" w:rsidP="00413B61">
      <w:bookmarkStart w:id="6" w:name="_GoBack"/>
      <w:bookmarkEnd w:id="6"/>
    </w:p>
    <w:p w14:paraId="7B283307" w14:textId="77777777" w:rsidR="00A33B44" w:rsidRDefault="00A33B44" w:rsidP="00413B61">
      <w:pPr>
        <w:pStyle w:val="Heading4"/>
      </w:pPr>
      <w:r w:rsidRPr="00415D18">
        <w:t xml:space="preserve">Stop Level </w:t>
      </w:r>
      <w:r>
        <w:t>A</w:t>
      </w:r>
      <w:r w:rsidRPr="00BA1660">
        <w:t>ttributes</w:t>
      </w:r>
    </w:p>
    <w:p w14:paraId="503A861C" w14:textId="7FE4B349" w:rsidR="00A33B44" w:rsidRDefault="00A33B44" w:rsidP="00413B61">
      <w:pPr>
        <w:autoSpaceDE w:val="0"/>
        <w:autoSpaceDN w:val="0"/>
        <w:adjustRightInd w:val="0"/>
        <w:rPr>
          <w:rFonts w:cs="Times New Roman"/>
          <w:szCs w:val="24"/>
        </w:rPr>
      </w:pPr>
      <w:r>
        <w:rPr>
          <w:rFonts w:cs="Times New Roman"/>
          <w:szCs w:val="24"/>
        </w:rPr>
        <w:t xml:space="preserve">In our ridership models, headway variable was considered with lowest headway category as the base case. The corresponding parameter estimates for headway categories 2 and 3 clearly indicate that increasing headway has a negative impact on ridership (for both boarding and alighting). The reader would note that incorporating headway endogeneity does not eliminate the impact of headway on ridership. It is estimated more accurately. The parameter for the number of bus stops in </w:t>
      </w:r>
      <w:r w:rsidR="00032AC2">
        <w:rPr>
          <w:rFonts w:cs="Times New Roman"/>
          <w:szCs w:val="24"/>
        </w:rPr>
        <w:t>an</w:t>
      </w:r>
      <w:r>
        <w:rPr>
          <w:rFonts w:cs="Times New Roman"/>
          <w:szCs w:val="24"/>
        </w:rPr>
        <w:t xml:space="preserve"> 800m buffer indicates that with increasing number of stops in the buffer, ridership values decrease indicating competition across the stops (see </w:t>
      </w:r>
      <w:r>
        <w:rPr>
          <w:rFonts w:cs="Times New Roman"/>
          <w:noProof/>
          <w:szCs w:val="24"/>
        </w:rPr>
        <w:t>Rahman</w:t>
      </w:r>
      <w:r w:rsidRPr="003D7B39">
        <w:rPr>
          <w:rFonts w:cs="Times New Roman"/>
          <w:i/>
          <w:noProof/>
          <w:szCs w:val="24"/>
        </w:rPr>
        <w:t xml:space="preserve"> et al.</w:t>
      </w:r>
      <w:r>
        <w:rPr>
          <w:rFonts w:cs="Times New Roman"/>
          <w:noProof/>
          <w:szCs w:val="24"/>
        </w:rPr>
        <w:t xml:space="preserve"> 201</w:t>
      </w:r>
      <w:r w:rsidR="00B63A08">
        <w:rPr>
          <w:rFonts w:cs="Times New Roman"/>
          <w:noProof/>
          <w:szCs w:val="24"/>
        </w:rPr>
        <w:t>9</w:t>
      </w:r>
      <w:r>
        <w:rPr>
          <w:rFonts w:cs="Times New Roman"/>
          <w:szCs w:val="24"/>
        </w:rPr>
        <w:t xml:space="preserve"> for similar result</w:t>
      </w:r>
      <w:r w:rsidRPr="008C6838">
        <w:rPr>
          <w:rFonts w:cs="Times New Roman"/>
          <w:szCs w:val="24"/>
        </w:rPr>
        <w:t>)</w:t>
      </w:r>
      <w:r>
        <w:rPr>
          <w:rFonts w:cs="Times New Roman"/>
          <w:szCs w:val="24"/>
        </w:rPr>
        <w:t xml:space="preserve">. The result is further reinforced by the parameter estimates of bus route length in an 800m buffer. The presence of bus shelter has a significant impact on ridership and as expected, the impact is positive on ridership. </w:t>
      </w:r>
    </w:p>
    <w:p w14:paraId="7037AFAB" w14:textId="77777777" w:rsidR="00A33B44" w:rsidRDefault="00A33B44" w:rsidP="00413B61">
      <w:pPr>
        <w:autoSpaceDE w:val="0"/>
        <w:autoSpaceDN w:val="0"/>
        <w:adjustRightInd w:val="0"/>
        <w:rPr>
          <w:rFonts w:cs="Times New Roman"/>
          <w:szCs w:val="24"/>
          <w:lang w:val="en-US"/>
        </w:rPr>
      </w:pPr>
    </w:p>
    <w:p w14:paraId="235B289C" w14:textId="77777777" w:rsidR="00A33B44" w:rsidRDefault="00A33B44" w:rsidP="00413B61">
      <w:pPr>
        <w:pStyle w:val="Heading4"/>
      </w:pPr>
      <w:r w:rsidRPr="00415D18">
        <w:t xml:space="preserve">Transportation Infrastructure </w:t>
      </w:r>
      <w:r>
        <w:t>C</w:t>
      </w:r>
      <w:r>
        <w:rPr>
          <w:szCs w:val="24"/>
        </w:rPr>
        <w:t>haracteristics</w:t>
      </w:r>
    </w:p>
    <w:p w14:paraId="7B31BB51" w14:textId="77777777" w:rsidR="00A33B44" w:rsidRDefault="00A33B44" w:rsidP="00413B61">
      <w:pPr>
        <w:rPr>
          <w:rFonts w:cs="Times New Roman"/>
          <w:szCs w:val="24"/>
        </w:rPr>
      </w:pPr>
      <w:r>
        <w:rPr>
          <w:rFonts w:cs="Times New Roman"/>
          <w:szCs w:val="24"/>
        </w:rPr>
        <w:t>Several transportation infrastructure variables affect boarding and alighting including sidewalk length in a 400m buffer, secondary highway road length in an 800m buffer and local road length in an 800m buffer. All the three variables have a positive impact on ridership. The results are intuitive. In the presence of sidewalk, transit riders have easy access to bus stops and are more likely to use transit in their presence. The presence of secondary highway and local roads is more conducive to transit ridership as opposed to major highways. Also, these roads connect transit riders to the residences (local roads) and potential destinations (secondary highways connecting to jobs and activities).</w:t>
      </w:r>
    </w:p>
    <w:p w14:paraId="3DEBF9AD" w14:textId="77777777" w:rsidR="00A33B44" w:rsidRPr="00415D18" w:rsidRDefault="00A33B44" w:rsidP="00413B61">
      <w:pPr>
        <w:rPr>
          <w:rFonts w:cs="Times New Roman"/>
          <w:szCs w:val="24"/>
        </w:rPr>
      </w:pPr>
    </w:p>
    <w:p w14:paraId="20D64761" w14:textId="77777777" w:rsidR="00A33B44" w:rsidRDefault="00A33B44" w:rsidP="00413B61">
      <w:pPr>
        <w:pStyle w:val="Heading4"/>
      </w:pPr>
      <w:r w:rsidRPr="00415D18">
        <w:t>Built Environment</w:t>
      </w:r>
      <w:r>
        <w:t xml:space="preserve"> </w:t>
      </w:r>
      <w:r w:rsidRPr="009C7F2B">
        <w:t>Attributes</w:t>
      </w:r>
    </w:p>
    <w:p w14:paraId="577D0C6F" w14:textId="03BEF1A8" w:rsidR="00A33B44" w:rsidRPr="00415D18" w:rsidRDefault="00A33B44" w:rsidP="00413B61">
      <w:pPr>
        <w:rPr>
          <w:rFonts w:cs="Times New Roman"/>
          <w:szCs w:val="24"/>
        </w:rPr>
      </w:pPr>
      <w:r>
        <w:rPr>
          <w:rFonts w:cs="Times New Roman"/>
          <w:szCs w:val="24"/>
        </w:rPr>
        <w:t xml:space="preserve">The built environment around a bus stop has a significant influence on bus ridership at the stop level. The presence of office area and the institutional area in 800m buffer within a stop significantly increase the bus ridership in Orlando. The proportion of residential area has positive effect on boarding ridership of 800m buffer, but no impact on alighting ridership. On the other hand, the presence of recreation area within 800m buffer of a stop reduces bus ridership. The distance from the CBD from a bus stop negatively impacts the bus ridership. This is expected because ridership is likely to fall as we move away from CBD. As SunRail was introduced during the study period, we also considered the impact of the commuter rail system on bus ridership. In our analysis, we tested several functional forms. Only the inverse distance from SunRail station to the bus stop – referred to as distance decay function - offered significant parameter for ridership. Specifically, the distance decay function with the interaction of SunRail operation period (from March, 2014) is found to have significant impact in the final specified model. The interaction term indicating that the SunRail influence has a negative coefficient implies that the bus ridership is </w:t>
      </w:r>
      <w:r>
        <w:rPr>
          <w:rFonts w:cs="Times New Roman"/>
          <w:szCs w:val="24"/>
        </w:rPr>
        <w:lastRenderedPageBreak/>
        <w:t>likely to be lower for the stops closer to the SunRail stations.</w:t>
      </w:r>
      <w:r w:rsidRPr="00770931">
        <w:rPr>
          <w:rFonts w:cs="Times New Roman"/>
          <w:szCs w:val="24"/>
        </w:rPr>
        <w:t xml:space="preserve"> </w:t>
      </w:r>
      <w:r>
        <w:rPr>
          <w:rFonts w:cs="Times New Roman"/>
          <w:szCs w:val="24"/>
        </w:rPr>
        <w:t xml:space="preserve">The result is perhaps indicative of the competition between the two transit systems. </w:t>
      </w:r>
    </w:p>
    <w:p w14:paraId="7352E101" w14:textId="77777777" w:rsidR="00A33B44" w:rsidRDefault="00A33B44" w:rsidP="00413B61">
      <w:pPr>
        <w:rPr>
          <w:rFonts w:cs="Times New Roman"/>
          <w:szCs w:val="24"/>
        </w:rPr>
      </w:pPr>
    </w:p>
    <w:p w14:paraId="4D8EC5AB" w14:textId="77777777" w:rsidR="00A33B44" w:rsidRDefault="00A33B44" w:rsidP="00413B61">
      <w:pPr>
        <w:pStyle w:val="Heading4"/>
      </w:pPr>
      <w:r>
        <w:t>D</w:t>
      </w:r>
      <w:r w:rsidRPr="00415D18">
        <w:t xml:space="preserve">emographic and Socioeconomic </w:t>
      </w:r>
      <w:r>
        <w:t>C</w:t>
      </w:r>
      <w:r>
        <w:rPr>
          <w:szCs w:val="24"/>
        </w:rPr>
        <w:t>haracteristics</w:t>
      </w:r>
    </w:p>
    <w:p w14:paraId="794216F2" w14:textId="65564215" w:rsidR="00A33B44" w:rsidRDefault="00A33B44" w:rsidP="00413B61">
      <w:pPr>
        <w:rPr>
          <w:rFonts w:cs="Times New Roman"/>
          <w:szCs w:val="24"/>
        </w:rPr>
      </w:pPr>
      <w:r>
        <w:rPr>
          <w:rFonts w:cs="Times New Roman"/>
          <w:szCs w:val="24"/>
        </w:rPr>
        <w:t xml:space="preserve">The demographic and socioeconomic variables based on census tract of the bus stop significantly affect bus ridership in Orlando. Specifically, an increased share of rented household in Orlando is likely to increase bus ridership. The automobile ownership variable defined as household with no vehicle has a positive impact on ridership. The result is expected as these individuals are likely to be captive riders and mostly rely on public transportation. </w:t>
      </w:r>
    </w:p>
    <w:p w14:paraId="39321963" w14:textId="262AB0A5" w:rsidR="00A53D88" w:rsidRDefault="00A53D88" w:rsidP="00413B61">
      <w:pPr>
        <w:rPr>
          <w:rFonts w:cs="Times New Roman"/>
          <w:szCs w:val="24"/>
        </w:rPr>
      </w:pPr>
    </w:p>
    <w:p w14:paraId="1D72DD71" w14:textId="4480442A" w:rsidR="00A53D88" w:rsidRPr="00F9012C" w:rsidRDefault="00A53D88" w:rsidP="00413B61">
      <w:pPr>
        <w:rPr>
          <w:rFonts w:cs="Times New Roman"/>
          <w:i/>
          <w:szCs w:val="24"/>
          <w:lang w:val="en-US"/>
        </w:rPr>
      </w:pPr>
      <w:r w:rsidRPr="00F9012C">
        <w:rPr>
          <w:rFonts w:cs="Times New Roman"/>
          <w:i/>
          <w:szCs w:val="24"/>
          <w:lang w:val="en-US"/>
        </w:rPr>
        <w:t xml:space="preserve">Alternative </w:t>
      </w:r>
      <w:r w:rsidR="00F9012C" w:rsidRPr="00F9012C">
        <w:rPr>
          <w:rFonts w:cs="Times New Roman"/>
          <w:i/>
          <w:szCs w:val="24"/>
          <w:lang w:val="en-US"/>
        </w:rPr>
        <w:t xml:space="preserve">Specific Effects </w:t>
      </w:r>
      <w:r w:rsidRPr="00F9012C">
        <w:rPr>
          <w:rFonts w:cs="Times New Roman"/>
          <w:i/>
          <w:szCs w:val="24"/>
          <w:lang w:val="en-US"/>
        </w:rPr>
        <w:t xml:space="preserve">for </w:t>
      </w:r>
      <w:r w:rsidR="00F9012C" w:rsidRPr="00F9012C">
        <w:rPr>
          <w:rFonts w:cs="Times New Roman"/>
          <w:i/>
          <w:szCs w:val="24"/>
          <w:lang w:val="en-US"/>
        </w:rPr>
        <w:t>Ridership Component</w:t>
      </w:r>
    </w:p>
    <w:p w14:paraId="0231B266" w14:textId="6E99AD97" w:rsidR="00A53D88" w:rsidRDefault="00F87128" w:rsidP="00413B61">
      <w:pPr>
        <w:rPr>
          <w:rFonts w:eastAsia="Times New Roman" w:cs="Times New Roman"/>
          <w:szCs w:val="24"/>
          <w:lang w:val="en-US"/>
        </w:rPr>
      </w:pPr>
      <w:r>
        <w:rPr>
          <w:rFonts w:cs="Times New Roman"/>
          <w:szCs w:val="24"/>
          <w:lang w:val="en-US"/>
        </w:rPr>
        <w:t xml:space="preserve">In the ridership components, the alternative specific </w:t>
      </w:r>
      <w:r w:rsidR="00F9012C">
        <w:rPr>
          <w:rFonts w:cs="Times New Roman"/>
          <w:szCs w:val="24"/>
          <w:lang w:val="en-US"/>
        </w:rPr>
        <w:t xml:space="preserve">impacts </w:t>
      </w:r>
      <w:r>
        <w:rPr>
          <w:rFonts w:cs="Times New Roman"/>
          <w:szCs w:val="24"/>
          <w:lang w:val="en-US"/>
        </w:rPr>
        <w:t>were examined for a subset of the alternatives (denoted as</w:t>
      </w:r>
      <w:r w:rsidRPr="00F87128">
        <w:rPr>
          <w:rFonts w:cs="Times New Roman"/>
          <w:szCs w:val="24"/>
          <w:lang w:val="en-US"/>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ρ</m:t>
            </m:r>
          </m:e>
          <m:sub>
            <m:r>
              <w:rPr>
                <w:rFonts w:ascii="Cambria Math" w:eastAsia="Times New Roman" w:hAnsi="Cambria Math" w:cs="Times New Roman"/>
                <w:szCs w:val="24"/>
              </w:rPr>
              <m:t>j</m:t>
            </m:r>
          </m:sub>
        </m:sSub>
      </m:oMath>
      <w:r w:rsidRPr="00F9012C">
        <w:rPr>
          <w:rFonts w:eastAsia="Times New Roman" w:cs="Times New Roman"/>
          <w:szCs w:val="24"/>
        </w:rPr>
        <w:t xml:space="preserve"> and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τ</m:t>
            </m:r>
          </m:e>
          <m:sub>
            <m:r>
              <w:rPr>
                <w:rFonts w:ascii="Cambria Math" w:eastAsia="Times New Roman" w:hAnsi="Cambria Math" w:cs="Times New Roman"/>
                <w:szCs w:val="24"/>
              </w:rPr>
              <m:t>j</m:t>
            </m:r>
          </m:sub>
        </m:sSub>
      </m:oMath>
      <w:r>
        <w:rPr>
          <w:rFonts w:eastAsia="Times New Roman" w:cs="Times New Roman"/>
          <w:szCs w:val="24"/>
          <w:lang w:val="en-US"/>
        </w:rPr>
        <w:t>). In both components, constant for first two categories offered statistically significant results improving the data fit. These parameters do not have any specific interpretations except to serve as intercepts.</w:t>
      </w:r>
    </w:p>
    <w:p w14:paraId="10EBEF2C" w14:textId="51424BBF" w:rsidR="00F87128" w:rsidRDefault="00F87128" w:rsidP="00413B61">
      <w:pPr>
        <w:rPr>
          <w:rFonts w:eastAsia="Times New Roman" w:cs="Times New Roman"/>
          <w:szCs w:val="24"/>
          <w:lang w:val="en-US"/>
        </w:rPr>
      </w:pPr>
    </w:p>
    <w:p w14:paraId="1ADDAFFC" w14:textId="2B40EC52" w:rsidR="00F87128" w:rsidRPr="00F9012C" w:rsidRDefault="00F87128" w:rsidP="00413B61">
      <w:pPr>
        <w:rPr>
          <w:rFonts w:cs="Times New Roman"/>
          <w:i/>
          <w:szCs w:val="24"/>
          <w:lang w:val="en-US"/>
        </w:rPr>
      </w:pPr>
      <w:r w:rsidRPr="00F9012C">
        <w:rPr>
          <w:rFonts w:cs="Times New Roman"/>
          <w:i/>
          <w:szCs w:val="24"/>
          <w:lang w:val="en-US"/>
        </w:rPr>
        <w:t>V</w:t>
      </w:r>
      <w:r w:rsidR="00A53D88" w:rsidRPr="00F9012C">
        <w:rPr>
          <w:rFonts w:cs="Times New Roman"/>
          <w:i/>
          <w:szCs w:val="24"/>
          <w:lang w:val="en-US"/>
        </w:rPr>
        <w:t xml:space="preserve">ariance </w:t>
      </w:r>
      <w:r w:rsidR="00F9012C" w:rsidRPr="00F9012C">
        <w:rPr>
          <w:rFonts w:cs="Times New Roman"/>
          <w:i/>
          <w:szCs w:val="24"/>
          <w:lang w:val="en-US"/>
        </w:rPr>
        <w:t xml:space="preserve">Parameters </w:t>
      </w:r>
      <w:r w:rsidR="00A53D88" w:rsidRPr="00F9012C">
        <w:rPr>
          <w:rFonts w:cs="Times New Roman"/>
          <w:i/>
          <w:szCs w:val="24"/>
          <w:lang w:val="en-US"/>
        </w:rPr>
        <w:t xml:space="preserve">for </w:t>
      </w:r>
      <w:r w:rsidR="00F9012C" w:rsidRPr="00F9012C">
        <w:rPr>
          <w:rFonts w:cs="Times New Roman"/>
          <w:i/>
          <w:szCs w:val="24"/>
          <w:lang w:val="en-US"/>
        </w:rPr>
        <w:t xml:space="preserve">Ridership Component </w:t>
      </w:r>
    </w:p>
    <w:p w14:paraId="627D1DD8" w14:textId="5C6CF175" w:rsidR="00F87128" w:rsidRDefault="00F87128" w:rsidP="00413B61">
      <w:pPr>
        <w:rPr>
          <w:rFonts w:cs="Times New Roman"/>
          <w:szCs w:val="24"/>
          <w:lang w:val="en-US"/>
        </w:rPr>
      </w:pPr>
      <w:r>
        <w:rPr>
          <w:rFonts w:cs="Times New Roman"/>
          <w:szCs w:val="24"/>
          <w:lang w:val="en-US"/>
        </w:rPr>
        <w:t xml:space="preserve">As described in the methodology section, the proposed model framework relaxes the assumption that the error terms </w:t>
      </w:r>
      <m:oMath>
        <m:sSub>
          <m:sSubPr>
            <m:ctrlPr>
              <w:rPr>
                <w:rFonts w:ascii="Cambria Math" w:eastAsia="Times New Roman" w:hAnsi="Cambria Math" w:cs="Vrinda"/>
                <w:i/>
              </w:rPr>
            </m:ctrlPr>
          </m:sSubPr>
          <m:e>
            <m:r>
              <w:rPr>
                <w:rFonts w:ascii="Cambria Math" w:eastAsia="Times New Roman" w:hAnsi="Cambria Math"/>
              </w:rPr>
              <m:t>ε</m:t>
            </m:r>
          </m:e>
          <m:sub>
            <m:r>
              <w:rPr>
                <w:rFonts w:ascii="Cambria Math" w:eastAsia="Times New Roman" w:hAnsi="Cambria Math"/>
              </w:rPr>
              <m:t>qt</m:t>
            </m:r>
          </m:sub>
        </m:sSub>
        <m:r>
          <w:rPr>
            <w:rFonts w:ascii="Cambria Math" w:eastAsia="Times New Roman" w:hAnsi="Cambria Math" w:cs="Vrinda"/>
          </w:rPr>
          <m:t xml:space="preserve">,  </m:t>
        </m:r>
        <m:sSub>
          <m:sSubPr>
            <m:ctrlPr>
              <w:rPr>
                <w:rFonts w:ascii="Cambria Math" w:eastAsia="Times New Roman" w:hAnsi="Cambria Math" w:cs="Vrinda"/>
                <w:i/>
              </w:rPr>
            </m:ctrlPr>
          </m:sSubPr>
          <m:e>
            <m:r>
              <w:rPr>
                <w:rFonts w:ascii="Cambria Math" w:eastAsia="Times New Roman" w:hAnsi="Cambria Math"/>
              </w:rPr>
              <m:t>ξ</m:t>
            </m:r>
          </m:e>
          <m:sub>
            <m:r>
              <w:rPr>
                <w:rFonts w:ascii="Cambria Math" w:eastAsia="Times New Roman" w:hAnsi="Cambria Math"/>
              </w:rPr>
              <m:t>qt</m:t>
            </m:r>
          </m:sub>
        </m:sSub>
      </m:oMath>
      <w:r w:rsidRPr="00B57A42">
        <w:rPr>
          <w:rFonts w:eastAsiaTheme="minorEastAsia"/>
        </w:rPr>
        <w:t xml:space="preserve"> </w:t>
      </w:r>
      <w:r>
        <w:rPr>
          <w:rFonts w:cs="Times New Roman"/>
          <w:szCs w:val="24"/>
          <w:lang w:val="en-US"/>
        </w:rPr>
        <w:t xml:space="preserve">are standard logistically distributed. Hence, the standard deviation of the error terms estimated are reported. </w:t>
      </w:r>
      <w:r w:rsidR="00C91768">
        <w:rPr>
          <w:rFonts w:cs="Times New Roman"/>
          <w:szCs w:val="24"/>
          <w:lang w:val="en-US"/>
        </w:rPr>
        <w:t xml:space="preserve">While we tested for several variables in the parameterization only the constant variable was statistically significant. </w:t>
      </w:r>
    </w:p>
    <w:p w14:paraId="737AB0DA" w14:textId="77777777" w:rsidR="00F87128" w:rsidRDefault="00F87128" w:rsidP="00413B61">
      <w:pPr>
        <w:rPr>
          <w:rFonts w:cs="Times New Roman"/>
          <w:szCs w:val="24"/>
          <w:lang w:val="en-US"/>
        </w:rPr>
      </w:pPr>
    </w:p>
    <w:p w14:paraId="4EC783B4" w14:textId="6840622E" w:rsidR="00A53D88" w:rsidRPr="00F9012C" w:rsidRDefault="00C91768" w:rsidP="00413B61">
      <w:pPr>
        <w:rPr>
          <w:rFonts w:cs="Times New Roman"/>
          <w:i/>
          <w:szCs w:val="24"/>
          <w:lang w:val="en-US"/>
        </w:rPr>
      </w:pPr>
      <w:r w:rsidRPr="00F9012C">
        <w:rPr>
          <w:rFonts w:cs="Times New Roman"/>
          <w:i/>
          <w:szCs w:val="24"/>
          <w:lang w:val="en-US"/>
        </w:rPr>
        <w:t>J</w:t>
      </w:r>
      <w:r w:rsidR="00A53D88" w:rsidRPr="00F9012C">
        <w:rPr>
          <w:rFonts w:cs="Times New Roman"/>
          <w:i/>
          <w:szCs w:val="24"/>
          <w:lang w:val="en-US"/>
        </w:rPr>
        <w:t xml:space="preserve">oint </w:t>
      </w:r>
      <w:r w:rsidR="00A06719" w:rsidRPr="00F9012C">
        <w:rPr>
          <w:rFonts w:cs="Times New Roman"/>
          <w:i/>
          <w:szCs w:val="24"/>
          <w:lang w:val="en-US"/>
        </w:rPr>
        <w:t xml:space="preserve">Common Unobserved Factors </w:t>
      </w:r>
      <w:r w:rsidRPr="00F9012C">
        <w:rPr>
          <w:rFonts w:cs="Times New Roman"/>
          <w:i/>
          <w:szCs w:val="24"/>
          <w:lang w:val="en-US"/>
        </w:rPr>
        <w:t>(Endogeneity)</w:t>
      </w:r>
    </w:p>
    <w:p w14:paraId="3F668359" w14:textId="4F426FAA" w:rsidR="00C91768" w:rsidRDefault="00B76854" w:rsidP="00A06719">
      <w:pPr>
        <w:rPr>
          <w:rFonts w:cs="Times New Roman"/>
          <w:szCs w:val="24"/>
        </w:rPr>
      </w:pPr>
      <w:r>
        <w:rPr>
          <w:rFonts w:cs="Times New Roman"/>
          <w:szCs w:val="24"/>
        </w:rPr>
        <w:t xml:space="preserve">The last </w:t>
      </w:r>
      <w:r w:rsidR="00A06719">
        <w:rPr>
          <w:rFonts w:cs="Times New Roman"/>
          <w:szCs w:val="24"/>
        </w:rPr>
        <w:t xml:space="preserve">row </w:t>
      </w:r>
      <w:r>
        <w:rPr>
          <w:rFonts w:cs="Times New Roman"/>
          <w:szCs w:val="24"/>
        </w:rPr>
        <w:t xml:space="preserve">panel of results in Table 3 provide the estimates for joint common unobserved factors </w:t>
      </w:r>
      <m:oMath>
        <m:r>
          <w:rPr>
            <w:rFonts w:ascii="Cambria Math" w:hAnsi="Cambria Math" w:cs="Times New Roman"/>
            <w:szCs w:val="24"/>
          </w:rPr>
          <m:t>(</m:t>
        </m:r>
        <m:sSub>
          <m:sSubPr>
            <m:ctrlPr>
              <w:rPr>
                <w:rFonts w:ascii="Cambria Math" w:eastAsia="Times New Roman" w:hAnsi="Cambria Math" w:cs="Vrinda"/>
                <w:i/>
                <w:szCs w:val="24"/>
              </w:rPr>
            </m:ctrlPr>
          </m:sSubPr>
          <m:e>
            <m:r>
              <w:rPr>
                <w:rFonts w:ascii="Cambria Math" w:eastAsia="Times New Roman" w:hAnsi="Cambria Math"/>
                <w:szCs w:val="24"/>
              </w:rPr>
              <m:t>η'</m:t>
            </m:r>
          </m:e>
          <m:sub>
            <m:r>
              <w:rPr>
                <w:rFonts w:ascii="Cambria Math" w:eastAsia="Times New Roman" w:hAnsi="Cambria Math"/>
                <w:szCs w:val="24"/>
              </w:rPr>
              <m:t>q</m:t>
            </m:r>
          </m:sub>
        </m:sSub>
        <m:r>
          <w:rPr>
            <w:rFonts w:ascii="Cambria Math" w:eastAsia="Times New Roman" w:hAnsi="Cambria Math" w:cs="Vrinda"/>
            <w:szCs w:val="24"/>
          </w:rPr>
          <m:t xml:space="preserve">) </m:t>
        </m:r>
      </m:oMath>
      <w:r>
        <w:rPr>
          <w:rFonts w:cs="Times New Roman"/>
          <w:szCs w:val="24"/>
        </w:rPr>
        <w:t xml:space="preserve">affecting the three dependent variables. The endogeneity impact is captured through two variables – a constant and route length in 800 m buffer. </w:t>
      </w:r>
      <w:r w:rsidR="000E6BF9">
        <w:rPr>
          <w:rFonts w:cs="Times New Roman"/>
          <w:szCs w:val="24"/>
        </w:rPr>
        <w:t>T</w:t>
      </w:r>
      <w:r w:rsidR="00A06719" w:rsidRPr="00A06719">
        <w:rPr>
          <w:rFonts w:cs="Times New Roman"/>
          <w:szCs w:val="24"/>
        </w:rPr>
        <w:t xml:space="preserve">he correlation </w:t>
      </w:r>
      <w:r w:rsidR="000E6BF9">
        <w:rPr>
          <w:rFonts w:cs="Times New Roman"/>
          <w:szCs w:val="24"/>
        </w:rPr>
        <w:t>among</w:t>
      </w:r>
      <w:r w:rsidR="00A06719" w:rsidRPr="00A06719">
        <w:rPr>
          <w:rFonts w:cs="Times New Roman"/>
          <w:szCs w:val="24"/>
        </w:rPr>
        <w:t xml:space="preserve"> the components could be either positive or negative.</w:t>
      </w:r>
      <w:r w:rsidR="00A06719">
        <w:rPr>
          <w:rFonts w:cs="Times New Roman"/>
          <w:szCs w:val="24"/>
        </w:rPr>
        <w:t xml:space="preserve"> </w:t>
      </w:r>
      <w:r w:rsidR="00A06719" w:rsidRPr="00A06719">
        <w:rPr>
          <w:rFonts w:cs="Times New Roman"/>
          <w:szCs w:val="24"/>
        </w:rPr>
        <w:t xml:space="preserve">In our analysis, we found the </w:t>
      </w:r>
      <w:r w:rsidR="00A06719">
        <w:rPr>
          <w:rFonts w:cs="Times New Roman"/>
          <w:szCs w:val="24"/>
        </w:rPr>
        <w:t>negative</w:t>
      </w:r>
      <w:r w:rsidR="00A06719" w:rsidRPr="00A06719">
        <w:rPr>
          <w:rFonts w:cs="Times New Roman"/>
          <w:szCs w:val="24"/>
        </w:rPr>
        <w:t xml:space="preserve"> sign to offer better fit for common correlation. Overall, the</w:t>
      </w:r>
      <w:r w:rsidR="00A06719">
        <w:rPr>
          <w:rFonts w:cs="Times New Roman"/>
          <w:szCs w:val="24"/>
        </w:rPr>
        <w:t xml:space="preserve"> </w:t>
      </w:r>
      <w:r w:rsidR="00A06719" w:rsidRPr="00A06719">
        <w:rPr>
          <w:rFonts w:cs="Times New Roman"/>
          <w:szCs w:val="24"/>
        </w:rPr>
        <w:t xml:space="preserve">results clearly support our hypothesis that common unobserved factors influence the </w:t>
      </w:r>
      <w:r w:rsidR="00A06719">
        <w:rPr>
          <w:rFonts w:cs="Times New Roman"/>
          <w:szCs w:val="24"/>
        </w:rPr>
        <w:t xml:space="preserve">three </w:t>
      </w:r>
      <w:r w:rsidR="00A06719" w:rsidRPr="00A06719">
        <w:rPr>
          <w:rFonts w:cs="Times New Roman"/>
          <w:szCs w:val="24"/>
        </w:rPr>
        <w:t xml:space="preserve">components. </w:t>
      </w:r>
      <w:r>
        <w:rPr>
          <w:rFonts w:cs="Times New Roman"/>
          <w:szCs w:val="24"/>
        </w:rPr>
        <w:t xml:space="preserve">The results indicate that as the bus route length increases the influence of common factors affecting the three dependent variables increases. </w:t>
      </w:r>
    </w:p>
    <w:p w14:paraId="77773C58" w14:textId="77777777" w:rsidR="00A33B44" w:rsidRDefault="00A33B44" w:rsidP="00413B61">
      <w:pPr>
        <w:rPr>
          <w:rFonts w:cs="Times New Roman"/>
          <w:szCs w:val="24"/>
        </w:rPr>
      </w:pPr>
    </w:p>
    <w:p w14:paraId="3452F4AE" w14:textId="77777777" w:rsidR="00A33B44" w:rsidRDefault="00A33B44" w:rsidP="00413B61">
      <w:pPr>
        <w:pStyle w:val="Heading1"/>
        <w:spacing w:before="0" w:after="0"/>
        <w:rPr>
          <w:rFonts w:cs="Times New Roman"/>
          <w:szCs w:val="24"/>
        </w:rPr>
      </w:pPr>
      <w:r>
        <w:rPr>
          <w:szCs w:val="24"/>
        </w:rPr>
        <w:t>MODEL VALIDATION</w:t>
      </w:r>
    </w:p>
    <w:p w14:paraId="6D8182A9" w14:textId="77777777" w:rsidR="00A33B44" w:rsidRPr="00AE6234" w:rsidRDefault="00A33B44" w:rsidP="00413B61">
      <w:r>
        <w:rPr>
          <w:rFonts w:cs="Times New Roman"/>
        </w:rPr>
        <w:t>The model developed was validated using a hold-out sample. For this purpose, we generated various measures for the hold-out sample with 644 stops (11 records per stop). W</w:t>
      </w:r>
      <w:r w:rsidRPr="00387B0E">
        <w:t>e calculated predictive log-likelihood, Bayesian i</w:t>
      </w:r>
      <w:r>
        <w:t xml:space="preserve">nformation criterion (BIC), </w:t>
      </w:r>
      <w:r w:rsidRPr="00387B0E">
        <w:t xml:space="preserve">Akaike information criterion (AIC) and Corrected Akaike information criterion (AICc) </w:t>
      </w:r>
      <w:r>
        <w:t>measures</w:t>
      </w:r>
      <w:r w:rsidRPr="00387B0E">
        <w:t xml:space="preserve"> to </w:t>
      </w:r>
      <w:r>
        <w:t xml:space="preserve">compare the performance of the estimated independent and joint models. </w:t>
      </w:r>
      <w:r w:rsidRPr="00387B0E">
        <w:t xml:space="preserve">The predictive log-likelihood value for the joint model and independent model are -243,072.04 </w:t>
      </w:r>
      <w:r>
        <w:t>and</w:t>
      </w:r>
      <w:r w:rsidRPr="00387B0E">
        <w:t xml:space="preserve"> -271,401.66</w:t>
      </w:r>
      <w:r>
        <w:t>,</w:t>
      </w:r>
      <w:r w:rsidRPr="00387B0E">
        <w:t xml:space="preserve"> respectively</w:t>
      </w:r>
      <w:r>
        <w:t xml:space="preserve">; </w:t>
      </w:r>
      <w:r w:rsidRPr="00387B0E">
        <w:t>the corresponding BIC value</w:t>
      </w:r>
      <w:r>
        <w:t>s are</w:t>
      </w:r>
      <w:r w:rsidRPr="00387B0E">
        <w:t xml:space="preserve"> 486,640.55 and 543,282.06</w:t>
      </w:r>
      <w:r>
        <w:t>,</w:t>
      </w:r>
      <w:r w:rsidRPr="00387B0E">
        <w:t xml:space="preserve"> respectively. The AIC (AICc) value</w:t>
      </w:r>
      <w:r>
        <w:t>s</w:t>
      </w:r>
      <w:r w:rsidRPr="00387B0E">
        <w:t xml:space="preserve"> for the joint and independent model</w:t>
      </w:r>
      <w:r>
        <w:t>s</w:t>
      </w:r>
      <w:r w:rsidRPr="00387B0E">
        <w:t xml:space="preserve"> are 486,256.08 (486,256.54) and 542,911.32 (542,911.75) respectively</w:t>
      </w:r>
      <w:r>
        <w:t xml:space="preserve">. All of these measures clearly highlight that the improvement in the joint model is not a manifestation of over fitting, and further supports our hypothesis that headway is endogenous to ridership components in the current study context. </w:t>
      </w:r>
    </w:p>
    <w:p w14:paraId="1C7E8A3A" w14:textId="77777777" w:rsidR="00A33B44" w:rsidRDefault="00A33B44" w:rsidP="00413B61">
      <w:pPr>
        <w:rPr>
          <w:rFonts w:cs="Times New Roman"/>
          <w:szCs w:val="24"/>
        </w:rPr>
      </w:pPr>
    </w:p>
    <w:p w14:paraId="3D899E39" w14:textId="77777777" w:rsidR="00A33B44" w:rsidRDefault="00A33B44" w:rsidP="00413B61">
      <w:pPr>
        <w:pStyle w:val="Heading1"/>
        <w:spacing w:before="0" w:after="0"/>
        <w:rPr>
          <w:rFonts w:cs="Times New Roman"/>
          <w:szCs w:val="24"/>
        </w:rPr>
      </w:pPr>
      <w:r>
        <w:rPr>
          <w:szCs w:val="24"/>
        </w:rPr>
        <w:lastRenderedPageBreak/>
        <w:t>POLICY ANALYSIS</w:t>
      </w:r>
    </w:p>
    <w:p w14:paraId="6387D1AA" w14:textId="342AB427" w:rsidR="00A33B44" w:rsidRDefault="00A33B44" w:rsidP="00413B61">
      <w:pPr>
        <w:rPr>
          <w:rFonts w:cs="Times New Roman"/>
          <w:szCs w:val="24"/>
        </w:rPr>
      </w:pPr>
      <w:r>
        <w:rPr>
          <w:rFonts w:cs="Times New Roman"/>
          <w:szCs w:val="24"/>
        </w:rPr>
        <w:t>To illustrate the influence of headway endogeneity, w</w:t>
      </w:r>
      <w:r w:rsidRPr="00C11589">
        <w:rPr>
          <w:rFonts w:cs="Times New Roman"/>
          <w:szCs w:val="24"/>
        </w:rPr>
        <w:t>e investigate change in boarding and alighting ridership</w:t>
      </w:r>
      <w:r>
        <w:rPr>
          <w:rFonts w:cs="Times New Roman"/>
          <w:szCs w:val="24"/>
        </w:rPr>
        <w:t xml:space="preserve"> categories</w:t>
      </w:r>
      <w:r w:rsidRPr="00C11589">
        <w:rPr>
          <w:rFonts w:cs="Times New Roman"/>
          <w:szCs w:val="24"/>
        </w:rPr>
        <w:t xml:space="preserve"> by changing various </w:t>
      </w:r>
      <w:r>
        <w:rPr>
          <w:rFonts w:cs="Times New Roman"/>
          <w:szCs w:val="24"/>
        </w:rPr>
        <w:t>independent</w:t>
      </w:r>
      <w:r w:rsidRPr="00C11589">
        <w:rPr>
          <w:rFonts w:cs="Times New Roman"/>
          <w:szCs w:val="24"/>
        </w:rPr>
        <w:t xml:space="preserve"> variables</w:t>
      </w:r>
      <w:r>
        <w:rPr>
          <w:rFonts w:cs="Times New Roman"/>
          <w:szCs w:val="24"/>
        </w:rPr>
        <w:t xml:space="preserve"> for independent and joint models</w:t>
      </w:r>
      <w:r w:rsidRPr="00C11589">
        <w:rPr>
          <w:rFonts w:cs="Times New Roman"/>
          <w:szCs w:val="24"/>
        </w:rPr>
        <w:t xml:space="preserve">. </w:t>
      </w:r>
      <w:r>
        <w:rPr>
          <w:rFonts w:cs="Times New Roman"/>
          <w:szCs w:val="24"/>
        </w:rPr>
        <w:t xml:space="preserve">The variables considered in our exercise include the number of zero vehicle households, </w:t>
      </w:r>
      <w:r w:rsidRPr="00C11589">
        <w:rPr>
          <w:rFonts w:cs="Times New Roman"/>
          <w:szCs w:val="24"/>
        </w:rPr>
        <w:t xml:space="preserve">length of sidewalk in </w:t>
      </w:r>
      <w:r>
        <w:rPr>
          <w:rFonts w:cs="Times New Roman"/>
          <w:szCs w:val="24"/>
        </w:rPr>
        <w:t xml:space="preserve">a </w:t>
      </w:r>
      <w:r w:rsidRPr="00C11589">
        <w:rPr>
          <w:rFonts w:cs="Times New Roman"/>
          <w:szCs w:val="24"/>
        </w:rPr>
        <w:t>400m buffer,</w:t>
      </w:r>
      <w:r>
        <w:rPr>
          <w:rFonts w:cs="Times New Roman"/>
          <w:szCs w:val="24"/>
        </w:rPr>
        <w:t xml:space="preserve"> number of rented households</w:t>
      </w:r>
      <w:r w:rsidRPr="00C11589">
        <w:rPr>
          <w:rFonts w:cs="Times New Roman"/>
          <w:szCs w:val="24"/>
        </w:rPr>
        <w:t xml:space="preserve">, </w:t>
      </w:r>
      <w:r>
        <w:rPr>
          <w:rFonts w:cs="Times New Roman"/>
          <w:szCs w:val="24"/>
        </w:rPr>
        <w:t xml:space="preserve">presence of shelter at the bus stop, change to the headway category, institutional area and </w:t>
      </w:r>
      <w:r w:rsidRPr="00C11589">
        <w:rPr>
          <w:rFonts w:cs="Times New Roman"/>
          <w:szCs w:val="24"/>
        </w:rPr>
        <w:t xml:space="preserve">residential area in </w:t>
      </w:r>
      <w:r>
        <w:rPr>
          <w:rFonts w:cs="Times New Roman"/>
          <w:szCs w:val="24"/>
        </w:rPr>
        <w:t xml:space="preserve">an </w:t>
      </w:r>
      <w:r w:rsidRPr="00C11589">
        <w:rPr>
          <w:rFonts w:cs="Times New Roman"/>
          <w:szCs w:val="24"/>
        </w:rPr>
        <w:t>800m buffer</w:t>
      </w:r>
      <w:r>
        <w:rPr>
          <w:rFonts w:cs="Times New Roman"/>
          <w:szCs w:val="24"/>
        </w:rPr>
        <w:t xml:space="preserve">. For our analysis, we consider a 25% increase in all variables except residential area. For residential area, we consider 10% increase </w:t>
      </w:r>
      <w:r w:rsidRPr="00C11589">
        <w:rPr>
          <w:rFonts w:cs="Times New Roman"/>
          <w:szCs w:val="24"/>
        </w:rPr>
        <w:t xml:space="preserve">in </w:t>
      </w:r>
      <w:r>
        <w:rPr>
          <w:rFonts w:cs="Times New Roman"/>
          <w:szCs w:val="24"/>
        </w:rPr>
        <w:t xml:space="preserve">an </w:t>
      </w:r>
      <w:r w:rsidRPr="00C11589">
        <w:rPr>
          <w:rFonts w:cs="Times New Roman"/>
          <w:szCs w:val="24"/>
        </w:rPr>
        <w:t>800m buffer</w:t>
      </w:r>
      <w:r>
        <w:rPr>
          <w:rFonts w:cs="Times New Roman"/>
          <w:szCs w:val="24"/>
        </w:rPr>
        <w:t xml:space="preserve"> variable. For headway variable, we randomly changed headway for 25% of the stops from category 2 to category 3 (i.e. increased headway for some randomly selected stops). Based on these new variable values, a</w:t>
      </w:r>
      <w:r w:rsidRPr="00C11589">
        <w:rPr>
          <w:rFonts w:cs="Times New Roman"/>
          <w:szCs w:val="24"/>
        </w:rPr>
        <w:t xml:space="preserve">n elasticity analysis </w:t>
      </w:r>
      <w:r>
        <w:rPr>
          <w:rFonts w:cs="Times New Roman"/>
          <w:szCs w:val="24"/>
        </w:rPr>
        <w:t xml:space="preserve">is </w:t>
      </w:r>
      <w:r w:rsidRPr="00C11589">
        <w:rPr>
          <w:rFonts w:cs="Times New Roman"/>
          <w:szCs w:val="24"/>
        </w:rPr>
        <w:t xml:space="preserve">performed </w:t>
      </w:r>
      <w:r>
        <w:rPr>
          <w:rFonts w:cs="Times New Roman"/>
          <w:szCs w:val="24"/>
        </w:rPr>
        <w:t xml:space="preserve">(see </w:t>
      </w:r>
      <w:r>
        <w:rPr>
          <w:rFonts w:cs="Times New Roman"/>
          <w:noProof/>
          <w:szCs w:val="24"/>
        </w:rPr>
        <w:t>Eluru and Bhat 2007</w:t>
      </w:r>
      <w:r w:rsidRPr="00C11589">
        <w:rPr>
          <w:rFonts w:cs="Times New Roman"/>
          <w:szCs w:val="24"/>
        </w:rPr>
        <w:t xml:space="preserve"> for a discussion on the methodology for computing elasticities). The results for the </w:t>
      </w:r>
      <w:r>
        <w:rPr>
          <w:rFonts w:cs="Times New Roman"/>
          <w:szCs w:val="24"/>
        </w:rPr>
        <w:t xml:space="preserve">elasticity effects </w:t>
      </w:r>
      <w:r w:rsidRPr="00C11589">
        <w:rPr>
          <w:rFonts w:cs="Times New Roman"/>
          <w:szCs w:val="24"/>
        </w:rPr>
        <w:t>across</w:t>
      </w:r>
      <w:r>
        <w:rPr>
          <w:rFonts w:cs="Times New Roman"/>
          <w:szCs w:val="24"/>
        </w:rPr>
        <w:t xml:space="preserve"> different ridership categories are </w:t>
      </w:r>
      <w:r w:rsidRPr="00C11589">
        <w:rPr>
          <w:rFonts w:cs="Times New Roman"/>
          <w:szCs w:val="24"/>
        </w:rPr>
        <w:t>presented in</w:t>
      </w:r>
      <w:r>
        <w:rPr>
          <w:rFonts w:cs="Times New Roman"/>
          <w:szCs w:val="24"/>
        </w:rPr>
        <w:t xml:space="preserve"> Table </w:t>
      </w:r>
      <w:r w:rsidR="004D2014">
        <w:rPr>
          <w:rFonts w:cs="Times New Roman"/>
          <w:szCs w:val="24"/>
        </w:rPr>
        <w:t>4</w:t>
      </w:r>
      <w:r>
        <w:rPr>
          <w:rFonts w:cs="Times New Roman"/>
          <w:szCs w:val="24"/>
        </w:rPr>
        <w:t xml:space="preserve"> for boardings and alightings for both independent and joint models</w:t>
      </w:r>
      <w:r w:rsidRPr="00C11589">
        <w:rPr>
          <w:rFonts w:cs="Times New Roman"/>
          <w:szCs w:val="24"/>
        </w:rPr>
        <w:t xml:space="preserve">. </w:t>
      </w:r>
      <w:r w:rsidRPr="00D73F1B">
        <w:rPr>
          <w:rFonts w:cs="Times New Roman"/>
          <w:szCs w:val="24"/>
        </w:rPr>
        <w:t xml:space="preserve">The numbers in Table </w:t>
      </w:r>
      <w:r>
        <w:rPr>
          <w:rFonts w:cs="Times New Roman"/>
          <w:szCs w:val="24"/>
        </w:rPr>
        <w:t>4</w:t>
      </w:r>
      <w:r w:rsidRPr="00D73F1B">
        <w:rPr>
          <w:rFonts w:cs="Times New Roman"/>
          <w:szCs w:val="24"/>
        </w:rPr>
        <w:t xml:space="preserve"> may be</w:t>
      </w:r>
      <w:r w:rsidRPr="001B2228">
        <w:rPr>
          <w:rFonts w:cs="Times New Roman"/>
          <w:szCs w:val="24"/>
        </w:rPr>
        <w:t xml:space="preserve"> interpreted as the percentage change in </w:t>
      </w:r>
      <w:r>
        <w:rPr>
          <w:rFonts w:cs="Times New Roman"/>
          <w:szCs w:val="24"/>
        </w:rPr>
        <w:t>each ridership categories</w:t>
      </w:r>
      <w:r w:rsidRPr="001B2228">
        <w:rPr>
          <w:rFonts w:cs="Times New Roman"/>
          <w:szCs w:val="24"/>
        </w:rPr>
        <w:t xml:space="preserve"> due to the change in exogenous variable. </w:t>
      </w:r>
      <w:r>
        <w:rPr>
          <w:rFonts w:cs="Times New Roman"/>
          <w:szCs w:val="24"/>
        </w:rPr>
        <w:t xml:space="preserve">Several observations can be made from Table 4. First, the elasticity estimates obtained for all variables are significantly different for the independent and the joint model. The elasticity comparison highlights how ignoring the presence of headway endogeneity could result in incorrect estimates and elasticities for headway and other independent variables. Second, sidewalk length, number of rented households and presence of shelter have positive impact on ridership. The changes in these variables is likely to increase the ridership significantly. Third, as expected, change of headway category for category 2 to category 3 has a negative impact on ridership. Finally, the policy analysis illustrates how any potential change to independent variables can be analyzed using the proposed model framework. </w:t>
      </w:r>
    </w:p>
    <w:p w14:paraId="31BCF9F3" w14:textId="77777777" w:rsidR="00030437" w:rsidRDefault="00A33B44" w:rsidP="00413B61">
      <w:pPr>
        <w:rPr>
          <w:color w:val="212121"/>
          <w:shd w:val="clear" w:color="auto" w:fill="FFFFFF"/>
        </w:rPr>
        <w:sectPr w:rsidR="00030437" w:rsidSect="009B637B">
          <w:headerReference w:type="default" r:id="rId13"/>
          <w:headerReference w:type="first" r:id="rId14"/>
          <w:pgSz w:w="12240" w:h="15840"/>
          <w:pgMar w:top="1440" w:right="1440" w:bottom="1440" w:left="1440" w:header="708" w:footer="708" w:gutter="0"/>
          <w:pgNumType w:start="18"/>
          <w:cols w:space="708"/>
          <w:docGrid w:linePitch="360"/>
        </w:sectPr>
      </w:pPr>
      <w:r>
        <w:rPr>
          <w:rFonts w:cs="Times New Roman"/>
          <w:szCs w:val="24"/>
        </w:rPr>
        <w:tab/>
        <w:t xml:space="preserve">The proposed model structure can also be utilized to predict boardings and alightings after making changes to the independent variables. To illustrate this, we perform a forecasting analysis by considering the change in residential area (10% increase), headway (25% increase in headway category 3 to 2), </w:t>
      </w:r>
      <w:r w:rsidRPr="00C11589">
        <w:rPr>
          <w:rFonts w:cs="Times New Roman"/>
          <w:szCs w:val="24"/>
        </w:rPr>
        <w:t>length of sidewalk</w:t>
      </w:r>
      <w:r>
        <w:rPr>
          <w:rFonts w:cs="Times New Roman"/>
          <w:szCs w:val="24"/>
        </w:rPr>
        <w:t xml:space="preserve"> (25% increase)</w:t>
      </w:r>
      <w:r w:rsidRPr="00C11589">
        <w:rPr>
          <w:rFonts w:cs="Times New Roman"/>
          <w:szCs w:val="24"/>
        </w:rPr>
        <w:t>, bike length</w:t>
      </w:r>
      <w:r>
        <w:rPr>
          <w:rFonts w:cs="Times New Roman"/>
          <w:szCs w:val="24"/>
        </w:rPr>
        <w:t xml:space="preserve"> (25% increase)</w:t>
      </w:r>
      <w:r w:rsidRPr="00C11589">
        <w:rPr>
          <w:rFonts w:cs="Times New Roman"/>
          <w:szCs w:val="24"/>
        </w:rPr>
        <w:t xml:space="preserve">, </w:t>
      </w:r>
      <w:r>
        <w:rPr>
          <w:rFonts w:cs="Times New Roman"/>
          <w:szCs w:val="24"/>
        </w:rPr>
        <w:t xml:space="preserve">and </w:t>
      </w:r>
      <w:r w:rsidRPr="00C11589">
        <w:rPr>
          <w:rFonts w:cs="Times New Roman"/>
          <w:szCs w:val="24"/>
        </w:rPr>
        <w:t xml:space="preserve">zero vehicles household </w:t>
      </w:r>
      <w:r>
        <w:rPr>
          <w:rFonts w:cs="Times New Roman"/>
          <w:szCs w:val="24"/>
        </w:rPr>
        <w:t xml:space="preserve">(25% increase). We consider these variables for the forecasting exercise to reflect transit friendly development and investments. </w:t>
      </w:r>
      <w:r>
        <w:rPr>
          <w:rFonts w:cs="Times New Roman"/>
        </w:rPr>
        <w:t xml:space="preserve">In generating the forecasted ridership categories based on the change in above variables, we identify the ridership categories based on probabilistic assignment by using predicted probabilities computed from the joint model. The probabilities are appropriately aggregated across ridership categories to identify the corresponding bin specific frequencies. For illustration purposes, we plot the ridership categories identified for the observed and forecasted scenarios </w:t>
      </w:r>
      <w:r>
        <w:rPr>
          <w:rFonts w:cs="Times New Roman"/>
          <w:szCs w:val="24"/>
        </w:rPr>
        <w:t xml:space="preserve">for a sample of </w:t>
      </w:r>
      <w:r>
        <w:rPr>
          <w:color w:val="212121"/>
          <w:shd w:val="clear" w:color="auto" w:fill="FFFFFF"/>
        </w:rPr>
        <w:t>200 randomly selected stops</w:t>
      </w:r>
      <w:r>
        <w:rPr>
          <w:rFonts w:cs="Times New Roman"/>
          <w:szCs w:val="24"/>
        </w:rPr>
        <w:t xml:space="preserve">. These plots are presented in Figure 1 (for alighting) and Figure 2 (for boarding). From these figures, it is evident that transit friendly investments have substantial impact on increasing transit ridership providing credence to the rationale that </w:t>
      </w:r>
      <w:r w:rsidRPr="008B0A84">
        <w:rPr>
          <w:rFonts w:cs="Times New Roman"/>
          <w:szCs w:val="24"/>
        </w:rPr>
        <w:t xml:space="preserve">to increase the ridership, service </w:t>
      </w:r>
      <w:r>
        <w:rPr>
          <w:rFonts w:cs="Times New Roman"/>
          <w:szCs w:val="24"/>
        </w:rPr>
        <w:t xml:space="preserve">improvements </w:t>
      </w:r>
      <w:r w:rsidRPr="008B0A84">
        <w:rPr>
          <w:rFonts w:cs="Times New Roman"/>
          <w:szCs w:val="24"/>
        </w:rPr>
        <w:t>related to public transit (improvement of headway</w:t>
      </w:r>
      <w:r>
        <w:rPr>
          <w:rFonts w:cs="Times New Roman"/>
          <w:szCs w:val="24"/>
        </w:rPr>
        <w:t>, sidewalk</w:t>
      </w:r>
      <w:r w:rsidRPr="008B0A84">
        <w:rPr>
          <w:rFonts w:cs="Times New Roman"/>
          <w:szCs w:val="24"/>
        </w:rPr>
        <w:t xml:space="preserve"> and </w:t>
      </w:r>
      <w:r>
        <w:rPr>
          <w:rFonts w:cs="Times New Roman"/>
          <w:szCs w:val="24"/>
        </w:rPr>
        <w:t>addition of shelters</w:t>
      </w:r>
      <w:r w:rsidRPr="008B0A84">
        <w:rPr>
          <w:rFonts w:cs="Times New Roman"/>
          <w:szCs w:val="24"/>
        </w:rPr>
        <w:t>) should be considered.</w:t>
      </w:r>
      <w:r w:rsidRPr="00DD17ED">
        <w:rPr>
          <w:rFonts w:cs="Times New Roman"/>
          <w:szCs w:val="24"/>
        </w:rPr>
        <w:t xml:space="preserve"> </w:t>
      </w:r>
      <w:r>
        <w:rPr>
          <w:color w:val="212121"/>
          <w:shd w:val="clear" w:color="auto" w:fill="FFFFFF"/>
        </w:rPr>
        <w:t>The development of such forecasting scenarios would assist policy makers and transit agencies in identifying ideal locations for transit friendly infrastructure installation</w:t>
      </w:r>
      <w:r w:rsidR="00030437">
        <w:rPr>
          <w:color w:val="212121"/>
          <w:shd w:val="clear" w:color="auto" w:fill="FFFFFF"/>
        </w:rPr>
        <w:t>.</w:t>
      </w:r>
    </w:p>
    <w:p w14:paraId="4D00E4CA" w14:textId="77777777" w:rsidR="00030437" w:rsidRPr="006E672F" w:rsidRDefault="00030437" w:rsidP="00030437">
      <w:pPr>
        <w:pStyle w:val="Caption"/>
        <w:spacing w:after="0"/>
        <w:rPr>
          <w:rFonts w:eastAsiaTheme="minorEastAsia" w:cs="Times New Roman"/>
          <w:b/>
          <w:szCs w:val="24"/>
        </w:rPr>
      </w:pPr>
      <w:r w:rsidRPr="006E672F">
        <w:rPr>
          <w:b/>
          <w:i w:val="0"/>
          <w:color w:val="auto"/>
          <w:sz w:val="24"/>
        </w:rPr>
        <w:lastRenderedPageBreak/>
        <w:t xml:space="preserve">Table </w:t>
      </w:r>
      <w:r>
        <w:rPr>
          <w:b/>
          <w:i w:val="0"/>
          <w:color w:val="auto"/>
          <w:sz w:val="24"/>
        </w:rPr>
        <w:t>4</w:t>
      </w:r>
      <w:r w:rsidRPr="006E672F">
        <w:rPr>
          <w:b/>
          <w:i w:val="0"/>
          <w:color w:val="auto"/>
          <w:sz w:val="24"/>
        </w:rPr>
        <w:t xml:space="preserve"> Policy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808"/>
        <w:gridCol w:w="901"/>
        <w:gridCol w:w="989"/>
        <w:gridCol w:w="899"/>
        <w:gridCol w:w="901"/>
        <w:gridCol w:w="901"/>
        <w:gridCol w:w="899"/>
        <w:gridCol w:w="901"/>
        <w:gridCol w:w="808"/>
        <w:gridCol w:w="811"/>
        <w:gridCol w:w="811"/>
        <w:gridCol w:w="811"/>
        <w:gridCol w:w="987"/>
        <w:gridCol w:w="987"/>
      </w:tblGrid>
      <w:tr w:rsidR="00030437" w:rsidRPr="00746002" w14:paraId="17279174" w14:textId="77777777" w:rsidTr="00C7571A">
        <w:trPr>
          <w:trHeight w:val="660"/>
        </w:trPr>
        <w:tc>
          <w:tcPr>
            <w:tcW w:w="207" w:type="pct"/>
            <w:vMerge w:val="restart"/>
            <w:shd w:val="clear" w:color="auto" w:fill="D9D9D9" w:themeFill="background1" w:themeFillShade="D9"/>
            <w:noWrap/>
            <w:vAlign w:val="center"/>
            <w:hideMark/>
          </w:tcPr>
          <w:p w14:paraId="36560428" w14:textId="77777777"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Bin</w:t>
            </w:r>
          </w:p>
        </w:tc>
        <w:tc>
          <w:tcPr>
            <w:tcW w:w="660" w:type="pct"/>
            <w:gridSpan w:val="2"/>
            <w:shd w:val="clear" w:color="auto" w:fill="D9D9D9" w:themeFill="background1" w:themeFillShade="D9"/>
            <w:vAlign w:val="center"/>
            <w:hideMark/>
          </w:tcPr>
          <w:p w14:paraId="1CEA4627" w14:textId="77777777"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Zero vehicle</w:t>
            </w:r>
            <w:r>
              <w:rPr>
                <w:rFonts w:eastAsia="Times New Roman" w:cs="Times New Roman"/>
                <w:b/>
                <w:bCs/>
                <w:color w:val="000000"/>
                <w:sz w:val="20"/>
                <w:szCs w:val="20"/>
                <w:lang w:val="en-US"/>
              </w:rPr>
              <w:t xml:space="preserve"> </w:t>
            </w:r>
            <w:r w:rsidRPr="00746002">
              <w:rPr>
                <w:rFonts w:eastAsia="Times New Roman" w:cs="Times New Roman"/>
                <w:b/>
                <w:bCs/>
                <w:color w:val="000000"/>
                <w:sz w:val="20"/>
                <w:szCs w:val="20"/>
                <w:lang w:val="en-US"/>
              </w:rPr>
              <w:t>HH 25% Increase</w:t>
            </w:r>
          </w:p>
        </w:tc>
        <w:tc>
          <w:tcPr>
            <w:tcW w:w="729" w:type="pct"/>
            <w:gridSpan w:val="2"/>
            <w:shd w:val="clear" w:color="auto" w:fill="D9D9D9" w:themeFill="background1" w:themeFillShade="D9"/>
            <w:vAlign w:val="center"/>
            <w:hideMark/>
          </w:tcPr>
          <w:p w14:paraId="629214EA"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Sidewalk</w:t>
            </w:r>
            <w:r w:rsidRPr="00746002">
              <w:rPr>
                <w:rFonts w:eastAsia="Times New Roman" w:cs="Times New Roman"/>
                <w:b/>
                <w:bCs/>
                <w:color w:val="000000"/>
                <w:sz w:val="20"/>
                <w:szCs w:val="20"/>
                <w:lang w:val="en-US"/>
              </w:rPr>
              <w:t xml:space="preserve"> 25% increase</w:t>
            </w:r>
          </w:p>
        </w:tc>
        <w:tc>
          <w:tcPr>
            <w:tcW w:w="696" w:type="pct"/>
            <w:gridSpan w:val="2"/>
            <w:shd w:val="clear" w:color="auto" w:fill="D9D9D9" w:themeFill="background1" w:themeFillShade="D9"/>
            <w:vAlign w:val="center"/>
            <w:hideMark/>
          </w:tcPr>
          <w:p w14:paraId="1939518B"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 xml:space="preserve">Rented </w:t>
            </w:r>
            <w:r w:rsidRPr="00746002">
              <w:rPr>
                <w:rFonts w:eastAsia="Times New Roman" w:cs="Times New Roman"/>
                <w:b/>
                <w:bCs/>
                <w:color w:val="000000"/>
                <w:sz w:val="20"/>
                <w:szCs w:val="20"/>
                <w:lang w:val="en-US"/>
              </w:rPr>
              <w:t>HH  25% increase</w:t>
            </w:r>
          </w:p>
        </w:tc>
        <w:tc>
          <w:tcPr>
            <w:tcW w:w="695" w:type="pct"/>
            <w:gridSpan w:val="2"/>
            <w:shd w:val="clear" w:color="auto" w:fill="D9D9D9" w:themeFill="background1" w:themeFillShade="D9"/>
            <w:vAlign w:val="center"/>
            <w:hideMark/>
          </w:tcPr>
          <w:p w14:paraId="46F9F0A0"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 xml:space="preserve">Presence of </w:t>
            </w:r>
            <w:r w:rsidRPr="00746002">
              <w:rPr>
                <w:rFonts w:eastAsia="Times New Roman" w:cs="Times New Roman"/>
                <w:b/>
                <w:bCs/>
                <w:color w:val="000000"/>
                <w:sz w:val="20"/>
                <w:szCs w:val="20"/>
                <w:lang w:val="en-US"/>
              </w:rPr>
              <w:t>Shelter 25% increase</w:t>
            </w:r>
          </w:p>
        </w:tc>
        <w:tc>
          <w:tcPr>
            <w:tcW w:w="625" w:type="pct"/>
            <w:gridSpan w:val="2"/>
            <w:shd w:val="clear" w:color="auto" w:fill="D9D9D9" w:themeFill="background1" w:themeFillShade="D9"/>
            <w:vAlign w:val="center"/>
            <w:hideMark/>
          </w:tcPr>
          <w:p w14:paraId="7D910DA0" w14:textId="654DFD0E"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 xml:space="preserve">25% add to </w:t>
            </w:r>
            <w:r>
              <w:rPr>
                <w:rFonts w:eastAsia="Times New Roman" w:cs="Times New Roman"/>
                <w:b/>
                <w:bCs/>
                <w:color w:val="000000"/>
                <w:sz w:val="20"/>
                <w:szCs w:val="20"/>
                <w:lang w:val="en-US"/>
              </w:rPr>
              <w:t>headway category 2</w:t>
            </w:r>
            <w:r w:rsidRPr="00746002">
              <w:rPr>
                <w:rFonts w:eastAsia="Times New Roman" w:cs="Times New Roman"/>
                <w:b/>
                <w:bCs/>
                <w:color w:val="000000"/>
                <w:sz w:val="20"/>
                <w:szCs w:val="20"/>
                <w:lang w:val="en-US"/>
              </w:rPr>
              <w:t xml:space="preserve"> </w:t>
            </w:r>
            <w:r>
              <w:rPr>
                <w:rFonts w:eastAsia="Times New Roman" w:cs="Times New Roman"/>
                <w:b/>
                <w:bCs/>
                <w:color w:val="000000"/>
                <w:sz w:val="20"/>
                <w:szCs w:val="20"/>
                <w:lang w:val="en-US"/>
              </w:rPr>
              <w:t>from headway category 3</w:t>
            </w:r>
          </w:p>
        </w:tc>
        <w:tc>
          <w:tcPr>
            <w:tcW w:w="626" w:type="pct"/>
            <w:gridSpan w:val="2"/>
            <w:shd w:val="clear" w:color="auto" w:fill="D9D9D9" w:themeFill="background1" w:themeFillShade="D9"/>
            <w:vAlign w:val="center"/>
            <w:hideMark/>
          </w:tcPr>
          <w:p w14:paraId="40C4BBB8" w14:textId="77777777"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Institutional area 25% increase</w:t>
            </w:r>
          </w:p>
        </w:tc>
        <w:tc>
          <w:tcPr>
            <w:tcW w:w="762" w:type="pct"/>
            <w:gridSpan w:val="2"/>
            <w:shd w:val="clear" w:color="auto" w:fill="D9D9D9" w:themeFill="background1" w:themeFillShade="D9"/>
            <w:vAlign w:val="center"/>
            <w:hideMark/>
          </w:tcPr>
          <w:p w14:paraId="566260C7" w14:textId="77777777"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Residential area 10% increase</w:t>
            </w:r>
          </w:p>
        </w:tc>
      </w:tr>
      <w:tr w:rsidR="00030437" w:rsidRPr="00746002" w14:paraId="2D551345" w14:textId="77777777" w:rsidTr="00C7571A">
        <w:trPr>
          <w:trHeight w:val="540"/>
        </w:trPr>
        <w:tc>
          <w:tcPr>
            <w:tcW w:w="207" w:type="pct"/>
            <w:vMerge/>
            <w:shd w:val="clear" w:color="auto" w:fill="D9D9D9" w:themeFill="background1" w:themeFillShade="D9"/>
            <w:vAlign w:val="center"/>
            <w:hideMark/>
          </w:tcPr>
          <w:p w14:paraId="6403DCD7" w14:textId="77777777" w:rsidR="00030437" w:rsidRPr="00746002" w:rsidRDefault="00030437" w:rsidP="00C7571A">
            <w:pPr>
              <w:jc w:val="left"/>
              <w:rPr>
                <w:rFonts w:eastAsia="Times New Roman" w:cs="Times New Roman"/>
                <w:b/>
                <w:bCs/>
                <w:color w:val="000000"/>
                <w:sz w:val="20"/>
                <w:szCs w:val="20"/>
                <w:lang w:val="en-US"/>
              </w:rPr>
            </w:pPr>
          </w:p>
        </w:tc>
        <w:tc>
          <w:tcPr>
            <w:tcW w:w="312" w:type="pct"/>
            <w:shd w:val="clear" w:color="auto" w:fill="D9D9D9" w:themeFill="background1" w:themeFillShade="D9"/>
            <w:vAlign w:val="center"/>
            <w:hideMark/>
          </w:tcPr>
          <w:p w14:paraId="033C0BCF"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48" w:type="pct"/>
            <w:shd w:val="clear" w:color="auto" w:fill="D9D9D9" w:themeFill="background1" w:themeFillShade="D9"/>
            <w:vAlign w:val="center"/>
            <w:hideMark/>
          </w:tcPr>
          <w:p w14:paraId="319DC6A9"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82" w:type="pct"/>
            <w:shd w:val="clear" w:color="auto" w:fill="D9D9D9" w:themeFill="background1" w:themeFillShade="D9"/>
            <w:vAlign w:val="center"/>
            <w:hideMark/>
          </w:tcPr>
          <w:p w14:paraId="0CDB1FA9"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47" w:type="pct"/>
            <w:shd w:val="clear" w:color="auto" w:fill="D9D9D9" w:themeFill="background1" w:themeFillShade="D9"/>
            <w:vAlign w:val="center"/>
            <w:hideMark/>
          </w:tcPr>
          <w:p w14:paraId="4D5A4DD7"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48" w:type="pct"/>
            <w:shd w:val="clear" w:color="auto" w:fill="D9D9D9" w:themeFill="background1" w:themeFillShade="D9"/>
            <w:vAlign w:val="center"/>
            <w:hideMark/>
          </w:tcPr>
          <w:p w14:paraId="1C691AD5"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48" w:type="pct"/>
            <w:shd w:val="clear" w:color="auto" w:fill="D9D9D9" w:themeFill="background1" w:themeFillShade="D9"/>
            <w:vAlign w:val="center"/>
            <w:hideMark/>
          </w:tcPr>
          <w:p w14:paraId="07371C2C"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47" w:type="pct"/>
            <w:shd w:val="clear" w:color="auto" w:fill="D9D9D9" w:themeFill="background1" w:themeFillShade="D9"/>
            <w:vAlign w:val="center"/>
            <w:hideMark/>
          </w:tcPr>
          <w:p w14:paraId="68407FB3"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48" w:type="pct"/>
            <w:shd w:val="clear" w:color="auto" w:fill="D9D9D9" w:themeFill="background1" w:themeFillShade="D9"/>
            <w:vAlign w:val="center"/>
            <w:hideMark/>
          </w:tcPr>
          <w:p w14:paraId="0D6FED51"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12" w:type="pct"/>
            <w:shd w:val="clear" w:color="auto" w:fill="D9D9D9" w:themeFill="background1" w:themeFillShade="D9"/>
            <w:vAlign w:val="center"/>
            <w:hideMark/>
          </w:tcPr>
          <w:p w14:paraId="19EFF67F"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13" w:type="pct"/>
            <w:shd w:val="clear" w:color="auto" w:fill="D9D9D9" w:themeFill="background1" w:themeFillShade="D9"/>
            <w:vAlign w:val="center"/>
            <w:hideMark/>
          </w:tcPr>
          <w:p w14:paraId="25D03736"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13" w:type="pct"/>
            <w:shd w:val="clear" w:color="auto" w:fill="D9D9D9" w:themeFill="background1" w:themeFillShade="D9"/>
            <w:vAlign w:val="center"/>
            <w:hideMark/>
          </w:tcPr>
          <w:p w14:paraId="3FE2DAA0"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13" w:type="pct"/>
            <w:shd w:val="clear" w:color="auto" w:fill="D9D9D9" w:themeFill="background1" w:themeFillShade="D9"/>
            <w:vAlign w:val="center"/>
            <w:hideMark/>
          </w:tcPr>
          <w:p w14:paraId="7CE9F4F4"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c>
          <w:tcPr>
            <w:tcW w:w="381" w:type="pct"/>
            <w:shd w:val="clear" w:color="auto" w:fill="D9D9D9" w:themeFill="background1" w:themeFillShade="D9"/>
            <w:vAlign w:val="center"/>
            <w:hideMark/>
          </w:tcPr>
          <w:p w14:paraId="366723C3"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IM</w:t>
            </w:r>
          </w:p>
        </w:tc>
        <w:tc>
          <w:tcPr>
            <w:tcW w:w="381" w:type="pct"/>
            <w:shd w:val="clear" w:color="auto" w:fill="D9D9D9" w:themeFill="background1" w:themeFillShade="D9"/>
            <w:vAlign w:val="center"/>
            <w:hideMark/>
          </w:tcPr>
          <w:p w14:paraId="2DD3B1B4" w14:textId="77777777" w:rsidR="00030437" w:rsidRPr="00746002" w:rsidRDefault="00030437" w:rsidP="00C7571A">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JM</w:t>
            </w:r>
          </w:p>
        </w:tc>
      </w:tr>
      <w:tr w:rsidR="00030437" w:rsidRPr="00746002" w14:paraId="73E5DB1C" w14:textId="77777777" w:rsidTr="00C7571A">
        <w:trPr>
          <w:trHeight w:val="312"/>
        </w:trPr>
        <w:tc>
          <w:tcPr>
            <w:tcW w:w="5000" w:type="pct"/>
            <w:gridSpan w:val="15"/>
            <w:shd w:val="clear" w:color="auto" w:fill="D9D9D9" w:themeFill="background1" w:themeFillShade="D9"/>
            <w:noWrap/>
            <w:vAlign w:val="center"/>
            <w:hideMark/>
          </w:tcPr>
          <w:p w14:paraId="33D0FF7B" w14:textId="77777777" w:rsidR="00030437" w:rsidRPr="00746002" w:rsidRDefault="00030437" w:rsidP="00C7571A">
            <w:pPr>
              <w:jc w:val="center"/>
              <w:rPr>
                <w:rFonts w:eastAsia="Times New Roman" w:cs="Times New Roman"/>
                <w:b/>
                <w:bCs/>
                <w:color w:val="000000"/>
                <w:sz w:val="20"/>
                <w:szCs w:val="20"/>
                <w:lang w:val="en-US"/>
              </w:rPr>
            </w:pPr>
            <w:r w:rsidRPr="00746002">
              <w:rPr>
                <w:rFonts w:eastAsia="Times New Roman" w:cs="Times New Roman"/>
                <w:b/>
                <w:bCs/>
                <w:color w:val="000000"/>
                <w:sz w:val="20"/>
                <w:szCs w:val="20"/>
                <w:lang w:val="en-US"/>
              </w:rPr>
              <w:t xml:space="preserve">Boarding </w:t>
            </w:r>
            <w:r>
              <w:rPr>
                <w:rFonts w:eastAsia="Times New Roman" w:cs="Times New Roman"/>
                <w:b/>
                <w:bCs/>
                <w:color w:val="000000"/>
                <w:sz w:val="20"/>
                <w:szCs w:val="20"/>
                <w:lang w:val="en-US"/>
              </w:rPr>
              <w:t>Component</w:t>
            </w:r>
          </w:p>
        </w:tc>
      </w:tr>
      <w:tr w:rsidR="00030437" w:rsidRPr="00746002" w14:paraId="3E02807B" w14:textId="77777777" w:rsidTr="00C7571A">
        <w:trPr>
          <w:trHeight w:val="312"/>
        </w:trPr>
        <w:tc>
          <w:tcPr>
            <w:tcW w:w="207" w:type="pct"/>
            <w:shd w:val="clear" w:color="auto" w:fill="auto"/>
            <w:noWrap/>
            <w:vAlign w:val="center"/>
            <w:hideMark/>
          </w:tcPr>
          <w:p w14:paraId="5413C1A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w:t>
            </w:r>
          </w:p>
        </w:tc>
        <w:tc>
          <w:tcPr>
            <w:tcW w:w="312" w:type="pct"/>
            <w:shd w:val="clear" w:color="auto" w:fill="auto"/>
            <w:noWrap/>
            <w:vAlign w:val="center"/>
            <w:hideMark/>
          </w:tcPr>
          <w:p w14:paraId="14F9D11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-0.49%</w:t>
            </w:r>
          </w:p>
        </w:tc>
        <w:tc>
          <w:tcPr>
            <w:tcW w:w="348" w:type="pct"/>
            <w:shd w:val="clear" w:color="auto" w:fill="auto"/>
            <w:noWrap/>
            <w:vAlign w:val="center"/>
            <w:hideMark/>
          </w:tcPr>
          <w:p w14:paraId="4ED7C8A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-0.57%</w:t>
            </w:r>
          </w:p>
        </w:tc>
        <w:tc>
          <w:tcPr>
            <w:tcW w:w="382" w:type="pct"/>
            <w:shd w:val="clear" w:color="auto" w:fill="auto"/>
            <w:noWrap/>
            <w:vAlign w:val="center"/>
            <w:hideMark/>
          </w:tcPr>
          <w:p w14:paraId="473AAD2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-8.44%</w:t>
            </w:r>
          </w:p>
        </w:tc>
        <w:tc>
          <w:tcPr>
            <w:tcW w:w="347" w:type="pct"/>
            <w:shd w:val="clear" w:color="auto" w:fill="auto"/>
            <w:noWrap/>
            <w:vAlign w:val="center"/>
            <w:hideMark/>
          </w:tcPr>
          <w:p w14:paraId="31127BC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-6.19%</w:t>
            </w:r>
          </w:p>
        </w:tc>
        <w:tc>
          <w:tcPr>
            <w:tcW w:w="348" w:type="pct"/>
            <w:shd w:val="clear" w:color="auto" w:fill="auto"/>
            <w:noWrap/>
            <w:vAlign w:val="center"/>
            <w:hideMark/>
          </w:tcPr>
          <w:p w14:paraId="2D225DE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-5.37%</w:t>
            </w:r>
          </w:p>
        </w:tc>
        <w:tc>
          <w:tcPr>
            <w:tcW w:w="348" w:type="pct"/>
            <w:shd w:val="clear" w:color="auto" w:fill="auto"/>
            <w:noWrap/>
            <w:vAlign w:val="center"/>
            <w:hideMark/>
          </w:tcPr>
          <w:p w14:paraId="1A782E2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-5.66%</w:t>
            </w:r>
          </w:p>
        </w:tc>
        <w:tc>
          <w:tcPr>
            <w:tcW w:w="347" w:type="pct"/>
            <w:shd w:val="clear" w:color="auto" w:fill="auto"/>
            <w:noWrap/>
            <w:vAlign w:val="center"/>
            <w:hideMark/>
          </w:tcPr>
          <w:p w14:paraId="0F8F1E2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-6.78%</w:t>
            </w:r>
          </w:p>
        </w:tc>
        <w:tc>
          <w:tcPr>
            <w:tcW w:w="348" w:type="pct"/>
            <w:shd w:val="clear" w:color="auto" w:fill="auto"/>
            <w:noWrap/>
            <w:vAlign w:val="center"/>
            <w:hideMark/>
          </w:tcPr>
          <w:p w14:paraId="0083A5E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-7.74%</w:t>
            </w:r>
          </w:p>
        </w:tc>
        <w:tc>
          <w:tcPr>
            <w:tcW w:w="312" w:type="pct"/>
            <w:shd w:val="clear" w:color="auto" w:fill="auto"/>
            <w:noWrap/>
            <w:vAlign w:val="center"/>
            <w:hideMark/>
          </w:tcPr>
          <w:p w14:paraId="5580D84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4.72%</w:t>
            </w:r>
          </w:p>
        </w:tc>
        <w:tc>
          <w:tcPr>
            <w:tcW w:w="313" w:type="pct"/>
            <w:shd w:val="clear" w:color="auto" w:fill="auto"/>
            <w:noWrap/>
            <w:vAlign w:val="center"/>
            <w:hideMark/>
          </w:tcPr>
          <w:p w14:paraId="4AF4EBB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6.00%</w:t>
            </w:r>
          </w:p>
        </w:tc>
        <w:tc>
          <w:tcPr>
            <w:tcW w:w="313" w:type="pct"/>
            <w:shd w:val="clear" w:color="auto" w:fill="auto"/>
            <w:noWrap/>
            <w:vAlign w:val="center"/>
            <w:hideMark/>
          </w:tcPr>
          <w:p w14:paraId="31038FF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0.57%</w:t>
            </w:r>
          </w:p>
        </w:tc>
        <w:tc>
          <w:tcPr>
            <w:tcW w:w="313" w:type="pct"/>
            <w:shd w:val="clear" w:color="auto" w:fill="auto"/>
            <w:noWrap/>
            <w:vAlign w:val="center"/>
            <w:hideMark/>
          </w:tcPr>
          <w:p w14:paraId="70B6D15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-0.14%</w:t>
            </w:r>
          </w:p>
        </w:tc>
        <w:tc>
          <w:tcPr>
            <w:tcW w:w="381" w:type="pct"/>
            <w:shd w:val="clear" w:color="auto" w:fill="auto"/>
            <w:noWrap/>
            <w:vAlign w:val="center"/>
            <w:hideMark/>
          </w:tcPr>
          <w:p w14:paraId="3089016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-2.07%</w:t>
            </w:r>
          </w:p>
        </w:tc>
        <w:tc>
          <w:tcPr>
            <w:tcW w:w="381" w:type="pct"/>
            <w:shd w:val="clear" w:color="auto" w:fill="auto"/>
            <w:noWrap/>
            <w:vAlign w:val="center"/>
            <w:hideMark/>
          </w:tcPr>
          <w:p w14:paraId="13083C6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-1.67%</w:t>
            </w:r>
          </w:p>
        </w:tc>
      </w:tr>
      <w:tr w:rsidR="00030437" w:rsidRPr="00746002" w14:paraId="3B5BE7AD" w14:textId="77777777" w:rsidTr="00C7571A">
        <w:trPr>
          <w:trHeight w:val="312"/>
        </w:trPr>
        <w:tc>
          <w:tcPr>
            <w:tcW w:w="207" w:type="pct"/>
            <w:shd w:val="clear" w:color="auto" w:fill="auto"/>
            <w:noWrap/>
            <w:vAlign w:val="center"/>
            <w:hideMark/>
          </w:tcPr>
          <w:p w14:paraId="0107BD9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w:t>
            </w:r>
          </w:p>
        </w:tc>
        <w:tc>
          <w:tcPr>
            <w:tcW w:w="312" w:type="pct"/>
            <w:shd w:val="clear" w:color="auto" w:fill="auto"/>
            <w:noWrap/>
            <w:vAlign w:val="center"/>
            <w:hideMark/>
          </w:tcPr>
          <w:p w14:paraId="2100E13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0.25%</w:t>
            </w:r>
          </w:p>
        </w:tc>
        <w:tc>
          <w:tcPr>
            <w:tcW w:w="348" w:type="pct"/>
            <w:shd w:val="clear" w:color="auto" w:fill="auto"/>
            <w:noWrap/>
            <w:vAlign w:val="center"/>
            <w:hideMark/>
          </w:tcPr>
          <w:p w14:paraId="39CD880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0.22%</w:t>
            </w:r>
          </w:p>
        </w:tc>
        <w:tc>
          <w:tcPr>
            <w:tcW w:w="382" w:type="pct"/>
            <w:shd w:val="clear" w:color="auto" w:fill="auto"/>
            <w:noWrap/>
            <w:vAlign w:val="center"/>
            <w:hideMark/>
          </w:tcPr>
          <w:p w14:paraId="1CE9241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3.21%</w:t>
            </w:r>
          </w:p>
        </w:tc>
        <w:tc>
          <w:tcPr>
            <w:tcW w:w="347" w:type="pct"/>
            <w:shd w:val="clear" w:color="auto" w:fill="auto"/>
            <w:noWrap/>
            <w:vAlign w:val="center"/>
            <w:hideMark/>
          </w:tcPr>
          <w:p w14:paraId="371B565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1.96%</w:t>
            </w:r>
          </w:p>
        </w:tc>
        <w:tc>
          <w:tcPr>
            <w:tcW w:w="348" w:type="pct"/>
            <w:shd w:val="clear" w:color="auto" w:fill="auto"/>
            <w:noWrap/>
            <w:vAlign w:val="center"/>
            <w:hideMark/>
          </w:tcPr>
          <w:p w14:paraId="2ECBE70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2.76%</w:t>
            </w:r>
          </w:p>
        </w:tc>
        <w:tc>
          <w:tcPr>
            <w:tcW w:w="348" w:type="pct"/>
            <w:shd w:val="clear" w:color="auto" w:fill="auto"/>
            <w:noWrap/>
            <w:vAlign w:val="center"/>
            <w:hideMark/>
          </w:tcPr>
          <w:p w14:paraId="5F69C8F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2.24%</w:t>
            </w:r>
          </w:p>
        </w:tc>
        <w:tc>
          <w:tcPr>
            <w:tcW w:w="347" w:type="pct"/>
            <w:shd w:val="clear" w:color="auto" w:fill="auto"/>
            <w:noWrap/>
            <w:vAlign w:val="center"/>
            <w:hideMark/>
          </w:tcPr>
          <w:p w14:paraId="784F56A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0.12%</w:t>
            </w:r>
          </w:p>
        </w:tc>
        <w:tc>
          <w:tcPr>
            <w:tcW w:w="348" w:type="pct"/>
            <w:shd w:val="clear" w:color="auto" w:fill="auto"/>
            <w:noWrap/>
            <w:vAlign w:val="center"/>
            <w:hideMark/>
          </w:tcPr>
          <w:p w14:paraId="16BC94A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-1.20%</w:t>
            </w:r>
          </w:p>
        </w:tc>
        <w:tc>
          <w:tcPr>
            <w:tcW w:w="312" w:type="pct"/>
            <w:shd w:val="clear" w:color="auto" w:fill="auto"/>
            <w:noWrap/>
            <w:vAlign w:val="center"/>
            <w:hideMark/>
          </w:tcPr>
          <w:p w14:paraId="5BA046F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-6.98%</w:t>
            </w:r>
          </w:p>
        </w:tc>
        <w:tc>
          <w:tcPr>
            <w:tcW w:w="313" w:type="pct"/>
            <w:shd w:val="clear" w:color="auto" w:fill="auto"/>
            <w:noWrap/>
            <w:vAlign w:val="center"/>
            <w:hideMark/>
          </w:tcPr>
          <w:p w14:paraId="2ECEC88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-8.38%</w:t>
            </w:r>
          </w:p>
        </w:tc>
        <w:tc>
          <w:tcPr>
            <w:tcW w:w="313" w:type="pct"/>
            <w:shd w:val="clear" w:color="auto" w:fill="auto"/>
            <w:noWrap/>
            <w:vAlign w:val="center"/>
            <w:hideMark/>
          </w:tcPr>
          <w:p w14:paraId="4DEF73E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-0.45%</w:t>
            </w:r>
          </w:p>
        </w:tc>
        <w:tc>
          <w:tcPr>
            <w:tcW w:w="313" w:type="pct"/>
            <w:shd w:val="clear" w:color="auto" w:fill="auto"/>
            <w:noWrap/>
            <w:vAlign w:val="center"/>
            <w:hideMark/>
          </w:tcPr>
          <w:p w14:paraId="763E39B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0.09%</w:t>
            </w:r>
          </w:p>
        </w:tc>
        <w:tc>
          <w:tcPr>
            <w:tcW w:w="381" w:type="pct"/>
            <w:shd w:val="clear" w:color="auto" w:fill="auto"/>
            <w:noWrap/>
            <w:vAlign w:val="center"/>
            <w:hideMark/>
          </w:tcPr>
          <w:p w14:paraId="4C39D2D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2.94%</w:t>
            </w:r>
          </w:p>
        </w:tc>
        <w:tc>
          <w:tcPr>
            <w:tcW w:w="381" w:type="pct"/>
            <w:shd w:val="clear" w:color="auto" w:fill="auto"/>
            <w:noWrap/>
            <w:vAlign w:val="center"/>
            <w:hideMark/>
          </w:tcPr>
          <w:p w14:paraId="6159569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2.17%</w:t>
            </w:r>
          </w:p>
        </w:tc>
      </w:tr>
      <w:tr w:rsidR="00030437" w:rsidRPr="00746002" w14:paraId="11E0069A" w14:textId="77777777" w:rsidTr="00C7571A">
        <w:trPr>
          <w:trHeight w:val="312"/>
        </w:trPr>
        <w:tc>
          <w:tcPr>
            <w:tcW w:w="207" w:type="pct"/>
            <w:shd w:val="clear" w:color="auto" w:fill="auto"/>
            <w:noWrap/>
            <w:vAlign w:val="center"/>
            <w:hideMark/>
          </w:tcPr>
          <w:p w14:paraId="4FD3A53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w:t>
            </w:r>
          </w:p>
        </w:tc>
        <w:tc>
          <w:tcPr>
            <w:tcW w:w="312" w:type="pct"/>
            <w:shd w:val="clear" w:color="auto" w:fill="auto"/>
            <w:noWrap/>
            <w:vAlign w:val="center"/>
            <w:hideMark/>
          </w:tcPr>
          <w:p w14:paraId="0577541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0.64%</w:t>
            </w:r>
          </w:p>
        </w:tc>
        <w:tc>
          <w:tcPr>
            <w:tcW w:w="348" w:type="pct"/>
            <w:shd w:val="clear" w:color="auto" w:fill="auto"/>
            <w:noWrap/>
            <w:vAlign w:val="center"/>
            <w:hideMark/>
          </w:tcPr>
          <w:p w14:paraId="4DE1563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0.61%</w:t>
            </w:r>
          </w:p>
        </w:tc>
        <w:tc>
          <w:tcPr>
            <w:tcW w:w="382" w:type="pct"/>
            <w:shd w:val="clear" w:color="auto" w:fill="auto"/>
            <w:noWrap/>
            <w:vAlign w:val="center"/>
            <w:hideMark/>
          </w:tcPr>
          <w:p w14:paraId="58B5326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10.72%</w:t>
            </w:r>
          </w:p>
        </w:tc>
        <w:tc>
          <w:tcPr>
            <w:tcW w:w="347" w:type="pct"/>
            <w:shd w:val="clear" w:color="auto" w:fill="auto"/>
            <w:noWrap/>
            <w:vAlign w:val="center"/>
            <w:hideMark/>
          </w:tcPr>
          <w:p w14:paraId="3A5A882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6.51%</w:t>
            </w:r>
          </w:p>
        </w:tc>
        <w:tc>
          <w:tcPr>
            <w:tcW w:w="348" w:type="pct"/>
            <w:shd w:val="clear" w:color="auto" w:fill="auto"/>
            <w:noWrap/>
            <w:vAlign w:val="center"/>
            <w:hideMark/>
          </w:tcPr>
          <w:p w14:paraId="3E25527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6.94%</w:t>
            </w:r>
          </w:p>
        </w:tc>
        <w:tc>
          <w:tcPr>
            <w:tcW w:w="348" w:type="pct"/>
            <w:shd w:val="clear" w:color="auto" w:fill="auto"/>
            <w:noWrap/>
            <w:vAlign w:val="center"/>
            <w:hideMark/>
          </w:tcPr>
          <w:p w14:paraId="38D9C8C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6.06%</w:t>
            </w:r>
          </w:p>
        </w:tc>
        <w:tc>
          <w:tcPr>
            <w:tcW w:w="347" w:type="pct"/>
            <w:shd w:val="clear" w:color="auto" w:fill="auto"/>
            <w:noWrap/>
            <w:vAlign w:val="center"/>
            <w:hideMark/>
          </w:tcPr>
          <w:p w14:paraId="15F8EF9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8.01%</w:t>
            </w:r>
          </w:p>
        </w:tc>
        <w:tc>
          <w:tcPr>
            <w:tcW w:w="348" w:type="pct"/>
            <w:shd w:val="clear" w:color="auto" w:fill="auto"/>
            <w:noWrap/>
            <w:vAlign w:val="center"/>
            <w:hideMark/>
          </w:tcPr>
          <w:p w14:paraId="0A0D01A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6.44%</w:t>
            </w:r>
          </w:p>
        </w:tc>
        <w:tc>
          <w:tcPr>
            <w:tcW w:w="312" w:type="pct"/>
            <w:shd w:val="clear" w:color="auto" w:fill="auto"/>
            <w:noWrap/>
            <w:vAlign w:val="center"/>
            <w:hideMark/>
          </w:tcPr>
          <w:p w14:paraId="300600B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-6.06%</w:t>
            </w:r>
          </w:p>
        </w:tc>
        <w:tc>
          <w:tcPr>
            <w:tcW w:w="313" w:type="pct"/>
            <w:shd w:val="clear" w:color="auto" w:fill="auto"/>
            <w:noWrap/>
            <w:vAlign w:val="center"/>
            <w:hideMark/>
          </w:tcPr>
          <w:p w14:paraId="7155850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-7.21%</w:t>
            </w:r>
          </w:p>
        </w:tc>
        <w:tc>
          <w:tcPr>
            <w:tcW w:w="313" w:type="pct"/>
            <w:shd w:val="clear" w:color="auto" w:fill="auto"/>
            <w:noWrap/>
            <w:vAlign w:val="center"/>
            <w:hideMark/>
          </w:tcPr>
          <w:p w14:paraId="78DC571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-0.80%</w:t>
            </w:r>
          </w:p>
        </w:tc>
        <w:tc>
          <w:tcPr>
            <w:tcW w:w="313" w:type="pct"/>
            <w:shd w:val="clear" w:color="auto" w:fill="auto"/>
            <w:noWrap/>
            <w:vAlign w:val="center"/>
            <w:hideMark/>
          </w:tcPr>
          <w:p w14:paraId="38071F7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0.16%</w:t>
            </w:r>
          </w:p>
        </w:tc>
        <w:tc>
          <w:tcPr>
            <w:tcW w:w="381" w:type="pct"/>
            <w:shd w:val="clear" w:color="auto" w:fill="auto"/>
            <w:noWrap/>
            <w:vAlign w:val="center"/>
            <w:hideMark/>
          </w:tcPr>
          <w:p w14:paraId="04501FE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3.91%</w:t>
            </w:r>
          </w:p>
        </w:tc>
        <w:tc>
          <w:tcPr>
            <w:tcW w:w="381" w:type="pct"/>
            <w:shd w:val="clear" w:color="auto" w:fill="auto"/>
            <w:noWrap/>
            <w:vAlign w:val="center"/>
            <w:hideMark/>
          </w:tcPr>
          <w:p w14:paraId="10E3E54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2.86%</w:t>
            </w:r>
          </w:p>
        </w:tc>
      </w:tr>
      <w:tr w:rsidR="00030437" w:rsidRPr="00746002" w14:paraId="23CA9CBA" w14:textId="77777777" w:rsidTr="00C7571A">
        <w:trPr>
          <w:trHeight w:val="312"/>
        </w:trPr>
        <w:tc>
          <w:tcPr>
            <w:tcW w:w="207" w:type="pct"/>
            <w:shd w:val="clear" w:color="auto" w:fill="auto"/>
            <w:noWrap/>
            <w:vAlign w:val="center"/>
            <w:hideMark/>
          </w:tcPr>
          <w:p w14:paraId="5A69F6B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w:t>
            </w:r>
          </w:p>
        </w:tc>
        <w:tc>
          <w:tcPr>
            <w:tcW w:w="312" w:type="pct"/>
            <w:shd w:val="clear" w:color="auto" w:fill="auto"/>
            <w:noWrap/>
            <w:vAlign w:val="center"/>
            <w:hideMark/>
          </w:tcPr>
          <w:p w14:paraId="2E29DFB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0.92%</w:t>
            </w:r>
          </w:p>
        </w:tc>
        <w:tc>
          <w:tcPr>
            <w:tcW w:w="348" w:type="pct"/>
            <w:shd w:val="clear" w:color="auto" w:fill="auto"/>
            <w:noWrap/>
            <w:vAlign w:val="center"/>
            <w:hideMark/>
          </w:tcPr>
          <w:p w14:paraId="177802D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0.85%</w:t>
            </w:r>
          </w:p>
        </w:tc>
        <w:tc>
          <w:tcPr>
            <w:tcW w:w="382" w:type="pct"/>
            <w:shd w:val="clear" w:color="auto" w:fill="auto"/>
            <w:noWrap/>
            <w:vAlign w:val="center"/>
            <w:hideMark/>
          </w:tcPr>
          <w:p w14:paraId="7210BA2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16.60%</w:t>
            </w:r>
          </w:p>
        </w:tc>
        <w:tc>
          <w:tcPr>
            <w:tcW w:w="347" w:type="pct"/>
            <w:shd w:val="clear" w:color="auto" w:fill="auto"/>
            <w:noWrap/>
            <w:vAlign w:val="center"/>
            <w:hideMark/>
          </w:tcPr>
          <w:p w14:paraId="06C26D2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9.45%</w:t>
            </w:r>
          </w:p>
        </w:tc>
        <w:tc>
          <w:tcPr>
            <w:tcW w:w="348" w:type="pct"/>
            <w:shd w:val="clear" w:color="auto" w:fill="auto"/>
            <w:noWrap/>
            <w:vAlign w:val="center"/>
            <w:hideMark/>
          </w:tcPr>
          <w:p w14:paraId="6BE1EB6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9.97%</w:t>
            </w:r>
          </w:p>
        </w:tc>
        <w:tc>
          <w:tcPr>
            <w:tcW w:w="348" w:type="pct"/>
            <w:shd w:val="clear" w:color="auto" w:fill="auto"/>
            <w:noWrap/>
            <w:vAlign w:val="center"/>
            <w:hideMark/>
          </w:tcPr>
          <w:p w14:paraId="5510826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8.40%</w:t>
            </w:r>
          </w:p>
        </w:tc>
        <w:tc>
          <w:tcPr>
            <w:tcW w:w="347" w:type="pct"/>
            <w:shd w:val="clear" w:color="auto" w:fill="auto"/>
            <w:noWrap/>
            <w:vAlign w:val="center"/>
            <w:hideMark/>
          </w:tcPr>
          <w:p w14:paraId="75681F1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15.41%</w:t>
            </w:r>
          </w:p>
        </w:tc>
        <w:tc>
          <w:tcPr>
            <w:tcW w:w="348" w:type="pct"/>
            <w:shd w:val="clear" w:color="auto" w:fill="auto"/>
            <w:noWrap/>
            <w:vAlign w:val="center"/>
            <w:hideMark/>
          </w:tcPr>
          <w:p w14:paraId="367E3FA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12.60%</w:t>
            </w:r>
          </w:p>
        </w:tc>
        <w:tc>
          <w:tcPr>
            <w:tcW w:w="312" w:type="pct"/>
            <w:shd w:val="clear" w:color="auto" w:fill="auto"/>
            <w:noWrap/>
            <w:vAlign w:val="center"/>
            <w:hideMark/>
          </w:tcPr>
          <w:p w14:paraId="245CB26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-4.98%</w:t>
            </w:r>
          </w:p>
        </w:tc>
        <w:tc>
          <w:tcPr>
            <w:tcW w:w="313" w:type="pct"/>
            <w:shd w:val="clear" w:color="auto" w:fill="auto"/>
            <w:noWrap/>
            <w:vAlign w:val="center"/>
            <w:hideMark/>
          </w:tcPr>
          <w:p w14:paraId="1335C16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-6.04%</w:t>
            </w:r>
          </w:p>
        </w:tc>
        <w:tc>
          <w:tcPr>
            <w:tcW w:w="313" w:type="pct"/>
            <w:shd w:val="clear" w:color="auto" w:fill="auto"/>
            <w:noWrap/>
            <w:vAlign w:val="center"/>
            <w:hideMark/>
          </w:tcPr>
          <w:p w14:paraId="1048B8E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-1.00%</w:t>
            </w:r>
          </w:p>
        </w:tc>
        <w:tc>
          <w:tcPr>
            <w:tcW w:w="313" w:type="pct"/>
            <w:shd w:val="clear" w:color="auto" w:fill="auto"/>
            <w:noWrap/>
            <w:vAlign w:val="center"/>
            <w:hideMark/>
          </w:tcPr>
          <w:p w14:paraId="50E92EE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0.20%</w:t>
            </w:r>
          </w:p>
        </w:tc>
        <w:tc>
          <w:tcPr>
            <w:tcW w:w="381" w:type="pct"/>
            <w:shd w:val="clear" w:color="auto" w:fill="auto"/>
            <w:noWrap/>
            <w:vAlign w:val="center"/>
            <w:hideMark/>
          </w:tcPr>
          <w:p w14:paraId="1CB969B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3.80%</w:t>
            </w:r>
          </w:p>
        </w:tc>
        <w:tc>
          <w:tcPr>
            <w:tcW w:w="381" w:type="pct"/>
            <w:shd w:val="clear" w:color="auto" w:fill="auto"/>
            <w:noWrap/>
            <w:vAlign w:val="center"/>
            <w:hideMark/>
          </w:tcPr>
          <w:p w14:paraId="1018D5B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2.84%</w:t>
            </w:r>
          </w:p>
        </w:tc>
      </w:tr>
      <w:tr w:rsidR="00030437" w:rsidRPr="00746002" w14:paraId="4FEB3BD0" w14:textId="77777777" w:rsidTr="00C7571A">
        <w:trPr>
          <w:trHeight w:val="312"/>
        </w:trPr>
        <w:tc>
          <w:tcPr>
            <w:tcW w:w="207" w:type="pct"/>
            <w:shd w:val="clear" w:color="auto" w:fill="auto"/>
            <w:noWrap/>
            <w:vAlign w:val="center"/>
            <w:hideMark/>
          </w:tcPr>
          <w:p w14:paraId="2EEB529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w:t>
            </w:r>
          </w:p>
        </w:tc>
        <w:tc>
          <w:tcPr>
            <w:tcW w:w="312" w:type="pct"/>
            <w:shd w:val="clear" w:color="auto" w:fill="auto"/>
            <w:noWrap/>
            <w:vAlign w:val="center"/>
            <w:hideMark/>
          </w:tcPr>
          <w:p w14:paraId="14CCBF4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1.07%</w:t>
            </w:r>
          </w:p>
        </w:tc>
        <w:tc>
          <w:tcPr>
            <w:tcW w:w="348" w:type="pct"/>
            <w:shd w:val="clear" w:color="auto" w:fill="auto"/>
            <w:noWrap/>
            <w:vAlign w:val="center"/>
            <w:hideMark/>
          </w:tcPr>
          <w:p w14:paraId="0DD2DEC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0.95%</w:t>
            </w:r>
          </w:p>
        </w:tc>
        <w:tc>
          <w:tcPr>
            <w:tcW w:w="382" w:type="pct"/>
            <w:shd w:val="clear" w:color="auto" w:fill="auto"/>
            <w:noWrap/>
            <w:vAlign w:val="center"/>
            <w:hideMark/>
          </w:tcPr>
          <w:p w14:paraId="6DB89BC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19.80%</w:t>
            </w:r>
          </w:p>
        </w:tc>
        <w:tc>
          <w:tcPr>
            <w:tcW w:w="347" w:type="pct"/>
            <w:shd w:val="clear" w:color="auto" w:fill="auto"/>
            <w:noWrap/>
            <w:vAlign w:val="center"/>
            <w:hideMark/>
          </w:tcPr>
          <w:p w14:paraId="5E3C2EC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10.67%</w:t>
            </w:r>
          </w:p>
        </w:tc>
        <w:tc>
          <w:tcPr>
            <w:tcW w:w="348" w:type="pct"/>
            <w:shd w:val="clear" w:color="auto" w:fill="auto"/>
            <w:noWrap/>
            <w:vAlign w:val="center"/>
            <w:hideMark/>
          </w:tcPr>
          <w:p w14:paraId="45DC59B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11.58%</w:t>
            </w:r>
          </w:p>
        </w:tc>
        <w:tc>
          <w:tcPr>
            <w:tcW w:w="348" w:type="pct"/>
            <w:shd w:val="clear" w:color="auto" w:fill="auto"/>
            <w:noWrap/>
            <w:vAlign w:val="center"/>
            <w:hideMark/>
          </w:tcPr>
          <w:p w14:paraId="3169D8B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9.35%</w:t>
            </w:r>
          </w:p>
        </w:tc>
        <w:tc>
          <w:tcPr>
            <w:tcW w:w="347" w:type="pct"/>
            <w:shd w:val="clear" w:color="auto" w:fill="auto"/>
            <w:noWrap/>
            <w:vAlign w:val="center"/>
            <w:hideMark/>
          </w:tcPr>
          <w:p w14:paraId="44AC5A5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19.69%</w:t>
            </w:r>
          </w:p>
        </w:tc>
        <w:tc>
          <w:tcPr>
            <w:tcW w:w="348" w:type="pct"/>
            <w:shd w:val="clear" w:color="auto" w:fill="auto"/>
            <w:noWrap/>
            <w:vAlign w:val="center"/>
            <w:hideMark/>
          </w:tcPr>
          <w:p w14:paraId="2311D43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15.57%</w:t>
            </w:r>
          </w:p>
        </w:tc>
        <w:tc>
          <w:tcPr>
            <w:tcW w:w="312" w:type="pct"/>
            <w:shd w:val="clear" w:color="auto" w:fill="auto"/>
            <w:noWrap/>
            <w:vAlign w:val="center"/>
            <w:hideMark/>
          </w:tcPr>
          <w:p w14:paraId="7E06B59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-4.43%</w:t>
            </w:r>
          </w:p>
        </w:tc>
        <w:tc>
          <w:tcPr>
            <w:tcW w:w="313" w:type="pct"/>
            <w:shd w:val="clear" w:color="auto" w:fill="auto"/>
            <w:noWrap/>
            <w:vAlign w:val="center"/>
            <w:hideMark/>
          </w:tcPr>
          <w:p w14:paraId="6272495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-5.50%</w:t>
            </w:r>
          </w:p>
        </w:tc>
        <w:tc>
          <w:tcPr>
            <w:tcW w:w="313" w:type="pct"/>
            <w:shd w:val="clear" w:color="auto" w:fill="auto"/>
            <w:noWrap/>
            <w:vAlign w:val="center"/>
            <w:hideMark/>
          </w:tcPr>
          <w:p w14:paraId="55753C0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-1.06%</w:t>
            </w:r>
          </w:p>
        </w:tc>
        <w:tc>
          <w:tcPr>
            <w:tcW w:w="313" w:type="pct"/>
            <w:shd w:val="clear" w:color="auto" w:fill="auto"/>
            <w:noWrap/>
            <w:vAlign w:val="center"/>
            <w:hideMark/>
          </w:tcPr>
          <w:p w14:paraId="0D8D41E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0.22%</w:t>
            </w:r>
          </w:p>
        </w:tc>
        <w:tc>
          <w:tcPr>
            <w:tcW w:w="381" w:type="pct"/>
            <w:shd w:val="clear" w:color="auto" w:fill="auto"/>
            <w:noWrap/>
            <w:vAlign w:val="center"/>
            <w:hideMark/>
          </w:tcPr>
          <w:p w14:paraId="7F24D39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3.33%</w:t>
            </w:r>
          </w:p>
        </w:tc>
        <w:tc>
          <w:tcPr>
            <w:tcW w:w="381" w:type="pct"/>
            <w:shd w:val="clear" w:color="auto" w:fill="auto"/>
            <w:noWrap/>
            <w:vAlign w:val="center"/>
            <w:hideMark/>
          </w:tcPr>
          <w:p w14:paraId="42D7127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2.67%</w:t>
            </w:r>
          </w:p>
        </w:tc>
      </w:tr>
      <w:tr w:rsidR="00030437" w:rsidRPr="00746002" w14:paraId="58F9B0B7" w14:textId="77777777" w:rsidTr="00C7571A">
        <w:trPr>
          <w:trHeight w:val="312"/>
        </w:trPr>
        <w:tc>
          <w:tcPr>
            <w:tcW w:w="207" w:type="pct"/>
            <w:shd w:val="clear" w:color="auto" w:fill="auto"/>
            <w:noWrap/>
            <w:vAlign w:val="center"/>
            <w:hideMark/>
          </w:tcPr>
          <w:p w14:paraId="0E626E5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w:t>
            </w:r>
          </w:p>
        </w:tc>
        <w:tc>
          <w:tcPr>
            <w:tcW w:w="312" w:type="pct"/>
            <w:shd w:val="clear" w:color="auto" w:fill="auto"/>
            <w:noWrap/>
            <w:vAlign w:val="center"/>
            <w:hideMark/>
          </w:tcPr>
          <w:p w14:paraId="712F8F9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1.22%</w:t>
            </w:r>
          </w:p>
        </w:tc>
        <w:tc>
          <w:tcPr>
            <w:tcW w:w="348" w:type="pct"/>
            <w:shd w:val="clear" w:color="auto" w:fill="auto"/>
            <w:noWrap/>
            <w:vAlign w:val="center"/>
            <w:hideMark/>
          </w:tcPr>
          <w:p w14:paraId="48A37B9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1.05%</w:t>
            </w:r>
          </w:p>
        </w:tc>
        <w:tc>
          <w:tcPr>
            <w:tcW w:w="382" w:type="pct"/>
            <w:shd w:val="clear" w:color="auto" w:fill="auto"/>
            <w:noWrap/>
            <w:vAlign w:val="center"/>
            <w:hideMark/>
          </w:tcPr>
          <w:p w14:paraId="42C9993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22.82%</w:t>
            </w:r>
          </w:p>
        </w:tc>
        <w:tc>
          <w:tcPr>
            <w:tcW w:w="347" w:type="pct"/>
            <w:shd w:val="clear" w:color="auto" w:fill="auto"/>
            <w:noWrap/>
            <w:vAlign w:val="center"/>
            <w:hideMark/>
          </w:tcPr>
          <w:p w14:paraId="4B06A2E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11.81%</w:t>
            </w:r>
          </w:p>
        </w:tc>
        <w:tc>
          <w:tcPr>
            <w:tcW w:w="348" w:type="pct"/>
            <w:shd w:val="clear" w:color="auto" w:fill="auto"/>
            <w:noWrap/>
            <w:vAlign w:val="center"/>
            <w:hideMark/>
          </w:tcPr>
          <w:p w14:paraId="58A430F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13.09%</w:t>
            </w:r>
          </w:p>
        </w:tc>
        <w:tc>
          <w:tcPr>
            <w:tcW w:w="348" w:type="pct"/>
            <w:shd w:val="clear" w:color="auto" w:fill="auto"/>
            <w:noWrap/>
            <w:vAlign w:val="center"/>
            <w:hideMark/>
          </w:tcPr>
          <w:p w14:paraId="2DF649C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10.22%</w:t>
            </w:r>
          </w:p>
        </w:tc>
        <w:tc>
          <w:tcPr>
            <w:tcW w:w="347" w:type="pct"/>
            <w:shd w:val="clear" w:color="auto" w:fill="auto"/>
            <w:noWrap/>
            <w:vAlign w:val="center"/>
            <w:hideMark/>
          </w:tcPr>
          <w:p w14:paraId="5C79CC1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23.57%</w:t>
            </w:r>
          </w:p>
        </w:tc>
        <w:tc>
          <w:tcPr>
            <w:tcW w:w="348" w:type="pct"/>
            <w:shd w:val="clear" w:color="auto" w:fill="auto"/>
            <w:noWrap/>
            <w:vAlign w:val="center"/>
            <w:hideMark/>
          </w:tcPr>
          <w:p w14:paraId="47972B9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18.59%</w:t>
            </w:r>
          </w:p>
        </w:tc>
        <w:tc>
          <w:tcPr>
            <w:tcW w:w="312" w:type="pct"/>
            <w:shd w:val="clear" w:color="auto" w:fill="auto"/>
            <w:noWrap/>
            <w:vAlign w:val="center"/>
            <w:hideMark/>
          </w:tcPr>
          <w:p w14:paraId="0D6FA07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-4.02%</w:t>
            </w:r>
          </w:p>
        </w:tc>
        <w:tc>
          <w:tcPr>
            <w:tcW w:w="313" w:type="pct"/>
            <w:shd w:val="clear" w:color="auto" w:fill="auto"/>
            <w:noWrap/>
            <w:vAlign w:val="center"/>
            <w:hideMark/>
          </w:tcPr>
          <w:p w14:paraId="0E6BA49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-5.01%</w:t>
            </w:r>
          </w:p>
        </w:tc>
        <w:tc>
          <w:tcPr>
            <w:tcW w:w="313" w:type="pct"/>
            <w:shd w:val="clear" w:color="auto" w:fill="auto"/>
            <w:noWrap/>
            <w:vAlign w:val="center"/>
            <w:hideMark/>
          </w:tcPr>
          <w:p w14:paraId="5295E08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-1.10%</w:t>
            </w:r>
          </w:p>
        </w:tc>
        <w:tc>
          <w:tcPr>
            <w:tcW w:w="313" w:type="pct"/>
            <w:shd w:val="clear" w:color="auto" w:fill="auto"/>
            <w:noWrap/>
            <w:vAlign w:val="center"/>
            <w:hideMark/>
          </w:tcPr>
          <w:p w14:paraId="5AD3E40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0.23%</w:t>
            </w:r>
          </w:p>
        </w:tc>
        <w:tc>
          <w:tcPr>
            <w:tcW w:w="381" w:type="pct"/>
            <w:shd w:val="clear" w:color="auto" w:fill="auto"/>
            <w:noWrap/>
            <w:vAlign w:val="center"/>
            <w:hideMark/>
          </w:tcPr>
          <w:p w14:paraId="0DDEB3F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2.58%</w:t>
            </w:r>
          </w:p>
        </w:tc>
        <w:tc>
          <w:tcPr>
            <w:tcW w:w="381" w:type="pct"/>
            <w:shd w:val="clear" w:color="auto" w:fill="auto"/>
            <w:noWrap/>
            <w:vAlign w:val="center"/>
            <w:hideMark/>
          </w:tcPr>
          <w:p w14:paraId="33AB982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2.42%</w:t>
            </w:r>
          </w:p>
        </w:tc>
      </w:tr>
      <w:tr w:rsidR="00030437" w:rsidRPr="00746002" w14:paraId="3BC14032" w14:textId="77777777" w:rsidTr="00C7571A">
        <w:trPr>
          <w:trHeight w:val="312"/>
        </w:trPr>
        <w:tc>
          <w:tcPr>
            <w:tcW w:w="207" w:type="pct"/>
            <w:shd w:val="clear" w:color="auto" w:fill="auto"/>
            <w:noWrap/>
            <w:vAlign w:val="center"/>
            <w:hideMark/>
          </w:tcPr>
          <w:p w14:paraId="7DFD496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w:t>
            </w:r>
          </w:p>
        </w:tc>
        <w:tc>
          <w:tcPr>
            <w:tcW w:w="312" w:type="pct"/>
            <w:shd w:val="clear" w:color="auto" w:fill="auto"/>
            <w:noWrap/>
            <w:vAlign w:val="center"/>
            <w:hideMark/>
          </w:tcPr>
          <w:p w14:paraId="78F6B87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1.35%</w:t>
            </w:r>
          </w:p>
        </w:tc>
        <w:tc>
          <w:tcPr>
            <w:tcW w:w="348" w:type="pct"/>
            <w:shd w:val="clear" w:color="auto" w:fill="auto"/>
            <w:noWrap/>
            <w:vAlign w:val="center"/>
            <w:hideMark/>
          </w:tcPr>
          <w:p w14:paraId="2C10377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1.14%</w:t>
            </w:r>
          </w:p>
        </w:tc>
        <w:tc>
          <w:tcPr>
            <w:tcW w:w="382" w:type="pct"/>
            <w:shd w:val="clear" w:color="auto" w:fill="auto"/>
            <w:noWrap/>
            <w:vAlign w:val="center"/>
            <w:hideMark/>
          </w:tcPr>
          <w:p w14:paraId="052C1ED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25.55%</w:t>
            </w:r>
          </w:p>
        </w:tc>
        <w:tc>
          <w:tcPr>
            <w:tcW w:w="347" w:type="pct"/>
            <w:shd w:val="clear" w:color="auto" w:fill="auto"/>
            <w:noWrap/>
            <w:vAlign w:val="center"/>
            <w:hideMark/>
          </w:tcPr>
          <w:p w14:paraId="08A8768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12.90%</w:t>
            </w:r>
          </w:p>
        </w:tc>
        <w:tc>
          <w:tcPr>
            <w:tcW w:w="348" w:type="pct"/>
            <w:shd w:val="clear" w:color="auto" w:fill="auto"/>
            <w:noWrap/>
            <w:vAlign w:val="center"/>
            <w:hideMark/>
          </w:tcPr>
          <w:p w14:paraId="41D6D62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14.45%</w:t>
            </w:r>
          </w:p>
        </w:tc>
        <w:tc>
          <w:tcPr>
            <w:tcW w:w="348" w:type="pct"/>
            <w:shd w:val="clear" w:color="auto" w:fill="auto"/>
            <w:noWrap/>
            <w:vAlign w:val="center"/>
            <w:hideMark/>
          </w:tcPr>
          <w:p w14:paraId="69E2853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11.07%</w:t>
            </w:r>
          </w:p>
        </w:tc>
        <w:tc>
          <w:tcPr>
            <w:tcW w:w="347" w:type="pct"/>
            <w:shd w:val="clear" w:color="auto" w:fill="auto"/>
            <w:noWrap/>
            <w:vAlign w:val="center"/>
            <w:hideMark/>
          </w:tcPr>
          <w:p w14:paraId="321D49C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26.73%</w:t>
            </w:r>
          </w:p>
        </w:tc>
        <w:tc>
          <w:tcPr>
            <w:tcW w:w="348" w:type="pct"/>
            <w:shd w:val="clear" w:color="auto" w:fill="auto"/>
            <w:noWrap/>
            <w:vAlign w:val="center"/>
            <w:hideMark/>
          </w:tcPr>
          <w:p w14:paraId="28A5078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21.65%</w:t>
            </w:r>
          </w:p>
        </w:tc>
        <w:tc>
          <w:tcPr>
            <w:tcW w:w="312" w:type="pct"/>
            <w:shd w:val="clear" w:color="auto" w:fill="auto"/>
            <w:noWrap/>
            <w:vAlign w:val="center"/>
            <w:hideMark/>
          </w:tcPr>
          <w:p w14:paraId="5E1DA50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-3.74%</w:t>
            </w:r>
          </w:p>
        </w:tc>
        <w:tc>
          <w:tcPr>
            <w:tcW w:w="313" w:type="pct"/>
            <w:shd w:val="clear" w:color="auto" w:fill="auto"/>
            <w:noWrap/>
            <w:vAlign w:val="center"/>
            <w:hideMark/>
          </w:tcPr>
          <w:p w14:paraId="3250A3C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-4.58%</w:t>
            </w:r>
          </w:p>
        </w:tc>
        <w:tc>
          <w:tcPr>
            <w:tcW w:w="313" w:type="pct"/>
            <w:shd w:val="clear" w:color="auto" w:fill="auto"/>
            <w:noWrap/>
            <w:vAlign w:val="center"/>
            <w:hideMark/>
          </w:tcPr>
          <w:p w14:paraId="5AA7156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-1.11%</w:t>
            </w:r>
          </w:p>
        </w:tc>
        <w:tc>
          <w:tcPr>
            <w:tcW w:w="313" w:type="pct"/>
            <w:shd w:val="clear" w:color="auto" w:fill="auto"/>
            <w:noWrap/>
            <w:vAlign w:val="center"/>
            <w:hideMark/>
          </w:tcPr>
          <w:p w14:paraId="56EC042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0.24%</w:t>
            </w:r>
          </w:p>
        </w:tc>
        <w:tc>
          <w:tcPr>
            <w:tcW w:w="381" w:type="pct"/>
            <w:shd w:val="clear" w:color="auto" w:fill="auto"/>
            <w:noWrap/>
            <w:vAlign w:val="center"/>
            <w:hideMark/>
          </w:tcPr>
          <w:p w14:paraId="376824C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1.53%</w:t>
            </w:r>
          </w:p>
        </w:tc>
        <w:tc>
          <w:tcPr>
            <w:tcW w:w="381" w:type="pct"/>
            <w:shd w:val="clear" w:color="auto" w:fill="auto"/>
            <w:noWrap/>
            <w:vAlign w:val="center"/>
            <w:hideMark/>
          </w:tcPr>
          <w:p w14:paraId="3158EE7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2.09%</w:t>
            </w:r>
          </w:p>
        </w:tc>
      </w:tr>
      <w:tr w:rsidR="00030437" w:rsidRPr="00746002" w14:paraId="24FAD0E7" w14:textId="77777777" w:rsidTr="00C7571A">
        <w:trPr>
          <w:trHeight w:val="312"/>
        </w:trPr>
        <w:tc>
          <w:tcPr>
            <w:tcW w:w="207" w:type="pct"/>
            <w:shd w:val="clear" w:color="auto" w:fill="auto"/>
            <w:noWrap/>
            <w:vAlign w:val="center"/>
            <w:hideMark/>
          </w:tcPr>
          <w:p w14:paraId="7FC8866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w:t>
            </w:r>
          </w:p>
        </w:tc>
        <w:tc>
          <w:tcPr>
            <w:tcW w:w="312" w:type="pct"/>
            <w:shd w:val="clear" w:color="auto" w:fill="auto"/>
            <w:noWrap/>
            <w:vAlign w:val="center"/>
            <w:hideMark/>
          </w:tcPr>
          <w:p w14:paraId="4AD8AE6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1.45%</w:t>
            </w:r>
          </w:p>
        </w:tc>
        <w:tc>
          <w:tcPr>
            <w:tcW w:w="348" w:type="pct"/>
            <w:shd w:val="clear" w:color="auto" w:fill="auto"/>
            <w:noWrap/>
            <w:vAlign w:val="center"/>
            <w:hideMark/>
          </w:tcPr>
          <w:p w14:paraId="75A86E6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1.23%</w:t>
            </w:r>
          </w:p>
        </w:tc>
        <w:tc>
          <w:tcPr>
            <w:tcW w:w="382" w:type="pct"/>
            <w:shd w:val="clear" w:color="auto" w:fill="auto"/>
            <w:noWrap/>
            <w:vAlign w:val="center"/>
            <w:hideMark/>
          </w:tcPr>
          <w:p w14:paraId="59A13BD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27.75%</w:t>
            </w:r>
          </w:p>
        </w:tc>
        <w:tc>
          <w:tcPr>
            <w:tcW w:w="347" w:type="pct"/>
            <w:shd w:val="clear" w:color="auto" w:fill="auto"/>
            <w:noWrap/>
            <w:vAlign w:val="center"/>
            <w:hideMark/>
          </w:tcPr>
          <w:p w14:paraId="198184D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13.97%</w:t>
            </w:r>
          </w:p>
        </w:tc>
        <w:tc>
          <w:tcPr>
            <w:tcW w:w="348" w:type="pct"/>
            <w:shd w:val="clear" w:color="auto" w:fill="auto"/>
            <w:noWrap/>
            <w:vAlign w:val="center"/>
            <w:hideMark/>
          </w:tcPr>
          <w:p w14:paraId="18D20ED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15.51%</w:t>
            </w:r>
          </w:p>
        </w:tc>
        <w:tc>
          <w:tcPr>
            <w:tcW w:w="348" w:type="pct"/>
            <w:shd w:val="clear" w:color="auto" w:fill="auto"/>
            <w:noWrap/>
            <w:vAlign w:val="center"/>
            <w:hideMark/>
          </w:tcPr>
          <w:p w14:paraId="4D90F73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11.92%</w:t>
            </w:r>
          </w:p>
        </w:tc>
        <w:tc>
          <w:tcPr>
            <w:tcW w:w="347" w:type="pct"/>
            <w:shd w:val="clear" w:color="auto" w:fill="auto"/>
            <w:noWrap/>
            <w:vAlign w:val="center"/>
            <w:hideMark/>
          </w:tcPr>
          <w:p w14:paraId="4D681AD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28.94%</w:t>
            </w:r>
          </w:p>
        </w:tc>
        <w:tc>
          <w:tcPr>
            <w:tcW w:w="348" w:type="pct"/>
            <w:shd w:val="clear" w:color="auto" w:fill="auto"/>
            <w:noWrap/>
            <w:vAlign w:val="center"/>
            <w:hideMark/>
          </w:tcPr>
          <w:p w14:paraId="2DDBB17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24.67%</w:t>
            </w:r>
          </w:p>
        </w:tc>
        <w:tc>
          <w:tcPr>
            <w:tcW w:w="312" w:type="pct"/>
            <w:shd w:val="clear" w:color="auto" w:fill="auto"/>
            <w:noWrap/>
            <w:vAlign w:val="center"/>
            <w:hideMark/>
          </w:tcPr>
          <w:p w14:paraId="6033A42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-3.60%</w:t>
            </w:r>
          </w:p>
        </w:tc>
        <w:tc>
          <w:tcPr>
            <w:tcW w:w="313" w:type="pct"/>
            <w:shd w:val="clear" w:color="auto" w:fill="auto"/>
            <w:noWrap/>
            <w:vAlign w:val="center"/>
            <w:hideMark/>
          </w:tcPr>
          <w:p w14:paraId="382E47E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-4.22%</w:t>
            </w:r>
          </w:p>
        </w:tc>
        <w:tc>
          <w:tcPr>
            <w:tcW w:w="313" w:type="pct"/>
            <w:shd w:val="clear" w:color="auto" w:fill="auto"/>
            <w:noWrap/>
            <w:vAlign w:val="center"/>
            <w:hideMark/>
          </w:tcPr>
          <w:p w14:paraId="62898F4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-1.10%</w:t>
            </w:r>
          </w:p>
        </w:tc>
        <w:tc>
          <w:tcPr>
            <w:tcW w:w="313" w:type="pct"/>
            <w:shd w:val="clear" w:color="auto" w:fill="auto"/>
            <w:noWrap/>
            <w:vAlign w:val="center"/>
            <w:hideMark/>
          </w:tcPr>
          <w:p w14:paraId="5249BA1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0.25%</w:t>
            </w:r>
          </w:p>
        </w:tc>
        <w:tc>
          <w:tcPr>
            <w:tcW w:w="381" w:type="pct"/>
            <w:shd w:val="clear" w:color="auto" w:fill="auto"/>
            <w:noWrap/>
            <w:vAlign w:val="center"/>
            <w:hideMark/>
          </w:tcPr>
          <w:p w14:paraId="7175838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0.04%</w:t>
            </w:r>
          </w:p>
        </w:tc>
        <w:tc>
          <w:tcPr>
            <w:tcW w:w="381" w:type="pct"/>
            <w:shd w:val="clear" w:color="auto" w:fill="auto"/>
            <w:noWrap/>
            <w:vAlign w:val="center"/>
            <w:hideMark/>
          </w:tcPr>
          <w:p w14:paraId="4444F86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1.69%</w:t>
            </w:r>
          </w:p>
        </w:tc>
      </w:tr>
      <w:tr w:rsidR="00030437" w:rsidRPr="00746002" w14:paraId="4E8596BF" w14:textId="77777777" w:rsidTr="00C7571A">
        <w:trPr>
          <w:trHeight w:val="312"/>
        </w:trPr>
        <w:tc>
          <w:tcPr>
            <w:tcW w:w="207" w:type="pct"/>
            <w:shd w:val="clear" w:color="auto" w:fill="auto"/>
            <w:noWrap/>
            <w:vAlign w:val="center"/>
            <w:hideMark/>
          </w:tcPr>
          <w:p w14:paraId="452CF1F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w:t>
            </w:r>
          </w:p>
        </w:tc>
        <w:tc>
          <w:tcPr>
            <w:tcW w:w="312" w:type="pct"/>
            <w:shd w:val="clear" w:color="auto" w:fill="auto"/>
            <w:noWrap/>
            <w:vAlign w:val="center"/>
            <w:hideMark/>
          </w:tcPr>
          <w:p w14:paraId="684AF4C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1.50%</w:t>
            </w:r>
          </w:p>
        </w:tc>
        <w:tc>
          <w:tcPr>
            <w:tcW w:w="348" w:type="pct"/>
            <w:shd w:val="clear" w:color="auto" w:fill="auto"/>
            <w:noWrap/>
            <w:vAlign w:val="center"/>
            <w:hideMark/>
          </w:tcPr>
          <w:p w14:paraId="1E9D800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1.33%</w:t>
            </w:r>
          </w:p>
        </w:tc>
        <w:tc>
          <w:tcPr>
            <w:tcW w:w="382" w:type="pct"/>
            <w:shd w:val="clear" w:color="auto" w:fill="auto"/>
            <w:noWrap/>
            <w:vAlign w:val="center"/>
            <w:hideMark/>
          </w:tcPr>
          <w:p w14:paraId="1B44C76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29.11%</w:t>
            </w:r>
          </w:p>
        </w:tc>
        <w:tc>
          <w:tcPr>
            <w:tcW w:w="347" w:type="pct"/>
            <w:shd w:val="clear" w:color="auto" w:fill="auto"/>
            <w:noWrap/>
            <w:vAlign w:val="center"/>
            <w:hideMark/>
          </w:tcPr>
          <w:p w14:paraId="38A1E1B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15.04%</w:t>
            </w:r>
          </w:p>
        </w:tc>
        <w:tc>
          <w:tcPr>
            <w:tcW w:w="348" w:type="pct"/>
            <w:shd w:val="clear" w:color="auto" w:fill="auto"/>
            <w:noWrap/>
            <w:vAlign w:val="center"/>
            <w:hideMark/>
          </w:tcPr>
          <w:p w14:paraId="355C8DD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16.11%</w:t>
            </w:r>
          </w:p>
        </w:tc>
        <w:tc>
          <w:tcPr>
            <w:tcW w:w="348" w:type="pct"/>
            <w:shd w:val="clear" w:color="auto" w:fill="auto"/>
            <w:noWrap/>
            <w:vAlign w:val="center"/>
            <w:hideMark/>
          </w:tcPr>
          <w:p w14:paraId="3AB9FD3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12.80%</w:t>
            </w:r>
          </w:p>
        </w:tc>
        <w:tc>
          <w:tcPr>
            <w:tcW w:w="347" w:type="pct"/>
            <w:shd w:val="clear" w:color="auto" w:fill="auto"/>
            <w:noWrap/>
            <w:vAlign w:val="center"/>
            <w:hideMark/>
          </w:tcPr>
          <w:p w14:paraId="0C351DB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30.10%</w:t>
            </w:r>
          </w:p>
        </w:tc>
        <w:tc>
          <w:tcPr>
            <w:tcW w:w="348" w:type="pct"/>
            <w:shd w:val="clear" w:color="auto" w:fill="auto"/>
            <w:noWrap/>
            <w:vAlign w:val="center"/>
            <w:hideMark/>
          </w:tcPr>
          <w:p w14:paraId="6CC11E4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27.53%</w:t>
            </w:r>
          </w:p>
        </w:tc>
        <w:tc>
          <w:tcPr>
            <w:tcW w:w="312" w:type="pct"/>
            <w:shd w:val="clear" w:color="auto" w:fill="auto"/>
            <w:noWrap/>
            <w:vAlign w:val="center"/>
            <w:hideMark/>
          </w:tcPr>
          <w:p w14:paraId="47B2E00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-3.55%</w:t>
            </w:r>
          </w:p>
        </w:tc>
        <w:tc>
          <w:tcPr>
            <w:tcW w:w="313" w:type="pct"/>
            <w:shd w:val="clear" w:color="auto" w:fill="auto"/>
            <w:noWrap/>
            <w:vAlign w:val="center"/>
            <w:hideMark/>
          </w:tcPr>
          <w:p w14:paraId="344A72B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-3.93%</w:t>
            </w:r>
          </w:p>
        </w:tc>
        <w:tc>
          <w:tcPr>
            <w:tcW w:w="313" w:type="pct"/>
            <w:shd w:val="clear" w:color="auto" w:fill="auto"/>
            <w:noWrap/>
            <w:vAlign w:val="center"/>
            <w:hideMark/>
          </w:tcPr>
          <w:p w14:paraId="271EE8F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-1.07%</w:t>
            </w:r>
          </w:p>
        </w:tc>
        <w:tc>
          <w:tcPr>
            <w:tcW w:w="313" w:type="pct"/>
            <w:shd w:val="clear" w:color="auto" w:fill="auto"/>
            <w:noWrap/>
            <w:vAlign w:val="center"/>
            <w:hideMark/>
          </w:tcPr>
          <w:p w14:paraId="67DB039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0.26%</w:t>
            </w:r>
          </w:p>
        </w:tc>
        <w:tc>
          <w:tcPr>
            <w:tcW w:w="381" w:type="pct"/>
            <w:shd w:val="clear" w:color="auto" w:fill="auto"/>
            <w:noWrap/>
            <w:vAlign w:val="center"/>
            <w:hideMark/>
          </w:tcPr>
          <w:p w14:paraId="5825D83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-2.12%</w:t>
            </w:r>
          </w:p>
        </w:tc>
        <w:tc>
          <w:tcPr>
            <w:tcW w:w="381" w:type="pct"/>
            <w:shd w:val="clear" w:color="auto" w:fill="auto"/>
            <w:noWrap/>
            <w:vAlign w:val="center"/>
            <w:hideMark/>
          </w:tcPr>
          <w:p w14:paraId="3EE411A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1.22%</w:t>
            </w:r>
          </w:p>
        </w:tc>
      </w:tr>
      <w:tr w:rsidR="00030437" w:rsidRPr="00746002" w14:paraId="73FF15C7" w14:textId="77777777" w:rsidTr="00C7571A">
        <w:trPr>
          <w:trHeight w:val="312"/>
        </w:trPr>
        <w:tc>
          <w:tcPr>
            <w:tcW w:w="207" w:type="pct"/>
            <w:shd w:val="clear" w:color="auto" w:fill="auto"/>
            <w:noWrap/>
            <w:vAlign w:val="center"/>
            <w:hideMark/>
          </w:tcPr>
          <w:p w14:paraId="75F4F2E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w:t>
            </w:r>
          </w:p>
        </w:tc>
        <w:tc>
          <w:tcPr>
            <w:tcW w:w="312" w:type="pct"/>
            <w:shd w:val="clear" w:color="auto" w:fill="auto"/>
            <w:noWrap/>
            <w:vAlign w:val="center"/>
            <w:hideMark/>
          </w:tcPr>
          <w:p w14:paraId="5116853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1.51%</w:t>
            </w:r>
          </w:p>
        </w:tc>
        <w:tc>
          <w:tcPr>
            <w:tcW w:w="348" w:type="pct"/>
            <w:shd w:val="clear" w:color="auto" w:fill="auto"/>
            <w:noWrap/>
            <w:vAlign w:val="center"/>
            <w:hideMark/>
          </w:tcPr>
          <w:p w14:paraId="68027DC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1.43%</w:t>
            </w:r>
          </w:p>
        </w:tc>
        <w:tc>
          <w:tcPr>
            <w:tcW w:w="382" w:type="pct"/>
            <w:shd w:val="clear" w:color="auto" w:fill="auto"/>
            <w:noWrap/>
            <w:vAlign w:val="center"/>
            <w:hideMark/>
          </w:tcPr>
          <w:p w14:paraId="429F33F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29.40%</w:t>
            </w:r>
          </w:p>
        </w:tc>
        <w:tc>
          <w:tcPr>
            <w:tcW w:w="347" w:type="pct"/>
            <w:shd w:val="clear" w:color="auto" w:fill="auto"/>
            <w:noWrap/>
            <w:vAlign w:val="center"/>
            <w:hideMark/>
          </w:tcPr>
          <w:p w14:paraId="7099AFA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16.09%</w:t>
            </w:r>
          </w:p>
        </w:tc>
        <w:tc>
          <w:tcPr>
            <w:tcW w:w="348" w:type="pct"/>
            <w:shd w:val="clear" w:color="auto" w:fill="auto"/>
            <w:noWrap/>
            <w:vAlign w:val="center"/>
            <w:hideMark/>
          </w:tcPr>
          <w:p w14:paraId="52F4452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16.19%</w:t>
            </w:r>
          </w:p>
        </w:tc>
        <w:tc>
          <w:tcPr>
            <w:tcW w:w="348" w:type="pct"/>
            <w:shd w:val="clear" w:color="auto" w:fill="auto"/>
            <w:noWrap/>
            <w:vAlign w:val="center"/>
            <w:hideMark/>
          </w:tcPr>
          <w:p w14:paraId="000CC3F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13.70%</w:t>
            </w:r>
          </w:p>
        </w:tc>
        <w:tc>
          <w:tcPr>
            <w:tcW w:w="347" w:type="pct"/>
            <w:shd w:val="clear" w:color="auto" w:fill="auto"/>
            <w:noWrap/>
            <w:vAlign w:val="center"/>
            <w:hideMark/>
          </w:tcPr>
          <w:p w14:paraId="04C62DA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30.17%</w:t>
            </w:r>
          </w:p>
        </w:tc>
        <w:tc>
          <w:tcPr>
            <w:tcW w:w="348" w:type="pct"/>
            <w:shd w:val="clear" w:color="auto" w:fill="auto"/>
            <w:noWrap/>
            <w:vAlign w:val="center"/>
            <w:hideMark/>
          </w:tcPr>
          <w:p w14:paraId="41D11FA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30.09%</w:t>
            </w:r>
          </w:p>
        </w:tc>
        <w:tc>
          <w:tcPr>
            <w:tcW w:w="312" w:type="pct"/>
            <w:shd w:val="clear" w:color="auto" w:fill="auto"/>
            <w:noWrap/>
            <w:vAlign w:val="center"/>
            <w:hideMark/>
          </w:tcPr>
          <w:p w14:paraId="0EB7361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-3.59%</w:t>
            </w:r>
          </w:p>
        </w:tc>
        <w:tc>
          <w:tcPr>
            <w:tcW w:w="313" w:type="pct"/>
            <w:shd w:val="clear" w:color="auto" w:fill="auto"/>
            <w:noWrap/>
            <w:vAlign w:val="center"/>
            <w:hideMark/>
          </w:tcPr>
          <w:p w14:paraId="25A275A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-3.72%</w:t>
            </w:r>
          </w:p>
        </w:tc>
        <w:tc>
          <w:tcPr>
            <w:tcW w:w="313" w:type="pct"/>
            <w:shd w:val="clear" w:color="auto" w:fill="auto"/>
            <w:noWrap/>
            <w:vAlign w:val="center"/>
            <w:hideMark/>
          </w:tcPr>
          <w:p w14:paraId="64897AF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-1.01%</w:t>
            </w:r>
          </w:p>
        </w:tc>
        <w:tc>
          <w:tcPr>
            <w:tcW w:w="313" w:type="pct"/>
            <w:shd w:val="clear" w:color="auto" w:fill="auto"/>
            <w:noWrap/>
            <w:vAlign w:val="center"/>
            <w:hideMark/>
          </w:tcPr>
          <w:p w14:paraId="093E242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0.27%</w:t>
            </w:r>
          </w:p>
        </w:tc>
        <w:tc>
          <w:tcPr>
            <w:tcW w:w="381" w:type="pct"/>
            <w:shd w:val="clear" w:color="auto" w:fill="auto"/>
            <w:noWrap/>
            <w:vAlign w:val="center"/>
            <w:hideMark/>
          </w:tcPr>
          <w:p w14:paraId="2FFDB34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-5.28%</w:t>
            </w:r>
          </w:p>
        </w:tc>
        <w:tc>
          <w:tcPr>
            <w:tcW w:w="381" w:type="pct"/>
            <w:shd w:val="clear" w:color="auto" w:fill="auto"/>
            <w:noWrap/>
            <w:vAlign w:val="center"/>
            <w:hideMark/>
          </w:tcPr>
          <w:p w14:paraId="32D36CB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0.65%</w:t>
            </w:r>
          </w:p>
        </w:tc>
      </w:tr>
      <w:tr w:rsidR="00030437" w:rsidRPr="00746002" w14:paraId="1A4660B0" w14:textId="77777777" w:rsidTr="00C7571A">
        <w:trPr>
          <w:trHeight w:val="312"/>
        </w:trPr>
        <w:tc>
          <w:tcPr>
            <w:tcW w:w="207" w:type="pct"/>
            <w:shd w:val="clear" w:color="auto" w:fill="auto"/>
            <w:noWrap/>
            <w:vAlign w:val="center"/>
            <w:hideMark/>
          </w:tcPr>
          <w:p w14:paraId="1BF356F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w:t>
            </w:r>
          </w:p>
        </w:tc>
        <w:tc>
          <w:tcPr>
            <w:tcW w:w="312" w:type="pct"/>
            <w:shd w:val="clear" w:color="auto" w:fill="auto"/>
            <w:noWrap/>
            <w:vAlign w:val="center"/>
            <w:hideMark/>
          </w:tcPr>
          <w:p w14:paraId="615B723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1.46%</w:t>
            </w:r>
          </w:p>
        </w:tc>
        <w:tc>
          <w:tcPr>
            <w:tcW w:w="348" w:type="pct"/>
            <w:shd w:val="clear" w:color="auto" w:fill="auto"/>
            <w:noWrap/>
            <w:vAlign w:val="center"/>
            <w:hideMark/>
          </w:tcPr>
          <w:p w14:paraId="0C3A25F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1.52%</w:t>
            </w:r>
          </w:p>
        </w:tc>
        <w:tc>
          <w:tcPr>
            <w:tcW w:w="382" w:type="pct"/>
            <w:shd w:val="clear" w:color="auto" w:fill="auto"/>
            <w:noWrap/>
            <w:vAlign w:val="center"/>
            <w:hideMark/>
          </w:tcPr>
          <w:p w14:paraId="2DD02B9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28.55%</w:t>
            </w:r>
          </w:p>
        </w:tc>
        <w:tc>
          <w:tcPr>
            <w:tcW w:w="347" w:type="pct"/>
            <w:shd w:val="clear" w:color="auto" w:fill="auto"/>
            <w:noWrap/>
            <w:vAlign w:val="center"/>
            <w:hideMark/>
          </w:tcPr>
          <w:p w14:paraId="2625CB3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17.11%</w:t>
            </w:r>
          </w:p>
        </w:tc>
        <w:tc>
          <w:tcPr>
            <w:tcW w:w="348" w:type="pct"/>
            <w:shd w:val="clear" w:color="auto" w:fill="auto"/>
            <w:noWrap/>
            <w:vAlign w:val="center"/>
            <w:hideMark/>
          </w:tcPr>
          <w:p w14:paraId="12F140F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15.79%</w:t>
            </w:r>
          </w:p>
        </w:tc>
        <w:tc>
          <w:tcPr>
            <w:tcW w:w="348" w:type="pct"/>
            <w:shd w:val="clear" w:color="auto" w:fill="auto"/>
            <w:noWrap/>
            <w:vAlign w:val="center"/>
            <w:hideMark/>
          </w:tcPr>
          <w:p w14:paraId="4C560A9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14.57%</w:t>
            </w:r>
          </w:p>
        </w:tc>
        <w:tc>
          <w:tcPr>
            <w:tcW w:w="347" w:type="pct"/>
            <w:shd w:val="clear" w:color="auto" w:fill="auto"/>
            <w:noWrap/>
            <w:vAlign w:val="center"/>
            <w:hideMark/>
          </w:tcPr>
          <w:p w14:paraId="1BE1FC6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29.23%</w:t>
            </w:r>
          </w:p>
        </w:tc>
        <w:tc>
          <w:tcPr>
            <w:tcW w:w="348" w:type="pct"/>
            <w:shd w:val="clear" w:color="auto" w:fill="auto"/>
            <w:noWrap/>
            <w:vAlign w:val="center"/>
            <w:hideMark/>
          </w:tcPr>
          <w:p w14:paraId="479DE82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32.27%</w:t>
            </w:r>
          </w:p>
        </w:tc>
        <w:tc>
          <w:tcPr>
            <w:tcW w:w="312" w:type="pct"/>
            <w:shd w:val="clear" w:color="auto" w:fill="auto"/>
            <w:noWrap/>
            <w:vAlign w:val="center"/>
            <w:hideMark/>
          </w:tcPr>
          <w:p w14:paraId="0FE09C2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-3.73%</w:t>
            </w:r>
          </w:p>
        </w:tc>
        <w:tc>
          <w:tcPr>
            <w:tcW w:w="313" w:type="pct"/>
            <w:shd w:val="clear" w:color="auto" w:fill="auto"/>
            <w:noWrap/>
            <w:vAlign w:val="center"/>
            <w:hideMark/>
          </w:tcPr>
          <w:p w14:paraId="36D3588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-3.57%</w:t>
            </w:r>
          </w:p>
        </w:tc>
        <w:tc>
          <w:tcPr>
            <w:tcW w:w="313" w:type="pct"/>
            <w:shd w:val="clear" w:color="auto" w:fill="auto"/>
            <w:noWrap/>
            <w:vAlign w:val="center"/>
            <w:hideMark/>
          </w:tcPr>
          <w:p w14:paraId="64F86DD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-0.93%</w:t>
            </w:r>
          </w:p>
        </w:tc>
        <w:tc>
          <w:tcPr>
            <w:tcW w:w="313" w:type="pct"/>
            <w:shd w:val="clear" w:color="auto" w:fill="auto"/>
            <w:noWrap/>
            <w:vAlign w:val="center"/>
            <w:hideMark/>
          </w:tcPr>
          <w:p w14:paraId="299AA46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0.27%</w:t>
            </w:r>
          </w:p>
        </w:tc>
        <w:tc>
          <w:tcPr>
            <w:tcW w:w="381" w:type="pct"/>
            <w:shd w:val="clear" w:color="auto" w:fill="auto"/>
            <w:noWrap/>
            <w:vAlign w:val="center"/>
            <w:hideMark/>
          </w:tcPr>
          <w:p w14:paraId="2CA2C2D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-9.68%</w:t>
            </w:r>
          </w:p>
        </w:tc>
        <w:tc>
          <w:tcPr>
            <w:tcW w:w="381" w:type="pct"/>
            <w:shd w:val="clear" w:color="auto" w:fill="auto"/>
            <w:noWrap/>
            <w:vAlign w:val="center"/>
            <w:hideMark/>
          </w:tcPr>
          <w:p w14:paraId="7B19726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-0.04%</w:t>
            </w:r>
          </w:p>
        </w:tc>
      </w:tr>
      <w:tr w:rsidR="00030437" w:rsidRPr="00746002" w14:paraId="42300493" w14:textId="77777777" w:rsidTr="00C7571A">
        <w:trPr>
          <w:trHeight w:val="312"/>
        </w:trPr>
        <w:tc>
          <w:tcPr>
            <w:tcW w:w="207" w:type="pct"/>
            <w:shd w:val="clear" w:color="auto" w:fill="auto"/>
            <w:noWrap/>
            <w:vAlign w:val="center"/>
            <w:hideMark/>
          </w:tcPr>
          <w:p w14:paraId="18F80B3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w:t>
            </w:r>
          </w:p>
        </w:tc>
        <w:tc>
          <w:tcPr>
            <w:tcW w:w="312" w:type="pct"/>
            <w:shd w:val="clear" w:color="auto" w:fill="auto"/>
            <w:noWrap/>
            <w:vAlign w:val="center"/>
            <w:hideMark/>
          </w:tcPr>
          <w:p w14:paraId="7ED4120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1.34%</w:t>
            </w:r>
          </w:p>
        </w:tc>
        <w:tc>
          <w:tcPr>
            <w:tcW w:w="348" w:type="pct"/>
            <w:shd w:val="clear" w:color="auto" w:fill="auto"/>
            <w:noWrap/>
            <w:vAlign w:val="center"/>
            <w:hideMark/>
          </w:tcPr>
          <w:p w14:paraId="28C5765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1.63%</w:t>
            </w:r>
          </w:p>
        </w:tc>
        <w:tc>
          <w:tcPr>
            <w:tcW w:w="382" w:type="pct"/>
            <w:shd w:val="clear" w:color="auto" w:fill="auto"/>
            <w:noWrap/>
            <w:vAlign w:val="center"/>
            <w:hideMark/>
          </w:tcPr>
          <w:p w14:paraId="3A596D3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25.80%</w:t>
            </w:r>
          </w:p>
        </w:tc>
        <w:tc>
          <w:tcPr>
            <w:tcW w:w="347" w:type="pct"/>
            <w:shd w:val="clear" w:color="auto" w:fill="auto"/>
            <w:noWrap/>
            <w:vAlign w:val="center"/>
            <w:hideMark/>
          </w:tcPr>
          <w:p w14:paraId="13C0157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18.35%</w:t>
            </w:r>
          </w:p>
        </w:tc>
        <w:tc>
          <w:tcPr>
            <w:tcW w:w="348" w:type="pct"/>
            <w:shd w:val="clear" w:color="auto" w:fill="auto"/>
            <w:noWrap/>
            <w:vAlign w:val="center"/>
            <w:hideMark/>
          </w:tcPr>
          <w:p w14:paraId="4B03AC4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14.92%</w:t>
            </w:r>
          </w:p>
        </w:tc>
        <w:tc>
          <w:tcPr>
            <w:tcW w:w="348" w:type="pct"/>
            <w:shd w:val="clear" w:color="auto" w:fill="auto"/>
            <w:noWrap/>
            <w:vAlign w:val="center"/>
            <w:hideMark/>
          </w:tcPr>
          <w:p w14:paraId="66F4EEE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15.65%</w:t>
            </w:r>
          </w:p>
        </w:tc>
        <w:tc>
          <w:tcPr>
            <w:tcW w:w="347" w:type="pct"/>
            <w:shd w:val="clear" w:color="auto" w:fill="auto"/>
            <w:noWrap/>
            <w:vAlign w:val="center"/>
            <w:hideMark/>
          </w:tcPr>
          <w:p w14:paraId="5D7E800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26.78%</w:t>
            </w:r>
          </w:p>
        </w:tc>
        <w:tc>
          <w:tcPr>
            <w:tcW w:w="348" w:type="pct"/>
            <w:shd w:val="clear" w:color="auto" w:fill="auto"/>
            <w:noWrap/>
            <w:vAlign w:val="center"/>
            <w:hideMark/>
          </w:tcPr>
          <w:p w14:paraId="590200B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34.54%</w:t>
            </w:r>
          </w:p>
        </w:tc>
        <w:tc>
          <w:tcPr>
            <w:tcW w:w="312" w:type="pct"/>
            <w:shd w:val="clear" w:color="auto" w:fill="auto"/>
            <w:noWrap/>
            <w:vAlign w:val="center"/>
            <w:hideMark/>
          </w:tcPr>
          <w:p w14:paraId="3CE1DEC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-4.10%</w:t>
            </w:r>
          </w:p>
        </w:tc>
        <w:tc>
          <w:tcPr>
            <w:tcW w:w="313" w:type="pct"/>
            <w:shd w:val="clear" w:color="auto" w:fill="auto"/>
            <w:noWrap/>
            <w:vAlign w:val="center"/>
            <w:hideMark/>
          </w:tcPr>
          <w:p w14:paraId="402BFC3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-3.48%</w:t>
            </w:r>
          </w:p>
        </w:tc>
        <w:tc>
          <w:tcPr>
            <w:tcW w:w="313" w:type="pct"/>
            <w:shd w:val="clear" w:color="auto" w:fill="auto"/>
            <w:noWrap/>
            <w:vAlign w:val="center"/>
            <w:hideMark/>
          </w:tcPr>
          <w:p w14:paraId="7276A85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-0.74%</w:t>
            </w:r>
          </w:p>
        </w:tc>
        <w:tc>
          <w:tcPr>
            <w:tcW w:w="313" w:type="pct"/>
            <w:shd w:val="clear" w:color="auto" w:fill="auto"/>
            <w:noWrap/>
            <w:vAlign w:val="center"/>
            <w:hideMark/>
          </w:tcPr>
          <w:p w14:paraId="4D25B2F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0.27%</w:t>
            </w:r>
          </w:p>
        </w:tc>
        <w:tc>
          <w:tcPr>
            <w:tcW w:w="381" w:type="pct"/>
            <w:shd w:val="clear" w:color="auto" w:fill="auto"/>
            <w:noWrap/>
            <w:vAlign w:val="center"/>
            <w:hideMark/>
          </w:tcPr>
          <w:p w14:paraId="3A500DD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-17.71%</w:t>
            </w:r>
          </w:p>
        </w:tc>
        <w:tc>
          <w:tcPr>
            <w:tcW w:w="381" w:type="pct"/>
            <w:shd w:val="clear" w:color="auto" w:fill="auto"/>
            <w:noWrap/>
            <w:vAlign w:val="center"/>
            <w:hideMark/>
          </w:tcPr>
          <w:p w14:paraId="2C2FD5F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-1.33%</w:t>
            </w:r>
          </w:p>
        </w:tc>
      </w:tr>
      <w:tr w:rsidR="00030437" w:rsidRPr="00746002" w14:paraId="697D26C8" w14:textId="77777777" w:rsidTr="00C7571A">
        <w:trPr>
          <w:trHeight w:val="312"/>
        </w:trPr>
        <w:tc>
          <w:tcPr>
            <w:tcW w:w="207" w:type="pct"/>
            <w:shd w:val="clear" w:color="auto" w:fill="auto"/>
            <w:noWrap/>
            <w:vAlign w:val="center"/>
            <w:hideMark/>
          </w:tcPr>
          <w:p w14:paraId="472C5CC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w:t>
            </w:r>
          </w:p>
        </w:tc>
        <w:tc>
          <w:tcPr>
            <w:tcW w:w="312" w:type="pct"/>
            <w:shd w:val="clear" w:color="auto" w:fill="auto"/>
            <w:noWrap/>
            <w:vAlign w:val="center"/>
            <w:hideMark/>
          </w:tcPr>
          <w:p w14:paraId="0BF1502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0.75%</w:t>
            </w:r>
          </w:p>
        </w:tc>
        <w:tc>
          <w:tcPr>
            <w:tcW w:w="348" w:type="pct"/>
            <w:shd w:val="clear" w:color="auto" w:fill="auto"/>
            <w:noWrap/>
            <w:vAlign w:val="center"/>
            <w:hideMark/>
          </w:tcPr>
          <w:p w14:paraId="439C078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1.59%</w:t>
            </w:r>
          </w:p>
        </w:tc>
        <w:tc>
          <w:tcPr>
            <w:tcW w:w="382" w:type="pct"/>
            <w:shd w:val="clear" w:color="auto" w:fill="auto"/>
            <w:noWrap/>
            <w:vAlign w:val="center"/>
            <w:hideMark/>
          </w:tcPr>
          <w:p w14:paraId="53D8FA4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12.07%</w:t>
            </w:r>
          </w:p>
        </w:tc>
        <w:tc>
          <w:tcPr>
            <w:tcW w:w="347" w:type="pct"/>
            <w:shd w:val="clear" w:color="auto" w:fill="auto"/>
            <w:noWrap/>
            <w:vAlign w:val="center"/>
            <w:hideMark/>
          </w:tcPr>
          <w:p w14:paraId="4606D09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17.37%</w:t>
            </w:r>
          </w:p>
        </w:tc>
        <w:tc>
          <w:tcPr>
            <w:tcW w:w="348" w:type="pct"/>
            <w:shd w:val="clear" w:color="auto" w:fill="auto"/>
            <w:noWrap/>
            <w:vAlign w:val="center"/>
            <w:hideMark/>
          </w:tcPr>
          <w:p w14:paraId="0E7CCCF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9.82%</w:t>
            </w:r>
          </w:p>
        </w:tc>
        <w:tc>
          <w:tcPr>
            <w:tcW w:w="348" w:type="pct"/>
            <w:shd w:val="clear" w:color="auto" w:fill="auto"/>
            <w:noWrap/>
            <w:vAlign w:val="center"/>
            <w:hideMark/>
          </w:tcPr>
          <w:p w14:paraId="64CF8AE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15.68%</w:t>
            </w:r>
          </w:p>
        </w:tc>
        <w:tc>
          <w:tcPr>
            <w:tcW w:w="347" w:type="pct"/>
            <w:shd w:val="clear" w:color="auto" w:fill="auto"/>
            <w:noWrap/>
            <w:vAlign w:val="center"/>
            <w:hideMark/>
          </w:tcPr>
          <w:p w14:paraId="091086B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15.42%</w:t>
            </w:r>
          </w:p>
        </w:tc>
        <w:tc>
          <w:tcPr>
            <w:tcW w:w="348" w:type="pct"/>
            <w:shd w:val="clear" w:color="auto" w:fill="auto"/>
            <w:noWrap/>
            <w:vAlign w:val="center"/>
            <w:hideMark/>
          </w:tcPr>
          <w:p w14:paraId="5A0D59F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32.71%</w:t>
            </w:r>
          </w:p>
        </w:tc>
        <w:tc>
          <w:tcPr>
            <w:tcW w:w="312" w:type="pct"/>
            <w:shd w:val="clear" w:color="auto" w:fill="auto"/>
            <w:noWrap/>
            <w:vAlign w:val="center"/>
            <w:hideMark/>
          </w:tcPr>
          <w:p w14:paraId="4D426FF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-3.38%</w:t>
            </w:r>
          </w:p>
        </w:tc>
        <w:tc>
          <w:tcPr>
            <w:tcW w:w="313" w:type="pct"/>
            <w:shd w:val="clear" w:color="auto" w:fill="auto"/>
            <w:noWrap/>
            <w:vAlign w:val="center"/>
            <w:hideMark/>
          </w:tcPr>
          <w:p w14:paraId="08CE38E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-3.33%</w:t>
            </w:r>
          </w:p>
        </w:tc>
        <w:tc>
          <w:tcPr>
            <w:tcW w:w="313" w:type="pct"/>
            <w:shd w:val="clear" w:color="auto" w:fill="auto"/>
            <w:noWrap/>
            <w:vAlign w:val="center"/>
            <w:hideMark/>
          </w:tcPr>
          <w:p w14:paraId="6A69345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610A635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0.21%</w:t>
            </w:r>
          </w:p>
        </w:tc>
        <w:tc>
          <w:tcPr>
            <w:tcW w:w="381" w:type="pct"/>
            <w:shd w:val="clear" w:color="auto" w:fill="auto"/>
            <w:noWrap/>
            <w:vAlign w:val="center"/>
            <w:hideMark/>
          </w:tcPr>
          <w:p w14:paraId="669304F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-56.61%</w:t>
            </w:r>
          </w:p>
        </w:tc>
        <w:tc>
          <w:tcPr>
            <w:tcW w:w="381" w:type="pct"/>
            <w:shd w:val="clear" w:color="auto" w:fill="auto"/>
            <w:noWrap/>
            <w:vAlign w:val="center"/>
            <w:hideMark/>
          </w:tcPr>
          <w:p w14:paraId="313215D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-13.87%</w:t>
            </w:r>
          </w:p>
        </w:tc>
      </w:tr>
      <w:tr w:rsidR="00030437" w:rsidRPr="00746002" w14:paraId="6AA331D8" w14:textId="77777777" w:rsidTr="00C7571A">
        <w:trPr>
          <w:trHeight w:val="312"/>
        </w:trPr>
        <w:tc>
          <w:tcPr>
            <w:tcW w:w="5000" w:type="pct"/>
            <w:gridSpan w:val="15"/>
            <w:shd w:val="clear" w:color="auto" w:fill="D9D9D9" w:themeFill="background1" w:themeFillShade="D9"/>
            <w:noWrap/>
            <w:vAlign w:val="center"/>
            <w:hideMark/>
          </w:tcPr>
          <w:p w14:paraId="0145B7A7" w14:textId="77777777" w:rsidR="00030437" w:rsidRPr="00746002" w:rsidRDefault="00030437" w:rsidP="00C7571A">
            <w:pPr>
              <w:jc w:val="center"/>
              <w:rPr>
                <w:rFonts w:eastAsia="Times New Roman" w:cs="Times New Roman"/>
                <w:b/>
                <w:bCs/>
                <w:color w:val="000000"/>
                <w:sz w:val="16"/>
                <w:szCs w:val="16"/>
                <w:lang w:val="en-US"/>
              </w:rPr>
            </w:pPr>
            <w:r w:rsidRPr="00746002">
              <w:rPr>
                <w:rFonts w:eastAsia="Times New Roman" w:cs="Times New Roman"/>
                <w:b/>
                <w:bCs/>
                <w:color w:val="000000"/>
                <w:sz w:val="20"/>
                <w:szCs w:val="16"/>
                <w:lang w:val="en-US"/>
              </w:rPr>
              <w:t xml:space="preserve">Alighting </w:t>
            </w:r>
            <w:r>
              <w:rPr>
                <w:rFonts w:eastAsia="Times New Roman" w:cs="Times New Roman"/>
                <w:b/>
                <w:bCs/>
                <w:color w:val="000000"/>
                <w:sz w:val="20"/>
                <w:szCs w:val="16"/>
                <w:lang w:val="en-US"/>
              </w:rPr>
              <w:t>Component</w:t>
            </w:r>
          </w:p>
        </w:tc>
      </w:tr>
      <w:tr w:rsidR="00030437" w:rsidRPr="00746002" w14:paraId="3302111A" w14:textId="77777777" w:rsidTr="00C7571A">
        <w:trPr>
          <w:trHeight w:val="312"/>
        </w:trPr>
        <w:tc>
          <w:tcPr>
            <w:tcW w:w="207" w:type="pct"/>
            <w:shd w:val="clear" w:color="auto" w:fill="auto"/>
            <w:noWrap/>
            <w:vAlign w:val="center"/>
            <w:hideMark/>
          </w:tcPr>
          <w:p w14:paraId="11BC23C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w:t>
            </w:r>
          </w:p>
        </w:tc>
        <w:tc>
          <w:tcPr>
            <w:tcW w:w="312" w:type="pct"/>
            <w:shd w:val="clear" w:color="auto" w:fill="auto"/>
            <w:noWrap/>
            <w:vAlign w:val="center"/>
            <w:hideMark/>
          </w:tcPr>
          <w:p w14:paraId="79B6703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-0.72%</w:t>
            </w:r>
          </w:p>
        </w:tc>
        <w:tc>
          <w:tcPr>
            <w:tcW w:w="348" w:type="pct"/>
            <w:shd w:val="clear" w:color="auto" w:fill="auto"/>
            <w:noWrap/>
            <w:vAlign w:val="center"/>
            <w:hideMark/>
          </w:tcPr>
          <w:p w14:paraId="66FB309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-0.69%</w:t>
            </w:r>
          </w:p>
        </w:tc>
        <w:tc>
          <w:tcPr>
            <w:tcW w:w="382" w:type="pct"/>
            <w:shd w:val="clear" w:color="auto" w:fill="auto"/>
            <w:noWrap/>
            <w:vAlign w:val="center"/>
            <w:hideMark/>
          </w:tcPr>
          <w:p w14:paraId="4D84DA0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-9.31%</w:t>
            </w:r>
          </w:p>
        </w:tc>
        <w:tc>
          <w:tcPr>
            <w:tcW w:w="347" w:type="pct"/>
            <w:shd w:val="clear" w:color="auto" w:fill="auto"/>
            <w:noWrap/>
            <w:vAlign w:val="center"/>
            <w:hideMark/>
          </w:tcPr>
          <w:p w14:paraId="7CACA34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-8.58%</w:t>
            </w:r>
          </w:p>
        </w:tc>
        <w:tc>
          <w:tcPr>
            <w:tcW w:w="348" w:type="pct"/>
            <w:shd w:val="clear" w:color="auto" w:fill="auto"/>
            <w:noWrap/>
            <w:vAlign w:val="center"/>
            <w:hideMark/>
          </w:tcPr>
          <w:p w14:paraId="0600636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-4.96%</w:t>
            </w:r>
          </w:p>
        </w:tc>
        <w:tc>
          <w:tcPr>
            <w:tcW w:w="348" w:type="pct"/>
            <w:shd w:val="clear" w:color="auto" w:fill="auto"/>
            <w:noWrap/>
            <w:vAlign w:val="center"/>
            <w:hideMark/>
          </w:tcPr>
          <w:p w14:paraId="57F288C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-5.76%</w:t>
            </w:r>
          </w:p>
        </w:tc>
        <w:tc>
          <w:tcPr>
            <w:tcW w:w="347" w:type="pct"/>
            <w:shd w:val="clear" w:color="auto" w:fill="auto"/>
            <w:noWrap/>
            <w:vAlign w:val="center"/>
            <w:hideMark/>
          </w:tcPr>
          <w:p w14:paraId="0E76787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-2.95%</w:t>
            </w:r>
          </w:p>
        </w:tc>
        <w:tc>
          <w:tcPr>
            <w:tcW w:w="348" w:type="pct"/>
            <w:shd w:val="clear" w:color="auto" w:fill="auto"/>
            <w:noWrap/>
            <w:vAlign w:val="center"/>
            <w:hideMark/>
          </w:tcPr>
          <w:p w14:paraId="71F820D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-4.98%</w:t>
            </w:r>
          </w:p>
        </w:tc>
        <w:tc>
          <w:tcPr>
            <w:tcW w:w="312" w:type="pct"/>
            <w:shd w:val="clear" w:color="auto" w:fill="auto"/>
            <w:noWrap/>
            <w:vAlign w:val="center"/>
            <w:hideMark/>
          </w:tcPr>
          <w:p w14:paraId="5711512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5.04%</w:t>
            </w:r>
          </w:p>
        </w:tc>
        <w:tc>
          <w:tcPr>
            <w:tcW w:w="313" w:type="pct"/>
            <w:shd w:val="clear" w:color="auto" w:fill="auto"/>
            <w:noWrap/>
            <w:vAlign w:val="center"/>
            <w:hideMark/>
          </w:tcPr>
          <w:p w14:paraId="4E63AFC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6.59%</w:t>
            </w:r>
          </w:p>
        </w:tc>
        <w:tc>
          <w:tcPr>
            <w:tcW w:w="313" w:type="pct"/>
            <w:shd w:val="clear" w:color="auto" w:fill="auto"/>
            <w:noWrap/>
            <w:vAlign w:val="center"/>
            <w:hideMark/>
          </w:tcPr>
          <w:p w14:paraId="615AE78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-0.03%</w:t>
            </w:r>
          </w:p>
        </w:tc>
        <w:tc>
          <w:tcPr>
            <w:tcW w:w="313" w:type="pct"/>
            <w:shd w:val="clear" w:color="auto" w:fill="auto"/>
            <w:noWrap/>
            <w:vAlign w:val="center"/>
            <w:hideMark/>
          </w:tcPr>
          <w:p w14:paraId="7771843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-0.66%</w:t>
            </w:r>
          </w:p>
        </w:tc>
        <w:tc>
          <w:tcPr>
            <w:tcW w:w="381" w:type="pct"/>
            <w:shd w:val="clear" w:color="auto" w:fill="auto"/>
            <w:noWrap/>
            <w:vAlign w:val="center"/>
            <w:hideMark/>
          </w:tcPr>
          <w:p w14:paraId="58E9AE62"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17D3CA3C"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63DEC7DD" w14:textId="77777777" w:rsidTr="00C7571A">
        <w:trPr>
          <w:trHeight w:val="312"/>
        </w:trPr>
        <w:tc>
          <w:tcPr>
            <w:tcW w:w="207" w:type="pct"/>
            <w:shd w:val="clear" w:color="auto" w:fill="auto"/>
            <w:noWrap/>
            <w:vAlign w:val="center"/>
            <w:hideMark/>
          </w:tcPr>
          <w:p w14:paraId="7156D9D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w:t>
            </w:r>
          </w:p>
        </w:tc>
        <w:tc>
          <w:tcPr>
            <w:tcW w:w="312" w:type="pct"/>
            <w:shd w:val="clear" w:color="auto" w:fill="auto"/>
            <w:noWrap/>
            <w:vAlign w:val="center"/>
            <w:hideMark/>
          </w:tcPr>
          <w:p w14:paraId="2BF05E0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0.21%</w:t>
            </w:r>
          </w:p>
        </w:tc>
        <w:tc>
          <w:tcPr>
            <w:tcW w:w="348" w:type="pct"/>
            <w:shd w:val="clear" w:color="auto" w:fill="auto"/>
            <w:noWrap/>
            <w:vAlign w:val="center"/>
            <w:hideMark/>
          </w:tcPr>
          <w:p w14:paraId="3F53361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0.14%</w:t>
            </w:r>
          </w:p>
        </w:tc>
        <w:tc>
          <w:tcPr>
            <w:tcW w:w="382" w:type="pct"/>
            <w:shd w:val="clear" w:color="auto" w:fill="auto"/>
            <w:noWrap/>
            <w:vAlign w:val="center"/>
            <w:hideMark/>
          </w:tcPr>
          <w:p w14:paraId="764ECF2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1.69%</w:t>
            </w:r>
          </w:p>
        </w:tc>
        <w:tc>
          <w:tcPr>
            <w:tcW w:w="347" w:type="pct"/>
            <w:shd w:val="clear" w:color="auto" w:fill="auto"/>
            <w:noWrap/>
            <w:vAlign w:val="center"/>
            <w:hideMark/>
          </w:tcPr>
          <w:p w14:paraId="486DA08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0.77%</w:t>
            </w:r>
          </w:p>
        </w:tc>
        <w:tc>
          <w:tcPr>
            <w:tcW w:w="348" w:type="pct"/>
            <w:shd w:val="clear" w:color="auto" w:fill="auto"/>
            <w:noWrap/>
            <w:vAlign w:val="center"/>
            <w:hideMark/>
          </w:tcPr>
          <w:p w14:paraId="30B405A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1.87%</w:t>
            </w:r>
          </w:p>
        </w:tc>
        <w:tc>
          <w:tcPr>
            <w:tcW w:w="348" w:type="pct"/>
            <w:shd w:val="clear" w:color="auto" w:fill="auto"/>
            <w:noWrap/>
            <w:vAlign w:val="center"/>
            <w:hideMark/>
          </w:tcPr>
          <w:p w14:paraId="054AA54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1.48%</w:t>
            </w:r>
          </w:p>
        </w:tc>
        <w:tc>
          <w:tcPr>
            <w:tcW w:w="347" w:type="pct"/>
            <w:shd w:val="clear" w:color="auto" w:fill="auto"/>
            <w:noWrap/>
            <w:vAlign w:val="center"/>
            <w:hideMark/>
          </w:tcPr>
          <w:p w14:paraId="1BB2553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0.00%</w:t>
            </w:r>
          </w:p>
        </w:tc>
        <w:tc>
          <w:tcPr>
            <w:tcW w:w="348" w:type="pct"/>
            <w:shd w:val="clear" w:color="auto" w:fill="auto"/>
            <w:noWrap/>
            <w:vAlign w:val="center"/>
            <w:hideMark/>
          </w:tcPr>
          <w:p w14:paraId="237B744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-0.88%</w:t>
            </w:r>
          </w:p>
        </w:tc>
        <w:tc>
          <w:tcPr>
            <w:tcW w:w="312" w:type="pct"/>
            <w:shd w:val="clear" w:color="auto" w:fill="auto"/>
            <w:noWrap/>
            <w:vAlign w:val="center"/>
            <w:hideMark/>
          </w:tcPr>
          <w:p w14:paraId="522866B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-6.86%</w:t>
            </w:r>
          </w:p>
        </w:tc>
        <w:tc>
          <w:tcPr>
            <w:tcW w:w="313" w:type="pct"/>
            <w:shd w:val="clear" w:color="auto" w:fill="auto"/>
            <w:noWrap/>
            <w:vAlign w:val="center"/>
            <w:hideMark/>
          </w:tcPr>
          <w:p w14:paraId="72FA3B2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-8.50%</w:t>
            </w:r>
          </w:p>
        </w:tc>
        <w:tc>
          <w:tcPr>
            <w:tcW w:w="313" w:type="pct"/>
            <w:shd w:val="clear" w:color="auto" w:fill="auto"/>
            <w:noWrap/>
            <w:vAlign w:val="center"/>
            <w:hideMark/>
          </w:tcPr>
          <w:p w14:paraId="04BCF10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0.02%</w:t>
            </w:r>
          </w:p>
        </w:tc>
        <w:tc>
          <w:tcPr>
            <w:tcW w:w="313" w:type="pct"/>
            <w:shd w:val="clear" w:color="auto" w:fill="auto"/>
            <w:noWrap/>
            <w:vAlign w:val="center"/>
            <w:hideMark/>
          </w:tcPr>
          <w:p w14:paraId="5F76B47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0.26%</w:t>
            </w:r>
          </w:p>
        </w:tc>
        <w:tc>
          <w:tcPr>
            <w:tcW w:w="381" w:type="pct"/>
            <w:shd w:val="clear" w:color="auto" w:fill="auto"/>
            <w:noWrap/>
            <w:vAlign w:val="center"/>
            <w:hideMark/>
          </w:tcPr>
          <w:p w14:paraId="67F611CB"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66158D68"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70D6CEB6" w14:textId="77777777" w:rsidTr="00C7571A">
        <w:trPr>
          <w:trHeight w:val="312"/>
        </w:trPr>
        <w:tc>
          <w:tcPr>
            <w:tcW w:w="207" w:type="pct"/>
            <w:shd w:val="clear" w:color="auto" w:fill="auto"/>
            <w:noWrap/>
            <w:vAlign w:val="center"/>
            <w:hideMark/>
          </w:tcPr>
          <w:p w14:paraId="74A6578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w:t>
            </w:r>
          </w:p>
        </w:tc>
        <w:tc>
          <w:tcPr>
            <w:tcW w:w="312" w:type="pct"/>
            <w:shd w:val="clear" w:color="auto" w:fill="auto"/>
            <w:noWrap/>
            <w:vAlign w:val="center"/>
            <w:hideMark/>
          </w:tcPr>
          <w:p w14:paraId="2C77D11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0.82%</w:t>
            </w:r>
          </w:p>
        </w:tc>
        <w:tc>
          <w:tcPr>
            <w:tcW w:w="348" w:type="pct"/>
            <w:shd w:val="clear" w:color="auto" w:fill="auto"/>
            <w:noWrap/>
            <w:vAlign w:val="center"/>
            <w:hideMark/>
          </w:tcPr>
          <w:p w14:paraId="0B9E636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0.64%</w:t>
            </w:r>
          </w:p>
        </w:tc>
        <w:tc>
          <w:tcPr>
            <w:tcW w:w="382" w:type="pct"/>
            <w:shd w:val="clear" w:color="auto" w:fill="auto"/>
            <w:noWrap/>
            <w:vAlign w:val="center"/>
            <w:hideMark/>
          </w:tcPr>
          <w:p w14:paraId="5658821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10.00%</w:t>
            </w:r>
          </w:p>
        </w:tc>
        <w:tc>
          <w:tcPr>
            <w:tcW w:w="347" w:type="pct"/>
            <w:shd w:val="clear" w:color="auto" w:fill="auto"/>
            <w:noWrap/>
            <w:vAlign w:val="center"/>
            <w:hideMark/>
          </w:tcPr>
          <w:p w14:paraId="1C84A3F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7.33%</w:t>
            </w:r>
          </w:p>
        </w:tc>
        <w:tc>
          <w:tcPr>
            <w:tcW w:w="348" w:type="pct"/>
            <w:shd w:val="clear" w:color="auto" w:fill="auto"/>
            <w:noWrap/>
            <w:vAlign w:val="center"/>
            <w:hideMark/>
          </w:tcPr>
          <w:p w14:paraId="2793509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5.74%</w:t>
            </w:r>
          </w:p>
        </w:tc>
        <w:tc>
          <w:tcPr>
            <w:tcW w:w="348" w:type="pct"/>
            <w:shd w:val="clear" w:color="auto" w:fill="auto"/>
            <w:noWrap/>
            <w:vAlign w:val="center"/>
            <w:hideMark/>
          </w:tcPr>
          <w:p w14:paraId="59876F1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5.45%</w:t>
            </w:r>
          </w:p>
        </w:tc>
        <w:tc>
          <w:tcPr>
            <w:tcW w:w="347" w:type="pct"/>
            <w:shd w:val="clear" w:color="auto" w:fill="auto"/>
            <w:noWrap/>
            <w:vAlign w:val="center"/>
            <w:hideMark/>
          </w:tcPr>
          <w:p w14:paraId="3BBECFE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2.93%</w:t>
            </w:r>
          </w:p>
        </w:tc>
        <w:tc>
          <w:tcPr>
            <w:tcW w:w="348" w:type="pct"/>
            <w:shd w:val="clear" w:color="auto" w:fill="auto"/>
            <w:noWrap/>
            <w:vAlign w:val="center"/>
            <w:hideMark/>
          </w:tcPr>
          <w:p w14:paraId="223BA4D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3.40%</w:t>
            </w:r>
          </w:p>
        </w:tc>
        <w:tc>
          <w:tcPr>
            <w:tcW w:w="312" w:type="pct"/>
            <w:shd w:val="clear" w:color="auto" w:fill="auto"/>
            <w:noWrap/>
            <w:vAlign w:val="center"/>
            <w:hideMark/>
          </w:tcPr>
          <w:p w14:paraId="6530B67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-5.87%</w:t>
            </w:r>
          </w:p>
        </w:tc>
        <w:tc>
          <w:tcPr>
            <w:tcW w:w="313" w:type="pct"/>
            <w:shd w:val="clear" w:color="auto" w:fill="auto"/>
            <w:noWrap/>
            <w:vAlign w:val="center"/>
            <w:hideMark/>
          </w:tcPr>
          <w:p w14:paraId="18D4903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-7.24%</w:t>
            </w:r>
          </w:p>
        </w:tc>
        <w:tc>
          <w:tcPr>
            <w:tcW w:w="313" w:type="pct"/>
            <w:shd w:val="clear" w:color="auto" w:fill="auto"/>
            <w:noWrap/>
            <w:vAlign w:val="center"/>
            <w:hideMark/>
          </w:tcPr>
          <w:p w14:paraId="2DADE63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0.04%</w:t>
            </w:r>
          </w:p>
        </w:tc>
        <w:tc>
          <w:tcPr>
            <w:tcW w:w="313" w:type="pct"/>
            <w:shd w:val="clear" w:color="auto" w:fill="auto"/>
            <w:noWrap/>
            <w:vAlign w:val="center"/>
            <w:hideMark/>
          </w:tcPr>
          <w:p w14:paraId="0365FAC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0.67%</w:t>
            </w:r>
          </w:p>
        </w:tc>
        <w:tc>
          <w:tcPr>
            <w:tcW w:w="381" w:type="pct"/>
            <w:shd w:val="clear" w:color="auto" w:fill="auto"/>
            <w:noWrap/>
            <w:vAlign w:val="center"/>
            <w:hideMark/>
          </w:tcPr>
          <w:p w14:paraId="7A52E84D"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59A6D8C4"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28497628" w14:textId="77777777" w:rsidTr="00C7571A">
        <w:trPr>
          <w:trHeight w:val="312"/>
        </w:trPr>
        <w:tc>
          <w:tcPr>
            <w:tcW w:w="207" w:type="pct"/>
            <w:shd w:val="clear" w:color="auto" w:fill="auto"/>
            <w:noWrap/>
            <w:vAlign w:val="center"/>
            <w:hideMark/>
          </w:tcPr>
          <w:p w14:paraId="7BC5117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w:t>
            </w:r>
          </w:p>
        </w:tc>
        <w:tc>
          <w:tcPr>
            <w:tcW w:w="312" w:type="pct"/>
            <w:shd w:val="clear" w:color="auto" w:fill="auto"/>
            <w:noWrap/>
            <w:vAlign w:val="center"/>
            <w:hideMark/>
          </w:tcPr>
          <w:p w14:paraId="523B7A5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1.30%</w:t>
            </w:r>
          </w:p>
        </w:tc>
        <w:tc>
          <w:tcPr>
            <w:tcW w:w="348" w:type="pct"/>
            <w:shd w:val="clear" w:color="auto" w:fill="auto"/>
            <w:noWrap/>
            <w:vAlign w:val="center"/>
            <w:hideMark/>
          </w:tcPr>
          <w:p w14:paraId="4ED218E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0.97%</w:t>
            </w:r>
          </w:p>
        </w:tc>
        <w:tc>
          <w:tcPr>
            <w:tcW w:w="382" w:type="pct"/>
            <w:shd w:val="clear" w:color="auto" w:fill="auto"/>
            <w:noWrap/>
            <w:vAlign w:val="center"/>
            <w:hideMark/>
          </w:tcPr>
          <w:p w14:paraId="6D131F7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17.25%</w:t>
            </w:r>
          </w:p>
        </w:tc>
        <w:tc>
          <w:tcPr>
            <w:tcW w:w="347" w:type="pct"/>
            <w:shd w:val="clear" w:color="auto" w:fill="auto"/>
            <w:noWrap/>
            <w:vAlign w:val="center"/>
            <w:hideMark/>
          </w:tcPr>
          <w:p w14:paraId="11AA797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12.06%</w:t>
            </w:r>
          </w:p>
        </w:tc>
        <w:tc>
          <w:tcPr>
            <w:tcW w:w="348" w:type="pct"/>
            <w:shd w:val="clear" w:color="auto" w:fill="auto"/>
            <w:noWrap/>
            <w:vAlign w:val="center"/>
            <w:hideMark/>
          </w:tcPr>
          <w:p w14:paraId="54017E8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8.67%</w:t>
            </w:r>
          </w:p>
        </w:tc>
        <w:tc>
          <w:tcPr>
            <w:tcW w:w="348" w:type="pct"/>
            <w:shd w:val="clear" w:color="auto" w:fill="auto"/>
            <w:noWrap/>
            <w:vAlign w:val="center"/>
            <w:hideMark/>
          </w:tcPr>
          <w:p w14:paraId="585ED2E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7.97%</w:t>
            </w:r>
          </w:p>
        </w:tc>
        <w:tc>
          <w:tcPr>
            <w:tcW w:w="347" w:type="pct"/>
            <w:shd w:val="clear" w:color="auto" w:fill="auto"/>
            <w:noWrap/>
            <w:vAlign w:val="center"/>
            <w:hideMark/>
          </w:tcPr>
          <w:p w14:paraId="48CE096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5.89%</w:t>
            </w:r>
          </w:p>
        </w:tc>
        <w:tc>
          <w:tcPr>
            <w:tcW w:w="348" w:type="pct"/>
            <w:shd w:val="clear" w:color="auto" w:fill="auto"/>
            <w:noWrap/>
            <w:vAlign w:val="center"/>
            <w:hideMark/>
          </w:tcPr>
          <w:p w14:paraId="234B058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7.00%</w:t>
            </w:r>
          </w:p>
        </w:tc>
        <w:tc>
          <w:tcPr>
            <w:tcW w:w="312" w:type="pct"/>
            <w:shd w:val="clear" w:color="auto" w:fill="auto"/>
            <w:noWrap/>
            <w:vAlign w:val="center"/>
            <w:hideMark/>
          </w:tcPr>
          <w:p w14:paraId="101F57A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-4.72%</w:t>
            </w:r>
          </w:p>
        </w:tc>
        <w:tc>
          <w:tcPr>
            <w:tcW w:w="313" w:type="pct"/>
            <w:shd w:val="clear" w:color="auto" w:fill="auto"/>
            <w:noWrap/>
            <w:vAlign w:val="center"/>
            <w:hideMark/>
          </w:tcPr>
          <w:p w14:paraId="1D73163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-5.94%</w:t>
            </w:r>
          </w:p>
        </w:tc>
        <w:tc>
          <w:tcPr>
            <w:tcW w:w="313" w:type="pct"/>
            <w:shd w:val="clear" w:color="auto" w:fill="auto"/>
            <w:noWrap/>
            <w:vAlign w:val="center"/>
            <w:hideMark/>
          </w:tcPr>
          <w:p w14:paraId="6328D0D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0.05%</w:t>
            </w:r>
          </w:p>
        </w:tc>
        <w:tc>
          <w:tcPr>
            <w:tcW w:w="313" w:type="pct"/>
            <w:shd w:val="clear" w:color="auto" w:fill="auto"/>
            <w:noWrap/>
            <w:vAlign w:val="center"/>
            <w:hideMark/>
          </w:tcPr>
          <w:p w14:paraId="2FE0A82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0.91%</w:t>
            </w:r>
          </w:p>
        </w:tc>
        <w:tc>
          <w:tcPr>
            <w:tcW w:w="381" w:type="pct"/>
            <w:shd w:val="clear" w:color="auto" w:fill="auto"/>
            <w:noWrap/>
            <w:vAlign w:val="center"/>
            <w:hideMark/>
          </w:tcPr>
          <w:p w14:paraId="58A027DA"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1325B2CF"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390714B7" w14:textId="77777777" w:rsidTr="00C7571A">
        <w:trPr>
          <w:trHeight w:val="312"/>
        </w:trPr>
        <w:tc>
          <w:tcPr>
            <w:tcW w:w="207" w:type="pct"/>
            <w:shd w:val="clear" w:color="auto" w:fill="auto"/>
            <w:noWrap/>
            <w:vAlign w:val="center"/>
            <w:hideMark/>
          </w:tcPr>
          <w:p w14:paraId="2546B6E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w:t>
            </w:r>
          </w:p>
        </w:tc>
        <w:tc>
          <w:tcPr>
            <w:tcW w:w="312" w:type="pct"/>
            <w:shd w:val="clear" w:color="auto" w:fill="auto"/>
            <w:noWrap/>
            <w:vAlign w:val="center"/>
            <w:hideMark/>
          </w:tcPr>
          <w:p w14:paraId="24E34B4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1.58%</w:t>
            </w:r>
          </w:p>
        </w:tc>
        <w:tc>
          <w:tcPr>
            <w:tcW w:w="348" w:type="pct"/>
            <w:shd w:val="clear" w:color="auto" w:fill="auto"/>
            <w:noWrap/>
            <w:vAlign w:val="center"/>
            <w:hideMark/>
          </w:tcPr>
          <w:p w14:paraId="3ECBC5B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1.11%</w:t>
            </w:r>
          </w:p>
        </w:tc>
        <w:tc>
          <w:tcPr>
            <w:tcW w:w="382" w:type="pct"/>
            <w:shd w:val="clear" w:color="auto" w:fill="auto"/>
            <w:noWrap/>
            <w:vAlign w:val="center"/>
            <w:hideMark/>
          </w:tcPr>
          <w:p w14:paraId="2A6C34E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21.72%</w:t>
            </w:r>
          </w:p>
        </w:tc>
        <w:tc>
          <w:tcPr>
            <w:tcW w:w="347" w:type="pct"/>
            <w:shd w:val="clear" w:color="auto" w:fill="auto"/>
            <w:noWrap/>
            <w:vAlign w:val="center"/>
            <w:hideMark/>
          </w:tcPr>
          <w:p w14:paraId="14354ED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14.20%</w:t>
            </w:r>
          </w:p>
        </w:tc>
        <w:tc>
          <w:tcPr>
            <w:tcW w:w="348" w:type="pct"/>
            <w:shd w:val="clear" w:color="auto" w:fill="auto"/>
            <w:noWrap/>
            <w:vAlign w:val="center"/>
            <w:hideMark/>
          </w:tcPr>
          <w:p w14:paraId="5C1E634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10.31%</w:t>
            </w:r>
          </w:p>
        </w:tc>
        <w:tc>
          <w:tcPr>
            <w:tcW w:w="348" w:type="pct"/>
            <w:shd w:val="clear" w:color="auto" w:fill="auto"/>
            <w:noWrap/>
            <w:vAlign w:val="center"/>
            <w:hideMark/>
          </w:tcPr>
          <w:p w14:paraId="14D4489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9.02%</w:t>
            </w:r>
          </w:p>
        </w:tc>
        <w:tc>
          <w:tcPr>
            <w:tcW w:w="347" w:type="pct"/>
            <w:shd w:val="clear" w:color="auto" w:fill="auto"/>
            <w:noWrap/>
            <w:vAlign w:val="center"/>
            <w:hideMark/>
          </w:tcPr>
          <w:p w14:paraId="2EF22EA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7.87%</w:t>
            </w:r>
          </w:p>
        </w:tc>
        <w:tc>
          <w:tcPr>
            <w:tcW w:w="348" w:type="pct"/>
            <w:shd w:val="clear" w:color="auto" w:fill="auto"/>
            <w:noWrap/>
            <w:vAlign w:val="center"/>
            <w:hideMark/>
          </w:tcPr>
          <w:p w14:paraId="1BF4E6C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8.91%</w:t>
            </w:r>
          </w:p>
        </w:tc>
        <w:tc>
          <w:tcPr>
            <w:tcW w:w="312" w:type="pct"/>
            <w:shd w:val="clear" w:color="auto" w:fill="auto"/>
            <w:noWrap/>
            <w:vAlign w:val="center"/>
            <w:hideMark/>
          </w:tcPr>
          <w:p w14:paraId="1D45606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-4.14%</w:t>
            </w:r>
          </w:p>
        </w:tc>
        <w:tc>
          <w:tcPr>
            <w:tcW w:w="313" w:type="pct"/>
            <w:shd w:val="clear" w:color="auto" w:fill="auto"/>
            <w:noWrap/>
            <w:vAlign w:val="center"/>
            <w:hideMark/>
          </w:tcPr>
          <w:p w14:paraId="098FB3D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-5.31%</w:t>
            </w:r>
          </w:p>
        </w:tc>
        <w:tc>
          <w:tcPr>
            <w:tcW w:w="313" w:type="pct"/>
            <w:shd w:val="clear" w:color="auto" w:fill="auto"/>
            <w:noWrap/>
            <w:vAlign w:val="center"/>
            <w:hideMark/>
          </w:tcPr>
          <w:p w14:paraId="68F3454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0.05%</w:t>
            </w:r>
          </w:p>
        </w:tc>
        <w:tc>
          <w:tcPr>
            <w:tcW w:w="313" w:type="pct"/>
            <w:shd w:val="clear" w:color="auto" w:fill="auto"/>
            <w:noWrap/>
            <w:vAlign w:val="center"/>
            <w:hideMark/>
          </w:tcPr>
          <w:p w14:paraId="57B6810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1.00%</w:t>
            </w:r>
          </w:p>
        </w:tc>
        <w:tc>
          <w:tcPr>
            <w:tcW w:w="381" w:type="pct"/>
            <w:shd w:val="clear" w:color="auto" w:fill="auto"/>
            <w:noWrap/>
            <w:vAlign w:val="center"/>
            <w:hideMark/>
          </w:tcPr>
          <w:p w14:paraId="0F80AC28"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5659405D"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6F52F4AD" w14:textId="77777777" w:rsidTr="00C7571A">
        <w:trPr>
          <w:trHeight w:val="312"/>
        </w:trPr>
        <w:tc>
          <w:tcPr>
            <w:tcW w:w="207" w:type="pct"/>
            <w:shd w:val="clear" w:color="auto" w:fill="auto"/>
            <w:noWrap/>
            <w:vAlign w:val="center"/>
            <w:hideMark/>
          </w:tcPr>
          <w:p w14:paraId="5FB27DA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6</w:t>
            </w:r>
          </w:p>
        </w:tc>
        <w:tc>
          <w:tcPr>
            <w:tcW w:w="312" w:type="pct"/>
            <w:shd w:val="clear" w:color="auto" w:fill="auto"/>
            <w:noWrap/>
            <w:vAlign w:val="center"/>
            <w:hideMark/>
          </w:tcPr>
          <w:p w14:paraId="5D8B735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1.84%</w:t>
            </w:r>
          </w:p>
        </w:tc>
        <w:tc>
          <w:tcPr>
            <w:tcW w:w="348" w:type="pct"/>
            <w:shd w:val="clear" w:color="auto" w:fill="auto"/>
            <w:noWrap/>
            <w:vAlign w:val="center"/>
            <w:hideMark/>
          </w:tcPr>
          <w:p w14:paraId="49D3C9B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1.25%</w:t>
            </w:r>
          </w:p>
        </w:tc>
        <w:tc>
          <w:tcPr>
            <w:tcW w:w="382" w:type="pct"/>
            <w:shd w:val="clear" w:color="auto" w:fill="auto"/>
            <w:noWrap/>
            <w:vAlign w:val="center"/>
            <w:hideMark/>
          </w:tcPr>
          <w:p w14:paraId="5CEF0CE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26.22%</w:t>
            </w:r>
          </w:p>
        </w:tc>
        <w:tc>
          <w:tcPr>
            <w:tcW w:w="347" w:type="pct"/>
            <w:shd w:val="clear" w:color="auto" w:fill="auto"/>
            <w:noWrap/>
            <w:vAlign w:val="center"/>
            <w:hideMark/>
          </w:tcPr>
          <w:p w14:paraId="59D00C4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16.26%</w:t>
            </w:r>
          </w:p>
        </w:tc>
        <w:tc>
          <w:tcPr>
            <w:tcW w:w="348" w:type="pct"/>
            <w:shd w:val="clear" w:color="auto" w:fill="auto"/>
            <w:noWrap/>
            <w:vAlign w:val="center"/>
            <w:hideMark/>
          </w:tcPr>
          <w:p w14:paraId="1D740FB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11.82%</w:t>
            </w:r>
          </w:p>
        </w:tc>
        <w:tc>
          <w:tcPr>
            <w:tcW w:w="348" w:type="pct"/>
            <w:shd w:val="clear" w:color="auto" w:fill="auto"/>
            <w:noWrap/>
            <w:vAlign w:val="center"/>
            <w:hideMark/>
          </w:tcPr>
          <w:p w14:paraId="088C502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10.02%</w:t>
            </w:r>
          </w:p>
        </w:tc>
        <w:tc>
          <w:tcPr>
            <w:tcW w:w="347" w:type="pct"/>
            <w:shd w:val="clear" w:color="auto" w:fill="auto"/>
            <w:noWrap/>
            <w:vAlign w:val="center"/>
            <w:hideMark/>
          </w:tcPr>
          <w:p w14:paraId="09EBAC2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9.78%</w:t>
            </w:r>
          </w:p>
        </w:tc>
        <w:tc>
          <w:tcPr>
            <w:tcW w:w="348" w:type="pct"/>
            <w:shd w:val="clear" w:color="auto" w:fill="auto"/>
            <w:noWrap/>
            <w:vAlign w:val="center"/>
            <w:hideMark/>
          </w:tcPr>
          <w:p w14:paraId="31373E2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10.95%</w:t>
            </w:r>
          </w:p>
        </w:tc>
        <w:tc>
          <w:tcPr>
            <w:tcW w:w="312" w:type="pct"/>
            <w:shd w:val="clear" w:color="auto" w:fill="auto"/>
            <w:noWrap/>
            <w:vAlign w:val="center"/>
            <w:hideMark/>
          </w:tcPr>
          <w:p w14:paraId="2F58925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-3.70%</w:t>
            </w:r>
          </w:p>
        </w:tc>
        <w:tc>
          <w:tcPr>
            <w:tcW w:w="313" w:type="pct"/>
            <w:shd w:val="clear" w:color="auto" w:fill="auto"/>
            <w:noWrap/>
            <w:vAlign w:val="center"/>
            <w:hideMark/>
          </w:tcPr>
          <w:p w14:paraId="73F41A6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-4.75%</w:t>
            </w:r>
          </w:p>
        </w:tc>
        <w:tc>
          <w:tcPr>
            <w:tcW w:w="313" w:type="pct"/>
            <w:shd w:val="clear" w:color="auto" w:fill="auto"/>
            <w:noWrap/>
            <w:vAlign w:val="center"/>
            <w:hideMark/>
          </w:tcPr>
          <w:p w14:paraId="76A6D89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79CFB83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1.07%</w:t>
            </w:r>
          </w:p>
        </w:tc>
        <w:tc>
          <w:tcPr>
            <w:tcW w:w="381" w:type="pct"/>
            <w:shd w:val="clear" w:color="auto" w:fill="auto"/>
            <w:noWrap/>
            <w:vAlign w:val="center"/>
            <w:hideMark/>
          </w:tcPr>
          <w:p w14:paraId="30DC4D49"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0E8DC1DD"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07E97D0F" w14:textId="77777777" w:rsidTr="00C7571A">
        <w:trPr>
          <w:trHeight w:val="312"/>
        </w:trPr>
        <w:tc>
          <w:tcPr>
            <w:tcW w:w="207" w:type="pct"/>
            <w:shd w:val="clear" w:color="auto" w:fill="auto"/>
            <w:noWrap/>
            <w:vAlign w:val="center"/>
            <w:hideMark/>
          </w:tcPr>
          <w:p w14:paraId="5C81964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7</w:t>
            </w:r>
          </w:p>
        </w:tc>
        <w:tc>
          <w:tcPr>
            <w:tcW w:w="312" w:type="pct"/>
            <w:shd w:val="clear" w:color="auto" w:fill="auto"/>
            <w:noWrap/>
            <w:vAlign w:val="center"/>
            <w:hideMark/>
          </w:tcPr>
          <w:p w14:paraId="726FA86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2.07%</w:t>
            </w:r>
          </w:p>
        </w:tc>
        <w:tc>
          <w:tcPr>
            <w:tcW w:w="348" w:type="pct"/>
            <w:shd w:val="clear" w:color="auto" w:fill="auto"/>
            <w:noWrap/>
            <w:vAlign w:val="center"/>
            <w:hideMark/>
          </w:tcPr>
          <w:p w14:paraId="409CDD4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1.39%</w:t>
            </w:r>
          </w:p>
        </w:tc>
        <w:tc>
          <w:tcPr>
            <w:tcW w:w="382" w:type="pct"/>
            <w:shd w:val="clear" w:color="auto" w:fill="auto"/>
            <w:noWrap/>
            <w:vAlign w:val="center"/>
            <w:hideMark/>
          </w:tcPr>
          <w:p w14:paraId="5CE290F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30.55%</w:t>
            </w:r>
          </w:p>
        </w:tc>
        <w:tc>
          <w:tcPr>
            <w:tcW w:w="347" w:type="pct"/>
            <w:shd w:val="clear" w:color="auto" w:fill="auto"/>
            <w:noWrap/>
            <w:vAlign w:val="center"/>
            <w:hideMark/>
          </w:tcPr>
          <w:p w14:paraId="7ADF295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18.36%</w:t>
            </w:r>
          </w:p>
        </w:tc>
        <w:tc>
          <w:tcPr>
            <w:tcW w:w="348" w:type="pct"/>
            <w:shd w:val="clear" w:color="auto" w:fill="auto"/>
            <w:noWrap/>
            <w:vAlign w:val="center"/>
            <w:hideMark/>
          </w:tcPr>
          <w:p w14:paraId="5E41ECD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13.11%</w:t>
            </w:r>
          </w:p>
        </w:tc>
        <w:tc>
          <w:tcPr>
            <w:tcW w:w="348" w:type="pct"/>
            <w:shd w:val="clear" w:color="auto" w:fill="auto"/>
            <w:noWrap/>
            <w:vAlign w:val="center"/>
            <w:hideMark/>
          </w:tcPr>
          <w:p w14:paraId="22289050"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11.02%</w:t>
            </w:r>
          </w:p>
        </w:tc>
        <w:tc>
          <w:tcPr>
            <w:tcW w:w="347" w:type="pct"/>
            <w:shd w:val="clear" w:color="auto" w:fill="auto"/>
            <w:noWrap/>
            <w:vAlign w:val="center"/>
            <w:hideMark/>
          </w:tcPr>
          <w:p w14:paraId="0934FF1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11.43%</w:t>
            </w:r>
          </w:p>
        </w:tc>
        <w:tc>
          <w:tcPr>
            <w:tcW w:w="348" w:type="pct"/>
            <w:shd w:val="clear" w:color="auto" w:fill="auto"/>
            <w:noWrap/>
            <w:vAlign w:val="center"/>
            <w:hideMark/>
          </w:tcPr>
          <w:p w14:paraId="512BE24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13.12%</w:t>
            </w:r>
          </w:p>
        </w:tc>
        <w:tc>
          <w:tcPr>
            <w:tcW w:w="312" w:type="pct"/>
            <w:shd w:val="clear" w:color="auto" w:fill="auto"/>
            <w:noWrap/>
            <w:vAlign w:val="center"/>
            <w:hideMark/>
          </w:tcPr>
          <w:p w14:paraId="1B93FF4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-3.42%</w:t>
            </w:r>
          </w:p>
        </w:tc>
        <w:tc>
          <w:tcPr>
            <w:tcW w:w="313" w:type="pct"/>
            <w:shd w:val="clear" w:color="auto" w:fill="auto"/>
            <w:noWrap/>
            <w:vAlign w:val="center"/>
            <w:hideMark/>
          </w:tcPr>
          <w:p w14:paraId="17B61A7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-4.27%</w:t>
            </w:r>
          </w:p>
        </w:tc>
        <w:tc>
          <w:tcPr>
            <w:tcW w:w="313" w:type="pct"/>
            <w:shd w:val="clear" w:color="auto" w:fill="auto"/>
            <w:noWrap/>
            <w:vAlign w:val="center"/>
            <w:hideMark/>
          </w:tcPr>
          <w:p w14:paraId="4021495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5807D58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1.15%</w:t>
            </w:r>
          </w:p>
        </w:tc>
        <w:tc>
          <w:tcPr>
            <w:tcW w:w="381" w:type="pct"/>
            <w:shd w:val="clear" w:color="auto" w:fill="auto"/>
            <w:noWrap/>
            <w:vAlign w:val="center"/>
            <w:hideMark/>
          </w:tcPr>
          <w:p w14:paraId="3F97F2CA"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4349F930"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3EBA8409" w14:textId="77777777" w:rsidTr="00C7571A">
        <w:trPr>
          <w:trHeight w:val="312"/>
        </w:trPr>
        <w:tc>
          <w:tcPr>
            <w:tcW w:w="207" w:type="pct"/>
            <w:shd w:val="clear" w:color="auto" w:fill="auto"/>
            <w:noWrap/>
            <w:vAlign w:val="center"/>
            <w:hideMark/>
          </w:tcPr>
          <w:p w14:paraId="236F5B0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lastRenderedPageBreak/>
              <w:t>8</w:t>
            </w:r>
          </w:p>
        </w:tc>
        <w:tc>
          <w:tcPr>
            <w:tcW w:w="312" w:type="pct"/>
            <w:shd w:val="clear" w:color="auto" w:fill="auto"/>
            <w:noWrap/>
            <w:vAlign w:val="center"/>
            <w:hideMark/>
          </w:tcPr>
          <w:p w14:paraId="0203E65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2.25%</w:t>
            </w:r>
          </w:p>
        </w:tc>
        <w:tc>
          <w:tcPr>
            <w:tcW w:w="348" w:type="pct"/>
            <w:shd w:val="clear" w:color="auto" w:fill="auto"/>
            <w:noWrap/>
            <w:vAlign w:val="center"/>
            <w:hideMark/>
          </w:tcPr>
          <w:p w14:paraId="6AA7BC4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1.53%</w:t>
            </w:r>
          </w:p>
        </w:tc>
        <w:tc>
          <w:tcPr>
            <w:tcW w:w="382" w:type="pct"/>
            <w:shd w:val="clear" w:color="auto" w:fill="auto"/>
            <w:noWrap/>
            <w:vAlign w:val="center"/>
            <w:hideMark/>
          </w:tcPr>
          <w:p w14:paraId="3FEE6CC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34.34%</w:t>
            </w:r>
          </w:p>
        </w:tc>
        <w:tc>
          <w:tcPr>
            <w:tcW w:w="347" w:type="pct"/>
            <w:shd w:val="clear" w:color="auto" w:fill="auto"/>
            <w:noWrap/>
            <w:vAlign w:val="center"/>
            <w:hideMark/>
          </w:tcPr>
          <w:p w14:paraId="38D0B4C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20.56%</w:t>
            </w:r>
          </w:p>
        </w:tc>
        <w:tc>
          <w:tcPr>
            <w:tcW w:w="348" w:type="pct"/>
            <w:shd w:val="clear" w:color="auto" w:fill="auto"/>
            <w:noWrap/>
            <w:vAlign w:val="center"/>
            <w:hideMark/>
          </w:tcPr>
          <w:p w14:paraId="39B370D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14.10%</w:t>
            </w:r>
          </w:p>
        </w:tc>
        <w:tc>
          <w:tcPr>
            <w:tcW w:w="348" w:type="pct"/>
            <w:shd w:val="clear" w:color="auto" w:fill="auto"/>
            <w:noWrap/>
            <w:vAlign w:val="center"/>
            <w:hideMark/>
          </w:tcPr>
          <w:p w14:paraId="33FC8CF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12.05%</w:t>
            </w:r>
          </w:p>
        </w:tc>
        <w:tc>
          <w:tcPr>
            <w:tcW w:w="347" w:type="pct"/>
            <w:shd w:val="clear" w:color="auto" w:fill="auto"/>
            <w:noWrap/>
            <w:vAlign w:val="center"/>
            <w:hideMark/>
          </w:tcPr>
          <w:p w14:paraId="7AB8EE0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12.68%</w:t>
            </w:r>
          </w:p>
        </w:tc>
        <w:tc>
          <w:tcPr>
            <w:tcW w:w="348" w:type="pct"/>
            <w:shd w:val="clear" w:color="auto" w:fill="auto"/>
            <w:noWrap/>
            <w:vAlign w:val="center"/>
            <w:hideMark/>
          </w:tcPr>
          <w:p w14:paraId="23900D2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15.35%</w:t>
            </w:r>
          </w:p>
        </w:tc>
        <w:tc>
          <w:tcPr>
            <w:tcW w:w="312" w:type="pct"/>
            <w:shd w:val="clear" w:color="auto" w:fill="auto"/>
            <w:noWrap/>
            <w:vAlign w:val="center"/>
            <w:hideMark/>
          </w:tcPr>
          <w:p w14:paraId="6856961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-3.25%</w:t>
            </w:r>
          </w:p>
        </w:tc>
        <w:tc>
          <w:tcPr>
            <w:tcW w:w="313" w:type="pct"/>
            <w:shd w:val="clear" w:color="auto" w:fill="auto"/>
            <w:noWrap/>
            <w:vAlign w:val="center"/>
            <w:hideMark/>
          </w:tcPr>
          <w:p w14:paraId="5CC9F92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-3.88%</w:t>
            </w:r>
          </w:p>
        </w:tc>
        <w:tc>
          <w:tcPr>
            <w:tcW w:w="313" w:type="pct"/>
            <w:shd w:val="clear" w:color="auto" w:fill="auto"/>
            <w:noWrap/>
            <w:vAlign w:val="center"/>
            <w:hideMark/>
          </w:tcPr>
          <w:p w14:paraId="4B6746F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541A8C1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1.22%</w:t>
            </w:r>
          </w:p>
        </w:tc>
        <w:tc>
          <w:tcPr>
            <w:tcW w:w="381" w:type="pct"/>
            <w:shd w:val="clear" w:color="auto" w:fill="auto"/>
            <w:noWrap/>
            <w:vAlign w:val="center"/>
            <w:hideMark/>
          </w:tcPr>
          <w:p w14:paraId="197CE25D"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6704D05E"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32E941D6" w14:textId="77777777" w:rsidTr="00C7571A">
        <w:trPr>
          <w:trHeight w:val="312"/>
        </w:trPr>
        <w:tc>
          <w:tcPr>
            <w:tcW w:w="207" w:type="pct"/>
            <w:shd w:val="clear" w:color="auto" w:fill="auto"/>
            <w:noWrap/>
            <w:vAlign w:val="center"/>
            <w:hideMark/>
          </w:tcPr>
          <w:p w14:paraId="1468179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9</w:t>
            </w:r>
          </w:p>
        </w:tc>
        <w:tc>
          <w:tcPr>
            <w:tcW w:w="312" w:type="pct"/>
            <w:shd w:val="clear" w:color="auto" w:fill="auto"/>
            <w:noWrap/>
            <w:vAlign w:val="center"/>
            <w:hideMark/>
          </w:tcPr>
          <w:p w14:paraId="785E299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2.37%</w:t>
            </w:r>
          </w:p>
        </w:tc>
        <w:tc>
          <w:tcPr>
            <w:tcW w:w="348" w:type="pct"/>
            <w:shd w:val="clear" w:color="auto" w:fill="auto"/>
            <w:noWrap/>
            <w:vAlign w:val="center"/>
            <w:hideMark/>
          </w:tcPr>
          <w:p w14:paraId="4F6F4E7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1.67%</w:t>
            </w:r>
          </w:p>
        </w:tc>
        <w:tc>
          <w:tcPr>
            <w:tcW w:w="382" w:type="pct"/>
            <w:shd w:val="clear" w:color="auto" w:fill="auto"/>
            <w:noWrap/>
            <w:vAlign w:val="center"/>
            <w:hideMark/>
          </w:tcPr>
          <w:p w14:paraId="7C23055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37.22%</w:t>
            </w:r>
          </w:p>
        </w:tc>
        <w:tc>
          <w:tcPr>
            <w:tcW w:w="347" w:type="pct"/>
            <w:shd w:val="clear" w:color="auto" w:fill="auto"/>
            <w:noWrap/>
            <w:vAlign w:val="center"/>
            <w:hideMark/>
          </w:tcPr>
          <w:p w14:paraId="66901AE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22.89%</w:t>
            </w:r>
          </w:p>
        </w:tc>
        <w:tc>
          <w:tcPr>
            <w:tcW w:w="348" w:type="pct"/>
            <w:shd w:val="clear" w:color="auto" w:fill="auto"/>
            <w:noWrap/>
            <w:vAlign w:val="center"/>
            <w:hideMark/>
          </w:tcPr>
          <w:p w14:paraId="4165743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14.76%</w:t>
            </w:r>
          </w:p>
        </w:tc>
        <w:tc>
          <w:tcPr>
            <w:tcW w:w="348" w:type="pct"/>
            <w:shd w:val="clear" w:color="auto" w:fill="auto"/>
            <w:noWrap/>
            <w:vAlign w:val="center"/>
            <w:hideMark/>
          </w:tcPr>
          <w:p w14:paraId="6C289A2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13.09%</w:t>
            </w:r>
          </w:p>
        </w:tc>
        <w:tc>
          <w:tcPr>
            <w:tcW w:w="347" w:type="pct"/>
            <w:shd w:val="clear" w:color="auto" w:fill="auto"/>
            <w:noWrap/>
            <w:vAlign w:val="center"/>
            <w:hideMark/>
          </w:tcPr>
          <w:p w14:paraId="6CAEB62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13.50%</w:t>
            </w:r>
          </w:p>
        </w:tc>
        <w:tc>
          <w:tcPr>
            <w:tcW w:w="348" w:type="pct"/>
            <w:shd w:val="clear" w:color="auto" w:fill="auto"/>
            <w:noWrap/>
            <w:vAlign w:val="center"/>
            <w:hideMark/>
          </w:tcPr>
          <w:p w14:paraId="058E532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17.52%</w:t>
            </w:r>
          </w:p>
        </w:tc>
        <w:tc>
          <w:tcPr>
            <w:tcW w:w="312" w:type="pct"/>
            <w:shd w:val="clear" w:color="auto" w:fill="auto"/>
            <w:noWrap/>
            <w:vAlign w:val="center"/>
            <w:hideMark/>
          </w:tcPr>
          <w:p w14:paraId="4019C5E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-3.19%</w:t>
            </w:r>
          </w:p>
        </w:tc>
        <w:tc>
          <w:tcPr>
            <w:tcW w:w="313" w:type="pct"/>
            <w:shd w:val="clear" w:color="auto" w:fill="auto"/>
            <w:noWrap/>
            <w:vAlign w:val="center"/>
            <w:hideMark/>
          </w:tcPr>
          <w:p w14:paraId="37CB1A7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-3.57%</w:t>
            </w:r>
          </w:p>
        </w:tc>
        <w:tc>
          <w:tcPr>
            <w:tcW w:w="313" w:type="pct"/>
            <w:shd w:val="clear" w:color="auto" w:fill="auto"/>
            <w:noWrap/>
            <w:vAlign w:val="center"/>
            <w:hideMark/>
          </w:tcPr>
          <w:p w14:paraId="05C353B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316FA9C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1.28%</w:t>
            </w:r>
          </w:p>
        </w:tc>
        <w:tc>
          <w:tcPr>
            <w:tcW w:w="381" w:type="pct"/>
            <w:shd w:val="clear" w:color="auto" w:fill="auto"/>
            <w:noWrap/>
            <w:vAlign w:val="center"/>
            <w:hideMark/>
          </w:tcPr>
          <w:p w14:paraId="23D16C19"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342CBA06"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7711F98A" w14:textId="77777777" w:rsidTr="00C7571A">
        <w:trPr>
          <w:trHeight w:val="312"/>
        </w:trPr>
        <w:tc>
          <w:tcPr>
            <w:tcW w:w="207" w:type="pct"/>
            <w:shd w:val="clear" w:color="auto" w:fill="auto"/>
            <w:noWrap/>
            <w:vAlign w:val="center"/>
            <w:hideMark/>
          </w:tcPr>
          <w:p w14:paraId="398F776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w:t>
            </w:r>
          </w:p>
        </w:tc>
        <w:tc>
          <w:tcPr>
            <w:tcW w:w="312" w:type="pct"/>
            <w:shd w:val="clear" w:color="auto" w:fill="auto"/>
            <w:noWrap/>
            <w:vAlign w:val="center"/>
            <w:hideMark/>
          </w:tcPr>
          <w:p w14:paraId="4FE54B6A"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2.44%</w:t>
            </w:r>
          </w:p>
        </w:tc>
        <w:tc>
          <w:tcPr>
            <w:tcW w:w="348" w:type="pct"/>
            <w:shd w:val="clear" w:color="auto" w:fill="auto"/>
            <w:noWrap/>
            <w:vAlign w:val="center"/>
            <w:hideMark/>
          </w:tcPr>
          <w:p w14:paraId="2A8B11E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1.81%</w:t>
            </w:r>
          </w:p>
        </w:tc>
        <w:tc>
          <w:tcPr>
            <w:tcW w:w="382" w:type="pct"/>
            <w:shd w:val="clear" w:color="auto" w:fill="auto"/>
            <w:noWrap/>
            <w:vAlign w:val="center"/>
            <w:hideMark/>
          </w:tcPr>
          <w:p w14:paraId="343A901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38.96%</w:t>
            </w:r>
          </w:p>
        </w:tc>
        <w:tc>
          <w:tcPr>
            <w:tcW w:w="347" w:type="pct"/>
            <w:shd w:val="clear" w:color="auto" w:fill="auto"/>
            <w:noWrap/>
            <w:vAlign w:val="center"/>
            <w:hideMark/>
          </w:tcPr>
          <w:p w14:paraId="45B61BD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25.30%</w:t>
            </w:r>
          </w:p>
        </w:tc>
        <w:tc>
          <w:tcPr>
            <w:tcW w:w="348" w:type="pct"/>
            <w:shd w:val="clear" w:color="auto" w:fill="auto"/>
            <w:noWrap/>
            <w:vAlign w:val="center"/>
            <w:hideMark/>
          </w:tcPr>
          <w:p w14:paraId="7656F95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15.05%</w:t>
            </w:r>
          </w:p>
        </w:tc>
        <w:tc>
          <w:tcPr>
            <w:tcW w:w="348" w:type="pct"/>
            <w:shd w:val="clear" w:color="auto" w:fill="auto"/>
            <w:noWrap/>
            <w:vAlign w:val="center"/>
            <w:hideMark/>
          </w:tcPr>
          <w:p w14:paraId="01A98B6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14.12%</w:t>
            </w:r>
          </w:p>
        </w:tc>
        <w:tc>
          <w:tcPr>
            <w:tcW w:w="347" w:type="pct"/>
            <w:shd w:val="clear" w:color="auto" w:fill="auto"/>
            <w:noWrap/>
            <w:vAlign w:val="center"/>
            <w:hideMark/>
          </w:tcPr>
          <w:p w14:paraId="6056AD3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13.86%</w:t>
            </w:r>
          </w:p>
        </w:tc>
        <w:tc>
          <w:tcPr>
            <w:tcW w:w="348" w:type="pct"/>
            <w:shd w:val="clear" w:color="auto" w:fill="auto"/>
            <w:noWrap/>
            <w:vAlign w:val="center"/>
            <w:hideMark/>
          </w:tcPr>
          <w:p w14:paraId="7840D26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19.52%</w:t>
            </w:r>
          </w:p>
        </w:tc>
        <w:tc>
          <w:tcPr>
            <w:tcW w:w="312" w:type="pct"/>
            <w:shd w:val="clear" w:color="auto" w:fill="auto"/>
            <w:noWrap/>
            <w:vAlign w:val="center"/>
            <w:hideMark/>
          </w:tcPr>
          <w:p w14:paraId="69D5A00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-3.17%</w:t>
            </w:r>
          </w:p>
        </w:tc>
        <w:tc>
          <w:tcPr>
            <w:tcW w:w="313" w:type="pct"/>
            <w:shd w:val="clear" w:color="auto" w:fill="auto"/>
            <w:noWrap/>
            <w:vAlign w:val="center"/>
            <w:hideMark/>
          </w:tcPr>
          <w:p w14:paraId="4368ECE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-3.33%</w:t>
            </w:r>
          </w:p>
        </w:tc>
        <w:tc>
          <w:tcPr>
            <w:tcW w:w="313" w:type="pct"/>
            <w:shd w:val="clear" w:color="auto" w:fill="auto"/>
            <w:noWrap/>
            <w:vAlign w:val="center"/>
            <w:hideMark/>
          </w:tcPr>
          <w:p w14:paraId="2B555B3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049A46F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1.35%</w:t>
            </w:r>
          </w:p>
        </w:tc>
        <w:tc>
          <w:tcPr>
            <w:tcW w:w="381" w:type="pct"/>
            <w:shd w:val="clear" w:color="auto" w:fill="auto"/>
            <w:noWrap/>
            <w:vAlign w:val="center"/>
            <w:hideMark/>
          </w:tcPr>
          <w:p w14:paraId="2DA26693"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4A45E93F"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437F3261" w14:textId="77777777" w:rsidTr="00C7571A">
        <w:trPr>
          <w:trHeight w:val="312"/>
        </w:trPr>
        <w:tc>
          <w:tcPr>
            <w:tcW w:w="207" w:type="pct"/>
            <w:shd w:val="clear" w:color="auto" w:fill="auto"/>
            <w:noWrap/>
            <w:vAlign w:val="center"/>
            <w:hideMark/>
          </w:tcPr>
          <w:p w14:paraId="079F134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w:t>
            </w:r>
          </w:p>
        </w:tc>
        <w:tc>
          <w:tcPr>
            <w:tcW w:w="312" w:type="pct"/>
            <w:shd w:val="clear" w:color="auto" w:fill="auto"/>
            <w:noWrap/>
            <w:vAlign w:val="center"/>
            <w:hideMark/>
          </w:tcPr>
          <w:p w14:paraId="7CB447A9"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2.43%</w:t>
            </w:r>
          </w:p>
        </w:tc>
        <w:tc>
          <w:tcPr>
            <w:tcW w:w="348" w:type="pct"/>
            <w:shd w:val="clear" w:color="auto" w:fill="auto"/>
            <w:noWrap/>
            <w:vAlign w:val="center"/>
            <w:hideMark/>
          </w:tcPr>
          <w:p w14:paraId="2B2E24AB"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1.95%</w:t>
            </w:r>
          </w:p>
        </w:tc>
        <w:tc>
          <w:tcPr>
            <w:tcW w:w="382" w:type="pct"/>
            <w:shd w:val="clear" w:color="auto" w:fill="auto"/>
            <w:noWrap/>
            <w:vAlign w:val="center"/>
            <w:hideMark/>
          </w:tcPr>
          <w:p w14:paraId="24417AC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39.44%</w:t>
            </w:r>
          </w:p>
        </w:tc>
        <w:tc>
          <w:tcPr>
            <w:tcW w:w="347" w:type="pct"/>
            <w:shd w:val="clear" w:color="auto" w:fill="auto"/>
            <w:noWrap/>
            <w:vAlign w:val="center"/>
            <w:hideMark/>
          </w:tcPr>
          <w:p w14:paraId="7F10092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27.68%</w:t>
            </w:r>
          </w:p>
        </w:tc>
        <w:tc>
          <w:tcPr>
            <w:tcW w:w="348" w:type="pct"/>
            <w:shd w:val="clear" w:color="auto" w:fill="auto"/>
            <w:noWrap/>
            <w:vAlign w:val="center"/>
            <w:hideMark/>
          </w:tcPr>
          <w:p w14:paraId="253BBD0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14.97%</w:t>
            </w:r>
          </w:p>
        </w:tc>
        <w:tc>
          <w:tcPr>
            <w:tcW w:w="348" w:type="pct"/>
            <w:shd w:val="clear" w:color="auto" w:fill="auto"/>
            <w:noWrap/>
            <w:vAlign w:val="center"/>
            <w:hideMark/>
          </w:tcPr>
          <w:p w14:paraId="7FCEFD9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15.08%</w:t>
            </w:r>
          </w:p>
        </w:tc>
        <w:tc>
          <w:tcPr>
            <w:tcW w:w="347" w:type="pct"/>
            <w:shd w:val="clear" w:color="auto" w:fill="auto"/>
            <w:noWrap/>
            <w:vAlign w:val="center"/>
            <w:hideMark/>
          </w:tcPr>
          <w:p w14:paraId="42E2AFF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13.77%</w:t>
            </w:r>
          </w:p>
        </w:tc>
        <w:tc>
          <w:tcPr>
            <w:tcW w:w="348" w:type="pct"/>
            <w:shd w:val="clear" w:color="auto" w:fill="auto"/>
            <w:noWrap/>
            <w:vAlign w:val="center"/>
            <w:hideMark/>
          </w:tcPr>
          <w:p w14:paraId="0D848B9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21.26%</w:t>
            </w:r>
          </w:p>
        </w:tc>
        <w:tc>
          <w:tcPr>
            <w:tcW w:w="312" w:type="pct"/>
            <w:shd w:val="clear" w:color="auto" w:fill="auto"/>
            <w:noWrap/>
            <w:vAlign w:val="center"/>
            <w:hideMark/>
          </w:tcPr>
          <w:p w14:paraId="30EBEDE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-3.14%</w:t>
            </w:r>
          </w:p>
        </w:tc>
        <w:tc>
          <w:tcPr>
            <w:tcW w:w="313" w:type="pct"/>
            <w:shd w:val="clear" w:color="auto" w:fill="auto"/>
            <w:noWrap/>
            <w:vAlign w:val="center"/>
            <w:hideMark/>
          </w:tcPr>
          <w:p w14:paraId="6613A7A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-3.16%</w:t>
            </w:r>
          </w:p>
        </w:tc>
        <w:tc>
          <w:tcPr>
            <w:tcW w:w="313" w:type="pct"/>
            <w:shd w:val="clear" w:color="auto" w:fill="auto"/>
            <w:noWrap/>
            <w:vAlign w:val="center"/>
            <w:hideMark/>
          </w:tcPr>
          <w:p w14:paraId="1B1312C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45C4FC3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1.40%</w:t>
            </w:r>
          </w:p>
        </w:tc>
        <w:tc>
          <w:tcPr>
            <w:tcW w:w="381" w:type="pct"/>
            <w:shd w:val="clear" w:color="auto" w:fill="auto"/>
            <w:noWrap/>
            <w:vAlign w:val="center"/>
            <w:hideMark/>
          </w:tcPr>
          <w:p w14:paraId="310DB216"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7575CE7B"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5DCA5A0F" w14:textId="77777777" w:rsidTr="00C7571A">
        <w:trPr>
          <w:trHeight w:val="312"/>
        </w:trPr>
        <w:tc>
          <w:tcPr>
            <w:tcW w:w="207" w:type="pct"/>
            <w:shd w:val="clear" w:color="auto" w:fill="auto"/>
            <w:noWrap/>
            <w:vAlign w:val="center"/>
            <w:hideMark/>
          </w:tcPr>
          <w:p w14:paraId="01BC8A16"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w:t>
            </w:r>
          </w:p>
        </w:tc>
        <w:tc>
          <w:tcPr>
            <w:tcW w:w="312" w:type="pct"/>
            <w:shd w:val="clear" w:color="auto" w:fill="auto"/>
            <w:noWrap/>
            <w:vAlign w:val="center"/>
            <w:hideMark/>
          </w:tcPr>
          <w:p w14:paraId="390A0F1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2.30%</w:t>
            </w:r>
          </w:p>
        </w:tc>
        <w:tc>
          <w:tcPr>
            <w:tcW w:w="348" w:type="pct"/>
            <w:shd w:val="clear" w:color="auto" w:fill="auto"/>
            <w:noWrap/>
            <w:vAlign w:val="center"/>
            <w:hideMark/>
          </w:tcPr>
          <w:p w14:paraId="51F289F4"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2.10%</w:t>
            </w:r>
          </w:p>
        </w:tc>
        <w:tc>
          <w:tcPr>
            <w:tcW w:w="382" w:type="pct"/>
            <w:shd w:val="clear" w:color="auto" w:fill="auto"/>
            <w:noWrap/>
            <w:vAlign w:val="center"/>
            <w:hideMark/>
          </w:tcPr>
          <w:p w14:paraId="60A32BE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37.70%</w:t>
            </w:r>
          </w:p>
        </w:tc>
        <w:tc>
          <w:tcPr>
            <w:tcW w:w="347" w:type="pct"/>
            <w:shd w:val="clear" w:color="auto" w:fill="auto"/>
            <w:noWrap/>
            <w:vAlign w:val="center"/>
            <w:hideMark/>
          </w:tcPr>
          <w:p w14:paraId="6ED7598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30.65%</w:t>
            </w:r>
          </w:p>
        </w:tc>
        <w:tc>
          <w:tcPr>
            <w:tcW w:w="348" w:type="pct"/>
            <w:shd w:val="clear" w:color="auto" w:fill="auto"/>
            <w:noWrap/>
            <w:vAlign w:val="center"/>
            <w:hideMark/>
          </w:tcPr>
          <w:p w14:paraId="5693C8B2"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14.16%</w:t>
            </w:r>
          </w:p>
        </w:tc>
        <w:tc>
          <w:tcPr>
            <w:tcW w:w="348" w:type="pct"/>
            <w:shd w:val="clear" w:color="auto" w:fill="auto"/>
            <w:noWrap/>
            <w:vAlign w:val="center"/>
            <w:hideMark/>
          </w:tcPr>
          <w:p w14:paraId="7E87375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16.18%</w:t>
            </w:r>
          </w:p>
        </w:tc>
        <w:tc>
          <w:tcPr>
            <w:tcW w:w="347" w:type="pct"/>
            <w:shd w:val="clear" w:color="auto" w:fill="auto"/>
            <w:noWrap/>
            <w:vAlign w:val="center"/>
            <w:hideMark/>
          </w:tcPr>
          <w:p w14:paraId="24630D4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12.77%</w:t>
            </w:r>
          </w:p>
        </w:tc>
        <w:tc>
          <w:tcPr>
            <w:tcW w:w="348" w:type="pct"/>
            <w:shd w:val="clear" w:color="auto" w:fill="auto"/>
            <w:noWrap/>
            <w:vAlign w:val="center"/>
            <w:hideMark/>
          </w:tcPr>
          <w:p w14:paraId="07011C4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23.13%</w:t>
            </w:r>
          </w:p>
        </w:tc>
        <w:tc>
          <w:tcPr>
            <w:tcW w:w="312" w:type="pct"/>
            <w:shd w:val="clear" w:color="auto" w:fill="auto"/>
            <w:noWrap/>
            <w:vAlign w:val="center"/>
            <w:hideMark/>
          </w:tcPr>
          <w:p w14:paraId="50A5E40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-2.98%</w:t>
            </w:r>
          </w:p>
        </w:tc>
        <w:tc>
          <w:tcPr>
            <w:tcW w:w="313" w:type="pct"/>
            <w:shd w:val="clear" w:color="auto" w:fill="auto"/>
            <w:noWrap/>
            <w:vAlign w:val="center"/>
            <w:hideMark/>
          </w:tcPr>
          <w:p w14:paraId="072A728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-3.01%</w:t>
            </w:r>
          </w:p>
        </w:tc>
        <w:tc>
          <w:tcPr>
            <w:tcW w:w="313" w:type="pct"/>
            <w:shd w:val="clear" w:color="auto" w:fill="auto"/>
            <w:noWrap/>
            <w:vAlign w:val="center"/>
            <w:hideMark/>
          </w:tcPr>
          <w:p w14:paraId="02799565"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0.06%</w:t>
            </w:r>
          </w:p>
        </w:tc>
        <w:tc>
          <w:tcPr>
            <w:tcW w:w="313" w:type="pct"/>
            <w:shd w:val="clear" w:color="auto" w:fill="auto"/>
            <w:noWrap/>
            <w:vAlign w:val="center"/>
            <w:hideMark/>
          </w:tcPr>
          <w:p w14:paraId="0D64F51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1.46%</w:t>
            </w:r>
          </w:p>
        </w:tc>
        <w:tc>
          <w:tcPr>
            <w:tcW w:w="381" w:type="pct"/>
            <w:shd w:val="clear" w:color="auto" w:fill="auto"/>
            <w:noWrap/>
            <w:vAlign w:val="center"/>
            <w:hideMark/>
          </w:tcPr>
          <w:p w14:paraId="751A81EA"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14F6DEB4"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7D6804E5" w14:textId="77777777" w:rsidTr="00C7571A">
        <w:trPr>
          <w:trHeight w:val="312"/>
        </w:trPr>
        <w:tc>
          <w:tcPr>
            <w:tcW w:w="207" w:type="pct"/>
            <w:shd w:val="clear" w:color="auto" w:fill="auto"/>
            <w:noWrap/>
            <w:vAlign w:val="center"/>
            <w:hideMark/>
          </w:tcPr>
          <w:p w14:paraId="36EDD3E8"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13</w:t>
            </w:r>
          </w:p>
        </w:tc>
        <w:tc>
          <w:tcPr>
            <w:tcW w:w="312" w:type="pct"/>
            <w:shd w:val="clear" w:color="auto" w:fill="auto"/>
            <w:noWrap/>
            <w:vAlign w:val="center"/>
            <w:hideMark/>
          </w:tcPr>
          <w:p w14:paraId="5CE738AE"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1.76%</w:t>
            </w:r>
          </w:p>
        </w:tc>
        <w:tc>
          <w:tcPr>
            <w:tcW w:w="348" w:type="pct"/>
            <w:shd w:val="clear" w:color="auto" w:fill="auto"/>
            <w:noWrap/>
            <w:vAlign w:val="center"/>
            <w:hideMark/>
          </w:tcPr>
          <w:p w14:paraId="2D765D6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2.20%</w:t>
            </w:r>
          </w:p>
        </w:tc>
        <w:tc>
          <w:tcPr>
            <w:tcW w:w="382" w:type="pct"/>
            <w:shd w:val="clear" w:color="auto" w:fill="auto"/>
            <w:noWrap/>
            <w:vAlign w:val="center"/>
            <w:hideMark/>
          </w:tcPr>
          <w:p w14:paraId="30EA0B5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24.94%</w:t>
            </w:r>
          </w:p>
        </w:tc>
        <w:tc>
          <w:tcPr>
            <w:tcW w:w="347" w:type="pct"/>
            <w:shd w:val="clear" w:color="auto" w:fill="auto"/>
            <w:noWrap/>
            <w:vAlign w:val="center"/>
            <w:hideMark/>
          </w:tcPr>
          <w:p w14:paraId="1DC2CB8C"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32.77%</w:t>
            </w:r>
          </w:p>
        </w:tc>
        <w:tc>
          <w:tcPr>
            <w:tcW w:w="348" w:type="pct"/>
            <w:shd w:val="clear" w:color="auto" w:fill="auto"/>
            <w:noWrap/>
            <w:vAlign w:val="center"/>
            <w:hideMark/>
          </w:tcPr>
          <w:p w14:paraId="55078EC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11.18%</w:t>
            </w:r>
          </w:p>
        </w:tc>
        <w:tc>
          <w:tcPr>
            <w:tcW w:w="348" w:type="pct"/>
            <w:shd w:val="clear" w:color="auto" w:fill="auto"/>
            <w:noWrap/>
            <w:vAlign w:val="center"/>
            <w:hideMark/>
          </w:tcPr>
          <w:p w14:paraId="1DFC543D"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16.80%</w:t>
            </w:r>
          </w:p>
        </w:tc>
        <w:tc>
          <w:tcPr>
            <w:tcW w:w="347" w:type="pct"/>
            <w:shd w:val="clear" w:color="auto" w:fill="auto"/>
            <w:noWrap/>
            <w:vAlign w:val="center"/>
            <w:hideMark/>
          </w:tcPr>
          <w:p w14:paraId="74385EA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10.11%</w:t>
            </w:r>
          </w:p>
        </w:tc>
        <w:tc>
          <w:tcPr>
            <w:tcW w:w="348" w:type="pct"/>
            <w:shd w:val="clear" w:color="auto" w:fill="auto"/>
            <w:noWrap/>
            <w:vAlign w:val="center"/>
            <w:hideMark/>
          </w:tcPr>
          <w:p w14:paraId="319348B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24.00%</w:t>
            </w:r>
          </w:p>
        </w:tc>
        <w:tc>
          <w:tcPr>
            <w:tcW w:w="312" w:type="pct"/>
            <w:shd w:val="clear" w:color="auto" w:fill="auto"/>
            <w:noWrap/>
            <w:vAlign w:val="center"/>
            <w:hideMark/>
          </w:tcPr>
          <w:p w14:paraId="7A5962A1"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-1.97%</w:t>
            </w:r>
          </w:p>
        </w:tc>
        <w:tc>
          <w:tcPr>
            <w:tcW w:w="313" w:type="pct"/>
            <w:shd w:val="clear" w:color="auto" w:fill="auto"/>
            <w:noWrap/>
            <w:vAlign w:val="center"/>
            <w:hideMark/>
          </w:tcPr>
          <w:p w14:paraId="5229A5A3"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-2.67%</w:t>
            </w:r>
          </w:p>
        </w:tc>
        <w:tc>
          <w:tcPr>
            <w:tcW w:w="313" w:type="pct"/>
            <w:shd w:val="clear" w:color="auto" w:fill="auto"/>
            <w:noWrap/>
            <w:vAlign w:val="center"/>
            <w:hideMark/>
          </w:tcPr>
          <w:p w14:paraId="22C42E77"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0.03%</w:t>
            </w:r>
          </w:p>
        </w:tc>
        <w:tc>
          <w:tcPr>
            <w:tcW w:w="313" w:type="pct"/>
            <w:shd w:val="clear" w:color="auto" w:fill="auto"/>
            <w:noWrap/>
            <w:vAlign w:val="center"/>
            <w:hideMark/>
          </w:tcPr>
          <w:p w14:paraId="5B37534F" w14:textId="77777777" w:rsidR="00030437" w:rsidRPr="00746002" w:rsidRDefault="00030437" w:rsidP="00C7571A">
            <w:pPr>
              <w:jc w:val="center"/>
              <w:rPr>
                <w:rFonts w:eastAsia="Times New Roman" w:cs="Times New Roman"/>
                <w:color w:val="000000"/>
                <w:sz w:val="20"/>
                <w:szCs w:val="20"/>
                <w:lang w:val="en-US"/>
              </w:rPr>
            </w:pPr>
            <w:r w:rsidRPr="00746002">
              <w:rPr>
                <w:rFonts w:eastAsia="Times New Roman" w:cs="Times New Roman"/>
                <w:color w:val="000000"/>
                <w:sz w:val="20"/>
                <w:szCs w:val="20"/>
                <w:lang w:val="en-US"/>
              </w:rPr>
              <w:t>1.40%</w:t>
            </w:r>
          </w:p>
        </w:tc>
        <w:tc>
          <w:tcPr>
            <w:tcW w:w="381" w:type="pct"/>
            <w:shd w:val="clear" w:color="auto" w:fill="auto"/>
            <w:noWrap/>
            <w:vAlign w:val="center"/>
            <w:hideMark/>
          </w:tcPr>
          <w:p w14:paraId="7483F3DC"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c>
          <w:tcPr>
            <w:tcW w:w="381" w:type="pct"/>
            <w:shd w:val="clear" w:color="auto" w:fill="auto"/>
            <w:noWrap/>
            <w:vAlign w:val="center"/>
            <w:hideMark/>
          </w:tcPr>
          <w:p w14:paraId="052F29EC" w14:textId="77777777" w:rsidR="00030437" w:rsidRPr="00746002" w:rsidRDefault="00030437" w:rsidP="00C7571A">
            <w:pPr>
              <w:jc w:val="center"/>
              <w:rPr>
                <w:rFonts w:ascii="Calibri" w:eastAsia="Times New Roman" w:hAnsi="Calibri" w:cs="Times New Roman"/>
                <w:color w:val="000000"/>
                <w:sz w:val="20"/>
                <w:szCs w:val="20"/>
                <w:lang w:val="en-US"/>
              </w:rPr>
            </w:pPr>
            <w:r w:rsidRPr="0084534B">
              <w:rPr>
                <w:rFonts w:ascii="Calibri" w:eastAsia="Times New Roman" w:hAnsi="Calibri" w:cs="Times New Roman"/>
                <w:color w:val="000000"/>
                <w:sz w:val="20"/>
                <w:szCs w:val="20"/>
                <w:lang w:val="en-US"/>
              </w:rPr>
              <w:t>-</w:t>
            </w:r>
          </w:p>
        </w:tc>
      </w:tr>
      <w:tr w:rsidR="00030437" w:rsidRPr="00746002" w14:paraId="3B6DCDFE" w14:textId="77777777" w:rsidTr="00C7571A">
        <w:trPr>
          <w:trHeight w:val="312"/>
        </w:trPr>
        <w:tc>
          <w:tcPr>
            <w:tcW w:w="5000" w:type="pct"/>
            <w:gridSpan w:val="15"/>
            <w:shd w:val="clear" w:color="auto" w:fill="auto"/>
            <w:noWrap/>
            <w:vAlign w:val="center"/>
          </w:tcPr>
          <w:p w14:paraId="1A90ADF2" w14:textId="77777777" w:rsidR="00030437" w:rsidRPr="0055107E" w:rsidRDefault="00030437" w:rsidP="00C7571A">
            <w:pPr>
              <w:jc w:val="left"/>
              <w:rPr>
                <w:rFonts w:eastAsia="Times New Roman" w:cs="Times New Roman"/>
                <w:i/>
                <w:color w:val="000000"/>
                <w:sz w:val="20"/>
                <w:szCs w:val="20"/>
                <w:lang w:val="en-US"/>
              </w:rPr>
            </w:pPr>
            <w:r w:rsidRPr="0055107E">
              <w:rPr>
                <w:rFonts w:eastAsia="Times New Roman" w:cs="Times New Roman"/>
                <w:i/>
                <w:color w:val="000000"/>
                <w:sz w:val="20"/>
                <w:szCs w:val="20"/>
                <w:lang w:val="en-US"/>
              </w:rPr>
              <w:t>Note: IM = Independent Model; JM = Joint Model</w:t>
            </w:r>
          </w:p>
        </w:tc>
      </w:tr>
    </w:tbl>
    <w:p w14:paraId="7E846223" w14:textId="77777777" w:rsidR="00030437" w:rsidRDefault="00030437" w:rsidP="00030437">
      <w:pPr>
        <w:jc w:val="left"/>
        <w:rPr>
          <w:rFonts w:eastAsiaTheme="minorEastAsia" w:cs="Times New Roman"/>
          <w:noProof/>
          <w:szCs w:val="24"/>
          <w:lang w:val="en-US"/>
        </w:rPr>
      </w:pPr>
    </w:p>
    <w:p w14:paraId="37B5C2E4" w14:textId="77777777" w:rsidR="00030437" w:rsidRDefault="00030437" w:rsidP="00030437">
      <w:pPr>
        <w:jc w:val="left"/>
        <w:rPr>
          <w:rFonts w:eastAsiaTheme="minorEastAsia" w:cs="Times New Roman"/>
          <w:noProof/>
          <w:szCs w:val="24"/>
          <w:lang w:val="en-US"/>
        </w:rPr>
      </w:pPr>
      <w:r w:rsidRPr="0067301D">
        <w:rPr>
          <w:rFonts w:eastAsiaTheme="minorEastAsia" w:cs="Times New Roman"/>
          <w:noProof/>
          <w:szCs w:val="24"/>
          <w:lang w:val="en-US"/>
        </w:rPr>
        <w:lastRenderedPageBreak/>
        <w:drawing>
          <wp:inline distT="0" distB="0" distL="0" distR="0" wp14:anchorId="45EC7A60" wp14:editId="1C1F9CBA">
            <wp:extent cx="4023360" cy="5120643"/>
            <wp:effectExtent l="19050" t="19050" r="15240" b="22860"/>
            <wp:docPr id="6" name="Picture 6" descr="C:\Users\Public\Moshiur Rahman\8. Headway\Writing\Re%3a_Final_Draft_of_Headway_Paper\Observed a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Moshiur Rahman\8. Headway\Writing\Re%3a_Final_Draft_of_Headway_Paper\Observed aligh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360" cy="5120643"/>
                    </a:xfrm>
                    <a:prstGeom prst="rect">
                      <a:avLst/>
                    </a:prstGeom>
                    <a:noFill/>
                    <a:ln>
                      <a:solidFill>
                        <a:schemeClr val="tx1"/>
                      </a:solidFill>
                    </a:ln>
                  </pic:spPr>
                </pic:pic>
              </a:graphicData>
            </a:graphic>
          </wp:inline>
        </w:drawing>
      </w:r>
      <w:r>
        <w:rPr>
          <w:rFonts w:eastAsiaTheme="minorEastAsia" w:cs="Times New Roman"/>
          <w:noProof/>
          <w:szCs w:val="24"/>
          <w:lang w:val="en-US"/>
        </w:rPr>
        <w:t xml:space="preserve"> </w:t>
      </w:r>
      <w:r w:rsidRPr="0067301D">
        <w:rPr>
          <w:rFonts w:eastAsiaTheme="minorEastAsia" w:cs="Times New Roman"/>
          <w:noProof/>
          <w:szCs w:val="24"/>
          <w:lang w:val="en-US"/>
        </w:rPr>
        <w:drawing>
          <wp:inline distT="0" distB="0" distL="0" distR="0" wp14:anchorId="03CC5BF9" wp14:editId="51F10F1C">
            <wp:extent cx="4031031" cy="5120640"/>
            <wp:effectExtent l="19050" t="19050" r="26670" b="22860"/>
            <wp:docPr id="7" name="Picture 7" descr="C:\Users\Public\Moshiur Rahman\8. Headway\Writing\Re%3a_Final_Draft_of_Headway_Paper\Frecast A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Moshiur Rahman\8. Headway\Writing\Re%3a_Final_Draft_of_Headway_Paper\Frecast Aligh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1031" cy="5120640"/>
                    </a:xfrm>
                    <a:prstGeom prst="rect">
                      <a:avLst/>
                    </a:prstGeom>
                    <a:noFill/>
                    <a:ln>
                      <a:solidFill>
                        <a:schemeClr val="tx1"/>
                      </a:solidFill>
                    </a:ln>
                  </pic:spPr>
                </pic:pic>
              </a:graphicData>
            </a:graphic>
          </wp:inline>
        </w:drawing>
      </w:r>
    </w:p>
    <w:p w14:paraId="53026724" w14:textId="635AFFB8" w:rsidR="00030437" w:rsidRPr="005461C8" w:rsidRDefault="00030437" w:rsidP="00030437">
      <w:pPr>
        <w:pStyle w:val="Caption"/>
        <w:spacing w:after="0"/>
        <w:jc w:val="left"/>
        <w:rPr>
          <w:rFonts w:eastAsiaTheme="minorEastAsia" w:cs="Times New Roman"/>
          <w:b/>
          <w:i w:val="0"/>
          <w:szCs w:val="24"/>
        </w:rPr>
      </w:pPr>
      <w:r w:rsidRPr="005461C8">
        <w:rPr>
          <w:b/>
          <w:i w:val="0"/>
          <w:color w:val="auto"/>
          <w:sz w:val="24"/>
        </w:rPr>
        <w:t xml:space="preserve">Figure </w:t>
      </w:r>
      <w:r w:rsidRPr="005461C8">
        <w:rPr>
          <w:b/>
          <w:i w:val="0"/>
          <w:color w:val="auto"/>
          <w:sz w:val="24"/>
        </w:rPr>
        <w:fldChar w:fldCharType="begin"/>
      </w:r>
      <w:r w:rsidRPr="005461C8">
        <w:rPr>
          <w:b/>
          <w:i w:val="0"/>
          <w:color w:val="auto"/>
          <w:sz w:val="24"/>
        </w:rPr>
        <w:instrText xml:space="preserve"> SEQ Figure \* ARABIC </w:instrText>
      </w:r>
      <w:r w:rsidRPr="005461C8">
        <w:rPr>
          <w:b/>
          <w:i w:val="0"/>
          <w:color w:val="auto"/>
          <w:sz w:val="24"/>
        </w:rPr>
        <w:fldChar w:fldCharType="separate"/>
      </w:r>
      <w:r w:rsidR="0067710A">
        <w:rPr>
          <w:b/>
          <w:i w:val="0"/>
          <w:noProof/>
          <w:color w:val="auto"/>
          <w:sz w:val="24"/>
        </w:rPr>
        <w:t>1</w:t>
      </w:r>
      <w:r w:rsidRPr="005461C8">
        <w:rPr>
          <w:b/>
          <w:i w:val="0"/>
          <w:color w:val="auto"/>
          <w:sz w:val="24"/>
        </w:rPr>
        <w:fldChar w:fldCharType="end"/>
      </w:r>
      <w:r w:rsidRPr="005461C8">
        <w:rPr>
          <w:b/>
          <w:i w:val="0"/>
          <w:color w:val="auto"/>
          <w:sz w:val="24"/>
        </w:rPr>
        <w:t xml:space="preserve"> Policy Ana</w:t>
      </w:r>
      <w:r>
        <w:rPr>
          <w:b/>
          <w:i w:val="0"/>
          <w:color w:val="auto"/>
          <w:sz w:val="24"/>
        </w:rPr>
        <w:t>lysis (Observed and Forecasted A</w:t>
      </w:r>
      <w:r w:rsidRPr="005461C8">
        <w:rPr>
          <w:b/>
          <w:i w:val="0"/>
          <w:color w:val="auto"/>
          <w:sz w:val="24"/>
        </w:rPr>
        <w:t xml:space="preserve">lighting </w:t>
      </w:r>
      <w:r>
        <w:rPr>
          <w:b/>
          <w:i w:val="0"/>
          <w:color w:val="auto"/>
          <w:sz w:val="24"/>
        </w:rPr>
        <w:t>R</w:t>
      </w:r>
      <w:r w:rsidRPr="005461C8">
        <w:rPr>
          <w:b/>
          <w:i w:val="0"/>
          <w:color w:val="auto"/>
          <w:sz w:val="24"/>
        </w:rPr>
        <w:t xml:space="preserve">idership </w:t>
      </w:r>
      <w:r>
        <w:rPr>
          <w:b/>
          <w:i w:val="0"/>
          <w:color w:val="auto"/>
          <w:sz w:val="24"/>
        </w:rPr>
        <w:t>C</w:t>
      </w:r>
      <w:r w:rsidRPr="005461C8">
        <w:rPr>
          <w:b/>
          <w:i w:val="0"/>
          <w:color w:val="auto"/>
          <w:sz w:val="24"/>
        </w:rPr>
        <w:t>ategories)</w:t>
      </w:r>
    </w:p>
    <w:p w14:paraId="1E3BA067" w14:textId="77777777" w:rsidR="00030437" w:rsidRDefault="00030437" w:rsidP="00030437">
      <w:pPr>
        <w:tabs>
          <w:tab w:val="left" w:pos="3343"/>
        </w:tabs>
        <w:rPr>
          <w:rFonts w:eastAsiaTheme="minorEastAsia" w:cs="Times New Roman"/>
          <w:szCs w:val="24"/>
        </w:rPr>
      </w:pPr>
    </w:p>
    <w:p w14:paraId="70855E77" w14:textId="77777777" w:rsidR="00030437" w:rsidRDefault="00030437" w:rsidP="00030437">
      <w:pPr>
        <w:tabs>
          <w:tab w:val="left" w:pos="3343"/>
        </w:tabs>
        <w:rPr>
          <w:rFonts w:eastAsiaTheme="minorEastAsia" w:cs="Times New Roman"/>
          <w:szCs w:val="24"/>
        </w:rPr>
      </w:pPr>
    </w:p>
    <w:p w14:paraId="4785ED45" w14:textId="77777777" w:rsidR="00030437" w:rsidRDefault="00030437" w:rsidP="00030437">
      <w:pPr>
        <w:tabs>
          <w:tab w:val="left" w:pos="3343"/>
        </w:tabs>
        <w:rPr>
          <w:rFonts w:eastAsiaTheme="minorEastAsia" w:cs="Times New Roman"/>
          <w:szCs w:val="24"/>
        </w:rPr>
      </w:pPr>
    </w:p>
    <w:p w14:paraId="77EC5B96" w14:textId="77777777" w:rsidR="00030437" w:rsidRDefault="00030437" w:rsidP="00030437">
      <w:pPr>
        <w:tabs>
          <w:tab w:val="left" w:pos="3343"/>
        </w:tabs>
        <w:rPr>
          <w:rFonts w:eastAsiaTheme="minorEastAsia" w:cs="Times New Roman"/>
          <w:szCs w:val="24"/>
        </w:rPr>
      </w:pPr>
      <w:r>
        <w:rPr>
          <w:rFonts w:eastAsiaTheme="minorEastAsia" w:cs="Times New Roman"/>
          <w:szCs w:val="24"/>
        </w:rPr>
        <w:lastRenderedPageBreak/>
        <w:t xml:space="preserve"> </w:t>
      </w:r>
      <w:r w:rsidRPr="0067301D">
        <w:rPr>
          <w:rFonts w:eastAsiaTheme="minorEastAsia" w:cs="Times New Roman"/>
          <w:noProof/>
          <w:szCs w:val="24"/>
          <w:lang w:val="en-US"/>
        </w:rPr>
        <w:drawing>
          <wp:inline distT="0" distB="0" distL="0" distR="0" wp14:anchorId="27DD9318" wp14:editId="7A60C519">
            <wp:extent cx="4023360" cy="5120640"/>
            <wp:effectExtent l="19050" t="19050" r="15240" b="22860"/>
            <wp:docPr id="8" name="Picture 8" descr="C:\Users\Public\Moshiur Rahman\8. Headway\Writing\Re%3a_Final_Draft_of_Headway_Paper\Observed bo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Moshiur Rahman\8. Headway\Writing\Re%3a_Final_Draft_of_Headway_Paper\Observed boar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solidFill>
                        <a:schemeClr val="tx1"/>
                      </a:solidFill>
                    </a:ln>
                  </pic:spPr>
                </pic:pic>
              </a:graphicData>
            </a:graphic>
          </wp:inline>
        </w:drawing>
      </w:r>
      <w:r>
        <w:rPr>
          <w:rFonts w:eastAsiaTheme="minorEastAsia" w:cs="Times New Roman"/>
          <w:szCs w:val="24"/>
        </w:rPr>
        <w:t xml:space="preserve"> </w:t>
      </w:r>
      <w:r w:rsidRPr="0067301D">
        <w:rPr>
          <w:rFonts w:eastAsiaTheme="minorEastAsia" w:cs="Times New Roman"/>
          <w:noProof/>
          <w:szCs w:val="24"/>
          <w:lang w:val="en-US"/>
        </w:rPr>
        <w:drawing>
          <wp:inline distT="0" distB="0" distL="0" distR="0" wp14:anchorId="6D7657ED" wp14:editId="70180513">
            <wp:extent cx="4009558" cy="5120640"/>
            <wp:effectExtent l="19050" t="19050" r="10160" b="22860"/>
            <wp:docPr id="9" name="Picture 9" descr="C:\Users\Public\Moshiur Rahman\8. Headway\Writing\Re%3a_Final_Draft_of_Headway_Paper\Forecast Boar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Moshiur Rahman\8. Headway\Writing\Re%3a_Final_Draft_of_Headway_Paper\Forecast Board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9558" cy="5120640"/>
                    </a:xfrm>
                    <a:prstGeom prst="rect">
                      <a:avLst/>
                    </a:prstGeom>
                    <a:noFill/>
                    <a:ln>
                      <a:solidFill>
                        <a:schemeClr val="tx1"/>
                      </a:solidFill>
                    </a:ln>
                  </pic:spPr>
                </pic:pic>
              </a:graphicData>
            </a:graphic>
          </wp:inline>
        </w:drawing>
      </w:r>
    </w:p>
    <w:p w14:paraId="41827C6F" w14:textId="77777777" w:rsidR="00030437" w:rsidRDefault="00030437" w:rsidP="00030437">
      <w:pPr>
        <w:pStyle w:val="Caption"/>
        <w:spacing w:after="0"/>
        <w:jc w:val="left"/>
        <w:rPr>
          <w:rFonts w:cs="Times New Roman"/>
          <w:szCs w:val="24"/>
          <w:shd w:val="clear" w:color="auto" w:fill="FFFFFF"/>
        </w:rPr>
      </w:pPr>
      <w:r w:rsidRPr="005461C8">
        <w:rPr>
          <w:b/>
          <w:i w:val="0"/>
          <w:color w:val="auto"/>
          <w:sz w:val="24"/>
        </w:rPr>
        <w:t xml:space="preserve">Figure </w:t>
      </w:r>
      <w:r>
        <w:rPr>
          <w:b/>
          <w:i w:val="0"/>
          <w:color w:val="auto"/>
          <w:sz w:val="24"/>
        </w:rPr>
        <w:t>2</w:t>
      </w:r>
      <w:r w:rsidRPr="005461C8">
        <w:rPr>
          <w:b/>
          <w:i w:val="0"/>
          <w:color w:val="auto"/>
          <w:sz w:val="24"/>
        </w:rPr>
        <w:t xml:space="preserve"> Policy Ana</w:t>
      </w:r>
      <w:r>
        <w:rPr>
          <w:b/>
          <w:i w:val="0"/>
          <w:color w:val="auto"/>
          <w:sz w:val="24"/>
        </w:rPr>
        <w:t>lysis (Observed and Forecasted Boarding</w:t>
      </w:r>
      <w:r w:rsidRPr="005461C8">
        <w:rPr>
          <w:b/>
          <w:i w:val="0"/>
          <w:color w:val="auto"/>
          <w:sz w:val="24"/>
        </w:rPr>
        <w:t xml:space="preserve"> </w:t>
      </w:r>
      <w:r>
        <w:rPr>
          <w:b/>
          <w:i w:val="0"/>
          <w:color w:val="auto"/>
          <w:sz w:val="24"/>
        </w:rPr>
        <w:t>R</w:t>
      </w:r>
      <w:r w:rsidRPr="005461C8">
        <w:rPr>
          <w:b/>
          <w:i w:val="0"/>
          <w:color w:val="auto"/>
          <w:sz w:val="24"/>
        </w:rPr>
        <w:t xml:space="preserve">idership </w:t>
      </w:r>
      <w:r>
        <w:rPr>
          <w:b/>
          <w:i w:val="0"/>
          <w:color w:val="auto"/>
          <w:sz w:val="24"/>
        </w:rPr>
        <w:t>C</w:t>
      </w:r>
      <w:r w:rsidRPr="005461C8">
        <w:rPr>
          <w:b/>
          <w:i w:val="0"/>
          <w:color w:val="auto"/>
          <w:sz w:val="24"/>
        </w:rPr>
        <w:t>ategories)</w:t>
      </w:r>
    </w:p>
    <w:p w14:paraId="1F9D7B1D" w14:textId="77777777" w:rsidR="00030437" w:rsidRDefault="00030437" w:rsidP="00413B61">
      <w:pPr>
        <w:rPr>
          <w:rFonts w:cs="Times New Roman"/>
        </w:rPr>
        <w:sectPr w:rsidR="00030437" w:rsidSect="00030437">
          <w:pgSz w:w="15840" w:h="12240" w:orient="landscape"/>
          <w:pgMar w:top="1440" w:right="1440" w:bottom="1440" w:left="1440" w:header="708" w:footer="708" w:gutter="0"/>
          <w:pgNumType w:start="18"/>
          <w:cols w:space="708"/>
          <w:docGrid w:linePitch="360"/>
        </w:sectPr>
      </w:pPr>
    </w:p>
    <w:p w14:paraId="18C7539A" w14:textId="77777777" w:rsidR="00A33B44" w:rsidRDefault="00A33B44" w:rsidP="00413B61">
      <w:pPr>
        <w:pStyle w:val="Heading1"/>
        <w:spacing w:before="0" w:after="0"/>
        <w:rPr>
          <w:szCs w:val="24"/>
        </w:rPr>
      </w:pPr>
      <w:r w:rsidRPr="00841505">
        <w:rPr>
          <w:szCs w:val="24"/>
        </w:rPr>
        <w:lastRenderedPageBreak/>
        <w:t>CONCLUSIONS</w:t>
      </w:r>
    </w:p>
    <w:p w14:paraId="31DEEB0E" w14:textId="5818AB68" w:rsidR="00A33B44" w:rsidRDefault="00A33B44" w:rsidP="00413B61">
      <w:pPr>
        <w:autoSpaceDE w:val="0"/>
        <w:autoSpaceDN w:val="0"/>
        <w:adjustRightInd w:val="0"/>
        <w:rPr>
          <w:rFonts w:cs="Times New Roman"/>
          <w:szCs w:val="24"/>
        </w:rPr>
      </w:pPr>
      <w:r>
        <w:rPr>
          <w:rFonts w:cs="Times New Roman"/>
          <w:szCs w:val="24"/>
          <w:lang w:val="en-US"/>
        </w:rPr>
        <w:t xml:space="preserve">Policy makers and urban agencies, </w:t>
      </w:r>
      <w:r w:rsidRPr="00415D18">
        <w:rPr>
          <w:rFonts w:cs="Times New Roman"/>
          <w:szCs w:val="24"/>
        </w:rPr>
        <w:t xml:space="preserve">across different parts of North America, are considering investments in </w:t>
      </w:r>
      <w:r>
        <w:rPr>
          <w:rFonts w:cs="Times New Roman"/>
          <w:szCs w:val="24"/>
        </w:rPr>
        <w:t xml:space="preserve">various </w:t>
      </w:r>
      <w:r w:rsidRPr="00415D18">
        <w:rPr>
          <w:rFonts w:cs="Times New Roman"/>
          <w:szCs w:val="24"/>
        </w:rPr>
        <w:t xml:space="preserve">public transportation alternatives </w:t>
      </w:r>
      <w:r>
        <w:rPr>
          <w:rFonts w:cs="Times New Roman"/>
          <w:szCs w:val="24"/>
        </w:rPr>
        <w:t xml:space="preserve">including </w:t>
      </w:r>
      <w:r w:rsidRPr="00415D18">
        <w:rPr>
          <w:rFonts w:cs="Times New Roman"/>
          <w:szCs w:val="24"/>
        </w:rPr>
        <w:t xml:space="preserve">bus, light </w:t>
      </w:r>
      <w:r>
        <w:rPr>
          <w:rFonts w:cs="Times New Roman"/>
          <w:szCs w:val="24"/>
        </w:rPr>
        <w:t>rail, commuter rail, and metro</w:t>
      </w:r>
      <w:r w:rsidRPr="00415D18">
        <w:rPr>
          <w:rFonts w:cs="Times New Roman"/>
          <w:szCs w:val="24"/>
        </w:rPr>
        <w:t>.</w:t>
      </w:r>
      <w:r>
        <w:rPr>
          <w:rFonts w:cs="Times New Roman"/>
          <w:szCs w:val="24"/>
        </w:rPr>
        <w:t xml:space="preserve"> A critical component to evaluating the success of these investments is the development of appropriate statistical tools to examine the impact. Our proposed research contributes to public transit literature by developing econometric models that consider the potential endogeneity of stop level headway in modeling ridership. Most of the earlier studies in public transit literature ignore that the stop level headway was determined (by choice) in response to the expected ridership. In traditional ridership studies, this potential endogeneity is often </w:t>
      </w:r>
      <w:r w:rsidR="00DD5691">
        <w:rPr>
          <w:rFonts w:cs="Times New Roman"/>
          <w:szCs w:val="24"/>
        </w:rPr>
        <w:t>neglected,</w:t>
      </w:r>
      <w:r>
        <w:rPr>
          <w:rFonts w:cs="Times New Roman"/>
          <w:szCs w:val="24"/>
        </w:rPr>
        <w:t xml:space="preserve"> and headway is considered as an independent variable. The approach violates the requirement that the unobserved factors that affect the dependent variable do not affect the independent variable. If this is the case, the estimated impact of headway on ridership would be biased (potentially over-estimated). More importantly, the estimated impact of all other variables (such as land use factors, bus infrastructure) will also be biased (possible under-estimated). </w:t>
      </w:r>
    </w:p>
    <w:p w14:paraId="4FEC33BA" w14:textId="436A9F26" w:rsidR="00A33B44" w:rsidRDefault="00A33B44" w:rsidP="00413B61">
      <w:pPr>
        <w:autoSpaceDE w:val="0"/>
        <w:autoSpaceDN w:val="0"/>
        <w:adjustRightInd w:val="0"/>
        <w:ind w:firstLine="720"/>
        <w:rPr>
          <w:rFonts w:cs="Times New Roman"/>
          <w:szCs w:val="24"/>
        </w:rPr>
      </w:pPr>
      <w:r>
        <w:rPr>
          <w:rFonts w:cs="Times New Roman"/>
          <w:szCs w:val="24"/>
        </w:rPr>
        <w:t xml:space="preserve">In this study, we addressed these challenges by proposing a simultaneous equation system that considered headway and </w:t>
      </w:r>
      <w:r>
        <w:rPr>
          <w:rFonts w:cs="Times New Roman"/>
          <w:noProof/>
          <w:szCs w:val="24"/>
        </w:rPr>
        <w:t>ridership</w:t>
      </w:r>
      <w:r>
        <w:rPr>
          <w:rFonts w:cs="Times New Roman"/>
          <w:szCs w:val="24"/>
        </w:rPr>
        <w:t xml:space="preserve"> in a joint framework accounting for the influence of common unobserved factors that affect headway and ridership. </w:t>
      </w:r>
      <w:r>
        <w:rPr>
          <w:rFonts w:cs="Times New Roman"/>
          <w:szCs w:val="24"/>
          <w:lang w:val="en-US"/>
        </w:rPr>
        <w:t xml:space="preserve">The proposed model was developed employing ridership data from the Lynx bus transit system of the Greater Orlando region. The ridership data included stop level average weekday boarding and alighting information for 11 </w:t>
      </w:r>
      <w:r w:rsidR="009850EE">
        <w:rPr>
          <w:rFonts w:cs="Times New Roman"/>
          <w:szCs w:val="24"/>
        </w:rPr>
        <w:t>quadrimesters</w:t>
      </w:r>
      <w:r w:rsidR="00DD792C">
        <w:rPr>
          <w:rFonts w:cs="Times New Roman"/>
          <w:szCs w:val="24"/>
        </w:rPr>
        <w:t xml:space="preserve"> </w:t>
      </w:r>
      <w:r>
        <w:rPr>
          <w:rFonts w:cs="Times New Roman"/>
          <w:szCs w:val="24"/>
          <w:lang w:val="en-US"/>
        </w:rPr>
        <w:t>from May-2013 to December-2016. The presence of multiple data points for each stop allowed us to develop panel models for headway, boarding and alighting. The headway variable was modeled using a panel ordered logit model while the ridership variables were modeled using panel grouped ordered logit models. In addition to unobserved effects in the form panel random effects,</w:t>
      </w:r>
      <w:r>
        <w:rPr>
          <w:rFonts w:cs="Times New Roman"/>
          <w:szCs w:val="24"/>
        </w:rPr>
        <w:t xml:space="preserve"> several exogenous variables including stop level attributes, transportation infrastructure variables, transit infrastructure variables, land use and built environment attributes and demographic and socioeconomic variables in the vicinity of the bus stop were considered in the model estimation. </w:t>
      </w:r>
    </w:p>
    <w:p w14:paraId="338956E4" w14:textId="77777777" w:rsidR="00A33B44" w:rsidRDefault="00A33B44" w:rsidP="00413B61">
      <w:pPr>
        <w:autoSpaceDE w:val="0"/>
        <w:autoSpaceDN w:val="0"/>
        <w:adjustRightInd w:val="0"/>
        <w:ind w:firstLine="720"/>
        <w:rPr>
          <w:rFonts w:cs="Times New Roman"/>
          <w:szCs w:val="24"/>
        </w:rPr>
      </w:pPr>
      <w:r>
        <w:rPr>
          <w:rFonts w:cs="Times New Roman"/>
          <w:szCs w:val="24"/>
        </w:rPr>
        <w:t xml:space="preserve">The proposed model was estimated and compared to the model that ignore the potential endogeneity of headway. The comparison results clearly highlighted the improved model fit of the proposed framework. </w:t>
      </w:r>
      <w:r w:rsidRPr="00EE797E">
        <w:rPr>
          <w:rFonts w:cs="Times New Roman"/>
          <w:szCs w:val="24"/>
        </w:rPr>
        <w:t>The model estimation results identif</w:t>
      </w:r>
      <w:r>
        <w:rPr>
          <w:rFonts w:cs="Times New Roman"/>
          <w:szCs w:val="24"/>
        </w:rPr>
        <w:t>ied</w:t>
      </w:r>
      <w:r w:rsidRPr="00EE797E">
        <w:rPr>
          <w:rFonts w:cs="Times New Roman"/>
          <w:szCs w:val="24"/>
        </w:rPr>
        <w:t xml:space="preserve"> that headway, number of the bus stops in the 800m buffer, presence</w:t>
      </w:r>
      <w:r>
        <w:rPr>
          <w:rFonts w:cs="Times New Roman"/>
          <w:szCs w:val="24"/>
        </w:rPr>
        <w:t xml:space="preserve"> of shelter at the bus stop, sidewalk length in a 400m buffer, bus stop distance from the central business district (CBD), distance between Sunrail station and bus stop, and automobile ownership are likely to impact bus ridership in Orlando. The model system developed was also validated with a hold-out sample. Finally, a policy analysis exercise was conducted to illustrate how the model framework can be used by policy makers. The model developed can provide policy makers the necessary framework to evaluate changes to ridership based on a series of changes under consideration.   </w:t>
      </w:r>
    </w:p>
    <w:p w14:paraId="36D72705" w14:textId="58D082EC" w:rsidR="00A33B44" w:rsidRDefault="00DD792C" w:rsidP="00DD792C">
      <w:pPr>
        <w:tabs>
          <w:tab w:val="left" w:pos="3009"/>
        </w:tabs>
      </w:pPr>
      <w:r>
        <w:tab/>
      </w:r>
    </w:p>
    <w:p w14:paraId="7700BB83" w14:textId="77777777" w:rsidR="00A33B44" w:rsidRDefault="00A33B44" w:rsidP="00413B61">
      <w:pPr>
        <w:rPr>
          <w:b/>
          <w:szCs w:val="28"/>
        </w:rPr>
      </w:pPr>
      <w:r w:rsidRPr="00276762">
        <w:rPr>
          <w:b/>
          <w:szCs w:val="28"/>
        </w:rPr>
        <w:t>ACKNOWLEDGEMENTS</w:t>
      </w:r>
    </w:p>
    <w:p w14:paraId="7226827A" w14:textId="77777777" w:rsidR="00A33B44" w:rsidRDefault="00A33B44" w:rsidP="00413B61">
      <w:pPr>
        <w:rPr>
          <w:rFonts w:cs="Times New Roman"/>
          <w:szCs w:val="24"/>
        </w:rPr>
      </w:pPr>
      <w:r w:rsidRPr="00531A53">
        <w:rPr>
          <w:rFonts w:cs="Times New Roman"/>
          <w:szCs w:val="24"/>
        </w:rPr>
        <w:t xml:space="preserve">The authors would like to acknowledge Mr. William Gant from Lynx and Mr. Jeremy Dilmore from Florida Department of Transportation </w:t>
      </w:r>
      <w:r>
        <w:rPr>
          <w:rFonts w:cs="Times New Roman"/>
          <w:szCs w:val="24"/>
        </w:rPr>
        <w:t xml:space="preserve">(FDOT) </w:t>
      </w:r>
      <w:r w:rsidRPr="00531A53">
        <w:rPr>
          <w:rFonts w:cs="Times New Roman"/>
          <w:szCs w:val="24"/>
        </w:rPr>
        <w:t>for helping with data acquisition. The authors would also like to thank FDOT for funding this study. All opinions are only those of the authors.</w:t>
      </w:r>
    </w:p>
    <w:p w14:paraId="26EE1A38" w14:textId="77777777" w:rsidR="00A33B44" w:rsidRDefault="00A33B44" w:rsidP="00413B61">
      <w:pPr>
        <w:rPr>
          <w:b/>
          <w:szCs w:val="28"/>
        </w:rPr>
      </w:pPr>
    </w:p>
    <w:p w14:paraId="3BC164BA" w14:textId="77777777" w:rsidR="00030437" w:rsidRDefault="00030437" w:rsidP="00413B61">
      <w:pPr>
        <w:rPr>
          <w:b/>
          <w:szCs w:val="28"/>
        </w:rPr>
      </w:pPr>
    </w:p>
    <w:p w14:paraId="0542035F" w14:textId="77777777" w:rsidR="00030437" w:rsidRDefault="00030437" w:rsidP="00413B61">
      <w:pPr>
        <w:rPr>
          <w:b/>
          <w:szCs w:val="28"/>
        </w:rPr>
      </w:pPr>
    </w:p>
    <w:p w14:paraId="50881825" w14:textId="77777777" w:rsidR="00030437" w:rsidRDefault="00030437" w:rsidP="00413B61">
      <w:pPr>
        <w:rPr>
          <w:b/>
          <w:szCs w:val="28"/>
        </w:rPr>
      </w:pPr>
    </w:p>
    <w:p w14:paraId="1770B0B6" w14:textId="77777777" w:rsidR="00A33B44" w:rsidRDefault="00A33B44" w:rsidP="00413B61">
      <w:pPr>
        <w:rPr>
          <w:b/>
          <w:szCs w:val="24"/>
        </w:rPr>
      </w:pPr>
      <w:r w:rsidRPr="008719F7">
        <w:rPr>
          <w:b/>
          <w:szCs w:val="24"/>
        </w:rPr>
        <w:lastRenderedPageBreak/>
        <w:t>REFERENCES</w:t>
      </w:r>
    </w:p>
    <w:p w14:paraId="5937EBD7" w14:textId="77777777" w:rsidR="00A33B44" w:rsidRPr="00753101" w:rsidRDefault="00A33B44" w:rsidP="00413B61">
      <w:pPr>
        <w:pStyle w:val="EndNoteBibliography"/>
        <w:ind w:left="720" w:hanging="720"/>
      </w:pPr>
      <w:r w:rsidRPr="00753101">
        <w:t>Abay, K.A., Paleti, R., Bhat, C.R., 2013. The joint analysis of injury severity of drivers in two-vehicle crashes accommodating seat belt use endogeneity. Transportation Research Part B: Methodological</w:t>
      </w:r>
      <w:r w:rsidRPr="00753101">
        <w:rPr>
          <w:i/>
        </w:rPr>
        <w:t xml:space="preserve"> </w:t>
      </w:r>
      <w:r w:rsidRPr="00753101">
        <w:t>50, 74-89.</w:t>
      </w:r>
    </w:p>
    <w:p w14:paraId="515F7A03" w14:textId="77777777" w:rsidR="00A33B44" w:rsidRPr="00753101" w:rsidRDefault="00A33B44" w:rsidP="00413B61">
      <w:pPr>
        <w:pStyle w:val="EndNoteBibliography"/>
        <w:ind w:left="720" w:hanging="720"/>
      </w:pPr>
      <w:r w:rsidRPr="00753101">
        <w:t>Aditjandra, P.T., Cao, X., Mulley, C., 2012. Understanding neighbourhood design impact on travel behaviour: An application of structural equations model to a british metropolitan data. Transportation Research Part A: Policy and Practice</w:t>
      </w:r>
      <w:r w:rsidRPr="00753101">
        <w:rPr>
          <w:i/>
        </w:rPr>
        <w:t xml:space="preserve"> </w:t>
      </w:r>
      <w:r w:rsidRPr="00753101">
        <w:t>46 (1), 22-32.</w:t>
      </w:r>
    </w:p>
    <w:p w14:paraId="56D895F0" w14:textId="77777777" w:rsidR="00A33B44" w:rsidRPr="00753101" w:rsidRDefault="00A33B44" w:rsidP="00413B61">
      <w:pPr>
        <w:pStyle w:val="EndNoteBibliography"/>
        <w:ind w:left="720" w:hanging="720"/>
      </w:pPr>
      <w:r w:rsidRPr="00753101">
        <w:t>Babalik-Sutcliffe, E., 2002. Urban rail systems: Analysis of the factors behind success. Transport Reviews</w:t>
      </w:r>
      <w:r w:rsidRPr="00753101">
        <w:rPr>
          <w:i/>
        </w:rPr>
        <w:t xml:space="preserve"> </w:t>
      </w:r>
      <w:r w:rsidRPr="00753101">
        <w:t>22 (4), 415-447.</w:t>
      </w:r>
    </w:p>
    <w:p w14:paraId="4DFCF1A7" w14:textId="77777777" w:rsidR="00A33B44" w:rsidRPr="00753101" w:rsidRDefault="00A33B44" w:rsidP="00413B61">
      <w:pPr>
        <w:pStyle w:val="EndNoteBibliography"/>
        <w:ind w:left="720" w:hanging="720"/>
      </w:pPr>
      <w:r w:rsidRPr="00753101">
        <w:t>Balcombe, R., Mackett, R., Paulley, N., Preston, J., Shires, J., Titheridge, H., Wardman, M., White, P., 2004. The demand for public transport: A practical guide.</w:t>
      </w:r>
    </w:p>
    <w:p w14:paraId="1CFA6854" w14:textId="340B457F" w:rsidR="00AD4014" w:rsidRDefault="00AD4014" w:rsidP="00413B61">
      <w:pPr>
        <w:pStyle w:val="EndNoteBibliography"/>
        <w:ind w:left="720" w:hanging="720"/>
      </w:pPr>
      <w:r w:rsidRPr="00AD4014">
        <w:t>Beck, M.J., Rose, J.M. and Greaves, S.P., 2017. I can’t believe your attitude: a joint estimation of best worst attitudes and electric vehicle choice. Transportation, 44(4), pp.753-772.</w:t>
      </w:r>
    </w:p>
    <w:p w14:paraId="7BCF68DC" w14:textId="2B3EA2DB" w:rsidR="00A33B44" w:rsidRPr="00753101" w:rsidRDefault="00A33B44" w:rsidP="00413B61">
      <w:pPr>
        <w:pStyle w:val="EndNoteBibliography"/>
        <w:ind w:left="720" w:hanging="720"/>
      </w:pPr>
      <w:r w:rsidRPr="00753101">
        <w:t>Bhat, C.R., 2003. Simulation estimation of mixed discrete choice models using randomized and scrambled halton sequences. Transportation Research Part B: Methodological</w:t>
      </w:r>
      <w:r w:rsidRPr="00753101">
        <w:rPr>
          <w:i/>
        </w:rPr>
        <w:t xml:space="preserve"> </w:t>
      </w:r>
      <w:r w:rsidRPr="00753101">
        <w:t>37 (9), 837-855.</w:t>
      </w:r>
    </w:p>
    <w:p w14:paraId="5EF6ADEA" w14:textId="77777777" w:rsidR="00A33B44" w:rsidRPr="00753101" w:rsidRDefault="00A33B44" w:rsidP="00413B61">
      <w:pPr>
        <w:pStyle w:val="EndNoteBibliography"/>
        <w:ind w:left="720" w:hanging="720"/>
      </w:pPr>
      <w:r w:rsidRPr="00753101">
        <w:t>Bhat, C.R., Eluru, N., 2009. A copula-based approach to accommodate residential self-selection effects in travel behavior modeling. Transportation Research Part B: Methodological</w:t>
      </w:r>
      <w:r w:rsidRPr="00753101">
        <w:rPr>
          <w:i/>
        </w:rPr>
        <w:t xml:space="preserve"> </w:t>
      </w:r>
      <w:r w:rsidRPr="00753101">
        <w:t>43 (7), 749-765.</w:t>
      </w:r>
    </w:p>
    <w:p w14:paraId="387ADCB9" w14:textId="77777777" w:rsidR="00A33B44" w:rsidRPr="00753101" w:rsidRDefault="00A33B44" w:rsidP="00413B61">
      <w:pPr>
        <w:pStyle w:val="EndNoteBibliography"/>
        <w:ind w:left="720" w:hanging="720"/>
      </w:pPr>
      <w:r w:rsidRPr="00753101">
        <w:t>Bhat, C.R., Guo, J.Y., 2007. A comprehensive analysis of built environment characteristics on household residential choice and auto ownership levels. Transportation Research Part B: Methodological</w:t>
      </w:r>
      <w:r w:rsidRPr="00753101">
        <w:rPr>
          <w:i/>
        </w:rPr>
        <w:t xml:space="preserve"> </w:t>
      </w:r>
      <w:r w:rsidRPr="00753101">
        <w:t>41 (5), 506-526.</w:t>
      </w:r>
    </w:p>
    <w:p w14:paraId="5C728291" w14:textId="0BFF3C07" w:rsidR="00A33B44" w:rsidRPr="00753101" w:rsidRDefault="00A33B44" w:rsidP="00413B61">
      <w:pPr>
        <w:pStyle w:val="EndNoteBibliography"/>
        <w:ind w:left="720" w:hanging="720"/>
      </w:pPr>
      <w:r w:rsidRPr="00753101">
        <w:t>Bliss, L., 2017. What's behind declining transit ridership nationwide?</w:t>
      </w:r>
      <w:r w:rsidR="004A1E64">
        <w:t xml:space="preserve"> Citylab, February</w:t>
      </w:r>
      <w:r w:rsidR="004A1E64" w:rsidRPr="004A1E64">
        <w:t xml:space="preserve"> 24, 2017</w:t>
      </w:r>
      <w:r w:rsidR="004A1E64">
        <w:t>.</w:t>
      </w:r>
    </w:p>
    <w:p w14:paraId="3007DAF4" w14:textId="77777777" w:rsidR="00A33B44" w:rsidRPr="00753101" w:rsidRDefault="00A33B44" w:rsidP="00413B61">
      <w:pPr>
        <w:pStyle w:val="EndNoteBibliography"/>
        <w:ind w:left="720" w:hanging="720"/>
      </w:pPr>
      <w:r w:rsidRPr="00753101">
        <w:t>Boarnet, M.G., Giuliano, G., Hou, Y., Shin, E.J., 2017. First/last mile transit access as an equity planning issue. Transportation Research Part A: Policy and Practice</w:t>
      </w:r>
      <w:r w:rsidRPr="00753101">
        <w:rPr>
          <w:i/>
        </w:rPr>
        <w:t xml:space="preserve"> </w:t>
      </w:r>
      <w:r w:rsidRPr="00753101">
        <w:t>103, 296-310.</w:t>
      </w:r>
    </w:p>
    <w:p w14:paraId="38679A28" w14:textId="77777777" w:rsidR="00A33B44" w:rsidRPr="00753101" w:rsidRDefault="00A33B44" w:rsidP="00413B61">
      <w:pPr>
        <w:pStyle w:val="EndNoteBibliography"/>
        <w:ind w:left="720" w:hanging="720"/>
      </w:pPr>
      <w:r w:rsidRPr="00753101">
        <w:t>Cao, X., Mokhtarian, P.L., Handy, S.L., 2009. Examining the impacts of residential self</w:t>
      </w:r>
      <w:r w:rsidRPr="00753101">
        <w:rPr>
          <w:rFonts w:ascii="Cambria Math" w:hAnsi="Cambria Math" w:cs="Cambria Math"/>
        </w:rPr>
        <w:t>‐</w:t>
      </w:r>
      <w:r w:rsidRPr="00753101">
        <w:t>selection on travel behaviour: A focus on empirical findings. Transport Reviews</w:t>
      </w:r>
      <w:r w:rsidRPr="00753101">
        <w:rPr>
          <w:i/>
        </w:rPr>
        <w:t xml:space="preserve"> </w:t>
      </w:r>
      <w:r w:rsidRPr="00753101">
        <w:t>29 (3), 359-395.</w:t>
      </w:r>
    </w:p>
    <w:p w14:paraId="7E4EB4D9" w14:textId="77777777" w:rsidR="00963859" w:rsidRDefault="00A33B44" w:rsidP="00963859">
      <w:pPr>
        <w:pStyle w:val="EndNoteBibliography"/>
        <w:ind w:left="720" w:hanging="720"/>
      </w:pPr>
      <w:r w:rsidRPr="00753101">
        <w:t>Chakour, V., Eluru, N., 2014. Analyzing commuter train user behavior: A decision framework for access mode and station choice. Transportation</w:t>
      </w:r>
      <w:r w:rsidRPr="00753101">
        <w:rPr>
          <w:i/>
        </w:rPr>
        <w:t xml:space="preserve"> </w:t>
      </w:r>
      <w:r w:rsidRPr="00753101">
        <w:t>41 (1), 211-228.</w:t>
      </w:r>
    </w:p>
    <w:p w14:paraId="4B0F269A" w14:textId="77777777" w:rsidR="00963859" w:rsidRDefault="00963859" w:rsidP="00413B61">
      <w:pPr>
        <w:pStyle w:val="EndNoteBibliography"/>
        <w:ind w:left="720" w:hanging="720"/>
      </w:pPr>
      <w:r w:rsidRPr="00963859">
        <w:t xml:space="preserve">Chorus, C. G., &amp; Kroesen, M. (2014). On the (im-) possibility of deriving transport policy implications from hybrid choice models. Transport Policy, 36, 217-222. </w:t>
      </w:r>
    </w:p>
    <w:p w14:paraId="69F365D6" w14:textId="462D186F" w:rsidR="00A33B44" w:rsidRPr="00753101" w:rsidRDefault="00A33B44" w:rsidP="00413B61">
      <w:pPr>
        <w:pStyle w:val="EndNoteBibliography"/>
        <w:ind w:left="720" w:hanging="720"/>
      </w:pPr>
      <w:r w:rsidRPr="00753101">
        <w:t>Creutzig, F., 2014. How fuel prices determine public transport infrastructure, modal shares and urban form. Urban Climate</w:t>
      </w:r>
      <w:r w:rsidRPr="00753101">
        <w:rPr>
          <w:i/>
        </w:rPr>
        <w:t xml:space="preserve"> </w:t>
      </w:r>
      <w:r w:rsidRPr="00753101">
        <w:t>10, 63-76.</w:t>
      </w:r>
    </w:p>
    <w:p w14:paraId="3996ABDE" w14:textId="77777777" w:rsidR="00A33B44" w:rsidRPr="00753101" w:rsidRDefault="00A33B44" w:rsidP="00413B61">
      <w:pPr>
        <w:pStyle w:val="EndNoteBibliography"/>
        <w:ind w:left="720" w:hanging="720"/>
      </w:pPr>
      <w:r w:rsidRPr="00753101">
        <w:t>Debrezion, G., Pels, E., Rietveld, P., 2007. The impact of railway stations on residential and commercial property value: A meta-analysis. The Journal of Real Estate Finance and Economics</w:t>
      </w:r>
      <w:r w:rsidRPr="00753101">
        <w:rPr>
          <w:i/>
        </w:rPr>
        <w:t xml:space="preserve"> </w:t>
      </w:r>
      <w:r w:rsidRPr="00753101">
        <w:t>35 (2), 161-180.</w:t>
      </w:r>
    </w:p>
    <w:p w14:paraId="644C376B" w14:textId="77777777" w:rsidR="00A33B44" w:rsidRPr="00753101" w:rsidRDefault="00A33B44" w:rsidP="00413B61">
      <w:pPr>
        <w:pStyle w:val="EndNoteBibliography"/>
        <w:ind w:left="720" w:hanging="720"/>
      </w:pPr>
      <w:r w:rsidRPr="00753101">
        <w:t>Debrezion, G., Pels, E., Rietveld, P., 2009. Modelling the joint access mode and railway station choice. Transportation Research Part E: logistics and transportation review</w:t>
      </w:r>
      <w:r w:rsidRPr="00753101">
        <w:rPr>
          <w:i/>
        </w:rPr>
        <w:t xml:space="preserve"> </w:t>
      </w:r>
      <w:r w:rsidRPr="00753101">
        <w:t>45 (1), 270-283.</w:t>
      </w:r>
    </w:p>
    <w:p w14:paraId="5AF6E08E" w14:textId="77777777" w:rsidR="00A33B44" w:rsidRPr="00753101" w:rsidRDefault="00A33B44" w:rsidP="00413B61">
      <w:pPr>
        <w:pStyle w:val="EndNoteBibliography"/>
        <w:ind w:left="720" w:hanging="720"/>
      </w:pPr>
      <w:r w:rsidRPr="00753101">
        <w:t>Deka, D., 2002. Transit availability and automobile ownership: Some policy implications. Journal of Planning Education and Research</w:t>
      </w:r>
      <w:r w:rsidRPr="00753101">
        <w:rPr>
          <w:i/>
        </w:rPr>
        <w:t xml:space="preserve"> </w:t>
      </w:r>
      <w:r w:rsidRPr="00753101">
        <w:t>21 (3), 285-300.</w:t>
      </w:r>
    </w:p>
    <w:p w14:paraId="4C119BE0" w14:textId="77777777" w:rsidR="00A33B44" w:rsidRPr="00753101" w:rsidRDefault="00A33B44" w:rsidP="00413B61">
      <w:pPr>
        <w:pStyle w:val="EndNoteBibliography"/>
        <w:ind w:left="720" w:hanging="720"/>
      </w:pPr>
      <w:r w:rsidRPr="00753101">
        <w:t>Ding, C., Wang, D., Liu, C., Zhang, Y., Yang, J., 2017. Exploring the influence of built environment on travel mode choice considering the mediating effects of car ownership and travel distance. Transportation Research Part A: Policy and Practice</w:t>
      </w:r>
      <w:r w:rsidRPr="00753101">
        <w:rPr>
          <w:i/>
        </w:rPr>
        <w:t xml:space="preserve"> </w:t>
      </w:r>
      <w:r w:rsidRPr="00753101">
        <w:t>100, 65-80.</w:t>
      </w:r>
    </w:p>
    <w:p w14:paraId="5A95B69E" w14:textId="77777777" w:rsidR="00A33B44" w:rsidRPr="00753101" w:rsidRDefault="00A33B44" w:rsidP="00413B61">
      <w:pPr>
        <w:pStyle w:val="EndNoteBibliography"/>
        <w:ind w:left="720" w:hanging="720"/>
      </w:pPr>
      <w:r w:rsidRPr="00753101">
        <w:t>Eluru, N., Bhat, C.R., 2007. A joint econometric analysis of seat belt use and crash-related injury severity. Accident Analysis &amp; Prevention</w:t>
      </w:r>
      <w:r w:rsidRPr="00753101">
        <w:rPr>
          <w:i/>
        </w:rPr>
        <w:t xml:space="preserve"> </w:t>
      </w:r>
      <w:r w:rsidRPr="00753101">
        <w:t>39 (5), 1037-1049.</w:t>
      </w:r>
    </w:p>
    <w:p w14:paraId="3C8BA7DC" w14:textId="77777777" w:rsidR="00A33B44" w:rsidRPr="00753101" w:rsidRDefault="00A33B44" w:rsidP="00413B61">
      <w:pPr>
        <w:pStyle w:val="EndNoteBibliography"/>
        <w:ind w:left="720" w:hanging="720"/>
      </w:pPr>
      <w:r w:rsidRPr="00753101">
        <w:lastRenderedPageBreak/>
        <w:t>Ettema, D., Nieuwenhuis, R., 2017. Residential self-selection and travel behaviour: What are the effects of attitudes, reasons for location choice and the built environment? Journal of Transport Geography</w:t>
      </w:r>
      <w:r w:rsidRPr="00753101">
        <w:rPr>
          <w:i/>
        </w:rPr>
        <w:t xml:space="preserve"> </w:t>
      </w:r>
      <w:r w:rsidRPr="00753101">
        <w:t>59, 146-155.</w:t>
      </w:r>
    </w:p>
    <w:p w14:paraId="54B3824E" w14:textId="77777777" w:rsidR="00A33B44" w:rsidRPr="00753101" w:rsidRDefault="00A33B44" w:rsidP="00413B61">
      <w:pPr>
        <w:pStyle w:val="EndNoteBibliography"/>
        <w:ind w:left="720" w:hanging="720"/>
      </w:pPr>
      <w:r w:rsidRPr="00753101">
        <w:t>Evans, I., 2004. Transit scheduling and frequency-traveler response to transportation system changes.</w:t>
      </w:r>
    </w:p>
    <w:p w14:paraId="059ACCF2" w14:textId="77777777" w:rsidR="00A33B44" w:rsidRPr="00753101" w:rsidRDefault="00A33B44" w:rsidP="00413B61">
      <w:pPr>
        <w:pStyle w:val="EndNoteBibliography"/>
        <w:ind w:left="720" w:hanging="720"/>
      </w:pPr>
      <w:r w:rsidRPr="00753101">
        <w:t>Faghih-Imani, A., Eluru, N., 2016. Incorporating the impact of spatio-temporal interactions on bicycle sharing system demand: A case study of new york citibike system. Journal of Transport Geography</w:t>
      </w:r>
      <w:r w:rsidRPr="00753101">
        <w:rPr>
          <w:i/>
        </w:rPr>
        <w:t xml:space="preserve"> </w:t>
      </w:r>
      <w:r w:rsidRPr="00753101">
        <w:t>54, 218-227.</w:t>
      </w:r>
    </w:p>
    <w:p w14:paraId="4FE35BB8" w14:textId="77777777" w:rsidR="00963859" w:rsidRDefault="00A33B44" w:rsidP="00963859">
      <w:pPr>
        <w:pStyle w:val="EndNoteBibliography"/>
        <w:ind w:left="720" w:hanging="720"/>
      </w:pPr>
      <w:r w:rsidRPr="00753101">
        <w:t>Fan, K.-S., Miller, E.J., Badoe, D., 1993. Modeling rail access mode and station choice. Transportation Research Record</w:t>
      </w:r>
      <w:r w:rsidRPr="00753101">
        <w:rPr>
          <w:i/>
        </w:rPr>
        <w:t xml:space="preserve"> </w:t>
      </w:r>
      <w:r w:rsidRPr="00753101">
        <w:t>(1413).</w:t>
      </w:r>
    </w:p>
    <w:p w14:paraId="306E2D5D" w14:textId="43D4A5A4" w:rsidR="00AD4014" w:rsidRPr="009C67E2" w:rsidRDefault="00AD4014" w:rsidP="00963859">
      <w:pPr>
        <w:pStyle w:val="EndNoteBibliography"/>
        <w:ind w:left="720" w:hanging="720"/>
      </w:pPr>
      <w:r w:rsidRPr="009C67E2">
        <w:t>Fernández-Antolín, A., Guevara, C.A., De Lapparent, M. and Bierlaire, M., 2016. Correcting for endogeneity due to omitted attitudes: Empirical assessment of a modified MIS method using RP mode choice data. Journal of choice modelling, 20, pp.1-15.</w:t>
      </w:r>
    </w:p>
    <w:p w14:paraId="23EF326A" w14:textId="5DF32A35" w:rsidR="00A33B44" w:rsidRPr="00753101" w:rsidRDefault="00A33B44" w:rsidP="00413B61">
      <w:pPr>
        <w:pStyle w:val="EndNoteBibliography"/>
        <w:ind w:left="720" w:hanging="720"/>
      </w:pPr>
      <w:r w:rsidRPr="00753101">
        <w:t>Fitzroy, F., Smith, I., 1998. Public transport demand in freiburg: Why did patronage double in a decade? Transport policy</w:t>
      </w:r>
      <w:r w:rsidRPr="00753101">
        <w:rPr>
          <w:i/>
        </w:rPr>
        <w:t xml:space="preserve"> </w:t>
      </w:r>
      <w:r w:rsidRPr="00753101">
        <w:t>5 (3), 163-173.</w:t>
      </w:r>
    </w:p>
    <w:p w14:paraId="2A6DE034" w14:textId="77777777" w:rsidR="00A33B44" w:rsidRPr="00753101" w:rsidRDefault="00A33B44" w:rsidP="00413B61">
      <w:pPr>
        <w:pStyle w:val="EndNoteBibliography"/>
        <w:ind w:left="720" w:hanging="720"/>
      </w:pPr>
      <w:r w:rsidRPr="00753101">
        <w:t>Fitzroy, F., Smith, I., 1999. Season tickets and the demand for public transport. Kyklos</w:t>
      </w:r>
      <w:r w:rsidRPr="00753101">
        <w:rPr>
          <w:i/>
        </w:rPr>
        <w:t xml:space="preserve"> </w:t>
      </w:r>
      <w:r w:rsidRPr="00753101">
        <w:t>52 (2), 219-238.</w:t>
      </w:r>
    </w:p>
    <w:p w14:paraId="543F009C" w14:textId="77777777" w:rsidR="00A33B44" w:rsidRPr="00753101" w:rsidRDefault="00A33B44" w:rsidP="00413B61">
      <w:pPr>
        <w:pStyle w:val="EndNoteBibliography"/>
        <w:ind w:left="720" w:hanging="720"/>
      </w:pPr>
      <w:r w:rsidRPr="00753101">
        <w:t>Garrett, M., Taylor, B., 1999. Reconsidering social equity in public transit. Berkeley Planning Journal</w:t>
      </w:r>
      <w:r w:rsidRPr="00753101">
        <w:rPr>
          <w:i/>
        </w:rPr>
        <w:t xml:space="preserve"> </w:t>
      </w:r>
      <w:r w:rsidRPr="00753101">
        <w:t>13 (1).</w:t>
      </w:r>
    </w:p>
    <w:p w14:paraId="100732B9" w14:textId="77777777" w:rsidR="00A33B44" w:rsidRPr="00753101" w:rsidRDefault="00A33B44" w:rsidP="00413B61">
      <w:pPr>
        <w:pStyle w:val="EndNoteBibliography"/>
        <w:ind w:left="720" w:hanging="720"/>
      </w:pPr>
      <w:r w:rsidRPr="00753101">
        <w:t>Gomez-Ibanez, J.A., 1996. Big-city transit rider snip, deficits, and politics: Avoiding reality in boston. Journal of the American Planning Association</w:t>
      </w:r>
      <w:r w:rsidRPr="00753101">
        <w:rPr>
          <w:i/>
        </w:rPr>
        <w:t xml:space="preserve"> </w:t>
      </w:r>
      <w:r w:rsidRPr="00753101">
        <w:t>62 (1), 30-50.</w:t>
      </w:r>
    </w:p>
    <w:p w14:paraId="6150FB32" w14:textId="60428532" w:rsidR="00AD4014" w:rsidRDefault="00A33B44" w:rsidP="00963859">
      <w:pPr>
        <w:pStyle w:val="EndNoteBibliography"/>
        <w:ind w:left="720" w:hanging="720"/>
      </w:pPr>
      <w:r w:rsidRPr="00753101">
        <w:t>Grengs, J., 2010. Job accessibility and the modal mismatch in detroit. Journal of Transport Geography</w:t>
      </w:r>
      <w:r w:rsidRPr="00753101">
        <w:rPr>
          <w:i/>
        </w:rPr>
        <w:t xml:space="preserve"> </w:t>
      </w:r>
      <w:r w:rsidRPr="00753101">
        <w:t>18 (1), 42-54.</w:t>
      </w:r>
      <w:r w:rsidR="00AD4014" w:rsidRPr="00AD4014">
        <w:t>Guevara, C.A. and Ben-Akiva, M.E., 2012. Change of scale and forecasting with the control-function method in logit models. Transportation Science, 46(3), pp.425-437.</w:t>
      </w:r>
    </w:p>
    <w:p w14:paraId="0ADE601F" w14:textId="16FA70F9" w:rsidR="00AD4014" w:rsidRPr="009C67E2" w:rsidRDefault="00AD4014" w:rsidP="00963859">
      <w:pPr>
        <w:pStyle w:val="EndNoteBibliography"/>
        <w:ind w:left="720" w:hanging="720"/>
      </w:pPr>
      <w:r w:rsidRPr="009C67E2">
        <w:t>Guevara, C.A., 2015. Critical assessment of five methods to correct for endogeneity in discrete-choice models. Transportation Research Part A: Policy and Practice, 82, pp.240-254.</w:t>
      </w:r>
    </w:p>
    <w:p w14:paraId="53975B07" w14:textId="77777777" w:rsidR="00AD4014" w:rsidRDefault="00AD4014" w:rsidP="00AD4014">
      <w:pPr>
        <w:pStyle w:val="EndNoteBibliography"/>
        <w:ind w:left="720" w:hanging="720"/>
      </w:pPr>
      <w:r w:rsidRPr="009C67E2">
        <w:t>Guevara, C.A. and Polanco, D., 2016. Correcting for endogeneity due to omitted attributes in discrete-choice models: the multiple indicator solution. Transportmetrica A: Transport Science, 12(5), pp.458-478.</w:t>
      </w:r>
    </w:p>
    <w:p w14:paraId="2BD6301A" w14:textId="7D19CABE" w:rsidR="00A33B44" w:rsidRPr="00753101" w:rsidRDefault="00A33B44" w:rsidP="00413B61">
      <w:pPr>
        <w:pStyle w:val="EndNoteBibliography"/>
        <w:ind w:left="720" w:hanging="720"/>
      </w:pPr>
      <w:r w:rsidRPr="00753101">
        <w:t>Handy, S., 1996. Methodologies for exploring the link between urban form and travel behavior. Transportation Research Part D: Transport and Environment</w:t>
      </w:r>
      <w:r w:rsidRPr="00753101">
        <w:rPr>
          <w:i/>
        </w:rPr>
        <w:t xml:space="preserve"> </w:t>
      </w:r>
      <w:r w:rsidRPr="00753101">
        <w:t>1 (2), 151-165.</w:t>
      </w:r>
    </w:p>
    <w:p w14:paraId="53002325" w14:textId="77777777" w:rsidR="00A33B44" w:rsidRPr="00753101" w:rsidRDefault="00A33B44" w:rsidP="00413B61">
      <w:pPr>
        <w:pStyle w:val="EndNoteBibliography"/>
        <w:ind w:left="720" w:hanging="720"/>
      </w:pPr>
      <w:r w:rsidRPr="00753101">
        <w:t>Handy, S., Cao, X., Mokhtarian, P., 2005. Correlation or causality between the built environment and travel behavior? Evidence from northern california. Transportation Research Part D: Transport and Environment</w:t>
      </w:r>
      <w:r w:rsidRPr="00753101">
        <w:rPr>
          <w:i/>
        </w:rPr>
        <w:t xml:space="preserve"> </w:t>
      </w:r>
      <w:r w:rsidRPr="00753101">
        <w:t>10 (6), 427-444.</w:t>
      </w:r>
    </w:p>
    <w:p w14:paraId="47512A24" w14:textId="77777777" w:rsidR="00A33B44" w:rsidRPr="00753101" w:rsidRDefault="00A33B44" w:rsidP="00413B61">
      <w:pPr>
        <w:pStyle w:val="EndNoteBibliography"/>
        <w:ind w:left="720" w:hanging="720"/>
      </w:pPr>
      <w:r w:rsidRPr="00753101">
        <w:t>Heckman, J.J., Vytlacil, E., 2005. Structural equations, treatment effects, and econometric policy evaluation 1. Econometrica</w:t>
      </w:r>
      <w:r w:rsidRPr="00753101">
        <w:rPr>
          <w:i/>
        </w:rPr>
        <w:t xml:space="preserve"> </w:t>
      </w:r>
      <w:r w:rsidRPr="00753101">
        <w:t>73 (3), 669-738.</w:t>
      </w:r>
    </w:p>
    <w:p w14:paraId="0FCA8FE8" w14:textId="77777777" w:rsidR="00A33B44" w:rsidRPr="00753101" w:rsidRDefault="00A33B44" w:rsidP="00413B61">
      <w:pPr>
        <w:pStyle w:val="EndNoteBibliography"/>
        <w:ind w:left="720" w:hanging="720"/>
      </w:pPr>
      <w:r w:rsidRPr="00753101">
        <w:t>Holmgren, J., 2007. Meta-analysis of public transport demand. Transportation Research Part A: Policy and Practice</w:t>
      </w:r>
      <w:r w:rsidRPr="00753101">
        <w:rPr>
          <w:i/>
        </w:rPr>
        <w:t xml:space="preserve"> </w:t>
      </w:r>
      <w:r w:rsidRPr="00753101">
        <w:t>41 (10), 1021-1035.</w:t>
      </w:r>
    </w:p>
    <w:p w14:paraId="68FF6F2D" w14:textId="77777777" w:rsidR="00A33B44" w:rsidRPr="00753101" w:rsidRDefault="00A33B44" w:rsidP="00413B61">
      <w:pPr>
        <w:pStyle w:val="EndNoteBibliography"/>
        <w:ind w:left="720" w:hanging="720"/>
      </w:pPr>
      <w:r w:rsidRPr="00753101">
        <w:t>Jaffe, E., 2014. A basic shelter can make the wait for the bus feel shorter.</w:t>
      </w:r>
    </w:p>
    <w:p w14:paraId="2A58FE85" w14:textId="77777777" w:rsidR="00A33B44" w:rsidRPr="00753101" w:rsidRDefault="00A33B44" w:rsidP="00413B61">
      <w:pPr>
        <w:pStyle w:val="EndNoteBibliography"/>
        <w:ind w:left="720" w:hanging="720"/>
      </w:pPr>
      <w:r w:rsidRPr="00753101">
        <w:t>Johnson, A., 2003. Bus transit and land use: Illuminating the interaction. Journal of Public Transportation</w:t>
      </w:r>
      <w:r w:rsidRPr="00753101">
        <w:rPr>
          <w:i/>
        </w:rPr>
        <w:t xml:space="preserve"> </w:t>
      </w:r>
      <w:r w:rsidRPr="00753101">
        <w:t>6 (4), 2.</w:t>
      </w:r>
    </w:p>
    <w:p w14:paraId="332900BF" w14:textId="77777777" w:rsidR="00A33B44" w:rsidRPr="00753101" w:rsidRDefault="00A33B44" w:rsidP="00413B61">
      <w:pPr>
        <w:pStyle w:val="EndNoteBibliography"/>
        <w:ind w:left="720" w:hanging="720"/>
      </w:pPr>
      <w:r w:rsidRPr="00753101">
        <w:t>Kain, J.F., Liu, Z., 1999. Secrets of success: Assessing the large increases in transit ridership achieved by houston and san diego transit providers. Transportation Research Part A: Policy and Practice</w:t>
      </w:r>
      <w:r w:rsidRPr="00753101">
        <w:rPr>
          <w:i/>
        </w:rPr>
        <w:t xml:space="preserve"> </w:t>
      </w:r>
      <w:r w:rsidRPr="00753101">
        <w:t>33 (7), 601-624.</w:t>
      </w:r>
    </w:p>
    <w:p w14:paraId="6552B063" w14:textId="27301E66" w:rsidR="00AD4014" w:rsidRDefault="00AD4014" w:rsidP="00413B61">
      <w:pPr>
        <w:pStyle w:val="EndNoteBibliography"/>
        <w:ind w:left="720" w:hanging="720"/>
      </w:pPr>
      <w:r w:rsidRPr="00AD4014">
        <w:lastRenderedPageBreak/>
        <w:t>Kamargianni, M., Ben-Akiva, M. and Polydoropoulou, A., 2014. Incorporating social interaction into hybrid choice models. Transportation, 41(6), pp.1263-1285.</w:t>
      </w:r>
    </w:p>
    <w:p w14:paraId="470E5D5A" w14:textId="77146AD0" w:rsidR="00A33B44" w:rsidRPr="00753101" w:rsidRDefault="00A33B44" w:rsidP="00413B61">
      <w:pPr>
        <w:pStyle w:val="EndNoteBibliography"/>
        <w:ind w:left="720" w:hanging="720"/>
      </w:pPr>
      <w:r w:rsidRPr="00753101">
        <w:t>Kawabata, M., Shen, Q., 2006. Job accessibility as an indicator of auto-oriented urban structure: A comparison of boston and los angeles with tokyo. Environment and Planning B: Planning and Design</w:t>
      </w:r>
      <w:r w:rsidRPr="00753101">
        <w:rPr>
          <w:i/>
        </w:rPr>
        <w:t xml:space="preserve"> </w:t>
      </w:r>
      <w:r w:rsidRPr="00753101">
        <w:t>33 (1), 115-130.</w:t>
      </w:r>
    </w:p>
    <w:p w14:paraId="0D2027DB" w14:textId="77777777" w:rsidR="00A33B44" w:rsidRPr="00753101" w:rsidRDefault="00A33B44" w:rsidP="00413B61">
      <w:pPr>
        <w:pStyle w:val="EndNoteBibliography"/>
        <w:ind w:left="720" w:hanging="720"/>
      </w:pPr>
      <w:r w:rsidRPr="00753101">
        <w:t>Kawabata, M., Shen, Q., 2007. Commuting inequality between cars and public transit: The case of the san francisco bay area, 1990-2000. Urban Studies</w:t>
      </w:r>
      <w:r w:rsidRPr="00753101">
        <w:rPr>
          <w:i/>
        </w:rPr>
        <w:t xml:space="preserve"> </w:t>
      </w:r>
      <w:r w:rsidRPr="00753101">
        <w:t>44 (9), 1759-1780.</w:t>
      </w:r>
    </w:p>
    <w:p w14:paraId="0089A8F9" w14:textId="77777777" w:rsidR="00AD4014" w:rsidRDefault="00AD4014" w:rsidP="00AD4014">
      <w:pPr>
        <w:pStyle w:val="EndNoteBibliography"/>
        <w:ind w:left="720" w:hanging="720"/>
      </w:pPr>
      <w:r>
        <w:t>Kim, J., Rasouli, S. and Timmermans, H., 2014. Expanding scope of hybrid choice models allowing for mixture of social influences and latent attitudes: Application to intended purchase of electric cars. Transportation research part A: policy and practice, 69, pp.71-85.</w:t>
      </w:r>
    </w:p>
    <w:p w14:paraId="25A5AE17" w14:textId="4BFF179D" w:rsidR="00A33B44" w:rsidRPr="00753101" w:rsidRDefault="00AD4014" w:rsidP="00AD4014">
      <w:pPr>
        <w:pStyle w:val="EndNoteBibliography"/>
        <w:ind w:left="720" w:hanging="720"/>
      </w:pPr>
      <w:r>
        <w:t>Kim, J., Rasouli, S. and Timmermans, H.J., 2017. The effects of activity-travel context and individual attitudes on car-sharing decisions under travel time uncertainty: A hybrid choice modeling approach. Transportation Research Part D: Transport and Environment, 56, pp.189-202.</w:t>
      </w:r>
      <w:r w:rsidR="00A33B44" w:rsidRPr="00753101">
        <w:t>Lewyn, M., 2018. Why is transit ridership declining?</w:t>
      </w:r>
    </w:p>
    <w:p w14:paraId="60145E4D" w14:textId="77777777" w:rsidR="00A33B44" w:rsidRPr="00753101" w:rsidRDefault="00A33B44" w:rsidP="00413B61">
      <w:pPr>
        <w:pStyle w:val="EndNoteBibliography"/>
        <w:ind w:left="720" w:hanging="720"/>
      </w:pPr>
      <w:r w:rsidRPr="00753101">
        <w:t>Ma, X., Chen, X., Li, X., Ding, C., Wang, Y., 2018. Sustainable station-level planning: An integrated transport and land use design model for transit-oriented development. Journal of Cleaner Production</w:t>
      </w:r>
      <w:r w:rsidRPr="00753101">
        <w:rPr>
          <w:i/>
        </w:rPr>
        <w:t xml:space="preserve"> </w:t>
      </w:r>
      <w:r w:rsidRPr="00753101">
        <w:t>170, 1052-1063.</w:t>
      </w:r>
    </w:p>
    <w:p w14:paraId="0872A7C9" w14:textId="77777777" w:rsidR="00A33B44" w:rsidRPr="00753101" w:rsidRDefault="00A33B44" w:rsidP="00413B61">
      <w:pPr>
        <w:pStyle w:val="EndNoteBibliography"/>
        <w:ind w:left="720" w:hanging="720"/>
      </w:pPr>
      <w:r w:rsidRPr="00753101">
        <w:t>Mackett, R., Sutcliffe, E.B., 2003. New urban rail systems: A policy-based technique to make them more successful. Journal of Transport Geography</w:t>
      </w:r>
      <w:r w:rsidRPr="00753101">
        <w:rPr>
          <w:i/>
        </w:rPr>
        <w:t xml:space="preserve"> </w:t>
      </w:r>
      <w:r w:rsidRPr="00753101">
        <w:t>11 (2), 151-164.</w:t>
      </w:r>
    </w:p>
    <w:p w14:paraId="319B8E81" w14:textId="77777777" w:rsidR="00A33B44" w:rsidRPr="00753101" w:rsidRDefault="00A33B44" w:rsidP="00413B61">
      <w:pPr>
        <w:pStyle w:val="EndNoteBibliography"/>
        <w:ind w:left="720" w:hanging="720"/>
      </w:pPr>
      <w:r w:rsidRPr="00753101">
        <w:t>Maddala, G.S., 1983. Limited-dependent and qualitative variables in econometrics Cambridge university press.</w:t>
      </w:r>
    </w:p>
    <w:p w14:paraId="6F4895E8" w14:textId="1C1389CF" w:rsidR="00AD4014" w:rsidRDefault="00AD4014" w:rsidP="00413B61">
      <w:pPr>
        <w:pStyle w:val="EndNoteBibliography"/>
        <w:ind w:left="720" w:hanging="720"/>
      </w:pPr>
      <w:r w:rsidRPr="00AD4014">
        <w:t>Mariel, P., Hoyos, D., Artabe, A. and Guevara, C.A., 2018. A multiple indicator solution approach to endogeneity in discrete-choice models for environmental valuation. Science of the Total Environment, 633, pp.967-980.</w:t>
      </w:r>
    </w:p>
    <w:p w14:paraId="37B6C574" w14:textId="577CF179" w:rsidR="00A33B44" w:rsidRPr="00753101" w:rsidRDefault="00A33B44" w:rsidP="00413B61">
      <w:pPr>
        <w:pStyle w:val="EndNoteBibliography"/>
        <w:ind w:left="720" w:hanging="720"/>
      </w:pPr>
      <w:r w:rsidRPr="00753101">
        <w:t>Mccollom, B.E., Pratt, R.H., 2004a. Traveler response to transportation system changes handbook, third edition: Chapter 12, transit pricing and fares The National Academies Press, Washington, DC.</w:t>
      </w:r>
    </w:p>
    <w:p w14:paraId="79C1BDC4" w14:textId="77777777" w:rsidR="00A33B44" w:rsidRPr="00753101" w:rsidRDefault="00A33B44" w:rsidP="00413B61">
      <w:pPr>
        <w:pStyle w:val="EndNoteBibliography"/>
        <w:ind w:left="720" w:hanging="720"/>
      </w:pPr>
      <w:r w:rsidRPr="00753101">
        <w:t>Mccollom, B.E., Pratt, R.H., 2004b. Traveler response to transportation system changes. Chapter 12-transit pricing and fares.</w:t>
      </w:r>
    </w:p>
    <w:p w14:paraId="189A051C" w14:textId="77777777" w:rsidR="00A33B44" w:rsidRPr="00753101" w:rsidRDefault="00A33B44" w:rsidP="00413B61">
      <w:pPr>
        <w:pStyle w:val="EndNoteBibliography"/>
        <w:ind w:left="720" w:hanging="720"/>
      </w:pPr>
      <w:r w:rsidRPr="00753101">
        <w:t>Mokhtarian, P.L., Cao, X., 2008. Examining the impacts of residential self-selection on travel behavior: A focus on methodologies. Transportation Research Part B: Methodological</w:t>
      </w:r>
      <w:r w:rsidRPr="00753101">
        <w:rPr>
          <w:i/>
        </w:rPr>
        <w:t xml:space="preserve"> </w:t>
      </w:r>
      <w:r w:rsidRPr="00753101">
        <w:t>42 (3), 204-228.</w:t>
      </w:r>
    </w:p>
    <w:p w14:paraId="67C2D537" w14:textId="77777777" w:rsidR="00A33B44" w:rsidRPr="00753101" w:rsidRDefault="00A33B44" w:rsidP="00413B61">
      <w:pPr>
        <w:pStyle w:val="EndNoteBibliography"/>
        <w:ind w:left="720" w:hanging="720"/>
      </w:pPr>
      <w:r w:rsidRPr="00753101">
        <w:t>Nowak, W.P., Savage, I., 2013. The cross elasticity between gasoline prices and transit use: Evidence from chicago. Transport Policy</w:t>
      </w:r>
      <w:r w:rsidRPr="00753101">
        <w:rPr>
          <w:i/>
        </w:rPr>
        <w:t xml:space="preserve"> </w:t>
      </w:r>
      <w:r w:rsidRPr="00753101">
        <w:t>29, 38-45.</w:t>
      </w:r>
    </w:p>
    <w:p w14:paraId="73AC7894" w14:textId="77777777" w:rsidR="00AD4014" w:rsidRDefault="00AD4014" w:rsidP="00413B61">
      <w:pPr>
        <w:pStyle w:val="EndNoteBibliography"/>
        <w:ind w:left="720" w:hanging="720"/>
      </w:pPr>
      <w:r w:rsidRPr="00AD4014">
        <w:t>Paulssen, M., Temme, D., Vij, A. and Walker, J.L., 2014. Values, attitudes and travel behavior: a hierarchical latent variable mixed logit model of travel mode choice. Transportation, 41(4), pp.873-888.</w:t>
      </w:r>
    </w:p>
    <w:p w14:paraId="387A9B36" w14:textId="0D82F2E2" w:rsidR="00A33B44" w:rsidRPr="00753101" w:rsidRDefault="00A33B44" w:rsidP="00413B61">
      <w:pPr>
        <w:pStyle w:val="EndNoteBibliography"/>
        <w:ind w:left="720" w:hanging="720"/>
      </w:pPr>
      <w:r w:rsidRPr="00753101">
        <w:t>Pinjari, A.R., Bhat, C.R., Hensher, D.A., 2009. Residential self-selection effects in an activity time-use behavior model. Transportation Research Part B: Methodological</w:t>
      </w:r>
      <w:r w:rsidRPr="00753101">
        <w:rPr>
          <w:i/>
        </w:rPr>
        <w:t xml:space="preserve"> </w:t>
      </w:r>
      <w:r w:rsidRPr="00753101">
        <w:t>43 (7), 729-748.</w:t>
      </w:r>
    </w:p>
    <w:p w14:paraId="3495D05B" w14:textId="77777777" w:rsidR="00963859" w:rsidRDefault="00963859" w:rsidP="00413B61">
      <w:pPr>
        <w:pStyle w:val="EndNoteBibliography"/>
        <w:ind w:left="720" w:hanging="720"/>
      </w:pPr>
      <w:r w:rsidRPr="00963859">
        <w:t xml:space="preserve">Rahman, M., Yasmin, S., &amp; Eluru, N. (2019). Evaluating the impact of a newly added commuter rail system on bus ridership: a grouped ordered logit model approach. Transportmetrica A: Transport Science, 1-21. </w:t>
      </w:r>
    </w:p>
    <w:p w14:paraId="7C6D028B" w14:textId="77777777" w:rsidR="00963859" w:rsidRDefault="00963859" w:rsidP="00413B61">
      <w:pPr>
        <w:pStyle w:val="EndNoteBibliography"/>
        <w:ind w:left="720" w:hanging="720"/>
      </w:pPr>
      <w:r w:rsidRPr="00963859">
        <w:t xml:space="preserve">Roy, A. D. (1951). Some thoughts on the distribution of earnings. Oxford economic papers, 3(2), 135-146. </w:t>
      </w:r>
    </w:p>
    <w:p w14:paraId="75DF74C5" w14:textId="274425DB" w:rsidR="00A33B44" w:rsidRPr="00753101" w:rsidRDefault="00A33B44" w:rsidP="00413B61">
      <w:pPr>
        <w:pStyle w:val="EndNoteBibliography"/>
        <w:ind w:left="720" w:hanging="720"/>
      </w:pPr>
      <w:r w:rsidRPr="00753101">
        <w:lastRenderedPageBreak/>
        <w:t>Schmitt, A., 2017. Transit ridership falling everywhere — but not in cities with redesigned bus networks.</w:t>
      </w:r>
    </w:p>
    <w:p w14:paraId="188F9684" w14:textId="77777777" w:rsidR="00A33B44" w:rsidRPr="00753101" w:rsidRDefault="00A33B44" w:rsidP="00413B61">
      <w:pPr>
        <w:pStyle w:val="EndNoteBibliography"/>
        <w:ind w:left="720" w:hanging="720"/>
      </w:pPr>
      <w:r w:rsidRPr="00753101">
        <w:t>Seskin, S., Cervero, R., Zupan, J., Howard, J., 1996. Transit and urban form. Federal Transit Administration, Washington, DC.</w:t>
      </w:r>
    </w:p>
    <w:p w14:paraId="578DFDA0" w14:textId="77777777" w:rsidR="00A33B44" w:rsidRPr="00753101" w:rsidRDefault="00A33B44" w:rsidP="00413B61">
      <w:pPr>
        <w:pStyle w:val="EndNoteBibliography"/>
        <w:ind w:left="720" w:hanging="720"/>
      </w:pPr>
      <w:r w:rsidRPr="00753101">
        <w:t>Shen, Q., 2001. A spatial analysis of job openings and access in a u.S. Metropolitan area. Journal of the American Planning Association</w:t>
      </w:r>
      <w:r w:rsidRPr="00753101">
        <w:rPr>
          <w:i/>
        </w:rPr>
        <w:t xml:space="preserve"> </w:t>
      </w:r>
      <w:r w:rsidRPr="00753101">
        <w:t>67 (1), 53-68.</w:t>
      </w:r>
    </w:p>
    <w:p w14:paraId="7D47BB63" w14:textId="77777777" w:rsidR="00A33B44" w:rsidRPr="00753101" w:rsidRDefault="00A33B44" w:rsidP="00413B61">
      <w:pPr>
        <w:pStyle w:val="EndNoteBibliography"/>
        <w:ind w:left="720" w:hanging="720"/>
      </w:pPr>
      <w:r w:rsidRPr="00753101">
        <w:t>Siddiqui, F., 2018. Falling transit ridership poses an ‘emergency’ for cities, experts fear.</w:t>
      </w:r>
    </w:p>
    <w:p w14:paraId="4294C823" w14:textId="49355A1F" w:rsidR="00AD4014" w:rsidRDefault="00AD4014" w:rsidP="00413B61">
      <w:pPr>
        <w:pStyle w:val="EndNoteBibliography"/>
        <w:ind w:left="720" w:hanging="720"/>
      </w:pPr>
      <w:r w:rsidRPr="00AD4014">
        <w:t>Tirachini, A., Hensher, D.A. and Rose, J.M., 2013. Crowding in public transport systems: effects on users, operation and implications for the estimation of demand. Transportation research part A: policy and practice, 53, pp.36-52.</w:t>
      </w:r>
    </w:p>
    <w:p w14:paraId="43ECC41E" w14:textId="457F600E" w:rsidR="00A33B44" w:rsidRPr="00753101" w:rsidRDefault="00A33B44" w:rsidP="00413B61">
      <w:pPr>
        <w:pStyle w:val="EndNoteBibliography"/>
        <w:ind w:left="720" w:hanging="720"/>
      </w:pPr>
      <w:r w:rsidRPr="00753101">
        <w:t>Tomer, A., 2016. America’s commuting choices: 5 major takeaways from 2016 census data.</w:t>
      </w:r>
    </w:p>
    <w:p w14:paraId="6D2C962D" w14:textId="77777777" w:rsidR="00A33B44" w:rsidRPr="00753101" w:rsidRDefault="00A33B44" w:rsidP="00413B61">
      <w:pPr>
        <w:pStyle w:val="EndNoteBibliography"/>
        <w:ind w:left="720" w:hanging="720"/>
      </w:pPr>
      <w:r w:rsidRPr="00753101">
        <w:t>Tp, 2016. Transport politic projects under consideration summary.</w:t>
      </w:r>
    </w:p>
    <w:p w14:paraId="628A3009" w14:textId="77777777" w:rsidR="00A33B44" w:rsidRPr="00753101" w:rsidRDefault="00A33B44" w:rsidP="00413B61">
      <w:pPr>
        <w:pStyle w:val="EndNoteBibliography"/>
        <w:ind w:left="720" w:hanging="720"/>
      </w:pPr>
      <w:r w:rsidRPr="00753101">
        <w:t>Van Acker, V., Van Wee, B., Witlox, F., 2010. When transport geography meets social psychology: Toward a conceptual model of travel behaviour. Transport Reviews</w:t>
      </w:r>
      <w:r w:rsidRPr="00753101">
        <w:rPr>
          <w:i/>
        </w:rPr>
        <w:t xml:space="preserve"> </w:t>
      </w:r>
      <w:r w:rsidRPr="00753101">
        <w:t>30 (2), 219-240.</w:t>
      </w:r>
    </w:p>
    <w:p w14:paraId="6A61B47D" w14:textId="77777777" w:rsidR="00A33B44" w:rsidRPr="00753101" w:rsidRDefault="00A33B44" w:rsidP="00413B61">
      <w:pPr>
        <w:pStyle w:val="EndNoteBibliography"/>
        <w:ind w:left="720" w:hanging="720"/>
      </w:pPr>
      <w:r w:rsidRPr="00753101">
        <w:t>Vij, A., Walker, J.L., 2014. Preference endogeneity in discrete choice models. Transportation Research Part B: Methodological</w:t>
      </w:r>
      <w:r w:rsidRPr="00753101">
        <w:rPr>
          <w:i/>
        </w:rPr>
        <w:t xml:space="preserve"> </w:t>
      </w:r>
      <w:r w:rsidRPr="00753101">
        <w:t>64, 90-105.</w:t>
      </w:r>
    </w:p>
    <w:p w14:paraId="41561CD7" w14:textId="77777777" w:rsidR="00A33B44" w:rsidRPr="00753101" w:rsidRDefault="00A33B44" w:rsidP="00413B61">
      <w:pPr>
        <w:pStyle w:val="EndNoteBibliography"/>
        <w:ind w:left="720" w:hanging="720"/>
      </w:pPr>
      <w:r w:rsidRPr="00753101">
        <w:t>Voith, R., 1991. The long-run elasticity of demand for commuter rail transportation. Journal of Urban Economics</w:t>
      </w:r>
      <w:r w:rsidRPr="00753101">
        <w:rPr>
          <w:i/>
        </w:rPr>
        <w:t xml:space="preserve"> </w:t>
      </w:r>
      <w:r w:rsidRPr="00753101">
        <w:t>30 (3), 360-372.</w:t>
      </w:r>
    </w:p>
    <w:p w14:paraId="1F9D407F" w14:textId="77777777" w:rsidR="00A33B44" w:rsidRPr="00753101" w:rsidRDefault="00A33B44" w:rsidP="00413B61">
      <w:pPr>
        <w:pStyle w:val="EndNoteBibliography"/>
        <w:ind w:left="720" w:hanging="720"/>
      </w:pPr>
      <w:r w:rsidRPr="00753101">
        <w:t>Voith, R., 1997. Fares, service levels, and demographics: What determines commuter rail ridership in the long run? Journal of Urban Economics</w:t>
      </w:r>
      <w:r w:rsidRPr="00753101">
        <w:rPr>
          <w:i/>
        </w:rPr>
        <w:t xml:space="preserve"> </w:t>
      </w:r>
      <w:r w:rsidRPr="00753101">
        <w:t>41 (2), 176-197.</w:t>
      </w:r>
    </w:p>
    <w:p w14:paraId="6EBFFA30" w14:textId="77777777" w:rsidR="00A33B44" w:rsidRPr="00753101" w:rsidRDefault="00A33B44" w:rsidP="00413B61">
      <w:pPr>
        <w:pStyle w:val="EndNoteBibliography"/>
        <w:ind w:left="720" w:hanging="720"/>
      </w:pPr>
      <w:r w:rsidRPr="00753101">
        <w:t>Walker, J.L., Ehlers, E., Banerjee, I., Dugundji, E.R., 2011. Correcting for endogeneity in behavioral choice models with social influence variables. Transportation Research Part A: Policy and Practice</w:t>
      </w:r>
      <w:r w:rsidRPr="00753101">
        <w:rPr>
          <w:i/>
        </w:rPr>
        <w:t xml:space="preserve"> </w:t>
      </w:r>
      <w:r w:rsidRPr="00753101">
        <w:t>45 (4), 362-374.</w:t>
      </w:r>
    </w:p>
    <w:p w14:paraId="55EDEA2A" w14:textId="77777777" w:rsidR="00A33B44" w:rsidRPr="00753101" w:rsidRDefault="00A33B44" w:rsidP="00413B61">
      <w:pPr>
        <w:pStyle w:val="EndNoteBibliography"/>
        <w:ind w:left="720" w:hanging="720"/>
      </w:pPr>
      <w:r w:rsidRPr="00753101">
        <w:t>Wardman, M., Whelan, G., 1999. Using geographical information systems to improve rail demand models. Final report to Engineering and Physical science Research council.</w:t>
      </w:r>
    </w:p>
    <w:p w14:paraId="65281753" w14:textId="11D8E83C" w:rsidR="00AD4014" w:rsidRDefault="00AD4014" w:rsidP="00413B61">
      <w:pPr>
        <w:pStyle w:val="EndNoteBibliography"/>
        <w:ind w:left="720" w:hanging="720"/>
      </w:pPr>
      <w:r w:rsidRPr="00AD4014">
        <w:t>Wardman, M. and Whelan, G., 2011. Twenty years of rail crowding valuation studies: evidence and lessons from British experience. Transport reviews, 31(3), pp.379-398.</w:t>
      </w:r>
    </w:p>
    <w:p w14:paraId="233D284C" w14:textId="33A53D29" w:rsidR="00A33B44" w:rsidRPr="00753101" w:rsidRDefault="00A33B44" w:rsidP="00413B61">
      <w:pPr>
        <w:pStyle w:val="EndNoteBibliography"/>
        <w:ind w:left="720" w:hanging="720"/>
      </w:pPr>
      <w:r w:rsidRPr="00753101">
        <w:t>Wenglenski, S., Orfeuil, J.-P., 2004. Differences in accessibility to the job market according to social status and place of residence in the paris area. Built Environment</w:t>
      </w:r>
      <w:r w:rsidRPr="00753101">
        <w:rPr>
          <w:i/>
        </w:rPr>
        <w:t xml:space="preserve"> </w:t>
      </w:r>
      <w:r w:rsidRPr="00753101">
        <w:t>30 (2), 116-126.</w:t>
      </w:r>
    </w:p>
    <w:p w14:paraId="7C3FB9AE" w14:textId="77777777" w:rsidR="00A33B44" w:rsidRPr="00753101" w:rsidRDefault="00A33B44" w:rsidP="00413B61">
      <w:pPr>
        <w:pStyle w:val="EndNoteBibliography"/>
        <w:ind w:left="720" w:hanging="720"/>
      </w:pPr>
      <w:r w:rsidRPr="00753101">
        <w:t>Yasmin, S., Eluru, N., 2013. Evaluating alternate discrete outcome frameworks for modeling crash injury severity. Accident Analysis &amp; Prevention</w:t>
      </w:r>
      <w:r w:rsidRPr="00753101">
        <w:rPr>
          <w:i/>
        </w:rPr>
        <w:t xml:space="preserve"> </w:t>
      </w:r>
      <w:r w:rsidRPr="00753101">
        <w:t>59, 506-521.</w:t>
      </w:r>
    </w:p>
    <w:p w14:paraId="413F40C5" w14:textId="2D0E0B21" w:rsidR="00413B61" w:rsidRDefault="00A33B44" w:rsidP="00030437">
      <w:pPr>
        <w:pStyle w:val="EndNoteBibliography"/>
        <w:ind w:left="720" w:hanging="720"/>
      </w:pPr>
      <w:r w:rsidRPr="00753101">
        <w:t>Yasmin, S., Eluru, N., Pinjari, A.R., 2015. Analyzing the continuum of fatal crashes: A generalized ordered approach. Analytic Methods in Accident Research</w:t>
      </w:r>
      <w:r w:rsidRPr="00753101">
        <w:rPr>
          <w:i/>
        </w:rPr>
        <w:t xml:space="preserve"> </w:t>
      </w:r>
      <w:r w:rsidR="00030437">
        <w:t>7, 1-15.</w:t>
      </w:r>
    </w:p>
    <w:p w14:paraId="0ECDBDA5" w14:textId="05F10F74" w:rsidR="00F71134" w:rsidRDefault="00F71134" w:rsidP="00030437">
      <w:pPr>
        <w:pStyle w:val="EndNoteBibliography"/>
        <w:ind w:left="720" w:hanging="720"/>
      </w:pPr>
    </w:p>
    <w:p w14:paraId="0BEA8493" w14:textId="3EECAE0E" w:rsidR="00F71134" w:rsidRDefault="00F71134" w:rsidP="00030437">
      <w:pPr>
        <w:pStyle w:val="EndNoteBibliography"/>
        <w:ind w:left="720" w:hanging="720"/>
      </w:pPr>
    </w:p>
    <w:p w14:paraId="18DE20D6" w14:textId="1C9E6BBD" w:rsidR="00F71134" w:rsidRDefault="00F71134" w:rsidP="00030437">
      <w:pPr>
        <w:pStyle w:val="EndNoteBibliography"/>
        <w:ind w:left="720" w:hanging="720"/>
      </w:pPr>
    </w:p>
    <w:p w14:paraId="0497FBC5" w14:textId="55A25A54" w:rsidR="00F71134" w:rsidRDefault="00F71134" w:rsidP="00030437">
      <w:pPr>
        <w:pStyle w:val="EndNoteBibliography"/>
        <w:ind w:left="720" w:hanging="720"/>
      </w:pPr>
    </w:p>
    <w:p w14:paraId="50703755" w14:textId="7C07AA84" w:rsidR="00F71134" w:rsidRDefault="00F71134" w:rsidP="00030437">
      <w:pPr>
        <w:pStyle w:val="EndNoteBibliography"/>
        <w:ind w:left="720" w:hanging="720"/>
      </w:pPr>
    </w:p>
    <w:p w14:paraId="4D2586B5" w14:textId="33ADB83A" w:rsidR="00F71134" w:rsidRDefault="00F71134" w:rsidP="00030437">
      <w:pPr>
        <w:pStyle w:val="EndNoteBibliography"/>
        <w:ind w:left="720" w:hanging="720"/>
      </w:pPr>
    </w:p>
    <w:p w14:paraId="2A81672F" w14:textId="41602EF2" w:rsidR="00F71134" w:rsidRDefault="00F71134" w:rsidP="00030437">
      <w:pPr>
        <w:pStyle w:val="EndNoteBibliography"/>
        <w:ind w:left="720" w:hanging="720"/>
      </w:pPr>
    </w:p>
    <w:p w14:paraId="21F5CE96" w14:textId="6E030DB5" w:rsidR="00F71134" w:rsidRDefault="00F71134" w:rsidP="00030437">
      <w:pPr>
        <w:pStyle w:val="EndNoteBibliography"/>
        <w:ind w:left="720" w:hanging="720"/>
      </w:pPr>
    </w:p>
    <w:p w14:paraId="0631C1F5" w14:textId="3DEA8861" w:rsidR="00F71134" w:rsidRDefault="00F71134" w:rsidP="00030437">
      <w:pPr>
        <w:pStyle w:val="EndNoteBibliography"/>
        <w:ind w:left="720" w:hanging="720"/>
      </w:pPr>
    </w:p>
    <w:p w14:paraId="697EC9CD" w14:textId="7D079357" w:rsidR="00F71134" w:rsidRDefault="00F71134" w:rsidP="00030437">
      <w:pPr>
        <w:pStyle w:val="EndNoteBibliography"/>
        <w:ind w:left="720" w:hanging="720"/>
      </w:pPr>
    </w:p>
    <w:p w14:paraId="26AC72C2" w14:textId="40BB4395" w:rsidR="00963859" w:rsidRDefault="00963859" w:rsidP="00030437">
      <w:pPr>
        <w:pStyle w:val="EndNoteBibliography"/>
        <w:ind w:left="720" w:hanging="720"/>
      </w:pPr>
    </w:p>
    <w:p w14:paraId="6B1C936D" w14:textId="77777777" w:rsidR="00963859" w:rsidRDefault="00963859" w:rsidP="00030437">
      <w:pPr>
        <w:pStyle w:val="EndNoteBibliography"/>
        <w:ind w:left="720" w:hanging="720"/>
      </w:pPr>
    </w:p>
    <w:p w14:paraId="4642BC36" w14:textId="0EE0DAF3" w:rsidR="00F71134" w:rsidRPr="00E621B8" w:rsidRDefault="00F71134" w:rsidP="00F71134">
      <w:pPr>
        <w:pStyle w:val="Caption"/>
        <w:spacing w:after="0"/>
        <w:rPr>
          <w:rFonts w:eastAsia="Times New Roman" w:cs="Times New Roman"/>
          <w:b/>
          <w:i w:val="0"/>
          <w:color w:val="auto"/>
          <w:sz w:val="24"/>
          <w:szCs w:val="24"/>
          <w:lang w:val="en-US"/>
        </w:rPr>
      </w:pPr>
      <w:r>
        <w:rPr>
          <w:b/>
          <w:i w:val="0"/>
          <w:color w:val="auto"/>
          <w:sz w:val="24"/>
        </w:rPr>
        <w:lastRenderedPageBreak/>
        <w:t>APPENDIX A</w:t>
      </w:r>
      <w:r w:rsidRPr="00E621B8">
        <w:rPr>
          <w:rFonts w:cs="Times New Roman"/>
          <w:b/>
          <w:i w:val="0"/>
          <w:color w:val="auto"/>
          <w:sz w:val="24"/>
          <w:szCs w:val="24"/>
        </w:rPr>
        <w:t xml:space="preserve"> Lynx Ridership </w:t>
      </w:r>
      <w:r>
        <w:rPr>
          <w:rFonts w:cs="Times New Roman"/>
          <w:b/>
          <w:i w:val="0"/>
          <w:color w:val="auto"/>
          <w:sz w:val="24"/>
          <w:szCs w:val="24"/>
        </w:rPr>
        <w:t>Independent Model</w:t>
      </w:r>
      <w:r w:rsidRPr="00E621B8">
        <w:rPr>
          <w:rFonts w:cs="Times New Roman"/>
          <w:b/>
          <w:i w:val="0"/>
          <w:color w:val="auto"/>
          <w:sz w:val="24"/>
          <w:szCs w:val="24"/>
        </w:rPr>
        <w:t xml:space="preserve"> Results</w:t>
      </w:r>
      <w:r>
        <w:rPr>
          <w:rFonts w:cs="Times New Roman"/>
          <w:b/>
          <w:i w:val="0"/>
          <w:color w:val="auto"/>
          <w:sz w:val="24"/>
          <w:szCs w:val="24"/>
        </w:rPr>
        <w:t xml:space="preserve"> – </w:t>
      </w:r>
    </w:p>
    <w:tbl>
      <w:tblPr>
        <w:tblW w:w="5020" w:type="pct"/>
        <w:jc w:val="center"/>
        <w:tblLayout w:type="fixed"/>
        <w:tblLook w:val="04A0" w:firstRow="1" w:lastRow="0" w:firstColumn="1" w:lastColumn="0" w:noHBand="0" w:noVBand="1"/>
      </w:tblPr>
      <w:tblGrid>
        <w:gridCol w:w="3226"/>
        <w:gridCol w:w="1083"/>
        <w:gridCol w:w="907"/>
        <w:gridCol w:w="1085"/>
        <w:gridCol w:w="993"/>
        <w:gridCol w:w="1083"/>
        <w:gridCol w:w="974"/>
      </w:tblGrid>
      <w:tr w:rsidR="00F71134" w:rsidRPr="00186395" w14:paraId="335417D2" w14:textId="77777777" w:rsidTr="00050A4E">
        <w:trPr>
          <w:trHeight w:val="298"/>
          <w:jc w:val="center"/>
        </w:trPr>
        <w:tc>
          <w:tcPr>
            <w:tcW w:w="1725" w:type="pct"/>
            <w:vMerge w:val="restart"/>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093B32D2"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Variable Name</w:t>
            </w:r>
          </w:p>
        </w:tc>
        <w:tc>
          <w:tcPr>
            <w:tcW w:w="1064" w:type="pct"/>
            <w:gridSpan w:val="2"/>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3F19558A" w14:textId="77777777" w:rsidR="00F71134" w:rsidRPr="00EB7B4B" w:rsidRDefault="00F71134" w:rsidP="00DF6C8E">
            <w:pPr>
              <w:jc w:val="left"/>
              <w:rPr>
                <w:rFonts w:eastAsia="Times New Roman" w:cs="Times New Roman"/>
                <w:b/>
                <w:bCs/>
                <w:color w:val="000000"/>
                <w:sz w:val="20"/>
                <w:szCs w:val="20"/>
                <w:lang w:val="en-US"/>
              </w:rPr>
            </w:pPr>
            <w:r>
              <w:rPr>
                <w:rFonts w:eastAsia="Times New Roman" w:cs="Times New Roman"/>
                <w:b/>
                <w:bCs/>
                <w:color w:val="000000"/>
                <w:sz w:val="20"/>
                <w:szCs w:val="20"/>
                <w:lang w:val="en-US"/>
              </w:rPr>
              <w:t xml:space="preserve">Headway </w:t>
            </w:r>
          </w:p>
        </w:tc>
        <w:tc>
          <w:tcPr>
            <w:tcW w:w="1111" w:type="pct"/>
            <w:gridSpan w:val="2"/>
            <w:tcBorders>
              <w:top w:val="double" w:sz="6" w:space="0" w:color="auto"/>
              <w:left w:val="nil"/>
              <w:bottom w:val="single" w:sz="4" w:space="0" w:color="auto"/>
              <w:right w:val="single" w:sz="4" w:space="0" w:color="auto"/>
            </w:tcBorders>
            <w:shd w:val="clear" w:color="auto" w:fill="D9D9D9" w:themeFill="background1" w:themeFillShade="D9"/>
            <w:noWrap/>
            <w:vAlign w:val="center"/>
            <w:hideMark/>
          </w:tcPr>
          <w:p w14:paraId="49F37243"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Alighting</w:t>
            </w:r>
            <w:r>
              <w:rPr>
                <w:rFonts w:eastAsia="Times New Roman" w:cs="Times New Roman"/>
                <w:b/>
                <w:bCs/>
                <w:color w:val="000000"/>
                <w:sz w:val="20"/>
                <w:szCs w:val="20"/>
                <w:lang w:val="en-US"/>
              </w:rPr>
              <w:t xml:space="preserve"> </w:t>
            </w:r>
          </w:p>
        </w:tc>
        <w:tc>
          <w:tcPr>
            <w:tcW w:w="1100" w:type="pct"/>
            <w:gridSpan w:val="2"/>
            <w:tcBorders>
              <w:top w:val="double" w:sz="6" w:space="0" w:color="auto"/>
              <w:left w:val="single" w:sz="4" w:space="0" w:color="auto"/>
              <w:bottom w:val="single" w:sz="4" w:space="0" w:color="auto"/>
              <w:right w:val="double" w:sz="6" w:space="0" w:color="000000"/>
            </w:tcBorders>
            <w:shd w:val="clear" w:color="auto" w:fill="D9D9D9" w:themeFill="background1" w:themeFillShade="D9"/>
            <w:vAlign w:val="center"/>
          </w:tcPr>
          <w:p w14:paraId="1B735A18"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Boarding</w:t>
            </w:r>
            <w:r>
              <w:rPr>
                <w:rFonts w:eastAsia="Times New Roman" w:cs="Times New Roman"/>
                <w:b/>
                <w:bCs/>
                <w:color w:val="000000"/>
                <w:sz w:val="20"/>
                <w:szCs w:val="20"/>
                <w:lang w:val="en-US"/>
              </w:rPr>
              <w:t xml:space="preserve"> </w:t>
            </w:r>
          </w:p>
        </w:tc>
      </w:tr>
      <w:tr w:rsidR="00F71134" w:rsidRPr="00186395" w14:paraId="0DD4D0BB" w14:textId="77777777" w:rsidTr="00050A4E">
        <w:trPr>
          <w:trHeight w:val="137"/>
          <w:jc w:val="center"/>
        </w:trPr>
        <w:tc>
          <w:tcPr>
            <w:tcW w:w="1725" w:type="pct"/>
            <w:vMerge/>
            <w:tcBorders>
              <w:top w:val="double" w:sz="6" w:space="0" w:color="auto"/>
              <w:left w:val="double" w:sz="6" w:space="0" w:color="auto"/>
              <w:bottom w:val="single" w:sz="4" w:space="0" w:color="auto"/>
              <w:right w:val="single" w:sz="4" w:space="0" w:color="auto"/>
            </w:tcBorders>
            <w:shd w:val="clear" w:color="auto" w:fill="D9D9D9" w:themeFill="background1" w:themeFillShade="D9"/>
            <w:vAlign w:val="center"/>
            <w:hideMark/>
          </w:tcPr>
          <w:p w14:paraId="3C22A99B" w14:textId="77777777" w:rsidR="00F71134" w:rsidRPr="00EB7B4B" w:rsidRDefault="00F71134" w:rsidP="00DF6C8E">
            <w:pPr>
              <w:jc w:val="left"/>
              <w:rPr>
                <w:rFonts w:eastAsia="Times New Roman" w:cs="Times New Roman"/>
                <w:b/>
                <w:bCs/>
                <w:color w:val="000000"/>
                <w:sz w:val="20"/>
                <w:szCs w:val="20"/>
                <w:lang w:val="en-US"/>
              </w:rPr>
            </w:pPr>
          </w:p>
        </w:tc>
        <w:tc>
          <w:tcPr>
            <w:tcW w:w="579" w:type="pct"/>
            <w:tcBorders>
              <w:top w:val="nil"/>
              <w:left w:val="nil"/>
              <w:bottom w:val="single" w:sz="4" w:space="0" w:color="auto"/>
              <w:right w:val="single" w:sz="4" w:space="0" w:color="auto"/>
            </w:tcBorders>
            <w:shd w:val="clear" w:color="auto" w:fill="D9D9D9" w:themeFill="background1" w:themeFillShade="D9"/>
            <w:noWrap/>
            <w:vAlign w:val="center"/>
            <w:hideMark/>
          </w:tcPr>
          <w:p w14:paraId="18D182BE"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485" w:type="pct"/>
            <w:tcBorders>
              <w:top w:val="nil"/>
              <w:left w:val="nil"/>
              <w:bottom w:val="single" w:sz="4" w:space="0" w:color="auto"/>
              <w:right w:val="single" w:sz="4" w:space="0" w:color="auto"/>
            </w:tcBorders>
            <w:shd w:val="clear" w:color="auto" w:fill="D9D9D9" w:themeFill="background1" w:themeFillShade="D9"/>
            <w:noWrap/>
            <w:vAlign w:val="center"/>
            <w:hideMark/>
          </w:tcPr>
          <w:p w14:paraId="389167EC"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c>
          <w:tcPr>
            <w:tcW w:w="580" w:type="pct"/>
            <w:tcBorders>
              <w:top w:val="nil"/>
              <w:left w:val="nil"/>
              <w:bottom w:val="single" w:sz="4" w:space="0" w:color="auto"/>
              <w:right w:val="single" w:sz="4" w:space="0" w:color="auto"/>
            </w:tcBorders>
            <w:shd w:val="clear" w:color="auto" w:fill="D9D9D9" w:themeFill="background1" w:themeFillShade="D9"/>
            <w:noWrap/>
            <w:vAlign w:val="center"/>
            <w:hideMark/>
          </w:tcPr>
          <w:p w14:paraId="3D4CABB7"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531" w:type="pct"/>
            <w:tcBorders>
              <w:top w:val="nil"/>
              <w:left w:val="nil"/>
              <w:bottom w:val="single" w:sz="4" w:space="0" w:color="auto"/>
              <w:right w:val="single" w:sz="4" w:space="0" w:color="auto"/>
            </w:tcBorders>
            <w:shd w:val="clear" w:color="auto" w:fill="D9D9D9" w:themeFill="background1" w:themeFillShade="D9"/>
            <w:noWrap/>
            <w:vAlign w:val="center"/>
            <w:hideMark/>
          </w:tcPr>
          <w:p w14:paraId="4164634C"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22FF4"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Estimates</w:t>
            </w:r>
          </w:p>
        </w:tc>
        <w:tc>
          <w:tcPr>
            <w:tcW w:w="521" w:type="pct"/>
            <w:tcBorders>
              <w:top w:val="single" w:sz="4" w:space="0" w:color="auto"/>
              <w:left w:val="single" w:sz="4" w:space="0" w:color="auto"/>
              <w:bottom w:val="single" w:sz="4" w:space="0" w:color="auto"/>
              <w:right w:val="double" w:sz="6" w:space="0" w:color="auto"/>
            </w:tcBorders>
            <w:shd w:val="clear" w:color="auto" w:fill="D9D9D9" w:themeFill="background1" w:themeFillShade="D9"/>
            <w:vAlign w:val="center"/>
          </w:tcPr>
          <w:p w14:paraId="5D367935" w14:textId="77777777" w:rsidR="00F71134" w:rsidRPr="00EB7B4B" w:rsidRDefault="00F71134" w:rsidP="00DF6C8E">
            <w:pPr>
              <w:jc w:val="left"/>
              <w:rPr>
                <w:rFonts w:eastAsia="Times New Roman" w:cs="Times New Roman"/>
                <w:b/>
                <w:bCs/>
                <w:color w:val="000000"/>
                <w:sz w:val="20"/>
                <w:szCs w:val="20"/>
                <w:lang w:val="en-US"/>
              </w:rPr>
            </w:pPr>
            <w:r w:rsidRPr="00EB7B4B">
              <w:rPr>
                <w:rFonts w:eastAsia="Times New Roman" w:cs="Times New Roman"/>
                <w:b/>
                <w:bCs/>
                <w:color w:val="000000"/>
                <w:sz w:val="20"/>
                <w:szCs w:val="20"/>
                <w:lang w:val="en-US"/>
              </w:rPr>
              <w:t>t-stat</w:t>
            </w:r>
          </w:p>
        </w:tc>
      </w:tr>
      <w:tr w:rsidR="00F71134" w:rsidRPr="00186395" w14:paraId="2EA8EB72" w14:textId="77777777" w:rsidTr="00DF6C8E">
        <w:trPr>
          <w:trHeight w:val="287"/>
          <w:jc w:val="center"/>
        </w:trPr>
        <w:tc>
          <w:tcPr>
            <w:tcW w:w="5000" w:type="pct"/>
            <w:gridSpan w:val="7"/>
            <w:tcBorders>
              <w:top w:val="nil"/>
              <w:left w:val="double" w:sz="6" w:space="0" w:color="auto"/>
              <w:bottom w:val="single" w:sz="4" w:space="0" w:color="auto"/>
              <w:right w:val="double" w:sz="6" w:space="0" w:color="auto"/>
            </w:tcBorders>
            <w:shd w:val="clear" w:color="auto" w:fill="auto"/>
            <w:noWrap/>
            <w:vAlign w:val="center"/>
          </w:tcPr>
          <w:p w14:paraId="38584DAE" w14:textId="77777777" w:rsidR="00F71134" w:rsidRPr="003642B9" w:rsidRDefault="00F71134" w:rsidP="00DF6C8E">
            <w:pPr>
              <w:jc w:val="center"/>
              <w:rPr>
                <w:rFonts w:eastAsia="Times New Roman" w:cs="Times New Roman"/>
                <w:b/>
                <w:color w:val="000000"/>
                <w:sz w:val="20"/>
                <w:szCs w:val="20"/>
                <w:lang w:val="en-US"/>
              </w:rPr>
            </w:pPr>
            <w:r w:rsidRPr="003642B9">
              <w:rPr>
                <w:rFonts w:eastAsia="Times New Roman" w:cs="Times New Roman"/>
                <w:b/>
                <w:color w:val="000000"/>
                <w:sz w:val="20"/>
                <w:szCs w:val="20"/>
                <w:lang w:val="en-US"/>
              </w:rPr>
              <w:t>Independent Variables</w:t>
            </w:r>
            <w:r>
              <w:rPr>
                <w:rFonts w:eastAsia="Times New Roman" w:cs="Times New Roman"/>
                <w:b/>
                <w:color w:val="000000"/>
                <w:sz w:val="20"/>
                <w:szCs w:val="20"/>
                <w:lang w:val="en-US"/>
              </w:rPr>
              <w:t xml:space="preserve"> </w:t>
            </w:r>
            <w:r w:rsidRPr="00076804">
              <w:rPr>
                <w:rFonts w:eastAsia="Times New Roman" w:cs="Times New Roman"/>
                <w:b/>
                <w:color w:val="000000"/>
                <w:sz w:val="20"/>
                <w:szCs w:val="20"/>
                <w:lang w:val="en-US"/>
              </w:rPr>
              <w:t>(</w:t>
            </w:r>
            <m:oMath>
              <m:r>
                <w:rPr>
                  <w:rFonts w:ascii="Cambria Math" w:eastAsia="Times New Roman" w:hAnsi="Cambria Math" w:cs="Vrinda"/>
                  <w:sz w:val="20"/>
                  <w:szCs w:val="20"/>
                </w:rPr>
                <m:t>ν</m:t>
              </m:r>
            </m:oMath>
            <w:r w:rsidRPr="003642B9">
              <w:rPr>
                <w:rFonts w:eastAsia="Times New Roman" w:cs="Times New Roman"/>
                <w:sz w:val="20"/>
                <w:szCs w:val="20"/>
              </w:rPr>
              <w:t>,</w:t>
            </w:r>
            <w:r>
              <w:rPr>
                <w:rFonts w:eastAsia="Times New Roman" w:cs="Times New Roman"/>
                <w:sz w:val="20"/>
                <w:szCs w:val="20"/>
              </w:rPr>
              <w:t xml:space="preserve"> </w:t>
            </w:r>
            <m:oMath>
              <m:r>
                <w:rPr>
                  <w:rFonts w:ascii="Cambria Math" w:eastAsia="Times New Roman" w:hAnsi="Cambria Math"/>
                  <w:sz w:val="20"/>
                  <w:szCs w:val="20"/>
                </w:rPr>
                <m:t>α</m:t>
              </m:r>
            </m:oMath>
            <w:r w:rsidRPr="003642B9">
              <w:rPr>
                <w:rFonts w:eastAsia="Times New Roman" w:cs="Times New Roman"/>
                <w:sz w:val="20"/>
                <w:szCs w:val="20"/>
              </w:rPr>
              <w:t>,</w:t>
            </w:r>
            <w:r>
              <w:rPr>
                <w:rFonts w:eastAsia="Times New Roman" w:cs="Times New Roman"/>
                <w:sz w:val="20"/>
                <w:szCs w:val="20"/>
              </w:rPr>
              <w:t xml:space="preserve"> </w:t>
            </w:r>
            <m:oMath>
              <m:r>
                <w:rPr>
                  <w:rFonts w:ascii="Cambria Math" w:eastAsia="Times New Roman" w:hAnsi="Cambria Math"/>
                  <w:sz w:val="20"/>
                  <w:szCs w:val="20"/>
                </w:rPr>
                <m:t>β</m:t>
              </m:r>
            </m:oMath>
            <w:r w:rsidRPr="003642B9">
              <w:rPr>
                <w:rFonts w:eastAsia="Times New Roman" w:cs="Times New Roman"/>
                <w:sz w:val="20"/>
                <w:szCs w:val="20"/>
              </w:rPr>
              <w:t>)</w:t>
            </w:r>
          </w:p>
        </w:tc>
      </w:tr>
      <w:tr w:rsidR="00165837" w:rsidRPr="00186395" w14:paraId="30040C0C" w14:textId="77777777" w:rsidTr="00B741B9">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215D4916" w14:textId="77777777" w:rsidR="00165837" w:rsidRPr="00EB7B4B" w:rsidRDefault="00165837" w:rsidP="00165837">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Constant</w:t>
            </w:r>
          </w:p>
        </w:tc>
        <w:tc>
          <w:tcPr>
            <w:tcW w:w="579" w:type="pct"/>
            <w:tcBorders>
              <w:top w:val="nil"/>
              <w:left w:val="nil"/>
              <w:bottom w:val="single" w:sz="4" w:space="0" w:color="auto"/>
              <w:right w:val="single" w:sz="4" w:space="0" w:color="auto"/>
            </w:tcBorders>
            <w:shd w:val="clear" w:color="auto" w:fill="auto"/>
            <w:noWrap/>
            <w:vAlign w:val="center"/>
          </w:tcPr>
          <w:p w14:paraId="12C98E36" w14:textId="77777777" w:rsidR="00165837" w:rsidRDefault="00165837"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single" w:sz="4" w:space="0" w:color="auto"/>
              <w:right w:val="single" w:sz="4" w:space="0" w:color="auto"/>
            </w:tcBorders>
            <w:shd w:val="clear" w:color="auto" w:fill="auto"/>
            <w:noWrap/>
            <w:vAlign w:val="center"/>
          </w:tcPr>
          <w:p w14:paraId="59617074" w14:textId="77777777" w:rsidR="00165837" w:rsidRDefault="00165837"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single" w:sz="4" w:space="0" w:color="auto"/>
              <w:right w:val="single" w:sz="4" w:space="0" w:color="auto"/>
            </w:tcBorders>
            <w:shd w:val="clear" w:color="auto" w:fill="auto"/>
            <w:noWrap/>
            <w:vAlign w:val="center"/>
          </w:tcPr>
          <w:p w14:paraId="0A23ECE2" w14:textId="4F86A27B" w:rsidR="00165837"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-12.06</w:t>
            </w:r>
          </w:p>
        </w:tc>
        <w:tc>
          <w:tcPr>
            <w:tcW w:w="531" w:type="pct"/>
            <w:tcBorders>
              <w:top w:val="nil"/>
              <w:left w:val="nil"/>
              <w:bottom w:val="single" w:sz="4" w:space="0" w:color="auto"/>
              <w:right w:val="single" w:sz="4" w:space="0" w:color="auto"/>
            </w:tcBorders>
            <w:shd w:val="clear" w:color="auto" w:fill="auto"/>
            <w:noWrap/>
            <w:vAlign w:val="center"/>
          </w:tcPr>
          <w:p w14:paraId="1F434C4E" w14:textId="7B141781" w:rsidR="00165837" w:rsidRPr="00EB7B4B"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-22.96</w:t>
            </w:r>
          </w:p>
        </w:tc>
        <w:tc>
          <w:tcPr>
            <w:tcW w:w="579" w:type="pct"/>
            <w:tcBorders>
              <w:top w:val="nil"/>
              <w:left w:val="single" w:sz="4" w:space="0" w:color="auto"/>
              <w:bottom w:val="single" w:sz="4" w:space="0" w:color="auto"/>
              <w:right w:val="single" w:sz="4" w:space="0" w:color="auto"/>
            </w:tcBorders>
            <w:vAlign w:val="center"/>
          </w:tcPr>
          <w:p w14:paraId="73D31AA2" w14:textId="3D9150CD" w:rsidR="00165837"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-18.65</w:t>
            </w:r>
          </w:p>
        </w:tc>
        <w:tc>
          <w:tcPr>
            <w:tcW w:w="521" w:type="pct"/>
            <w:tcBorders>
              <w:top w:val="nil"/>
              <w:left w:val="single" w:sz="4" w:space="0" w:color="auto"/>
              <w:bottom w:val="single" w:sz="4" w:space="0" w:color="auto"/>
              <w:right w:val="double" w:sz="6" w:space="0" w:color="auto"/>
            </w:tcBorders>
            <w:vAlign w:val="center"/>
          </w:tcPr>
          <w:p w14:paraId="04B1B1F1" w14:textId="0AD5919B" w:rsidR="00165837"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-27.88</w:t>
            </w:r>
          </w:p>
        </w:tc>
      </w:tr>
      <w:tr w:rsidR="00D46413" w:rsidRPr="00186395" w14:paraId="0F9B6FA1" w14:textId="77777777" w:rsidTr="00B741B9">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264EE341" w14:textId="77777777" w:rsidR="00D46413" w:rsidRPr="00EB7B4B" w:rsidRDefault="00D46413" w:rsidP="00D46413">
            <w:pPr>
              <w:jc w:val="left"/>
              <w:rPr>
                <w:rFonts w:eastAsia="Times New Roman" w:cs="Times New Roman"/>
                <w:color w:val="000000"/>
                <w:sz w:val="20"/>
                <w:szCs w:val="20"/>
                <w:lang w:val="en-US"/>
              </w:rPr>
            </w:pPr>
            <w:r>
              <w:rPr>
                <w:rFonts w:eastAsia="Times New Roman" w:cs="Times New Roman"/>
                <w:color w:val="000000"/>
                <w:sz w:val="20"/>
                <w:szCs w:val="20"/>
                <w:lang w:val="en-US"/>
              </w:rPr>
              <w:t>Threshold Value 1</w:t>
            </w:r>
          </w:p>
        </w:tc>
        <w:tc>
          <w:tcPr>
            <w:tcW w:w="579" w:type="pct"/>
            <w:tcBorders>
              <w:top w:val="nil"/>
              <w:left w:val="nil"/>
              <w:bottom w:val="single" w:sz="4" w:space="0" w:color="auto"/>
              <w:right w:val="single" w:sz="4" w:space="0" w:color="auto"/>
            </w:tcBorders>
            <w:shd w:val="clear" w:color="auto" w:fill="auto"/>
            <w:noWrap/>
            <w:vAlign w:val="center"/>
          </w:tcPr>
          <w:p w14:paraId="3B71059D" w14:textId="6B3383F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-2.20</w:t>
            </w:r>
          </w:p>
        </w:tc>
        <w:tc>
          <w:tcPr>
            <w:tcW w:w="485" w:type="pct"/>
            <w:tcBorders>
              <w:top w:val="nil"/>
              <w:left w:val="nil"/>
              <w:bottom w:val="single" w:sz="4" w:space="0" w:color="auto"/>
              <w:right w:val="single" w:sz="4" w:space="0" w:color="auto"/>
            </w:tcBorders>
            <w:shd w:val="clear" w:color="auto" w:fill="auto"/>
            <w:noWrap/>
            <w:vAlign w:val="center"/>
          </w:tcPr>
          <w:p w14:paraId="79F11912" w14:textId="3259D8A5"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-66.78</w:t>
            </w:r>
          </w:p>
        </w:tc>
        <w:tc>
          <w:tcPr>
            <w:tcW w:w="580" w:type="pct"/>
            <w:tcBorders>
              <w:top w:val="nil"/>
              <w:left w:val="nil"/>
              <w:bottom w:val="single" w:sz="4" w:space="0" w:color="auto"/>
              <w:right w:val="single" w:sz="4" w:space="0" w:color="auto"/>
            </w:tcBorders>
            <w:shd w:val="clear" w:color="auto" w:fill="auto"/>
            <w:noWrap/>
            <w:vAlign w:val="center"/>
          </w:tcPr>
          <w:p w14:paraId="315BBADB"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single" w:sz="4" w:space="0" w:color="auto"/>
              <w:right w:val="single" w:sz="4" w:space="0" w:color="auto"/>
            </w:tcBorders>
            <w:shd w:val="clear" w:color="auto" w:fill="auto"/>
            <w:noWrap/>
            <w:vAlign w:val="center"/>
          </w:tcPr>
          <w:p w14:paraId="271C2C04"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single" w:sz="4" w:space="0" w:color="auto"/>
              <w:right w:val="single" w:sz="4" w:space="0" w:color="auto"/>
            </w:tcBorders>
            <w:vAlign w:val="center"/>
          </w:tcPr>
          <w:p w14:paraId="7ED161BA"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single" w:sz="4" w:space="0" w:color="auto"/>
              <w:right w:val="double" w:sz="6" w:space="0" w:color="auto"/>
            </w:tcBorders>
            <w:vAlign w:val="center"/>
          </w:tcPr>
          <w:p w14:paraId="419F1953"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D46413" w:rsidRPr="00186395" w14:paraId="3FC5196F" w14:textId="77777777" w:rsidTr="00B741B9">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59162B3C" w14:textId="77777777" w:rsidR="00D46413" w:rsidRPr="00EB7B4B" w:rsidRDefault="00D46413" w:rsidP="00D46413">
            <w:pPr>
              <w:jc w:val="left"/>
              <w:rPr>
                <w:rFonts w:eastAsia="Times New Roman" w:cs="Times New Roman"/>
                <w:color w:val="000000"/>
                <w:sz w:val="20"/>
                <w:szCs w:val="20"/>
                <w:lang w:val="en-US"/>
              </w:rPr>
            </w:pPr>
            <w:r>
              <w:rPr>
                <w:rFonts w:eastAsia="Times New Roman" w:cs="Times New Roman"/>
                <w:color w:val="000000"/>
                <w:sz w:val="20"/>
                <w:szCs w:val="20"/>
                <w:lang w:val="en-US"/>
              </w:rPr>
              <w:t>Threshold Value 2</w:t>
            </w:r>
          </w:p>
        </w:tc>
        <w:tc>
          <w:tcPr>
            <w:tcW w:w="579" w:type="pct"/>
            <w:tcBorders>
              <w:top w:val="nil"/>
              <w:left w:val="nil"/>
              <w:bottom w:val="single" w:sz="4" w:space="0" w:color="auto"/>
              <w:right w:val="single" w:sz="4" w:space="0" w:color="auto"/>
            </w:tcBorders>
            <w:shd w:val="clear" w:color="auto" w:fill="auto"/>
            <w:noWrap/>
            <w:vAlign w:val="center"/>
          </w:tcPr>
          <w:p w14:paraId="42857C08" w14:textId="3BD903F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0.40</w:t>
            </w:r>
          </w:p>
        </w:tc>
        <w:tc>
          <w:tcPr>
            <w:tcW w:w="485" w:type="pct"/>
            <w:tcBorders>
              <w:top w:val="nil"/>
              <w:left w:val="nil"/>
              <w:bottom w:val="single" w:sz="4" w:space="0" w:color="auto"/>
              <w:right w:val="single" w:sz="4" w:space="0" w:color="auto"/>
            </w:tcBorders>
            <w:shd w:val="clear" w:color="auto" w:fill="auto"/>
            <w:noWrap/>
            <w:vAlign w:val="center"/>
          </w:tcPr>
          <w:p w14:paraId="15F41394" w14:textId="0F7AD6C8"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12.49</w:t>
            </w:r>
          </w:p>
        </w:tc>
        <w:tc>
          <w:tcPr>
            <w:tcW w:w="580" w:type="pct"/>
            <w:tcBorders>
              <w:top w:val="nil"/>
              <w:left w:val="nil"/>
              <w:bottom w:val="single" w:sz="4" w:space="0" w:color="auto"/>
              <w:right w:val="single" w:sz="4" w:space="0" w:color="auto"/>
            </w:tcBorders>
            <w:shd w:val="clear" w:color="auto" w:fill="auto"/>
            <w:noWrap/>
            <w:vAlign w:val="center"/>
          </w:tcPr>
          <w:p w14:paraId="4F9FD1FB"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single" w:sz="4" w:space="0" w:color="auto"/>
              <w:right w:val="single" w:sz="4" w:space="0" w:color="auto"/>
            </w:tcBorders>
            <w:shd w:val="clear" w:color="auto" w:fill="auto"/>
            <w:noWrap/>
            <w:vAlign w:val="center"/>
          </w:tcPr>
          <w:p w14:paraId="4147736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single" w:sz="4" w:space="0" w:color="auto"/>
              <w:right w:val="single" w:sz="4" w:space="0" w:color="auto"/>
            </w:tcBorders>
            <w:vAlign w:val="center"/>
          </w:tcPr>
          <w:p w14:paraId="6D225156"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single" w:sz="4" w:space="0" w:color="auto"/>
              <w:right w:val="double" w:sz="6" w:space="0" w:color="auto"/>
            </w:tcBorders>
            <w:vAlign w:val="center"/>
          </w:tcPr>
          <w:p w14:paraId="58974F2B"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F71134" w:rsidRPr="00186395" w14:paraId="126C5E2A" w14:textId="77777777" w:rsidTr="00DF6C8E">
        <w:trPr>
          <w:trHeight w:val="287"/>
          <w:jc w:val="center"/>
        </w:trPr>
        <w:tc>
          <w:tcPr>
            <w:tcW w:w="5000" w:type="pct"/>
            <w:gridSpan w:val="7"/>
            <w:tcBorders>
              <w:top w:val="nil"/>
              <w:left w:val="double" w:sz="6" w:space="0" w:color="auto"/>
              <w:bottom w:val="single" w:sz="4" w:space="0" w:color="auto"/>
              <w:right w:val="double" w:sz="6" w:space="0" w:color="auto"/>
            </w:tcBorders>
            <w:shd w:val="clear" w:color="auto" w:fill="auto"/>
            <w:vAlign w:val="center"/>
            <w:hideMark/>
          </w:tcPr>
          <w:p w14:paraId="076D97FC" w14:textId="77777777" w:rsidR="00F71134" w:rsidRPr="003642B9" w:rsidRDefault="00F71134" w:rsidP="00DF6C8E">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Stop Level Attributes</w:t>
            </w:r>
          </w:p>
        </w:tc>
      </w:tr>
      <w:tr w:rsidR="00F71134" w:rsidRPr="00186395" w14:paraId="123ED573" w14:textId="77777777" w:rsidTr="00B741B9">
        <w:trPr>
          <w:trHeight w:val="371"/>
          <w:jc w:val="center"/>
        </w:trPr>
        <w:tc>
          <w:tcPr>
            <w:tcW w:w="1725" w:type="pct"/>
            <w:tcBorders>
              <w:top w:val="nil"/>
              <w:left w:val="double" w:sz="6" w:space="0" w:color="auto"/>
              <w:bottom w:val="nil"/>
              <w:right w:val="single" w:sz="4" w:space="0" w:color="auto"/>
            </w:tcBorders>
            <w:shd w:val="clear" w:color="auto" w:fill="auto"/>
            <w:vAlign w:val="center"/>
            <w:hideMark/>
          </w:tcPr>
          <w:p w14:paraId="62652CE6" w14:textId="77777777" w:rsidR="00F71134" w:rsidRPr="000D4ED0" w:rsidRDefault="00F71134" w:rsidP="00DF6C8E">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Headway</w:t>
            </w:r>
            <w:r>
              <w:rPr>
                <w:rFonts w:eastAsia="Times New Roman" w:cs="Times New Roman"/>
                <w:color w:val="000000"/>
                <w:sz w:val="20"/>
                <w:szCs w:val="20"/>
                <w:lang w:val="en-US"/>
              </w:rPr>
              <w:t xml:space="preserve"> (Base: Category 1)</w:t>
            </w:r>
          </w:p>
        </w:tc>
        <w:tc>
          <w:tcPr>
            <w:tcW w:w="579" w:type="pct"/>
            <w:tcBorders>
              <w:top w:val="nil"/>
              <w:left w:val="nil"/>
              <w:bottom w:val="nil"/>
              <w:right w:val="single" w:sz="4" w:space="0" w:color="auto"/>
            </w:tcBorders>
            <w:shd w:val="clear" w:color="auto" w:fill="auto"/>
            <w:noWrap/>
            <w:vAlign w:val="center"/>
          </w:tcPr>
          <w:p w14:paraId="5E7863DF" w14:textId="77777777" w:rsidR="00F71134" w:rsidRPr="00EB7B4B" w:rsidRDefault="00F71134" w:rsidP="00B741B9">
            <w:pPr>
              <w:jc w:val="left"/>
              <w:rPr>
                <w:rFonts w:eastAsia="Times New Roman" w:cs="Times New Roman"/>
                <w:color w:val="000000"/>
                <w:sz w:val="20"/>
                <w:szCs w:val="20"/>
                <w:lang w:val="en-US"/>
              </w:rPr>
            </w:pPr>
          </w:p>
        </w:tc>
        <w:tc>
          <w:tcPr>
            <w:tcW w:w="485" w:type="pct"/>
            <w:tcBorders>
              <w:top w:val="nil"/>
              <w:left w:val="nil"/>
              <w:bottom w:val="nil"/>
              <w:right w:val="single" w:sz="4" w:space="0" w:color="auto"/>
            </w:tcBorders>
            <w:shd w:val="clear" w:color="auto" w:fill="auto"/>
            <w:noWrap/>
            <w:vAlign w:val="center"/>
          </w:tcPr>
          <w:p w14:paraId="4B9C4691" w14:textId="77777777" w:rsidR="00F71134" w:rsidRPr="00EB7B4B" w:rsidRDefault="00F71134" w:rsidP="00B741B9">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454BF960" w14:textId="77777777" w:rsidR="00F71134" w:rsidRPr="00EB7B4B" w:rsidRDefault="00F71134" w:rsidP="00B741B9">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0EAAA368" w14:textId="77777777" w:rsidR="00F71134" w:rsidRPr="00EB7B4B" w:rsidRDefault="00F71134" w:rsidP="00B741B9">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434B83DB" w14:textId="77777777" w:rsidR="00F71134" w:rsidRDefault="00F71134" w:rsidP="00B741B9">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430E2F71" w14:textId="77777777" w:rsidR="00F71134" w:rsidRDefault="00F71134" w:rsidP="00B741B9">
            <w:pPr>
              <w:jc w:val="left"/>
              <w:rPr>
                <w:rFonts w:eastAsia="Times New Roman" w:cs="Times New Roman"/>
                <w:color w:val="000000"/>
                <w:sz w:val="20"/>
                <w:szCs w:val="20"/>
                <w:lang w:val="en-US"/>
              </w:rPr>
            </w:pPr>
          </w:p>
        </w:tc>
      </w:tr>
      <w:tr w:rsidR="00D46413" w:rsidRPr="00186395" w14:paraId="502D1C12"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0F8F56A0" w14:textId="77777777" w:rsidR="00D46413" w:rsidRPr="00EB7B4B" w:rsidRDefault="00D46413" w:rsidP="00D46413">
            <w:pPr>
              <w:jc w:val="left"/>
              <w:rPr>
                <w:rFonts w:eastAsia="Times New Roman" w:cs="Times New Roman"/>
                <w:color w:val="000000"/>
                <w:sz w:val="20"/>
                <w:szCs w:val="20"/>
                <w:lang w:val="en-US"/>
              </w:rPr>
            </w:pPr>
            <w:r w:rsidRPr="001151CB">
              <w:rPr>
                <w:rFonts w:eastAsia="Times New Roman" w:cs="Times New Roman"/>
                <w:i/>
                <w:iCs/>
                <w:color w:val="000000"/>
                <w:sz w:val="20"/>
                <w:szCs w:val="20"/>
                <w:lang w:val="en-US"/>
              </w:rPr>
              <w:t>Dummy for headway category 2</w:t>
            </w:r>
          </w:p>
        </w:tc>
        <w:tc>
          <w:tcPr>
            <w:tcW w:w="579" w:type="pct"/>
            <w:tcBorders>
              <w:top w:val="nil"/>
              <w:left w:val="nil"/>
              <w:bottom w:val="nil"/>
              <w:right w:val="single" w:sz="4" w:space="0" w:color="auto"/>
            </w:tcBorders>
            <w:shd w:val="clear" w:color="auto" w:fill="auto"/>
            <w:noWrap/>
            <w:vAlign w:val="center"/>
          </w:tcPr>
          <w:p w14:paraId="08FAF44C"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nil"/>
              <w:right w:val="single" w:sz="4" w:space="0" w:color="auto"/>
            </w:tcBorders>
            <w:shd w:val="clear" w:color="auto" w:fill="auto"/>
            <w:noWrap/>
            <w:vAlign w:val="center"/>
          </w:tcPr>
          <w:p w14:paraId="1E7AB59E"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6496361A" w14:textId="4E9A5BC7"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-22.77</w:t>
            </w:r>
          </w:p>
        </w:tc>
        <w:tc>
          <w:tcPr>
            <w:tcW w:w="531" w:type="pct"/>
            <w:tcBorders>
              <w:top w:val="nil"/>
              <w:left w:val="nil"/>
              <w:bottom w:val="nil"/>
              <w:right w:val="single" w:sz="4" w:space="0" w:color="auto"/>
            </w:tcBorders>
            <w:shd w:val="clear" w:color="auto" w:fill="auto"/>
            <w:noWrap/>
            <w:vAlign w:val="center"/>
          </w:tcPr>
          <w:p w14:paraId="71A67D20" w14:textId="12BFD2B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-70.01</w:t>
            </w:r>
          </w:p>
        </w:tc>
        <w:tc>
          <w:tcPr>
            <w:tcW w:w="579" w:type="pct"/>
            <w:tcBorders>
              <w:top w:val="nil"/>
              <w:left w:val="single" w:sz="4" w:space="0" w:color="auto"/>
              <w:bottom w:val="nil"/>
              <w:right w:val="single" w:sz="4" w:space="0" w:color="auto"/>
            </w:tcBorders>
            <w:vAlign w:val="center"/>
          </w:tcPr>
          <w:p w14:paraId="1B1B343B" w14:textId="14A2E8D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-25.99</w:t>
            </w:r>
          </w:p>
        </w:tc>
        <w:tc>
          <w:tcPr>
            <w:tcW w:w="521" w:type="pct"/>
            <w:tcBorders>
              <w:top w:val="nil"/>
              <w:left w:val="single" w:sz="4" w:space="0" w:color="auto"/>
              <w:bottom w:val="nil"/>
              <w:right w:val="double" w:sz="6" w:space="0" w:color="auto"/>
            </w:tcBorders>
            <w:vAlign w:val="center"/>
          </w:tcPr>
          <w:p w14:paraId="7DAF7BCB" w14:textId="48CA6D19"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-71.63</w:t>
            </w:r>
          </w:p>
        </w:tc>
      </w:tr>
      <w:tr w:rsidR="00D46413" w:rsidRPr="00186395" w14:paraId="48FE15E0"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6D9ACC28" w14:textId="77777777" w:rsidR="00D46413" w:rsidRPr="00EB7B4B" w:rsidRDefault="00D46413" w:rsidP="00D46413">
            <w:pPr>
              <w:jc w:val="left"/>
              <w:rPr>
                <w:rFonts w:eastAsia="Times New Roman" w:cs="Times New Roman"/>
                <w:color w:val="000000"/>
                <w:sz w:val="20"/>
                <w:szCs w:val="20"/>
                <w:lang w:val="en-US"/>
              </w:rPr>
            </w:pPr>
            <w:r w:rsidRPr="001B085F">
              <w:rPr>
                <w:rFonts w:eastAsia="Times New Roman" w:cs="Times New Roman"/>
                <w:i/>
                <w:iCs/>
                <w:color w:val="000000"/>
                <w:sz w:val="20"/>
                <w:szCs w:val="20"/>
                <w:lang w:val="en-US"/>
              </w:rPr>
              <w:t xml:space="preserve">Dummy for headway category </w:t>
            </w:r>
            <w:r>
              <w:rPr>
                <w:rFonts w:eastAsia="Times New Roman" w:cs="Times New Roman"/>
                <w:i/>
                <w:iCs/>
                <w:color w:val="000000"/>
                <w:sz w:val="20"/>
                <w:szCs w:val="20"/>
                <w:lang w:val="en-US"/>
              </w:rPr>
              <w:t>3</w:t>
            </w:r>
          </w:p>
        </w:tc>
        <w:tc>
          <w:tcPr>
            <w:tcW w:w="579" w:type="pct"/>
            <w:tcBorders>
              <w:top w:val="nil"/>
              <w:left w:val="nil"/>
              <w:bottom w:val="nil"/>
              <w:right w:val="single" w:sz="4" w:space="0" w:color="auto"/>
            </w:tcBorders>
            <w:shd w:val="clear" w:color="auto" w:fill="auto"/>
            <w:noWrap/>
            <w:vAlign w:val="center"/>
          </w:tcPr>
          <w:p w14:paraId="669710C4"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nil"/>
              <w:right w:val="single" w:sz="4" w:space="0" w:color="auto"/>
            </w:tcBorders>
            <w:shd w:val="clear" w:color="auto" w:fill="auto"/>
            <w:noWrap/>
            <w:vAlign w:val="center"/>
          </w:tcPr>
          <w:p w14:paraId="4C6B215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44EA12C4" w14:textId="09AFDAD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-39.64</w:t>
            </w:r>
          </w:p>
        </w:tc>
        <w:tc>
          <w:tcPr>
            <w:tcW w:w="531" w:type="pct"/>
            <w:tcBorders>
              <w:top w:val="nil"/>
              <w:left w:val="nil"/>
              <w:bottom w:val="nil"/>
              <w:right w:val="single" w:sz="4" w:space="0" w:color="auto"/>
            </w:tcBorders>
            <w:shd w:val="clear" w:color="auto" w:fill="auto"/>
            <w:noWrap/>
            <w:vAlign w:val="center"/>
          </w:tcPr>
          <w:p w14:paraId="62DECA15" w14:textId="3A6A5214"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-107.02</w:t>
            </w:r>
          </w:p>
        </w:tc>
        <w:tc>
          <w:tcPr>
            <w:tcW w:w="579" w:type="pct"/>
            <w:tcBorders>
              <w:top w:val="nil"/>
              <w:left w:val="single" w:sz="4" w:space="0" w:color="auto"/>
              <w:bottom w:val="nil"/>
              <w:right w:val="single" w:sz="4" w:space="0" w:color="auto"/>
            </w:tcBorders>
            <w:vAlign w:val="center"/>
          </w:tcPr>
          <w:p w14:paraId="17FB8284" w14:textId="18C82363"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-42.69</w:t>
            </w:r>
          </w:p>
        </w:tc>
        <w:tc>
          <w:tcPr>
            <w:tcW w:w="521" w:type="pct"/>
            <w:tcBorders>
              <w:top w:val="nil"/>
              <w:left w:val="single" w:sz="4" w:space="0" w:color="auto"/>
              <w:bottom w:val="nil"/>
              <w:right w:val="double" w:sz="6" w:space="0" w:color="auto"/>
            </w:tcBorders>
            <w:vAlign w:val="center"/>
          </w:tcPr>
          <w:p w14:paraId="26CAB13C" w14:textId="5102557F"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-103.36</w:t>
            </w:r>
          </w:p>
        </w:tc>
      </w:tr>
      <w:tr w:rsidR="00D46413" w:rsidRPr="00186395" w14:paraId="05985823"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hideMark/>
          </w:tcPr>
          <w:p w14:paraId="569A0C5D" w14:textId="6FE43F63" w:rsidR="00D46413" w:rsidRPr="007F0587" w:rsidRDefault="00D46413" w:rsidP="00D46413">
            <w:pPr>
              <w:jc w:val="left"/>
              <w:rPr>
                <w:rFonts w:eastAsia="Times New Roman" w:cs="Times New Roman"/>
                <w:iCs/>
                <w:color w:val="000000"/>
                <w:sz w:val="20"/>
                <w:szCs w:val="20"/>
                <w:lang w:val="en-US"/>
              </w:rPr>
            </w:pPr>
            <w:r w:rsidRPr="007F0587">
              <w:rPr>
                <w:rFonts w:eastAsia="Times New Roman" w:cs="Times New Roman"/>
                <w:color w:val="000000"/>
                <w:sz w:val="20"/>
                <w:szCs w:val="20"/>
                <w:lang w:val="en-US"/>
              </w:rPr>
              <w:t>No of Bus stop in a</w:t>
            </w:r>
            <w:r>
              <w:rPr>
                <w:rFonts w:eastAsia="Times New Roman" w:cs="Times New Roman"/>
                <w:color w:val="000000"/>
                <w:sz w:val="20"/>
                <w:szCs w:val="20"/>
                <w:lang w:val="en-US"/>
              </w:rPr>
              <w:t>n</w:t>
            </w:r>
            <w:r w:rsidRPr="007F0587">
              <w:rPr>
                <w:rFonts w:eastAsia="Times New Roman" w:cs="Times New Roman"/>
                <w:iCs/>
                <w:color w:val="000000"/>
                <w:sz w:val="20"/>
                <w:szCs w:val="20"/>
                <w:lang w:val="en-US"/>
              </w:rPr>
              <w:t xml:space="preserve"> 800 m buffer</w:t>
            </w:r>
          </w:p>
        </w:tc>
        <w:tc>
          <w:tcPr>
            <w:tcW w:w="579" w:type="pct"/>
            <w:tcBorders>
              <w:top w:val="nil"/>
              <w:left w:val="nil"/>
              <w:bottom w:val="nil"/>
              <w:right w:val="single" w:sz="4" w:space="0" w:color="auto"/>
            </w:tcBorders>
            <w:shd w:val="clear" w:color="auto" w:fill="auto"/>
            <w:noWrap/>
            <w:vAlign w:val="center"/>
          </w:tcPr>
          <w:p w14:paraId="6ED92B64"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nil"/>
              <w:right w:val="single" w:sz="4" w:space="0" w:color="auto"/>
            </w:tcBorders>
            <w:shd w:val="clear" w:color="auto" w:fill="auto"/>
            <w:noWrap/>
            <w:vAlign w:val="center"/>
          </w:tcPr>
          <w:p w14:paraId="1C6292D7"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0CA81129" w14:textId="75B9AD44"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-2.41</w:t>
            </w:r>
          </w:p>
        </w:tc>
        <w:tc>
          <w:tcPr>
            <w:tcW w:w="531" w:type="pct"/>
            <w:tcBorders>
              <w:top w:val="nil"/>
              <w:left w:val="nil"/>
              <w:bottom w:val="nil"/>
              <w:right w:val="single" w:sz="4" w:space="0" w:color="auto"/>
            </w:tcBorders>
            <w:shd w:val="clear" w:color="auto" w:fill="auto"/>
            <w:noWrap/>
            <w:vAlign w:val="center"/>
          </w:tcPr>
          <w:p w14:paraId="26A6F736" w14:textId="6F390256"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-27.99</w:t>
            </w:r>
          </w:p>
        </w:tc>
        <w:tc>
          <w:tcPr>
            <w:tcW w:w="579" w:type="pct"/>
            <w:tcBorders>
              <w:top w:val="nil"/>
              <w:left w:val="single" w:sz="4" w:space="0" w:color="auto"/>
              <w:bottom w:val="nil"/>
              <w:right w:val="single" w:sz="4" w:space="0" w:color="auto"/>
            </w:tcBorders>
            <w:vAlign w:val="center"/>
          </w:tcPr>
          <w:p w14:paraId="6E6697A0" w14:textId="080F7B3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-2.77</w:t>
            </w:r>
          </w:p>
        </w:tc>
        <w:tc>
          <w:tcPr>
            <w:tcW w:w="521" w:type="pct"/>
            <w:tcBorders>
              <w:top w:val="nil"/>
              <w:left w:val="single" w:sz="4" w:space="0" w:color="auto"/>
              <w:bottom w:val="nil"/>
              <w:right w:val="double" w:sz="6" w:space="0" w:color="auto"/>
            </w:tcBorders>
            <w:vAlign w:val="center"/>
          </w:tcPr>
          <w:p w14:paraId="70D3BA20" w14:textId="54F5AC6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-28.14</w:t>
            </w:r>
          </w:p>
        </w:tc>
      </w:tr>
      <w:tr w:rsidR="00D46413" w:rsidRPr="00186395" w14:paraId="5C381B1D"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079E997" w14:textId="77777777" w:rsidR="00D46413" w:rsidRPr="007F0587" w:rsidRDefault="00D46413" w:rsidP="00D46413">
            <w:pPr>
              <w:jc w:val="left"/>
              <w:rPr>
                <w:rFonts w:eastAsia="Times New Roman" w:cs="Times New Roman"/>
                <w:color w:val="000000"/>
                <w:sz w:val="20"/>
                <w:szCs w:val="20"/>
                <w:lang w:val="en-US"/>
              </w:rPr>
            </w:pPr>
            <w:r w:rsidRPr="007F0587">
              <w:rPr>
                <w:rFonts w:eastAsia="Times New Roman" w:cs="Times New Roman"/>
                <w:color w:val="000000"/>
                <w:sz w:val="20"/>
                <w:szCs w:val="20"/>
                <w:lang w:val="en-US"/>
              </w:rPr>
              <w:t>Bus route Length in an 800 m buffer</w:t>
            </w:r>
          </w:p>
        </w:tc>
        <w:tc>
          <w:tcPr>
            <w:tcW w:w="579" w:type="pct"/>
            <w:tcBorders>
              <w:top w:val="nil"/>
              <w:left w:val="nil"/>
              <w:bottom w:val="nil"/>
              <w:right w:val="single" w:sz="4" w:space="0" w:color="auto"/>
            </w:tcBorders>
            <w:shd w:val="clear" w:color="auto" w:fill="auto"/>
            <w:noWrap/>
            <w:vAlign w:val="center"/>
          </w:tcPr>
          <w:p w14:paraId="20032C82" w14:textId="0BD292A8"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-0.44</w:t>
            </w:r>
          </w:p>
        </w:tc>
        <w:tc>
          <w:tcPr>
            <w:tcW w:w="485" w:type="pct"/>
            <w:tcBorders>
              <w:top w:val="nil"/>
              <w:left w:val="nil"/>
              <w:bottom w:val="nil"/>
              <w:right w:val="single" w:sz="4" w:space="0" w:color="auto"/>
            </w:tcBorders>
            <w:shd w:val="clear" w:color="auto" w:fill="auto"/>
            <w:noWrap/>
            <w:vAlign w:val="center"/>
          </w:tcPr>
          <w:p w14:paraId="34CF4B39" w14:textId="2850EFC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-66.26</w:t>
            </w:r>
          </w:p>
        </w:tc>
        <w:tc>
          <w:tcPr>
            <w:tcW w:w="580" w:type="pct"/>
            <w:tcBorders>
              <w:top w:val="nil"/>
              <w:left w:val="nil"/>
              <w:bottom w:val="nil"/>
              <w:right w:val="single" w:sz="4" w:space="0" w:color="auto"/>
            </w:tcBorders>
            <w:shd w:val="clear" w:color="auto" w:fill="auto"/>
            <w:noWrap/>
            <w:vAlign w:val="center"/>
          </w:tcPr>
          <w:p w14:paraId="0F8594F0" w14:textId="7EE427F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-0.70</w:t>
            </w:r>
          </w:p>
        </w:tc>
        <w:tc>
          <w:tcPr>
            <w:tcW w:w="531" w:type="pct"/>
            <w:tcBorders>
              <w:top w:val="nil"/>
              <w:left w:val="nil"/>
              <w:bottom w:val="nil"/>
              <w:right w:val="single" w:sz="4" w:space="0" w:color="auto"/>
            </w:tcBorders>
            <w:shd w:val="clear" w:color="auto" w:fill="auto"/>
            <w:noWrap/>
            <w:vAlign w:val="center"/>
          </w:tcPr>
          <w:p w14:paraId="12AF7CC1" w14:textId="11DD5D1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-6.99</w:t>
            </w:r>
          </w:p>
        </w:tc>
        <w:tc>
          <w:tcPr>
            <w:tcW w:w="579" w:type="pct"/>
            <w:tcBorders>
              <w:top w:val="nil"/>
              <w:left w:val="single" w:sz="4" w:space="0" w:color="auto"/>
              <w:bottom w:val="nil"/>
              <w:right w:val="single" w:sz="4" w:space="0" w:color="auto"/>
            </w:tcBorders>
            <w:vAlign w:val="center"/>
          </w:tcPr>
          <w:p w14:paraId="7151A91D" w14:textId="72932FC3"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-0.80</w:t>
            </w:r>
          </w:p>
        </w:tc>
        <w:tc>
          <w:tcPr>
            <w:tcW w:w="521" w:type="pct"/>
            <w:tcBorders>
              <w:top w:val="nil"/>
              <w:left w:val="single" w:sz="4" w:space="0" w:color="auto"/>
              <w:bottom w:val="nil"/>
              <w:right w:val="double" w:sz="6" w:space="0" w:color="auto"/>
            </w:tcBorders>
            <w:vAlign w:val="center"/>
          </w:tcPr>
          <w:p w14:paraId="64D1B5CB" w14:textId="139C30C5"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-6.59</w:t>
            </w:r>
          </w:p>
        </w:tc>
      </w:tr>
      <w:tr w:rsidR="00D46413" w:rsidRPr="00186395" w14:paraId="097087A5"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6F7516BA" w14:textId="77777777" w:rsidR="00D46413" w:rsidRPr="007F0587" w:rsidRDefault="00D46413" w:rsidP="00D46413">
            <w:pPr>
              <w:jc w:val="left"/>
              <w:rPr>
                <w:rFonts w:eastAsia="Times New Roman" w:cs="Times New Roman"/>
                <w:color w:val="000000"/>
                <w:sz w:val="20"/>
                <w:szCs w:val="20"/>
                <w:lang w:val="en-US"/>
              </w:rPr>
            </w:pPr>
            <w:r w:rsidRPr="007F0587">
              <w:rPr>
                <w:rFonts w:eastAsia="Times New Roman" w:cs="Times New Roman"/>
                <w:color w:val="000000"/>
                <w:sz w:val="20"/>
                <w:szCs w:val="20"/>
                <w:lang w:val="en-US"/>
              </w:rPr>
              <w:t>Presence of shelter in bus stop</w:t>
            </w:r>
          </w:p>
        </w:tc>
        <w:tc>
          <w:tcPr>
            <w:tcW w:w="579" w:type="pct"/>
            <w:tcBorders>
              <w:top w:val="nil"/>
              <w:left w:val="nil"/>
              <w:bottom w:val="nil"/>
              <w:right w:val="single" w:sz="4" w:space="0" w:color="auto"/>
            </w:tcBorders>
            <w:shd w:val="clear" w:color="auto" w:fill="auto"/>
            <w:noWrap/>
            <w:vAlign w:val="center"/>
          </w:tcPr>
          <w:p w14:paraId="79F5CCB0"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nil"/>
              <w:right w:val="single" w:sz="4" w:space="0" w:color="auto"/>
            </w:tcBorders>
            <w:shd w:val="clear" w:color="auto" w:fill="auto"/>
            <w:noWrap/>
            <w:vAlign w:val="center"/>
          </w:tcPr>
          <w:p w14:paraId="65BA6429"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3AA16C36" w14:textId="5EF123BA"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7.77</w:t>
            </w:r>
          </w:p>
        </w:tc>
        <w:tc>
          <w:tcPr>
            <w:tcW w:w="531" w:type="pct"/>
            <w:tcBorders>
              <w:top w:val="nil"/>
              <w:left w:val="nil"/>
              <w:bottom w:val="nil"/>
              <w:right w:val="single" w:sz="4" w:space="0" w:color="auto"/>
            </w:tcBorders>
            <w:shd w:val="clear" w:color="auto" w:fill="auto"/>
            <w:noWrap/>
            <w:vAlign w:val="center"/>
          </w:tcPr>
          <w:p w14:paraId="5DC11BFF" w14:textId="63F475BA"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44.99</w:t>
            </w:r>
          </w:p>
        </w:tc>
        <w:tc>
          <w:tcPr>
            <w:tcW w:w="579" w:type="pct"/>
            <w:tcBorders>
              <w:top w:val="nil"/>
              <w:left w:val="single" w:sz="4" w:space="0" w:color="auto"/>
              <w:bottom w:val="nil"/>
              <w:right w:val="single" w:sz="4" w:space="0" w:color="auto"/>
            </w:tcBorders>
            <w:vAlign w:val="center"/>
          </w:tcPr>
          <w:p w14:paraId="545BF14F" w14:textId="5E26FBC7"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19.71</w:t>
            </w:r>
          </w:p>
        </w:tc>
        <w:tc>
          <w:tcPr>
            <w:tcW w:w="521" w:type="pct"/>
            <w:tcBorders>
              <w:top w:val="nil"/>
              <w:left w:val="single" w:sz="4" w:space="0" w:color="auto"/>
              <w:bottom w:val="nil"/>
              <w:right w:val="double" w:sz="6" w:space="0" w:color="auto"/>
            </w:tcBorders>
            <w:vAlign w:val="center"/>
          </w:tcPr>
          <w:p w14:paraId="66453E36" w14:textId="1895EC7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97.05</w:t>
            </w:r>
          </w:p>
        </w:tc>
      </w:tr>
      <w:tr w:rsidR="00F71134" w:rsidRPr="00186395" w14:paraId="3C08111F" w14:textId="77777777" w:rsidTr="00DF6C8E">
        <w:trPr>
          <w:trHeight w:val="305"/>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3D10793E" w14:textId="77777777" w:rsidR="00F71134" w:rsidRPr="003642B9" w:rsidRDefault="00F71134" w:rsidP="00DF6C8E">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 xml:space="preserve">Transportation Infrastructure </w:t>
            </w:r>
          </w:p>
        </w:tc>
      </w:tr>
      <w:tr w:rsidR="00E66345" w:rsidRPr="00186395" w14:paraId="20F37227"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C85A4AF" w14:textId="77777777" w:rsidR="00E66345" w:rsidRPr="00EB7B4B" w:rsidRDefault="00E66345" w:rsidP="00E66345">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Sidewalk length in a</w:t>
            </w:r>
            <w:r>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4E0B9FEB" w14:textId="77777777" w:rsidR="00E66345" w:rsidRPr="00EB7B4B" w:rsidRDefault="00E66345" w:rsidP="00B741B9">
            <w:pPr>
              <w:jc w:val="left"/>
              <w:rPr>
                <w:rFonts w:eastAsia="Times New Roman" w:cs="Times New Roman"/>
                <w:color w:val="000000"/>
                <w:sz w:val="20"/>
                <w:szCs w:val="20"/>
                <w:lang w:val="en-US"/>
              </w:rPr>
            </w:pPr>
          </w:p>
        </w:tc>
        <w:tc>
          <w:tcPr>
            <w:tcW w:w="485" w:type="pct"/>
            <w:tcBorders>
              <w:top w:val="nil"/>
              <w:left w:val="nil"/>
              <w:bottom w:val="nil"/>
              <w:right w:val="single" w:sz="4" w:space="0" w:color="auto"/>
            </w:tcBorders>
            <w:shd w:val="clear" w:color="auto" w:fill="auto"/>
            <w:noWrap/>
            <w:vAlign w:val="center"/>
          </w:tcPr>
          <w:p w14:paraId="2F02EC1D" w14:textId="77777777" w:rsidR="00E66345" w:rsidRPr="00EB7B4B" w:rsidRDefault="00E66345" w:rsidP="00B741B9">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1E28E409" w14:textId="0F57DFCC" w:rsidR="00E66345" w:rsidRPr="00EB7B4B" w:rsidRDefault="00E66345" w:rsidP="00B741B9">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21C0FC65" w14:textId="186254B2" w:rsidR="00E66345" w:rsidRPr="00EB7B4B" w:rsidRDefault="00E66345" w:rsidP="00B741B9">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039F8157" w14:textId="77777777" w:rsidR="00E66345" w:rsidRPr="00EB7B4B" w:rsidRDefault="00E66345" w:rsidP="00B741B9">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1931A77F" w14:textId="77777777" w:rsidR="00E66345" w:rsidRPr="00EB7B4B" w:rsidRDefault="00E66345" w:rsidP="00B741B9">
            <w:pPr>
              <w:jc w:val="left"/>
              <w:rPr>
                <w:rFonts w:eastAsia="Times New Roman" w:cs="Times New Roman"/>
                <w:color w:val="000000"/>
                <w:sz w:val="20"/>
                <w:szCs w:val="20"/>
                <w:lang w:val="en-US"/>
              </w:rPr>
            </w:pPr>
          </w:p>
        </w:tc>
      </w:tr>
      <w:tr w:rsidR="00165837" w:rsidRPr="00186395" w14:paraId="5D2A0207"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366F12CB" w14:textId="77777777" w:rsidR="00165837" w:rsidRPr="00EB7B4B" w:rsidRDefault="00165837" w:rsidP="00165837">
            <w:pPr>
              <w:jc w:val="left"/>
              <w:rPr>
                <w:rFonts w:eastAsia="Times New Roman" w:cs="Times New Roman"/>
                <w:color w:val="000000"/>
                <w:sz w:val="20"/>
                <w:szCs w:val="20"/>
                <w:lang w:val="en-US"/>
              </w:rPr>
            </w:pPr>
            <w:r>
              <w:rPr>
                <w:rFonts w:eastAsia="Times New Roman" w:cs="Times New Roman"/>
                <w:i/>
                <w:iCs/>
                <w:color w:val="000000"/>
                <w:sz w:val="20"/>
                <w:szCs w:val="20"/>
                <w:lang w:val="en-US"/>
              </w:rPr>
              <w:t>4</w:t>
            </w:r>
            <w:r w:rsidRPr="00EB7B4B">
              <w:rPr>
                <w:rFonts w:eastAsia="Times New Roman" w:cs="Times New Roman"/>
                <w:i/>
                <w:iCs/>
                <w:color w:val="000000"/>
                <w:sz w:val="20"/>
                <w:szCs w:val="20"/>
                <w:lang w:val="en-US"/>
              </w:rPr>
              <w:t>00 m buffer</w:t>
            </w:r>
          </w:p>
        </w:tc>
        <w:tc>
          <w:tcPr>
            <w:tcW w:w="579" w:type="pct"/>
            <w:tcBorders>
              <w:top w:val="nil"/>
              <w:left w:val="nil"/>
              <w:bottom w:val="nil"/>
              <w:right w:val="single" w:sz="4" w:space="0" w:color="auto"/>
            </w:tcBorders>
            <w:shd w:val="clear" w:color="auto" w:fill="auto"/>
            <w:noWrap/>
            <w:vAlign w:val="center"/>
          </w:tcPr>
          <w:p w14:paraId="5E30BA4E" w14:textId="77777777" w:rsidR="00165837" w:rsidRPr="00EB7B4B" w:rsidRDefault="00165837"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nil"/>
              <w:right w:val="single" w:sz="4" w:space="0" w:color="auto"/>
            </w:tcBorders>
            <w:shd w:val="clear" w:color="auto" w:fill="auto"/>
            <w:noWrap/>
            <w:vAlign w:val="center"/>
          </w:tcPr>
          <w:p w14:paraId="0E6823E5" w14:textId="77777777" w:rsidR="00165837" w:rsidRPr="00EB7B4B" w:rsidRDefault="00165837"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nil"/>
              <w:right w:val="single" w:sz="4" w:space="0" w:color="auto"/>
            </w:tcBorders>
            <w:shd w:val="clear" w:color="auto" w:fill="auto"/>
            <w:noWrap/>
            <w:vAlign w:val="center"/>
          </w:tcPr>
          <w:p w14:paraId="4C35CEB3" w14:textId="6A9171C2" w:rsidR="00165837" w:rsidRPr="00EB7B4B"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1.97</w:t>
            </w:r>
          </w:p>
        </w:tc>
        <w:tc>
          <w:tcPr>
            <w:tcW w:w="531" w:type="pct"/>
            <w:tcBorders>
              <w:top w:val="nil"/>
              <w:left w:val="nil"/>
              <w:bottom w:val="nil"/>
              <w:right w:val="single" w:sz="4" w:space="0" w:color="auto"/>
            </w:tcBorders>
            <w:shd w:val="clear" w:color="auto" w:fill="auto"/>
            <w:noWrap/>
            <w:vAlign w:val="center"/>
          </w:tcPr>
          <w:p w14:paraId="47477FF2" w14:textId="68C606CD" w:rsidR="00165837" w:rsidRPr="00EB7B4B"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17.55</w:t>
            </w:r>
          </w:p>
        </w:tc>
        <w:tc>
          <w:tcPr>
            <w:tcW w:w="579" w:type="pct"/>
            <w:tcBorders>
              <w:top w:val="nil"/>
              <w:left w:val="single" w:sz="4" w:space="0" w:color="auto"/>
              <w:bottom w:val="nil"/>
              <w:right w:val="single" w:sz="4" w:space="0" w:color="auto"/>
            </w:tcBorders>
            <w:vAlign w:val="center"/>
          </w:tcPr>
          <w:p w14:paraId="1D04355E" w14:textId="4AAD8593" w:rsidR="00165837"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1.98</w:t>
            </w:r>
          </w:p>
        </w:tc>
        <w:tc>
          <w:tcPr>
            <w:tcW w:w="521" w:type="pct"/>
            <w:tcBorders>
              <w:top w:val="nil"/>
              <w:left w:val="single" w:sz="4" w:space="0" w:color="auto"/>
              <w:bottom w:val="nil"/>
              <w:right w:val="double" w:sz="6" w:space="0" w:color="auto"/>
            </w:tcBorders>
            <w:vAlign w:val="center"/>
          </w:tcPr>
          <w:p w14:paraId="45801171" w14:textId="7DEA3888" w:rsidR="00165837" w:rsidRDefault="00165837"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15.79</w:t>
            </w:r>
          </w:p>
        </w:tc>
      </w:tr>
      <w:tr w:rsidR="00F71134" w:rsidRPr="00186395" w14:paraId="6FF43410"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2F9CA88D" w14:textId="77777777" w:rsidR="00F71134" w:rsidRDefault="00F71134" w:rsidP="00DF6C8E">
            <w:pPr>
              <w:jc w:val="left"/>
              <w:rPr>
                <w:rFonts w:eastAsia="Times New Roman" w:cs="Times New Roman"/>
                <w:i/>
                <w:iCs/>
                <w:color w:val="000000"/>
                <w:sz w:val="20"/>
                <w:szCs w:val="20"/>
                <w:lang w:val="en-US"/>
              </w:rPr>
            </w:pPr>
            <w:r>
              <w:rPr>
                <w:rFonts w:eastAsia="Times New Roman" w:cs="Times New Roman"/>
                <w:color w:val="000000"/>
                <w:sz w:val="20"/>
                <w:szCs w:val="20"/>
                <w:lang w:val="en-US"/>
              </w:rPr>
              <w:t>Bike road</w:t>
            </w:r>
            <w:r w:rsidRPr="00EB7B4B">
              <w:rPr>
                <w:rFonts w:eastAsia="Times New Roman" w:cs="Times New Roman"/>
                <w:color w:val="000000"/>
                <w:sz w:val="20"/>
                <w:szCs w:val="20"/>
                <w:lang w:val="en-US"/>
              </w:rPr>
              <w:t xml:space="preserve"> length in a</w:t>
            </w:r>
            <w:r>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27FAF32E" w14:textId="77777777" w:rsidR="00F71134" w:rsidRDefault="00F71134" w:rsidP="00B741B9">
            <w:pPr>
              <w:jc w:val="left"/>
              <w:rPr>
                <w:rFonts w:eastAsia="Times New Roman" w:cs="Times New Roman"/>
                <w:color w:val="000000"/>
                <w:sz w:val="20"/>
                <w:szCs w:val="20"/>
                <w:lang w:val="en-US"/>
              </w:rPr>
            </w:pPr>
          </w:p>
        </w:tc>
        <w:tc>
          <w:tcPr>
            <w:tcW w:w="485" w:type="pct"/>
            <w:tcBorders>
              <w:top w:val="nil"/>
              <w:left w:val="nil"/>
              <w:bottom w:val="nil"/>
              <w:right w:val="single" w:sz="4" w:space="0" w:color="auto"/>
            </w:tcBorders>
            <w:shd w:val="clear" w:color="auto" w:fill="auto"/>
            <w:noWrap/>
            <w:vAlign w:val="center"/>
          </w:tcPr>
          <w:p w14:paraId="614FE9E6" w14:textId="77777777" w:rsidR="00F71134" w:rsidRDefault="00F71134" w:rsidP="00B741B9">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51CD139D" w14:textId="77777777" w:rsidR="00F71134" w:rsidRDefault="00F71134" w:rsidP="00B741B9">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43765FED" w14:textId="77777777" w:rsidR="00F71134" w:rsidRDefault="00F71134" w:rsidP="00B741B9">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2F4AE489" w14:textId="77777777" w:rsidR="00F71134" w:rsidRDefault="00F71134" w:rsidP="00B741B9">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672E22A6" w14:textId="77777777" w:rsidR="00F71134" w:rsidRDefault="00F71134" w:rsidP="00B741B9">
            <w:pPr>
              <w:jc w:val="left"/>
              <w:rPr>
                <w:rFonts w:eastAsia="Times New Roman" w:cs="Times New Roman"/>
                <w:color w:val="000000"/>
                <w:sz w:val="20"/>
                <w:szCs w:val="20"/>
                <w:lang w:val="en-US"/>
              </w:rPr>
            </w:pPr>
          </w:p>
        </w:tc>
      </w:tr>
      <w:tr w:rsidR="00D46413" w:rsidRPr="00186395" w14:paraId="4DFE0D91"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067E2A06"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bottom w:val="nil"/>
              <w:right w:val="single" w:sz="4" w:space="0" w:color="auto"/>
            </w:tcBorders>
            <w:shd w:val="clear" w:color="auto" w:fill="auto"/>
            <w:noWrap/>
            <w:vAlign w:val="center"/>
          </w:tcPr>
          <w:p w14:paraId="311EE459" w14:textId="674A0F6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-0.17</w:t>
            </w:r>
          </w:p>
        </w:tc>
        <w:tc>
          <w:tcPr>
            <w:tcW w:w="485" w:type="pct"/>
            <w:tcBorders>
              <w:top w:val="nil"/>
              <w:left w:val="nil"/>
              <w:bottom w:val="nil"/>
              <w:right w:val="single" w:sz="4" w:space="0" w:color="auto"/>
            </w:tcBorders>
            <w:shd w:val="clear" w:color="auto" w:fill="auto"/>
            <w:noWrap/>
            <w:vAlign w:val="center"/>
          </w:tcPr>
          <w:p w14:paraId="092AFEB4" w14:textId="02820328"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-38.02</w:t>
            </w:r>
          </w:p>
        </w:tc>
        <w:tc>
          <w:tcPr>
            <w:tcW w:w="580" w:type="pct"/>
            <w:tcBorders>
              <w:top w:val="nil"/>
              <w:left w:val="nil"/>
              <w:bottom w:val="nil"/>
              <w:right w:val="single" w:sz="4" w:space="0" w:color="auto"/>
            </w:tcBorders>
            <w:shd w:val="clear" w:color="auto" w:fill="auto"/>
            <w:noWrap/>
            <w:vAlign w:val="center"/>
          </w:tcPr>
          <w:p w14:paraId="517A0719"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516F1D67"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2EC7D1A9"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nil"/>
              <w:right w:val="double" w:sz="6" w:space="0" w:color="auto"/>
            </w:tcBorders>
            <w:vAlign w:val="center"/>
          </w:tcPr>
          <w:p w14:paraId="42C300AF"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E66345" w:rsidRPr="00186395" w14:paraId="04C265DD" w14:textId="77777777" w:rsidTr="00B741B9">
        <w:trPr>
          <w:trHeight w:val="287"/>
          <w:jc w:val="center"/>
        </w:trPr>
        <w:tc>
          <w:tcPr>
            <w:tcW w:w="1725" w:type="pct"/>
            <w:tcBorders>
              <w:top w:val="nil"/>
              <w:left w:val="double" w:sz="6" w:space="0" w:color="auto"/>
              <w:right w:val="single" w:sz="4" w:space="0" w:color="auto"/>
            </w:tcBorders>
            <w:shd w:val="clear" w:color="auto" w:fill="auto"/>
            <w:vAlign w:val="center"/>
            <w:hideMark/>
          </w:tcPr>
          <w:p w14:paraId="265B6545" w14:textId="77777777" w:rsidR="00E66345" w:rsidRPr="00EB7B4B" w:rsidRDefault="00E66345" w:rsidP="00E66345">
            <w:pPr>
              <w:jc w:val="left"/>
              <w:rPr>
                <w:rFonts w:eastAsia="Times New Roman" w:cs="Times New Roman"/>
                <w:color w:val="000000"/>
                <w:sz w:val="20"/>
                <w:szCs w:val="20"/>
                <w:lang w:val="en-US"/>
              </w:rPr>
            </w:pPr>
            <w:r w:rsidRPr="00EB7B4B">
              <w:rPr>
                <w:rFonts w:eastAsia="Times New Roman" w:cs="Times New Roman"/>
                <w:color w:val="000000"/>
                <w:sz w:val="20"/>
                <w:szCs w:val="20"/>
                <w:lang w:val="en-US"/>
              </w:rPr>
              <w:t>Secondary road length in a</w:t>
            </w:r>
            <w:r>
              <w:rPr>
                <w:rFonts w:eastAsia="Times New Roman" w:cs="Times New Roman"/>
                <w:color w:val="000000"/>
                <w:sz w:val="20"/>
                <w:szCs w:val="20"/>
                <w:lang w:val="en-US"/>
              </w:rPr>
              <w:t>n</w:t>
            </w:r>
          </w:p>
        </w:tc>
        <w:tc>
          <w:tcPr>
            <w:tcW w:w="579" w:type="pct"/>
            <w:tcBorders>
              <w:top w:val="nil"/>
              <w:left w:val="nil"/>
              <w:right w:val="single" w:sz="4" w:space="0" w:color="auto"/>
            </w:tcBorders>
            <w:shd w:val="clear" w:color="auto" w:fill="auto"/>
            <w:noWrap/>
            <w:vAlign w:val="center"/>
          </w:tcPr>
          <w:p w14:paraId="1B48C9A2" w14:textId="77777777" w:rsidR="00E66345" w:rsidRPr="00EB7B4B" w:rsidRDefault="00E66345" w:rsidP="00B741B9">
            <w:pPr>
              <w:jc w:val="left"/>
              <w:rPr>
                <w:rFonts w:eastAsia="Times New Roman" w:cs="Times New Roman"/>
                <w:color w:val="000000"/>
                <w:sz w:val="20"/>
                <w:szCs w:val="20"/>
                <w:lang w:val="en-US"/>
              </w:rPr>
            </w:pPr>
          </w:p>
        </w:tc>
        <w:tc>
          <w:tcPr>
            <w:tcW w:w="485" w:type="pct"/>
            <w:tcBorders>
              <w:top w:val="nil"/>
              <w:left w:val="nil"/>
              <w:right w:val="single" w:sz="4" w:space="0" w:color="auto"/>
            </w:tcBorders>
            <w:shd w:val="clear" w:color="auto" w:fill="auto"/>
            <w:noWrap/>
            <w:vAlign w:val="center"/>
          </w:tcPr>
          <w:p w14:paraId="526BFCDB" w14:textId="77777777" w:rsidR="00E66345" w:rsidRPr="00EB7B4B" w:rsidRDefault="00E66345" w:rsidP="00B741B9">
            <w:pPr>
              <w:jc w:val="left"/>
              <w:rPr>
                <w:rFonts w:eastAsia="Times New Roman" w:cs="Times New Roman"/>
                <w:color w:val="000000"/>
                <w:sz w:val="20"/>
                <w:szCs w:val="20"/>
                <w:lang w:val="en-US"/>
              </w:rPr>
            </w:pPr>
          </w:p>
        </w:tc>
        <w:tc>
          <w:tcPr>
            <w:tcW w:w="580" w:type="pct"/>
            <w:tcBorders>
              <w:top w:val="nil"/>
              <w:left w:val="nil"/>
              <w:right w:val="single" w:sz="4" w:space="0" w:color="auto"/>
            </w:tcBorders>
            <w:shd w:val="clear" w:color="auto" w:fill="auto"/>
            <w:noWrap/>
            <w:vAlign w:val="center"/>
          </w:tcPr>
          <w:p w14:paraId="13D02F75" w14:textId="798CFDE5" w:rsidR="00E66345" w:rsidRPr="00EB7B4B" w:rsidRDefault="00E66345" w:rsidP="00B741B9">
            <w:pPr>
              <w:jc w:val="left"/>
              <w:rPr>
                <w:rFonts w:eastAsia="Times New Roman" w:cs="Times New Roman"/>
                <w:color w:val="000000"/>
                <w:sz w:val="20"/>
                <w:szCs w:val="20"/>
                <w:lang w:val="en-US"/>
              </w:rPr>
            </w:pPr>
          </w:p>
        </w:tc>
        <w:tc>
          <w:tcPr>
            <w:tcW w:w="531" w:type="pct"/>
            <w:tcBorders>
              <w:top w:val="nil"/>
              <w:left w:val="nil"/>
              <w:right w:val="single" w:sz="4" w:space="0" w:color="auto"/>
            </w:tcBorders>
            <w:shd w:val="clear" w:color="auto" w:fill="auto"/>
            <w:noWrap/>
            <w:vAlign w:val="center"/>
          </w:tcPr>
          <w:p w14:paraId="34B96370" w14:textId="3330FDFF" w:rsidR="00E66345" w:rsidRPr="00EB7B4B" w:rsidRDefault="00E66345" w:rsidP="00B741B9">
            <w:pPr>
              <w:jc w:val="left"/>
              <w:rPr>
                <w:rFonts w:eastAsia="Times New Roman" w:cs="Times New Roman"/>
                <w:color w:val="000000"/>
                <w:sz w:val="20"/>
                <w:szCs w:val="20"/>
                <w:lang w:val="en-US"/>
              </w:rPr>
            </w:pPr>
          </w:p>
        </w:tc>
        <w:tc>
          <w:tcPr>
            <w:tcW w:w="579" w:type="pct"/>
            <w:tcBorders>
              <w:top w:val="nil"/>
              <w:left w:val="single" w:sz="4" w:space="0" w:color="auto"/>
              <w:right w:val="single" w:sz="4" w:space="0" w:color="auto"/>
            </w:tcBorders>
            <w:vAlign w:val="center"/>
          </w:tcPr>
          <w:p w14:paraId="4728818D" w14:textId="77777777" w:rsidR="00E66345" w:rsidRPr="00EB7B4B" w:rsidRDefault="00E66345" w:rsidP="00B741B9">
            <w:pPr>
              <w:jc w:val="left"/>
              <w:rPr>
                <w:rFonts w:eastAsia="Times New Roman" w:cs="Times New Roman"/>
                <w:color w:val="000000"/>
                <w:sz w:val="20"/>
                <w:szCs w:val="20"/>
                <w:lang w:val="en-US"/>
              </w:rPr>
            </w:pPr>
          </w:p>
        </w:tc>
        <w:tc>
          <w:tcPr>
            <w:tcW w:w="521" w:type="pct"/>
            <w:tcBorders>
              <w:top w:val="nil"/>
              <w:left w:val="single" w:sz="4" w:space="0" w:color="auto"/>
              <w:right w:val="double" w:sz="6" w:space="0" w:color="auto"/>
            </w:tcBorders>
            <w:vAlign w:val="center"/>
          </w:tcPr>
          <w:p w14:paraId="77FECB19" w14:textId="77777777" w:rsidR="00E66345" w:rsidRPr="00EB7B4B" w:rsidRDefault="00E66345" w:rsidP="00B741B9">
            <w:pPr>
              <w:jc w:val="left"/>
              <w:rPr>
                <w:rFonts w:eastAsia="Times New Roman" w:cs="Times New Roman"/>
                <w:color w:val="000000"/>
                <w:sz w:val="20"/>
                <w:szCs w:val="20"/>
                <w:lang w:val="en-US"/>
              </w:rPr>
            </w:pPr>
          </w:p>
        </w:tc>
      </w:tr>
      <w:tr w:rsidR="00D46413" w:rsidRPr="00186395" w14:paraId="0A0DD33E"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hideMark/>
          </w:tcPr>
          <w:p w14:paraId="30CA726E" w14:textId="77777777" w:rsidR="00D46413" w:rsidRPr="00EB7B4B" w:rsidRDefault="00D46413" w:rsidP="00D46413">
            <w:pPr>
              <w:jc w:val="left"/>
              <w:rPr>
                <w:rFonts w:eastAsia="Times New Roman" w:cs="Times New Roman"/>
                <w:i/>
                <w:iCs/>
                <w:color w:val="000000"/>
                <w:sz w:val="20"/>
                <w:szCs w:val="20"/>
                <w:lang w:val="en-US"/>
              </w:rPr>
            </w:pPr>
            <w:r w:rsidRPr="00EB7B4B">
              <w:rPr>
                <w:rFonts w:eastAsia="Times New Roman" w:cs="Times New Roman"/>
                <w:i/>
                <w:iCs/>
                <w:color w:val="000000"/>
                <w:sz w:val="20"/>
                <w:szCs w:val="20"/>
                <w:lang w:val="en-US"/>
              </w:rPr>
              <w:t>800 m buffer</w:t>
            </w:r>
          </w:p>
        </w:tc>
        <w:tc>
          <w:tcPr>
            <w:tcW w:w="579" w:type="pct"/>
            <w:tcBorders>
              <w:top w:val="nil"/>
              <w:left w:val="nil"/>
              <w:bottom w:val="nil"/>
              <w:right w:val="single" w:sz="4" w:space="0" w:color="auto"/>
            </w:tcBorders>
            <w:shd w:val="clear" w:color="auto" w:fill="auto"/>
            <w:noWrap/>
            <w:vAlign w:val="center"/>
          </w:tcPr>
          <w:p w14:paraId="6194A0B4" w14:textId="5C49E6B0"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-0.32</w:t>
            </w:r>
          </w:p>
        </w:tc>
        <w:tc>
          <w:tcPr>
            <w:tcW w:w="485" w:type="pct"/>
            <w:tcBorders>
              <w:top w:val="nil"/>
              <w:left w:val="nil"/>
              <w:bottom w:val="nil"/>
              <w:right w:val="single" w:sz="4" w:space="0" w:color="auto"/>
            </w:tcBorders>
            <w:shd w:val="clear" w:color="auto" w:fill="auto"/>
            <w:noWrap/>
            <w:vAlign w:val="center"/>
          </w:tcPr>
          <w:p w14:paraId="1DE602D1" w14:textId="1A23DB69"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-42.02</w:t>
            </w:r>
          </w:p>
        </w:tc>
        <w:tc>
          <w:tcPr>
            <w:tcW w:w="580" w:type="pct"/>
            <w:tcBorders>
              <w:top w:val="nil"/>
              <w:left w:val="nil"/>
              <w:bottom w:val="nil"/>
              <w:right w:val="single" w:sz="4" w:space="0" w:color="auto"/>
            </w:tcBorders>
            <w:shd w:val="clear" w:color="auto" w:fill="auto"/>
            <w:noWrap/>
            <w:vAlign w:val="center"/>
          </w:tcPr>
          <w:p w14:paraId="1C06D535" w14:textId="29DE3EB6"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5.55</w:t>
            </w:r>
          </w:p>
        </w:tc>
        <w:tc>
          <w:tcPr>
            <w:tcW w:w="531" w:type="pct"/>
            <w:tcBorders>
              <w:top w:val="nil"/>
              <w:left w:val="nil"/>
              <w:bottom w:val="nil"/>
              <w:right w:val="single" w:sz="4" w:space="0" w:color="auto"/>
            </w:tcBorders>
            <w:shd w:val="clear" w:color="auto" w:fill="auto"/>
            <w:noWrap/>
            <w:vAlign w:val="center"/>
          </w:tcPr>
          <w:p w14:paraId="4D2E1E75" w14:textId="4E188583"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40.65</w:t>
            </w:r>
          </w:p>
        </w:tc>
        <w:tc>
          <w:tcPr>
            <w:tcW w:w="579" w:type="pct"/>
            <w:tcBorders>
              <w:top w:val="nil"/>
              <w:left w:val="single" w:sz="4" w:space="0" w:color="auto"/>
              <w:bottom w:val="nil"/>
              <w:right w:val="single" w:sz="4" w:space="0" w:color="auto"/>
            </w:tcBorders>
            <w:vAlign w:val="center"/>
          </w:tcPr>
          <w:p w14:paraId="7D533DED" w14:textId="536632E4"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4.72</w:t>
            </w:r>
          </w:p>
        </w:tc>
        <w:tc>
          <w:tcPr>
            <w:tcW w:w="521" w:type="pct"/>
            <w:tcBorders>
              <w:top w:val="nil"/>
              <w:left w:val="single" w:sz="4" w:space="0" w:color="auto"/>
              <w:bottom w:val="nil"/>
              <w:right w:val="double" w:sz="6" w:space="0" w:color="auto"/>
            </w:tcBorders>
            <w:vAlign w:val="center"/>
          </w:tcPr>
          <w:p w14:paraId="7D7B9B9D" w14:textId="12BB27A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31.61</w:t>
            </w:r>
          </w:p>
        </w:tc>
      </w:tr>
      <w:tr w:rsidR="00F71134" w:rsidRPr="00186395" w14:paraId="368927B0"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F6DB914" w14:textId="77777777" w:rsidR="00F71134" w:rsidRPr="00EB7B4B" w:rsidRDefault="00F71134" w:rsidP="00DF6C8E">
            <w:pPr>
              <w:jc w:val="left"/>
              <w:rPr>
                <w:rFonts w:eastAsia="Times New Roman" w:cs="Times New Roman"/>
                <w:color w:val="000000"/>
                <w:sz w:val="20"/>
                <w:szCs w:val="20"/>
                <w:lang w:val="en-US"/>
              </w:rPr>
            </w:pPr>
            <w:r>
              <w:rPr>
                <w:rFonts w:eastAsia="Times New Roman" w:cs="Times New Roman"/>
                <w:color w:val="000000"/>
                <w:sz w:val="20"/>
                <w:szCs w:val="20"/>
                <w:lang w:val="en-US"/>
              </w:rPr>
              <w:t>Local</w:t>
            </w:r>
            <w:r w:rsidRPr="00EB7B4B">
              <w:rPr>
                <w:rFonts w:eastAsia="Times New Roman" w:cs="Times New Roman"/>
                <w:color w:val="000000"/>
                <w:sz w:val="20"/>
                <w:szCs w:val="20"/>
                <w:lang w:val="en-US"/>
              </w:rPr>
              <w:t xml:space="preserve"> road length in a</w:t>
            </w:r>
            <w:r>
              <w:rPr>
                <w:rFonts w:eastAsia="Times New Roman" w:cs="Times New Roman"/>
                <w:color w:val="000000"/>
                <w:sz w:val="20"/>
                <w:szCs w:val="20"/>
                <w:lang w:val="en-US"/>
              </w:rPr>
              <w:t>n</w:t>
            </w:r>
          </w:p>
        </w:tc>
        <w:tc>
          <w:tcPr>
            <w:tcW w:w="579" w:type="pct"/>
            <w:tcBorders>
              <w:top w:val="nil"/>
              <w:left w:val="nil"/>
              <w:bottom w:val="nil"/>
              <w:right w:val="single" w:sz="4" w:space="0" w:color="auto"/>
            </w:tcBorders>
            <w:shd w:val="clear" w:color="auto" w:fill="auto"/>
            <w:noWrap/>
            <w:vAlign w:val="center"/>
          </w:tcPr>
          <w:p w14:paraId="3F622003" w14:textId="77777777" w:rsidR="00F71134" w:rsidRPr="00EB7B4B" w:rsidRDefault="00F71134" w:rsidP="00B741B9">
            <w:pPr>
              <w:jc w:val="left"/>
              <w:rPr>
                <w:rFonts w:eastAsia="Times New Roman" w:cs="Times New Roman"/>
                <w:color w:val="000000"/>
                <w:sz w:val="20"/>
                <w:szCs w:val="20"/>
                <w:lang w:val="en-US"/>
              </w:rPr>
            </w:pPr>
          </w:p>
        </w:tc>
        <w:tc>
          <w:tcPr>
            <w:tcW w:w="485" w:type="pct"/>
            <w:tcBorders>
              <w:top w:val="nil"/>
              <w:left w:val="nil"/>
              <w:bottom w:val="nil"/>
              <w:right w:val="single" w:sz="4" w:space="0" w:color="auto"/>
            </w:tcBorders>
            <w:shd w:val="clear" w:color="auto" w:fill="auto"/>
            <w:noWrap/>
            <w:vAlign w:val="center"/>
          </w:tcPr>
          <w:p w14:paraId="3272F493" w14:textId="77777777" w:rsidR="00F71134" w:rsidRPr="00EB7B4B" w:rsidRDefault="00F71134" w:rsidP="00B741B9">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7F1D6AF0" w14:textId="77777777" w:rsidR="00F71134" w:rsidRPr="00EB7B4B" w:rsidRDefault="00F71134" w:rsidP="00B741B9">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269C7A97" w14:textId="77777777" w:rsidR="00F71134" w:rsidRPr="00EB7B4B" w:rsidRDefault="00F71134" w:rsidP="00B741B9">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5C17C101" w14:textId="77777777" w:rsidR="00F71134" w:rsidRPr="00EB7B4B" w:rsidRDefault="00F71134" w:rsidP="00B741B9">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16542E83" w14:textId="77777777" w:rsidR="00F71134" w:rsidRPr="00EB7B4B" w:rsidRDefault="00F71134" w:rsidP="00B741B9">
            <w:pPr>
              <w:jc w:val="left"/>
              <w:rPr>
                <w:rFonts w:eastAsia="Times New Roman" w:cs="Times New Roman"/>
                <w:color w:val="000000"/>
                <w:sz w:val="20"/>
                <w:szCs w:val="20"/>
                <w:lang w:val="en-US"/>
              </w:rPr>
            </w:pPr>
          </w:p>
        </w:tc>
      </w:tr>
      <w:tr w:rsidR="00D46413" w:rsidRPr="00186395" w14:paraId="2B5AA7A0" w14:textId="77777777" w:rsidTr="00B741B9">
        <w:trPr>
          <w:trHeight w:val="287"/>
          <w:jc w:val="center"/>
        </w:trPr>
        <w:tc>
          <w:tcPr>
            <w:tcW w:w="1725" w:type="pct"/>
            <w:tcBorders>
              <w:top w:val="nil"/>
              <w:left w:val="double" w:sz="6" w:space="0" w:color="auto"/>
              <w:right w:val="single" w:sz="4" w:space="0" w:color="auto"/>
            </w:tcBorders>
            <w:shd w:val="clear" w:color="auto" w:fill="auto"/>
            <w:vAlign w:val="center"/>
          </w:tcPr>
          <w:p w14:paraId="46C46B72" w14:textId="77777777" w:rsidR="00D46413" w:rsidRPr="00EB7B4B"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right w:val="single" w:sz="4" w:space="0" w:color="auto"/>
            </w:tcBorders>
            <w:shd w:val="clear" w:color="auto" w:fill="auto"/>
            <w:noWrap/>
            <w:vAlign w:val="center"/>
          </w:tcPr>
          <w:p w14:paraId="785ACC74" w14:textId="4D43D452"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0.26</w:t>
            </w:r>
          </w:p>
        </w:tc>
        <w:tc>
          <w:tcPr>
            <w:tcW w:w="485" w:type="pct"/>
            <w:tcBorders>
              <w:top w:val="nil"/>
              <w:left w:val="nil"/>
              <w:right w:val="single" w:sz="4" w:space="0" w:color="auto"/>
            </w:tcBorders>
            <w:shd w:val="clear" w:color="auto" w:fill="auto"/>
            <w:noWrap/>
            <w:vAlign w:val="center"/>
          </w:tcPr>
          <w:p w14:paraId="4E626863" w14:textId="3E351BB7"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27.24</w:t>
            </w:r>
          </w:p>
        </w:tc>
        <w:tc>
          <w:tcPr>
            <w:tcW w:w="580" w:type="pct"/>
            <w:tcBorders>
              <w:top w:val="nil"/>
              <w:left w:val="nil"/>
              <w:right w:val="single" w:sz="4" w:space="0" w:color="auto"/>
            </w:tcBorders>
            <w:shd w:val="clear" w:color="auto" w:fill="auto"/>
            <w:noWrap/>
            <w:vAlign w:val="center"/>
          </w:tcPr>
          <w:p w14:paraId="304B8DAF" w14:textId="6B29E356"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1.87</w:t>
            </w:r>
          </w:p>
        </w:tc>
        <w:tc>
          <w:tcPr>
            <w:tcW w:w="531" w:type="pct"/>
            <w:tcBorders>
              <w:top w:val="nil"/>
              <w:left w:val="nil"/>
              <w:right w:val="single" w:sz="4" w:space="0" w:color="auto"/>
            </w:tcBorders>
            <w:shd w:val="clear" w:color="auto" w:fill="auto"/>
            <w:noWrap/>
            <w:vAlign w:val="center"/>
          </w:tcPr>
          <w:p w14:paraId="5D8745BE" w14:textId="41033BA6"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14.34</w:t>
            </w:r>
          </w:p>
        </w:tc>
        <w:tc>
          <w:tcPr>
            <w:tcW w:w="579" w:type="pct"/>
            <w:tcBorders>
              <w:top w:val="nil"/>
              <w:left w:val="single" w:sz="4" w:space="0" w:color="auto"/>
              <w:right w:val="single" w:sz="4" w:space="0" w:color="auto"/>
            </w:tcBorders>
            <w:vAlign w:val="center"/>
          </w:tcPr>
          <w:p w14:paraId="298B7BB1" w14:textId="764342A5"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1.32</w:t>
            </w:r>
          </w:p>
        </w:tc>
        <w:tc>
          <w:tcPr>
            <w:tcW w:w="521" w:type="pct"/>
            <w:tcBorders>
              <w:top w:val="nil"/>
              <w:left w:val="single" w:sz="4" w:space="0" w:color="auto"/>
              <w:right w:val="double" w:sz="6" w:space="0" w:color="auto"/>
            </w:tcBorders>
            <w:vAlign w:val="center"/>
          </w:tcPr>
          <w:p w14:paraId="6714FDD4" w14:textId="0D60A05E"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8.00</w:t>
            </w:r>
          </w:p>
        </w:tc>
      </w:tr>
      <w:tr w:rsidR="00F71134" w:rsidRPr="00186395" w14:paraId="2E9A976F" w14:textId="77777777" w:rsidTr="00B741B9">
        <w:trPr>
          <w:trHeight w:val="287"/>
          <w:jc w:val="center"/>
        </w:trPr>
        <w:tc>
          <w:tcPr>
            <w:tcW w:w="1725" w:type="pct"/>
            <w:tcBorders>
              <w:top w:val="nil"/>
              <w:left w:val="double" w:sz="6" w:space="0" w:color="auto"/>
              <w:right w:val="single" w:sz="4" w:space="0" w:color="auto"/>
            </w:tcBorders>
            <w:shd w:val="clear" w:color="auto" w:fill="auto"/>
            <w:vAlign w:val="center"/>
          </w:tcPr>
          <w:p w14:paraId="4FDD7765" w14:textId="77777777" w:rsidR="00F71134" w:rsidRDefault="00F71134" w:rsidP="00DF6C8E">
            <w:pPr>
              <w:jc w:val="left"/>
              <w:rPr>
                <w:rFonts w:eastAsia="Times New Roman" w:cs="Times New Roman"/>
                <w:i/>
                <w:iCs/>
                <w:color w:val="000000"/>
                <w:sz w:val="20"/>
                <w:szCs w:val="20"/>
                <w:lang w:val="en-US"/>
              </w:rPr>
            </w:pPr>
            <w:r>
              <w:rPr>
                <w:rFonts w:eastAsia="Times New Roman" w:cs="Times New Roman"/>
                <w:color w:val="000000"/>
                <w:sz w:val="20"/>
                <w:szCs w:val="20"/>
                <w:lang w:val="en-US"/>
              </w:rPr>
              <w:t>Rail</w:t>
            </w:r>
            <w:r w:rsidRPr="00EB7B4B">
              <w:rPr>
                <w:rFonts w:eastAsia="Times New Roman" w:cs="Times New Roman"/>
                <w:color w:val="000000"/>
                <w:sz w:val="20"/>
                <w:szCs w:val="20"/>
                <w:lang w:val="en-US"/>
              </w:rPr>
              <w:t>road length in a</w:t>
            </w:r>
            <w:r>
              <w:rPr>
                <w:rFonts w:eastAsia="Times New Roman" w:cs="Times New Roman"/>
                <w:color w:val="000000"/>
                <w:sz w:val="20"/>
                <w:szCs w:val="20"/>
                <w:lang w:val="en-US"/>
              </w:rPr>
              <w:t>n</w:t>
            </w:r>
          </w:p>
        </w:tc>
        <w:tc>
          <w:tcPr>
            <w:tcW w:w="579" w:type="pct"/>
            <w:tcBorders>
              <w:top w:val="nil"/>
              <w:left w:val="nil"/>
              <w:right w:val="single" w:sz="4" w:space="0" w:color="auto"/>
            </w:tcBorders>
            <w:shd w:val="clear" w:color="auto" w:fill="auto"/>
            <w:noWrap/>
            <w:vAlign w:val="center"/>
          </w:tcPr>
          <w:p w14:paraId="7E3A4876" w14:textId="77777777" w:rsidR="00F71134" w:rsidRDefault="00F71134" w:rsidP="00B741B9">
            <w:pPr>
              <w:jc w:val="left"/>
              <w:rPr>
                <w:rFonts w:eastAsia="Times New Roman" w:cs="Times New Roman"/>
                <w:color w:val="000000"/>
                <w:sz w:val="20"/>
                <w:szCs w:val="20"/>
                <w:lang w:val="en-US"/>
              </w:rPr>
            </w:pPr>
          </w:p>
        </w:tc>
        <w:tc>
          <w:tcPr>
            <w:tcW w:w="485" w:type="pct"/>
            <w:tcBorders>
              <w:top w:val="nil"/>
              <w:left w:val="nil"/>
              <w:right w:val="single" w:sz="4" w:space="0" w:color="auto"/>
            </w:tcBorders>
            <w:shd w:val="clear" w:color="auto" w:fill="auto"/>
            <w:noWrap/>
            <w:vAlign w:val="center"/>
          </w:tcPr>
          <w:p w14:paraId="1CFAD0DA" w14:textId="77777777" w:rsidR="00F71134" w:rsidRDefault="00F71134" w:rsidP="00B741B9">
            <w:pPr>
              <w:jc w:val="left"/>
              <w:rPr>
                <w:rFonts w:eastAsia="Times New Roman" w:cs="Times New Roman"/>
                <w:color w:val="000000"/>
                <w:sz w:val="20"/>
                <w:szCs w:val="20"/>
                <w:lang w:val="en-US"/>
              </w:rPr>
            </w:pPr>
          </w:p>
        </w:tc>
        <w:tc>
          <w:tcPr>
            <w:tcW w:w="580" w:type="pct"/>
            <w:tcBorders>
              <w:top w:val="nil"/>
              <w:left w:val="nil"/>
              <w:right w:val="single" w:sz="4" w:space="0" w:color="auto"/>
            </w:tcBorders>
            <w:shd w:val="clear" w:color="auto" w:fill="auto"/>
            <w:noWrap/>
            <w:vAlign w:val="center"/>
          </w:tcPr>
          <w:p w14:paraId="5D2B09F2" w14:textId="77777777" w:rsidR="00F71134" w:rsidRDefault="00F71134" w:rsidP="00B741B9">
            <w:pPr>
              <w:jc w:val="left"/>
              <w:rPr>
                <w:rFonts w:eastAsia="Times New Roman" w:cs="Times New Roman"/>
                <w:color w:val="000000"/>
                <w:sz w:val="20"/>
                <w:szCs w:val="20"/>
                <w:lang w:val="en-US"/>
              </w:rPr>
            </w:pPr>
          </w:p>
        </w:tc>
        <w:tc>
          <w:tcPr>
            <w:tcW w:w="531" w:type="pct"/>
            <w:tcBorders>
              <w:top w:val="nil"/>
              <w:left w:val="nil"/>
              <w:right w:val="single" w:sz="4" w:space="0" w:color="auto"/>
            </w:tcBorders>
            <w:shd w:val="clear" w:color="auto" w:fill="auto"/>
            <w:noWrap/>
            <w:vAlign w:val="center"/>
          </w:tcPr>
          <w:p w14:paraId="57295F15" w14:textId="77777777" w:rsidR="00F71134" w:rsidRDefault="00F71134" w:rsidP="00B741B9">
            <w:pPr>
              <w:jc w:val="left"/>
              <w:rPr>
                <w:rFonts w:eastAsia="Times New Roman" w:cs="Times New Roman"/>
                <w:color w:val="000000"/>
                <w:sz w:val="20"/>
                <w:szCs w:val="20"/>
                <w:lang w:val="en-US"/>
              </w:rPr>
            </w:pPr>
          </w:p>
        </w:tc>
        <w:tc>
          <w:tcPr>
            <w:tcW w:w="579" w:type="pct"/>
            <w:tcBorders>
              <w:top w:val="nil"/>
              <w:left w:val="single" w:sz="4" w:space="0" w:color="auto"/>
              <w:right w:val="single" w:sz="4" w:space="0" w:color="auto"/>
            </w:tcBorders>
            <w:vAlign w:val="center"/>
          </w:tcPr>
          <w:p w14:paraId="69317E1F" w14:textId="77777777" w:rsidR="00F71134" w:rsidRDefault="00F71134" w:rsidP="00B741B9">
            <w:pPr>
              <w:jc w:val="left"/>
              <w:rPr>
                <w:rFonts w:eastAsia="Times New Roman" w:cs="Times New Roman"/>
                <w:color w:val="000000"/>
                <w:sz w:val="20"/>
                <w:szCs w:val="20"/>
                <w:lang w:val="en-US"/>
              </w:rPr>
            </w:pPr>
          </w:p>
        </w:tc>
        <w:tc>
          <w:tcPr>
            <w:tcW w:w="521" w:type="pct"/>
            <w:tcBorders>
              <w:top w:val="nil"/>
              <w:left w:val="single" w:sz="4" w:space="0" w:color="auto"/>
              <w:right w:val="double" w:sz="6" w:space="0" w:color="auto"/>
            </w:tcBorders>
            <w:vAlign w:val="center"/>
          </w:tcPr>
          <w:p w14:paraId="2AC04EC5" w14:textId="77777777" w:rsidR="00F71134" w:rsidRDefault="00F71134" w:rsidP="00B741B9">
            <w:pPr>
              <w:jc w:val="left"/>
              <w:rPr>
                <w:rFonts w:eastAsia="Times New Roman" w:cs="Times New Roman"/>
                <w:color w:val="000000"/>
                <w:sz w:val="20"/>
                <w:szCs w:val="20"/>
                <w:lang w:val="en-US"/>
              </w:rPr>
            </w:pPr>
          </w:p>
        </w:tc>
      </w:tr>
      <w:tr w:rsidR="00D46413" w:rsidRPr="00186395" w14:paraId="26CDCE9B" w14:textId="77777777" w:rsidTr="00B741B9">
        <w:trPr>
          <w:trHeight w:val="287"/>
          <w:jc w:val="center"/>
        </w:trPr>
        <w:tc>
          <w:tcPr>
            <w:tcW w:w="1725" w:type="pct"/>
            <w:tcBorders>
              <w:top w:val="nil"/>
              <w:left w:val="double" w:sz="6" w:space="0" w:color="auto"/>
              <w:right w:val="single" w:sz="4" w:space="0" w:color="auto"/>
            </w:tcBorders>
            <w:shd w:val="clear" w:color="auto" w:fill="auto"/>
            <w:vAlign w:val="center"/>
          </w:tcPr>
          <w:p w14:paraId="7BB05C2E"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8</w:t>
            </w:r>
            <w:r w:rsidRPr="00EB7B4B">
              <w:rPr>
                <w:rFonts w:eastAsia="Times New Roman" w:cs="Times New Roman"/>
                <w:i/>
                <w:iCs/>
                <w:color w:val="000000"/>
                <w:sz w:val="20"/>
                <w:szCs w:val="20"/>
                <w:lang w:val="en-US"/>
              </w:rPr>
              <w:t>00 m buffer</w:t>
            </w:r>
          </w:p>
        </w:tc>
        <w:tc>
          <w:tcPr>
            <w:tcW w:w="579" w:type="pct"/>
            <w:tcBorders>
              <w:top w:val="nil"/>
              <w:left w:val="nil"/>
              <w:right w:val="single" w:sz="4" w:space="0" w:color="auto"/>
            </w:tcBorders>
            <w:shd w:val="clear" w:color="auto" w:fill="auto"/>
            <w:noWrap/>
            <w:vAlign w:val="center"/>
          </w:tcPr>
          <w:p w14:paraId="37CD4F44" w14:textId="6C5A672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-0.27</w:t>
            </w:r>
          </w:p>
        </w:tc>
        <w:tc>
          <w:tcPr>
            <w:tcW w:w="485" w:type="pct"/>
            <w:tcBorders>
              <w:top w:val="nil"/>
              <w:left w:val="nil"/>
              <w:right w:val="single" w:sz="4" w:space="0" w:color="auto"/>
            </w:tcBorders>
            <w:shd w:val="clear" w:color="auto" w:fill="auto"/>
            <w:noWrap/>
            <w:vAlign w:val="center"/>
          </w:tcPr>
          <w:p w14:paraId="5A66B599" w14:textId="63335EF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-37.84</w:t>
            </w:r>
          </w:p>
        </w:tc>
        <w:tc>
          <w:tcPr>
            <w:tcW w:w="580" w:type="pct"/>
            <w:tcBorders>
              <w:top w:val="nil"/>
              <w:left w:val="nil"/>
              <w:right w:val="single" w:sz="4" w:space="0" w:color="auto"/>
            </w:tcBorders>
            <w:shd w:val="clear" w:color="auto" w:fill="auto"/>
            <w:noWrap/>
            <w:vAlign w:val="center"/>
          </w:tcPr>
          <w:p w14:paraId="31519CE1"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right w:val="single" w:sz="4" w:space="0" w:color="auto"/>
            </w:tcBorders>
            <w:shd w:val="clear" w:color="auto" w:fill="auto"/>
            <w:noWrap/>
            <w:vAlign w:val="center"/>
          </w:tcPr>
          <w:p w14:paraId="22FC259A"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right w:val="single" w:sz="4" w:space="0" w:color="auto"/>
            </w:tcBorders>
            <w:vAlign w:val="center"/>
          </w:tcPr>
          <w:p w14:paraId="3E3B51D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right w:val="double" w:sz="6" w:space="0" w:color="auto"/>
            </w:tcBorders>
            <w:vAlign w:val="center"/>
          </w:tcPr>
          <w:p w14:paraId="04BECD1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F71134" w:rsidRPr="00186395" w14:paraId="6CDE04F5" w14:textId="77777777" w:rsidTr="00DF6C8E">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407BEA73" w14:textId="77777777" w:rsidR="00F71134" w:rsidRPr="003642B9" w:rsidRDefault="00F71134" w:rsidP="00DF6C8E">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Built Environment and Land-use Attributes</w:t>
            </w:r>
          </w:p>
        </w:tc>
      </w:tr>
      <w:tr w:rsidR="00F71134" w:rsidRPr="00186395" w14:paraId="46D8FF11" w14:textId="77777777" w:rsidTr="00050A4E">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1C711A46" w14:textId="77777777" w:rsidR="00F71134" w:rsidRPr="00EB7B4B" w:rsidRDefault="00F71134" w:rsidP="00DF6C8E">
            <w:pPr>
              <w:jc w:val="left"/>
              <w:rPr>
                <w:rFonts w:eastAsia="Times New Roman" w:cs="Times New Roman"/>
                <w:i/>
                <w:iCs/>
                <w:color w:val="000000"/>
                <w:sz w:val="20"/>
                <w:szCs w:val="20"/>
                <w:lang w:val="en-US"/>
              </w:rPr>
            </w:pPr>
            <w:r w:rsidRPr="00EB7B4B">
              <w:rPr>
                <w:rFonts w:eastAsia="Times New Roman" w:cs="Times New Roman"/>
                <w:color w:val="000000"/>
                <w:sz w:val="20"/>
                <w:szCs w:val="20"/>
                <w:lang w:val="en-US"/>
              </w:rPr>
              <w:t xml:space="preserve">Land </w:t>
            </w:r>
            <w:r>
              <w:rPr>
                <w:rFonts w:eastAsia="Times New Roman" w:cs="Times New Roman"/>
                <w:color w:val="000000"/>
                <w:sz w:val="20"/>
                <w:szCs w:val="20"/>
                <w:lang w:val="en-US"/>
              </w:rPr>
              <w:t>use</w:t>
            </w:r>
            <w:r w:rsidRPr="00EB7B4B">
              <w:rPr>
                <w:rFonts w:eastAsia="Times New Roman" w:cs="Times New Roman"/>
                <w:color w:val="000000"/>
                <w:sz w:val="20"/>
                <w:szCs w:val="20"/>
                <w:lang w:val="en-US"/>
              </w:rPr>
              <w:t xml:space="preserve"> area</w:t>
            </w:r>
            <w:r>
              <w:rPr>
                <w:rFonts w:eastAsia="Times New Roman" w:cs="Times New Roman"/>
                <w:color w:val="000000"/>
                <w:sz w:val="20"/>
                <w:szCs w:val="20"/>
                <w:lang w:val="en-US"/>
              </w:rPr>
              <w:t xml:space="preserve"> type in an 800m buffer</w:t>
            </w:r>
          </w:p>
        </w:tc>
        <w:tc>
          <w:tcPr>
            <w:tcW w:w="579" w:type="pct"/>
            <w:tcBorders>
              <w:top w:val="nil"/>
              <w:left w:val="nil"/>
              <w:bottom w:val="nil"/>
              <w:right w:val="single" w:sz="4" w:space="0" w:color="auto"/>
            </w:tcBorders>
            <w:shd w:val="clear" w:color="auto" w:fill="auto"/>
            <w:noWrap/>
            <w:vAlign w:val="center"/>
          </w:tcPr>
          <w:p w14:paraId="3A09BF3B" w14:textId="77777777" w:rsidR="00F71134" w:rsidRDefault="00F71134" w:rsidP="00DF6C8E">
            <w:pPr>
              <w:jc w:val="left"/>
              <w:rPr>
                <w:rFonts w:eastAsia="Times New Roman" w:cs="Times New Roman"/>
                <w:color w:val="000000"/>
                <w:sz w:val="20"/>
                <w:szCs w:val="20"/>
                <w:lang w:val="en-US"/>
              </w:rPr>
            </w:pPr>
          </w:p>
        </w:tc>
        <w:tc>
          <w:tcPr>
            <w:tcW w:w="485" w:type="pct"/>
            <w:tcBorders>
              <w:top w:val="nil"/>
              <w:left w:val="nil"/>
              <w:bottom w:val="nil"/>
              <w:right w:val="single" w:sz="4" w:space="0" w:color="auto"/>
            </w:tcBorders>
            <w:shd w:val="clear" w:color="auto" w:fill="auto"/>
            <w:noWrap/>
            <w:vAlign w:val="center"/>
          </w:tcPr>
          <w:p w14:paraId="22F9FF12" w14:textId="77777777" w:rsidR="00F71134" w:rsidRDefault="00F71134" w:rsidP="00DF6C8E">
            <w:pPr>
              <w:jc w:val="left"/>
              <w:rPr>
                <w:rFonts w:eastAsia="Times New Roman" w:cs="Times New Roman"/>
                <w:color w:val="000000"/>
                <w:sz w:val="20"/>
                <w:szCs w:val="20"/>
                <w:lang w:val="en-US"/>
              </w:rPr>
            </w:pPr>
          </w:p>
        </w:tc>
        <w:tc>
          <w:tcPr>
            <w:tcW w:w="580" w:type="pct"/>
            <w:tcBorders>
              <w:top w:val="nil"/>
              <w:left w:val="nil"/>
              <w:bottom w:val="nil"/>
              <w:right w:val="single" w:sz="4" w:space="0" w:color="auto"/>
            </w:tcBorders>
            <w:shd w:val="clear" w:color="auto" w:fill="auto"/>
            <w:noWrap/>
            <w:vAlign w:val="center"/>
          </w:tcPr>
          <w:p w14:paraId="6BBB17B3" w14:textId="77777777" w:rsidR="00F71134" w:rsidRDefault="00F71134" w:rsidP="00DF6C8E">
            <w:pPr>
              <w:jc w:val="left"/>
              <w:rPr>
                <w:rFonts w:eastAsia="Times New Roman" w:cs="Times New Roman"/>
                <w:color w:val="000000"/>
                <w:sz w:val="20"/>
                <w:szCs w:val="20"/>
                <w:lang w:val="en-US"/>
              </w:rPr>
            </w:pPr>
          </w:p>
        </w:tc>
        <w:tc>
          <w:tcPr>
            <w:tcW w:w="531" w:type="pct"/>
            <w:tcBorders>
              <w:top w:val="nil"/>
              <w:left w:val="nil"/>
              <w:bottom w:val="nil"/>
              <w:right w:val="single" w:sz="4" w:space="0" w:color="auto"/>
            </w:tcBorders>
            <w:shd w:val="clear" w:color="auto" w:fill="auto"/>
            <w:noWrap/>
            <w:vAlign w:val="center"/>
          </w:tcPr>
          <w:p w14:paraId="038916C8" w14:textId="77777777" w:rsidR="00F71134" w:rsidRDefault="00F71134" w:rsidP="00DF6C8E">
            <w:pPr>
              <w:jc w:val="left"/>
              <w:rPr>
                <w:rFonts w:eastAsia="Times New Roman" w:cs="Times New Roman"/>
                <w:color w:val="000000"/>
                <w:sz w:val="20"/>
                <w:szCs w:val="20"/>
                <w:lang w:val="en-US"/>
              </w:rPr>
            </w:pPr>
          </w:p>
        </w:tc>
        <w:tc>
          <w:tcPr>
            <w:tcW w:w="579" w:type="pct"/>
            <w:tcBorders>
              <w:top w:val="nil"/>
              <w:left w:val="single" w:sz="4" w:space="0" w:color="auto"/>
              <w:bottom w:val="nil"/>
              <w:right w:val="single" w:sz="4" w:space="0" w:color="auto"/>
            </w:tcBorders>
            <w:vAlign w:val="center"/>
          </w:tcPr>
          <w:p w14:paraId="3D3BA7BC" w14:textId="77777777" w:rsidR="00F71134" w:rsidRDefault="00F71134" w:rsidP="00DF6C8E">
            <w:pPr>
              <w:jc w:val="left"/>
              <w:rPr>
                <w:rFonts w:eastAsia="Times New Roman" w:cs="Times New Roman"/>
                <w:color w:val="000000"/>
                <w:sz w:val="20"/>
                <w:szCs w:val="20"/>
                <w:lang w:val="en-US"/>
              </w:rPr>
            </w:pPr>
          </w:p>
        </w:tc>
        <w:tc>
          <w:tcPr>
            <w:tcW w:w="521" w:type="pct"/>
            <w:tcBorders>
              <w:top w:val="nil"/>
              <w:left w:val="single" w:sz="4" w:space="0" w:color="auto"/>
              <w:bottom w:val="nil"/>
              <w:right w:val="double" w:sz="6" w:space="0" w:color="auto"/>
            </w:tcBorders>
            <w:vAlign w:val="center"/>
          </w:tcPr>
          <w:p w14:paraId="349EB02A" w14:textId="77777777" w:rsidR="00F71134" w:rsidRDefault="00F71134" w:rsidP="00DF6C8E">
            <w:pPr>
              <w:jc w:val="left"/>
              <w:rPr>
                <w:rFonts w:eastAsia="Times New Roman" w:cs="Times New Roman"/>
                <w:color w:val="000000"/>
                <w:sz w:val="20"/>
                <w:szCs w:val="20"/>
                <w:lang w:val="en-US"/>
              </w:rPr>
            </w:pPr>
          </w:p>
        </w:tc>
      </w:tr>
      <w:tr w:rsidR="00D46413" w:rsidRPr="00186395" w14:paraId="085F3897"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0DBE17C7" w14:textId="77777777" w:rsidR="00D46413" w:rsidRPr="00EB7B4B"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Institutional area</w:t>
            </w:r>
          </w:p>
        </w:tc>
        <w:tc>
          <w:tcPr>
            <w:tcW w:w="579" w:type="pct"/>
            <w:tcBorders>
              <w:top w:val="nil"/>
              <w:left w:val="nil"/>
              <w:bottom w:val="nil"/>
              <w:right w:val="single" w:sz="4" w:space="0" w:color="auto"/>
            </w:tcBorders>
            <w:shd w:val="clear" w:color="auto" w:fill="auto"/>
            <w:noWrap/>
            <w:vAlign w:val="center"/>
          </w:tcPr>
          <w:p w14:paraId="50A2F6A6" w14:textId="2C8C7E7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-1.68</w:t>
            </w:r>
          </w:p>
        </w:tc>
        <w:tc>
          <w:tcPr>
            <w:tcW w:w="485" w:type="pct"/>
            <w:tcBorders>
              <w:top w:val="nil"/>
              <w:left w:val="nil"/>
              <w:bottom w:val="nil"/>
              <w:right w:val="single" w:sz="4" w:space="0" w:color="auto"/>
            </w:tcBorders>
            <w:shd w:val="clear" w:color="auto" w:fill="auto"/>
            <w:noWrap/>
            <w:vAlign w:val="center"/>
          </w:tcPr>
          <w:p w14:paraId="16DD117A" w14:textId="24DB5B3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-21.10</w:t>
            </w:r>
          </w:p>
        </w:tc>
        <w:tc>
          <w:tcPr>
            <w:tcW w:w="580" w:type="pct"/>
            <w:tcBorders>
              <w:top w:val="nil"/>
              <w:left w:val="nil"/>
              <w:bottom w:val="nil"/>
              <w:right w:val="single" w:sz="4" w:space="0" w:color="auto"/>
            </w:tcBorders>
            <w:shd w:val="clear" w:color="auto" w:fill="auto"/>
            <w:noWrap/>
            <w:vAlign w:val="center"/>
          </w:tcPr>
          <w:p w14:paraId="39F440A0" w14:textId="419FEC04"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0.75</w:t>
            </w:r>
          </w:p>
        </w:tc>
        <w:tc>
          <w:tcPr>
            <w:tcW w:w="531" w:type="pct"/>
            <w:tcBorders>
              <w:top w:val="nil"/>
              <w:left w:val="nil"/>
              <w:bottom w:val="nil"/>
              <w:right w:val="single" w:sz="4" w:space="0" w:color="auto"/>
            </w:tcBorders>
            <w:shd w:val="clear" w:color="auto" w:fill="auto"/>
            <w:noWrap/>
            <w:vAlign w:val="center"/>
          </w:tcPr>
          <w:p w14:paraId="6A6002A7" w14:textId="2F2E22B5"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0.58</w:t>
            </w:r>
          </w:p>
        </w:tc>
        <w:tc>
          <w:tcPr>
            <w:tcW w:w="579" w:type="pct"/>
            <w:tcBorders>
              <w:top w:val="nil"/>
              <w:left w:val="single" w:sz="4" w:space="0" w:color="auto"/>
              <w:bottom w:val="nil"/>
              <w:right w:val="single" w:sz="4" w:space="0" w:color="auto"/>
            </w:tcBorders>
            <w:vAlign w:val="center"/>
          </w:tcPr>
          <w:p w14:paraId="0052BA48" w14:textId="0178E439"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-16.81</w:t>
            </w:r>
          </w:p>
        </w:tc>
        <w:tc>
          <w:tcPr>
            <w:tcW w:w="521" w:type="pct"/>
            <w:tcBorders>
              <w:top w:val="nil"/>
              <w:left w:val="single" w:sz="4" w:space="0" w:color="auto"/>
              <w:bottom w:val="nil"/>
              <w:right w:val="double" w:sz="6" w:space="0" w:color="auto"/>
            </w:tcBorders>
            <w:vAlign w:val="center"/>
          </w:tcPr>
          <w:p w14:paraId="00C10812" w14:textId="15D80CC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-11.14</w:t>
            </w:r>
          </w:p>
        </w:tc>
      </w:tr>
      <w:tr w:rsidR="00D46413" w:rsidRPr="00186395" w14:paraId="3A5B0725"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480AB47C"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Residential area</w:t>
            </w:r>
          </w:p>
        </w:tc>
        <w:tc>
          <w:tcPr>
            <w:tcW w:w="579" w:type="pct"/>
            <w:tcBorders>
              <w:top w:val="nil"/>
              <w:left w:val="nil"/>
              <w:bottom w:val="nil"/>
              <w:right w:val="single" w:sz="4" w:space="0" w:color="auto"/>
            </w:tcBorders>
            <w:shd w:val="clear" w:color="auto" w:fill="auto"/>
            <w:noWrap/>
            <w:vAlign w:val="center"/>
          </w:tcPr>
          <w:p w14:paraId="5DBADDF9" w14:textId="1F73BF75"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1.36</w:t>
            </w:r>
          </w:p>
        </w:tc>
        <w:tc>
          <w:tcPr>
            <w:tcW w:w="485" w:type="pct"/>
            <w:tcBorders>
              <w:top w:val="nil"/>
              <w:left w:val="nil"/>
              <w:bottom w:val="nil"/>
              <w:right w:val="single" w:sz="4" w:space="0" w:color="auto"/>
            </w:tcBorders>
            <w:shd w:val="clear" w:color="auto" w:fill="auto"/>
            <w:noWrap/>
            <w:vAlign w:val="center"/>
          </w:tcPr>
          <w:p w14:paraId="64E28CFF" w14:textId="3684BC2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39.35</w:t>
            </w:r>
          </w:p>
        </w:tc>
        <w:tc>
          <w:tcPr>
            <w:tcW w:w="580" w:type="pct"/>
            <w:tcBorders>
              <w:top w:val="nil"/>
              <w:left w:val="nil"/>
              <w:bottom w:val="nil"/>
              <w:right w:val="single" w:sz="4" w:space="0" w:color="auto"/>
            </w:tcBorders>
            <w:shd w:val="clear" w:color="auto" w:fill="auto"/>
            <w:noWrap/>
            <w:vAlign w:val="center"/>
          </w:tcPr>
          <w:p w14:paraId="6247EFEC"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7CCC100A"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3B9051A2" w14:textId="3EAA801F"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11.91</w:t>
            </w:r>
          </w:p>
        </w:tc>
        <w:tc>
          <w:tcPr>
            <w:tcW w:w="521" w:type="pct"/>
            <w:tcBorders>
              <w:top w:val="nil"/>
              <w:left w:val="single" w:sz="4" w:space="0" w:color="auto"/>
              <w:bottom w:val="nil"/>
              <w:right w:val="double" w:sz="6" w:space="0" w:color="auto"/>
            </w:tcBorders>
            <w:vAlign w:val="center"/>
          </w:tcPr>
          <w:p w14:paraId="2A989363" w14:textId="2E01F776"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20.06</w:t>
            </w:r>
          </w:p>
        </w:tc>
      </w:tr>
      <w:tr w:rsidR="00D46413" w:rsidRPr="00186395" w14:paraId="7858503B"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512DE989"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Office area</w:t>
            </w:r>
          </w:p>
        </w:tc>
        <w:tc>
          <w:tcPr>
            <w:tcW w:w="579" w:type="pct"/>
            <w:tcBorders>
              <w:top w:val="nil"/>
              <w:left w:val="nil"/>
              <w:bottom w:val="nil"/>
              <w:right w:val="single" w:sz="4" w:space="0" w:color="auto"/>
            </w:tcBorders>
            <w:shd w:val="clear" w:color="auto" w:fill="auto"/>
            <w:noWrap/>
            <w:vAlign w:val="center"/>
          </w:tcPr>
          <w:p w14:paraId="69651777" w14:textId="027F883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-1.89</w:t>
            </w:r>
          </w:p>
        </w:tc>
        <w:tc>
          <w:tcPr>
            <w:tcW w:w="485" w:type="pct"/>
            <w:tcBorders>
              <w:top w:val="nil"/>
              <w:left w:val="nil"/>
              <w:bottom w:val="nil"/>
              <w:right w:val="single" w:sz="4" w:space="0" w:color="auto"/>
            </w:tcBorders>
            <w:shd w:val="clear" w:color="auto" w:fill="auto"/>
            <w:noWrap/>
            <w:vAlign w:val="center"/>
          </w:tcPr>
          <w:p w14:paraId="6642233E" w14:textId="7198A48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-37.55</w:t>
            </w:r>
          </w:p>
        </w:tc>
        <w:tc>
          <w:tcPr>
            <w:tcW w:w="580" w:type="pct"/>
            <w:tcBorders>
              <w:top w:val="nil"/>
              <w:left w:val="nil"/>
              <w:bottom w:val="nil"/>
              <w:right w:val="single" w:sz="4" w:space="0" w:color="auto"/>
            </w:tcBorders>
            <w:shd w:val="clear" w:color="auto" w:fill="auto"/>
            <w:noWrap/>
            <w:vAlign w:val="center"/>
          </w:tcPr>
          <w:p w14:paraId="124EFAC3" w14:textId="1D8BDA92"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30.93</w:t>
            </w:r>
          </w:p>
        </w:tc>
        <w:tc>
          <w:tcPr>
            <w:tcW w:w="531" w:type="pct"/>
            <w:tcBorders>
              <w:top w:val="nil"/>
              <w:left w:val="nil"/>
              <w:bottom w:val="nil"/>
              <w:right w:val="single" w:sz="4" w:space="0" w:color="auto"/>
            </w:tcBorders>
            <w:shd w:val="clear" w:color="auto" w:fill="auto"/>
            <w:noWrap/>
            <w:vAlign w:val="center"/>
          </w:tcPr>
          <w:p w14:paraId="7AF6BA44" w14:textId="194CE623"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50.71</w:t>
            </w:r>
          </w:p>
        </w:tc>
        <w:tc>
          <w:tcPr>
            <w:tcW w:w="579" w:type="pct"/>
            <w:tcBorders>
              <w:top w:val="nil"/>
              <w:left w:val="single" w:sz="4" w:space="0" w:color="auto"/>
              <w:bottom w:val="nil"/>
              <w:right w:val="single" w:sz="4" w:space="0" w:color="auto"/>
            </w:tcBorders>
            <w:vAlign w:val="center"/>
          </w:tcPr>
          <w:p w14:paraId="6654C214" w14:textId="6808477C"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25.94</w:t>
            </w:r>
          </w:p>
        </w:tc>
        <w:tc>
          <w:tcPr>
            <w:tcW w:w="521" w:type="pct"/>
            <w:tcBorders>
              <w:top w:val="nil"/>
              <w:left w:val="single" w:sz="4" w:space="0" w:color="auto"/>
              <w:bottom w:val="nil"/>
              <w:right w:val="double" w:sz="6" w:space="0" w:color="auto"/>
            </w:tcBorders>
            <w:vAlign w:val="center"/>
          </w:tcPr>
          <w:p w14:paraId="5CA67160" w14:textId="20AB474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28.63</w:t>
            </w:r>
          </w:p>
        </w:tc>
      </w:tr>
      <w:tr w:rsidR="00D46413" w:rsidRPr="00186395" w14:paraId="706FA3FC"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6F0AD7E6"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Recreational area</w:t>
            </w:r>
          </w:p>
        </w:tc>
        <w:tc>
          <w:tcPr>
            <w:tcW w:w="579" w:type="pct"/>
            <w:tcBorders>
              <w:top w:val="nil"/>
              <w:left w:val="nil"/>
              <w:bottom w:val="nil"/>
              <w:right w:val="single" w:sz="4" w:space="0" w:color="auto"/>
            </w:tcBorders>
            <w:shd w:val="clear" w:color="auto" w:fill="auto"/>
            <w:noWrap/>
            <w:vAlign w:val="center"/>
          </w:tcPr>
          <w:p w14:paraId="0E098520" w14:textId="46BE4E1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-1.37</w:t>
            </w:r>
          </w:p>
        </w:tc>
        <w:tc>
          <w:tcPr>
            <w:tcW w:w="485" w:type="pct"/>
            <w:tcBorders>
              <w:top w:val="nil"/>
              <w:left w:val="nil"/>
              <w:bottom w:val="nil"/>
              <w:right w:val="single" w:sz="4" w:space="0" w:color="auto"/>
            </w:tcBorders>
            <w:shd w:val="clear" w:color="auto" w:fill="auto"/>
            <w:noWrap/>
            <w:vAlign w:val="center"/>
          </w:tcPr>
          <w:p w14:paraId="1E44C5C3" w14:textId="0DC5C19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-11.11</w:t>
            </w:r>
          </w:p>
        </w:tc>
        <w:tc>
          <w:tcPr>
            <w:tcW w:w="580" w:type="pct"/>
            <w:tcBorders>
              <w:top w:val="nil"/>
              <w:left w:val="nil"/>
              <w:bottom w:val="nil"/>
              <w:right w:val="single" w:sz="4" w:space="0" w:color="auto"/>
            </w:tcBorders>
            <w:shd w:val="clear" w:color="auto" w:fill="auto"/>
            <w:noWrap/>
            <w:vAlign w:val="center"/>
          </w:tcPr>
          <w:p w14:paraId="4F6398F7" w14:textId="1BE45FD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-46.26</w:t>
            </w:r>
          </w:p>
        </w:tc>
        <w:tc>
          <w:tcPr>
            <w:tcW w:w="531" w:type="pct"/>
            <w:tcBorders>
              <w:top w:val="nil"/>
              <w:left w:val="nil"/>
              <w:bottom w:val="nil"/>
              <w:right w:val="single" w:sz="4" w:space="0" w:color="auto"/>
            </w:tcBorders>
            <w:shd w:val="clear" w:color="auto" w:fill="auto"/>
            <w:noWrap/>
            <w:vAlign w:val="center"/>
          </w:tcPr>
          <w:p w14:paraId="3AF00E61" w14:textId="233C96C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-25.16</w:t>
            </w:r>
          </w:p>
        </w:tc>
        <w:tc>
          <w:tcPr>
            <w:tcW w:w="579" w:type="pct"/>
            <w:tcBorders>
              <w:top w:val="nil"/>
              <w:left w:val="single" w:sz="4" w:space="0" w:color="auto"/>
              <w:bottom w:val="nil"/>
              <w:right w:val="single" w:sz="4" w:space="0" w:color="auto"/>
            </w:tcBorders>
            <w:vAlign w:val="center"/>
          </w:tcPr>
          <w:p w14:paraId="26646021" w14:textId="62FE759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-39.75</w:t>
            </w:r>
          </w:p>
        </w:tc>
        <w:tc>
          <w:tcPr>
            <w:tcW w:w="521" w:type="pct"/>
            <w:tcBorders>
              <w:top w:val="nil"/>
              <w:left w:val="single" w:sz="4" w:space="0" w:color="auto"/>
              <w:bottom w:val="nil"/>
              <w:right w:val="double" w:sz="6" w:space="0" w:color="auto"/>
            </w:tcBorders>
            <w:vAlign w:val="center"/>
          </w:tcPr>
          <w:p w14:paraId="73C89100" w14:textId="56F2774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-19.09</w:t>
            </w:r>
          </w:p>
        </w:tc>
      </w:tr>
      <w:tr w:rsidR="00D46413" w:rsidRPr="00186395" w14:paraId="27F0E927" w14:textId="77777777" w:rsidTr="00B741B9">
        <w:trPr>
          <w:trHeight w:val="287"/>
          <w:jc w:val="center"/>
        </w:trPr>
        <w:tc>
          <w:tcPr>
            <w:tcW w:w="1725" w:type="pct"/>
            <w:tcBorders>
              <w:top w:val="nil"/>
              <w:left w:val="double" w:sz="6" w:space="0" w:color="auto"/>
              <w:bottom w:val="nil"/>
              <w:right w:val="single" w:sz="4" w:space="0" w:color="auto"/>
            </w:tcBorders>
            <w:shd w:val="clear" w:color="auto" w:fill="auto"/>
            <w:vAlign w:val="center"/>
          </w:tcPr>
          <w:p w14:paraId="05F2E579" w14:textId="77777777" w:rsidR="00D46413" w:rsidRDefault="00D46413" w:rsidP="00D46413">
            <w:pPr>
              <w:jc w:val="left"/>
              <w:rPr>
                <w:rFonts w:eastAsia="Times New Roman" w:cs="Times New Roman"/>
                <w:i/>
                <w:iCs/>
                <w:color w:val="000000"/>
                <w:sz w:val="20"/>
                <w:szCs w:val="20"/>
                <w:lang w:val="en-US"/>
              </w:rPr>
            </w:pPr>
            <w:r>
              <w:rPr>
                <w:rFonts w:eastAsia="Times New Roman" w:cs="Times New Roman"/>
                <w:i/>
                <w:iCs/>
                <w:color w:val="000000"/>
                <w:sz w:val="20"/>
                <w:szCs w:val="20"/>
                <w:lang w:val="en-US"/>
              </w:rPr>
              <w:t>Industrial Area</w:t>
            </w:r>
          </w:p>
        </w:tc>
        <w:tc>
          <w:tcPr>
            <w:tcW w:w="579" w:type="pct"/>
            <w:tcBorders>
              <w:top w:val="nil"/>
              <w:left w:val="nil"/>
              <w:bottom w:val="nil"/>
              <w:right w:val="single" w:sz="4" w:space="0" w:color="auto"/>
            </w:tcBorders>
            <w:shd w:val="clear" w:color="auto" w:fill="auto"/>
            <w:noWrap/>
            <w:vAlign w:val="center"/>
          </w:tcPr>
          <w:p w14:paraId="525A0E39" w14:textId="36B9DCD4"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2.63</w:t>
            </w:r>
          </w:p>
        </w:tc>
        <w:tc>
          <w:tcPr>
            <w:tcW w:w="485" w:type="pct"/>
            <w:tcBorders>
              <w:top w:val="nil"/>
              <w:left w:val="nil"/>
              <w:bottom w:val="nil"/>
              <w:right w:val="single" w:sz="4" w:space="0" w:color="auto"/>
            </w:tcBorders>
            <w:shd w:val="clear" w:color="auto" w:fill="auto"/>
            <w:noWrap/>
            <w:vAlign w:val="center"/>
          </w:tcPr>
          <w:p w14:paraId="63E0948B" w14:textId="1359846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42.87</w:t>
            </w:r>
          </w:p>
        </w:tc>
        <w:tc>
          <w:tcPr>
            <w:tcW w:w="580" w:type="pct"/>
            <w:tcBorders>
              <w:top w:val="nil"/>
              <w:left w:val="nil"/>
              <w:bottom w:val="nil"/>
              <w:right w:val="single" w:sz="4" w:space="0" w:color="auto"/>
            </w:tcBorders>
            <w:shd w:val="clear" w:color="auto" w:fill="auto"/>
            <w:noWrap/>
            <w:vAlign w:val="center"/>
          </w:tcPr>
          <w:p w14:paraId="39AF91A8"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bottom w:val="nil"/>
              <w:right w:val="single" w:sz="4" w:space="0" w:color="auto"/>
            </w:tcBorders>
            <w:shd w:val="clear" w:color="auto" w:fill="auto"/>
            <w:noWrap/>
            <w:vAlign w:val="center"/>
          </w:tcPr>
          <w:p w14:paraId="1F73A8DC"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bottom w:val="nil"/>
              <w:right w:val="single" w:sz="4" w:space="0" w:color="auto"/>
            </w:tcBorders>
            <w:vAlign w:val="center"/>
          </w:tcPr>
          <w:p w14:paraId="3321B6B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bottom w:val="nil"/>
              <w:right w:val="double" w:sz="6" w:space="0" w:color="auto"/>
            </w:tcBorders>
            <w:vAlign w:val="center"/>
          </w:tcPr>
          <w:p w14:paraId="2F6A9C0A"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D46413" w:rsidRPr="00186395" w14:paraId="7E22FE17" w14:textId="77777777" w:rsidTr="00B741B9">
        <w:trPr>
          <w:trHeight w:val="287"/>
          <w:jc w:val="center"/>
        </w:trPr>
        <w:tc>
          <w:tcPr>
            <w:tcW w:w="1725" w:type="pct"/>
            <w:tcBorders>
              <w:top w:val="nil"/>
              <w:left w:val="double" w:sz="6" w:space="0" w:color="auto"/>
              <w:bottom w:val="single" w:sz="4" w:space="0" w:color="auto"/>
              <w:right w:val="single" w:sz="4" w:space="0" w:color="auto"/>
            </w:tcBorders>
            <w:shd w:val="clear" w:color="auto" w:fill="auto"/>
            <w:vAlign w:val="center"/>
            <w:hideMark/>
          </w:tcPr>
          <w:p w14:paraId="602D3583" w14:textId="77777777" w:rsidR="00D46413" w:rsidRPr="00EB7B4B" w:rsidRDefault="00D46413" w:rsidP="00D46413">
            <w:pPr>
              <w:jc w:val="left"/>
              <w:rPr>
                <w:rFonts w:eastAsia="Times New Roman" w:cs="Times New Roman"/>
                <w:color w:val="000000"/>
                <w:sz w:val="20"/>
                <w:szCs w:val="20"/>
                <w:lang w:val="en-US"/>
              </w:rPr>
            </w:pPr>
            <w:r>
              <w:rPr>
                <w:rFonts w:eastAsia="Times New Roman" w:cs="Times New Roman"/>
                <w:color w:val="000000"/>
                <w:sz w:val="20"/>
                <w:szCs w:val="20"/>
                <w:lang w:val="en-US"/>
              </w:rPr>
              <w:t xml:space="preserve">Distance from </w:t>
            </w:r>
            <w:r w:rsidRPr="00F52339">
              <w:rPr>
                <w:rFonts w:eastAsia="Times New Roman" w:cs="Times New Roman"/>
                <w:color w:val="000000"/>
                <w:sz w:val="20"/>
                <w:szCs w:val="20"/>
                <w:lang w:val="en-US"/>
              </w:rPr>
              <w:t xml:space="preserve">Central business district (CBD) </w:t>
            </w:r>
          </w:p>
        </w:tc>
        <w:tc>
          <w:tcPr>
            <w:tcW w:w="579" w:type="pct"/>
            <w:tcBorders>
              <w:top w:val="nil"/>
              <w:left w:val="nil"/>
              <w:bottom w:val="single" w:sz="4" w:space="0" w:color="auto"/>
              <w:right w:val="single" w:sz="4" w:space="0" w:color="auto"/>
            </w:tcBorders>
            <w:shd w:val="clear" w:color="auto" w:fill="auto"/>
            <w:noWrap/>
            <w:vAlign w:val="center"/>
          </w:tcPr>
          <w:p w14:paraId="416AD335" w14:textId="178CBAE0"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0.59</w:t>
            </w:r>
          </w:p>
        </w:tc>
        <w:tc>
          <w:tcPr>
            <w:tcW w:w="485" w:type="pct"/>
            <w:tcBorders>
              <w:top w:val="nil"/>
              <w:left w:val="nil"/>
              <w:bottom w:val="single" w:sz="4" w:space="0" w:color="auto"/>
              <w:right w:val="single" w:sz="4" w:space="0" w:color="auto"/>
            </w:tcBorders>
            <w:shd w:val="clear" w:color="auto" w:fill="auto"/>
            <w:noWrap/>
            <w:vAlign w:val="center"/>
          </w:tcPr>
          <w:p w14:paraId="3A357252" w14:textId="0CE9E7F0"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78.50</w:t>
            </w:r>
          </w:p>
        </w:tc>
        <w:tc>
          <w:tcPr>
            <w:tcW w:w="580" w:type="pct"/>
            <w:tcBorders>
              <w:top w:val="nil"/>
              <w:left w:val="nil"/>
              <w:bottom w:val="single" w:sz="4" w:space="0" w:color="auto"/>
              <w:right w:val="single" w:sz="4" w:space="0" w:color="auto"/>
            </w:tcBorders>
            <w:shd w:val="clear" w:color="auto" w:fill="auto"/>
            <w:noWrap/>
            <w:vAlign w:val="center"/>
          </w:tcPr>
          <w:p w14:paraId="2F6F7401" w14:textId="00F5E85D"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-1.09</w:t>
            </w:r>
          </w:p>
        </w:tc>
        <w:tc>
          <w:tcPr>
            <w:tcW w:w="531" w:type="pct"/>
            <w:tcBorders>
              <w:top w:val="nil"/>
              <w:left w:val="nil"/>
              <w:bottom w:val="single" w:sz="4" w:space="0" w:color="auto"/>
              <w:right w:val="single" w:sz="4" w:space="0" w:color="auto"/>
            </w:tcBorders>
            <w:shd w:val="clear" w:color="auto" w:fill="auto"/>
            <w:noWrap/>
            <w:vAlign w:val="center"/>
          </w:tcPr>
          <w:p w14:paraId="61C21763" w14:textId="74DFF2E7"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-9.37</w:t>
            </w:r>
          </w:p>
        </w:tc>
        <w:tc>
          <w:tcPr>
            <w:tcW w:w="579" w:type="pct"/>
            <w:tcBorders>
              <w:top w:val="nil"/>
              <w:left w:val="single" w:sz="4" w:space="0" w:color="auto"/>
              <w:bottom w:val="single" w:sz="4" w:space="0" w:color="auto"/>
              <w:right w:val="single" w:sz="4" w:space="0" w:color="auto"/>
            </w:tcBorders>
            <w:vAlign w:val="center"/>
          </w:tcPr>
          <w:p w14:paraId="6E0826AD" w14:textId="1C99ECB3"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-1.98</w:t>
            </w:r>
          </w:p>
        </w:tc>
        <w:tc>
          <w:tcPr>
            <w:tcW w:w="521" w:type="pct"/>
            <w:tcBorders>
              <w:top w:val="nil"/>
              <w:left w:val="single" w:sz="4" w:space="0" w:color="auto"/>
              <w:bottom w:val="single" w:sz="4" w:space="0" w:color="auto"/>
              <w:right w:val="double" w:sz="6" w:space="0" w:color="auto"/>
            </w:tcBorders>
            <w:vAlign w:val="center"/>
          </w:tcPr>
          <w:p w14:paraId="49C0A266" w14:textId="581A5DE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-15.20</w:t>
            </w:r>
          </w:p>
        </w:tc>
      </w:tr>
      <w:tr w:rsidR="00F71134" w:rsidRPr="00186395" w14:paraId="4043CC13" w14:textId="77777777" w:rsidTr="00DF6C8E">
        <w:trPr>
          <w:trHeight w:val="285"/>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vAlign w:val="center"/>
            <w:hideMark/>
          </w:tcPr>
          <w:p w14:paraId="1F7AACCC" w14:textId="77777777" w:rsidR="00F71134" w:rsidRPr="003642B9" w:rsidRDefault="00F71134" w:rsidP="00DF6C8E">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Demographic and Socioeconomic Variables</w:t>
            </w:r>
            <w:r w:rsidRPr="003642B9">
              <w:rPr>
                <w:rFonts w:cs="Times New Roman"/>
                <w:i/>
                <w:sz w:val="20"/>
                <w:szCs w:val="20"/>
              </w:rPr>
              <w:t xml:space="preserve"> </w:t>
            </w:r>
          </w:p>
        </w:tc>
      </w:tr>
      <w:tr w:rsidR="00D46413" w:rsidRPr="00186395" w14:paraId="513E0FA9" w14:textId="77777777" w:rsidTr="00B741B9">
        <w:trPr>
          <w:trHeight w:val="287"/>
          <w:jc w:val="center"/>
        </w:trPr>
        <w:tc>
          <w:tcPr>
            <w:tcW w:w="1725" w:type="pct"/>
            <w:tcBorders>
              <w:top w:val="single" w:sz="4" w:space="0" w:color="auto"/>
              <w:left w:val="double" w:sz="6" w:space="0" w:color="auto"/>
              <w:right w:val="single" w:sz="4" w:space="0" w:color="auto"/>
            </w:tcBorders>
            <w:shd w:val="clear" w:color="auto" w:fill="auto"/>
            <w:noWrap/>
            <w:vAlign w:val="center"/>
            <w:hideMark/>
          </w:tcPr>
          <w:p w14:paraId="03F8D710" w14:textId="77777777" w:rsidR="00D46413" w:rsidRPr="00EB7B4B" w:rsidRDefault="00D46413" w:rsidP="00D46413">
            <w:pPr>
              <w:jc w:val="left"/>
              <w:rPr>
                <w:rFonts w:eastAsia="Times New Roman" w:cs="Times New Roman"/>
                <w:color w:val="000000"/>
                <w:sz w:val="20"/>
                <w:szCs w:val="20"/>
                <w:lang w:val="en-US"/>
              </w:rPr>
            </w:pPr>
            <w:r w:rsidRPr="00DE6BBB">
              <w:rPr>
                <w:rFonts w:eastAsia="Times New Roman" w:cs="Times New Roman"/>
                <w:color w:val="000000"/>
                <w:sz w:val="20"/>
                <w:szCs w:val="20"/>
                <w:lang w:val="en-US"/>
              </w:rPr>
              <w:t>Zero vehicle in HH</w:t>
            </w:r>
          </w:p>
        </w:tc>
        <w:tc>
          <w:tcPr>
            <w:tcW w:w="579" w:type="pct"/>
            <w:tcBorders>
              <w:top w:val="single" w:sz="4" w:space="0" w:color="auto"/>
              <w:left w:val="nil"/>
              <w:right w:val="single" w:sz="4" w:space="0" w:color="auto"/>
            </w:tcBorders>
            <w:shd w:val="clear" w:color="auto" w:fill="auto"/>
            <w:noWrap/>
            <w:vAlign w:val="center"/>
          </w:tcPr>
          <w:p w14:paraId="7C5F3256" w14:textId="503FEFCF"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-1.37</w:t>
            </w:r>
          </w:p>
        </w:tc>
        <w:tc>
          <w:tcPr>
            <w:tcW w:w="485" w:type="pct"/>
            <w:tcBorders>
              <w:top w:val="single" w:sz="4" w:space="0" w:color="auto"/>
              <w:left w:val="nil"/>
              <w:right w:val="single" w:sz="4" w:space="0" w:color="auto"/>
            </w:tcBorders>
            <w:shd w:val="clear" w:color="auto" w:fill="auto"/>
            <w:noWrap/>
            <w:vAlign w:val="center"/>
          </w:tcPr>
          <w:p w14:paraId="6B1B0FEA" w14:textId="3FDFA8D3"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-14.36</w:t>
            </w:r>
          </w:p>
        </w:tc>
        <w:tc>
          <w:tcPr>
            <w:tcW w:w="580" w:type="pct"/>
            <w:tcBorders>
              <w:top w:val="single" w:sz="4" w:space="0" w:color="auto"/>
              <w:left w:val="nil"/>
              <w:right w:val="single" w:sz="4" w:space="0" w:color="auto"/>
            </w:tcBorders>
            <w:shd w:val="clear" w:color="auto" w:fill="auto"/>
            <w:noWrap/>
            <w:vAlign w:val="center"/>
          </w:tcPr>
          <w:p w14:paraId="083E7BD2" w14:textId="423ECD59"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53.86</w:t>
            </w:r>
          </w:p>
        </w:tc>
        <w:tc>
          <w:tcPr>
            <w:tcW w:w="531" w:type="pct"/>
            <w:tcBorders>
              <w:top w:val="single" w:sz="4" w:space="0" w:color="auto"/>
              <w:left w:val="nil"/>
              <w:right w:val="single" w:sz="4" w:space="0" w:color="auto"/>
            </w:tcBorders>
            <w:shd w:val="clear" w:color="auto" w:fill="auto"/>
            <w:noWrap/>
            <w:vAlign w:val="center"/>
          </w:tcPr>
          <w:p w14:paraId="6020EBD9" w14:textId="7E58B71B"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32.60</w:t>
            </w:r>
          </w:p>
        </w:tc>
        <w:tc>
          <w:tcPr>
            <w:tcW w:w="579" w:type="pct"/>
            <w:tcBorders>
              <w:top w:val="single" w:sz="4" w:space="0" w:color="auto"/>
              <w:left w:val="single" w:sz="4" w:space="0" w:color="auto"/>
              <w:right w:val="single" w:sz="4" w:space="0" w:color="auto"/>
            </w:tcBorders>
            <w:vAlign w:val="center"/>
          </w:tcPr>
          <w:p w14:paraId="6A04C563" w14:textId="0667ECD6"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41.89</w:t>
            </w:r>
          </w:p>
        </w:tc>
        <w:tc>
          <w:tcPr>
            <w:tcW w:w="521" w:type="pct"/>
            <w:tcBorders>
              <w:top w:val="single" w:sz="4" w:space="0" w:color="auto"/>
              <w:left w:val="single" w:sz="4" w:space="0" w:color="auto"/>
              <w:right w:val="double" w:sz="6" w:space="0" w:color="auto"/>
            </w:tcBorders>
            <w:vAlign w:val="center"/>
          </w:tcPr>
          <w:p w14:paraId="541553D6" w14:textId="5BF577DA"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22.30</w:t>
            </w:r>
          </w:p>
        </w:tc>
      </w:tr>
      <w:tr w:rsidR="00D46413" w:rsidRPr="00186395" w14:paraId="3930309B" w14:textId="77777777" w:rsidTr="00B741B9">
        <w:trPr>
          <w:trHeight w:val="287"/>
          <w:jc w:val="center"/>
        </w:trPr>
        <w:tc>
          <w:tcPr>
            <w:tcW w:w="1725" w:type="pct"/>
            <w:tcBorders>
              <w:top w:val="nil"/>
              <w:left w:val="double" w:sz="6" w:space="0" w:color="auto"/>
              <w:right w:val="single" w:sz="4" w:space="0" w:color="auto"/>
            </w:tcBorders>
            <w:shd w:val="clear" w:color="auto" w:fill="auto"/>
            <w:noWrap/>
            <w:vAlign w:val="center"/>
          </w:tcPr>
          <w:p w14:paraId="54EB94D8" w14:textId="77777777" w:rsidR="00D46413" w:rsidRPr="00DE6BBB" w:rsidRDefault="00D46413" w:rsidP="00D46413">
            <w:pPr>
              <w:jc w:val="left"/>
              <w:rPr>
                <w:rFonts w:eastAsia="Times New Roman" w:cs="Times New Roman"/>
                <w:color w:val="000000"/>
                <w:sz w:val="20"/>
                <w:szCs w:val="20"/>
                <w:lang w:val="en-US"/>
              </w:rPr>
            </w:pPr>
            <w:r>
              <w:rPr>
                <w:rFonts w:eastAsia="Times New Roman" w:cs="Times New Roman"/>
                <w:color w:val="000000"/>
                <w:sz w:val="20"/>
                <w:szCs w:val="20"/>
                <w:lang w:val="en-US"/>
              </w:rPr>
              <w:t>High income population</w:t>
            </w:r>
          </w:p>
        </w:tc>
        <w:tc>
          <w:tcPr>
            <w:tcW w:w="579" w:type="pct"/>
            <w:tcBorders>
              <w:top w:val="nil"/>
              <w:left w:val="nil"/>
              <w:right w:val="single" w:sz="4" w:space="0" w:color="auto"/>
            </w:tcBorders>
            <w:shd w:val="clear" w:color="auto" w:fill="auto"/>
            <w:noWrap/>
            <w:vAlign w:val="center"/>
          </w:tcPr>
          <w:p w14:paraId="6CBA0320" w14:textId="4DA8CB0D"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-0.67</w:t>
            </w:r>
          </w:p>
        </w:tc>
        <w:tc>
          <w:tcPr>
            <w:tcW w:w="485" w:type="pct"/>
            <w:tcBorders>
              <w:top w:val="nil"/>
              <w:left w:val="nil"/>
              <w:right w:val="single" w:sz="4" w:space="0" w:color="auto"/>
            </w:tcBorders>
            <w:shd w:val="clear" w:color="auto" w:fill="auto"/>
            <w:noWrap/>
            <w:vAlign w:val="center"/>
          </w:tcPr>
          <w:p w14:paraId="3716C89A" w14:textId="5F8283D8"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-14.67</w:t>
            </w:r>
          </w:p>
        </w:tc>
        <w:tc>
          <w:tcPr>
            <w:tcW w:w="580" w:type="pct"/>
            <w:tcBorders>
              <w:top w:val="nil"/>
              <w:left w:val="nil"/>
              <w:right w:val="single" w:sz="4" w:space="0" w:color="auto"/>
            </w:tcBorders>
            <w:shd w:val="clear" w:color="auto" w:fill="auto"/>
            <w:noWrap/>
            <w:vAlign w:val="center"/>
          </w:tcPr>
          <w:p w14:paraId="001A9E08"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31" w:type="pct"/>
            <w:tcBorders>
              <w:top w:val="nil"/>
              <w:left w:val="nil"/>
              <w:right w:val="single" w:sz="4" w:space="0" w:color="auto"/>
            </w:tcBorders>
            <w:shd w:val="clear" w:color="auto" w:fill="auto"/>
            <w:noWrap/>
            <w:vAlign w:val="center"/>
          </w:tcPr>
          <w:p w14:paraId="182D4378"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79" w:type="pct"/>
            <w:tcBorders>
              <w:top w:val="nil"/>
              <w:left w:val="single" w:sz="4" w:space="0" w:color="auto"/>
              <w:right w:val="single" w:sz="4" w:space="0" w:color="auto"/>
            </w:tcBorders>
            <w:vAlign w:val="center"/>
          </w:tcPr>
          <w:p w14:paraId="1B820CAB"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21" w:type="pct"/>
            <w:tcBorders>
              <w:top w:val="nil"/>
              <w:left w:val="single" w:sz="4" w:space="0" w:color="auto"/>
              <w:right w:val="double" w:sz="6" w:space="0" w:color="auto"/>
            </w:tcBorders>
            <w:vAlign w:val="center"/>
          </w:tcPr>
          <w:p w14:paraId="672CB53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r>
      <w:tr w:rsidR="00D46413" w:rsidRPr="00186395" w14:paraId="450B185F" w14:textId="77777777" w:rsidTr="00B741B9">
        <w:trPr>
          <w:trHeight w:val="287"/>
          <w:jc w:val="center"/>
        </w:trPr>
        <w:tc>
          <w:tcPr>
            <w:tcW w:w="1725" w:type="pct"/>
            <w:tcBorders>
              <w:top w:val="nil"/>
              <w:left w:val="double" w:sz="6" w:space="0" w:color="auto"/>
              <w:bottom w:val="single" w:sz="4" w:space="0" w:color="auto"/>
              <w:right w:val="single" w:sz="4" w:space="0" w:color="auto"/>
            </w:tcBorders>
            <w:shd w:val="clear" w:color="auto" w:fill="auto"/>
            <w:noWrap/>
            <w:vAlign w:val="center"/>
          </w:tcPr>
          <w:p w14:paraId="08C5844D" w14:textId="77777777" w:rsidR="00D46413" w:rsidRPr="00EB7B4B" w:rsidRDefault="00D46413" w:rsidP="00D46413">
            <w:pPr>
              <w:jc w:val="left"/>
              <w:rPr>
                <w:rFonts w:eastAsia="Times New Roman" w:cs="Times New Roman"/>
                <w:color w:val="000000"/>
                <w:sz w:val="20"/>
                <w:szCs w:val="20"/>
                <w:lang w:val="en-US"/>
              </w:rPr>
            </w:pPr>
            <w:r w:rsidRPr="00DE6BBB">
              <w:rPr>
                <w:rFonts w:eastAsia="Times New Roman" w:cs="Times New Roman"/>
                <w:color w:val="000000"/>
                <w:sz w:val="20"/>
                <w:szCs w:val="20"/>
                <w:lang w:val="en-US"/>
              </w:rPr>
              <w:t>Household rent</w:t>
            </w:r>
          </w:p>
        </w:tc>
        <w:tc>
          <w:tcPr>
            <w:tcW w:w="579" w:type="pct"/>
            <w:tcBorders>
              <w:top w:val="nil"/>
              <w:left w:val="nil"/>
              <w:bottom w:val="single" w:sz="4" w:space="0" w:color="auto"/>
              <w:right w:val="single" w:sz="4" w:space="0" w:color="auto"/>
            </w:tcBorders>
            <w:shd w:val="clear" w:color="auto" w:fill="auto"/>
            <w:noWrap/>
            <w:vAlign w:val="center"/>
          </w:tcPr>
          <w:p w14:paraId="1C713738"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nil"/>
              <w:left w:val="nil"/>
              <w:bottom w:val="single" w:sz="4" w:space="0" w:color="auto"/>
              <w:right w:val="single" w:sz="4" w:space="0" w:color="auto"/>
            </w:tcBorders>
            <w:shd w:val="clear" w:color="auto" w:fill="auto"/>
            <w:noWrap/>
            <w:vAlign w:val="center"/>
          </w:tcPr>
          <w:p w14:paraId="3E60307E"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nil"/>
              <w:left w:val="nil"/>
              <w:bottom w:val="single" w:sz="4" w:space="0" w:color="auto"/>
              <w:right w:val="single" w:sz="4" w:space="0" w:color="auto"/>
            </w:tcBorders>
            <w:shd w:val="clear" w:color="auto" w:fill="auto"/>
            <w:noWrap/>
            <w:vAlign w:val="center"/>
          </w:tcPr>
          <w:p w14:paraId="0B3120C0" w14:textId="73BBBC20"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17.90</w:t>
            </w:r>
          </w:p>
        </w:tc>
        <w:tc>
          <w:tcPr>
            <w:tcW w:w="531" w:type="pct"/>
            <w:tcBorders>
              <w:top w:val="nil"/>
              <w:left w:val="nil"/>
              <w:bottom w:val="single" w:sz="4" w:space="0" w:color="auto"/>
              <w:right w:val="single" w:sz="4" w:space="0" w:color="auto"/>
            </w:tcBorders>
            <w:shd w:val="clear" w:color="auto" w:fill="auto"/>
            <w:noWrap/>
            <w:vAlign w:val="center"/>
          </w:tcPr>
          <w:p w14:paraId="76C22A75" w14:textId="042CFC2F"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43.25</w:t>
            </w:r>
          </w:p>
        </w:tc>
        <w:tc>
          <w:tcPr>
            <w:tcW w:w="579" w:type="pct"/>
            <w:tcBorders>
              <w:top w:val="nil"/>
              <w:left w:val="single" w:sz="4" w:space="0" w:color="auto"/>
              <w:bottom w:val="single" w:sz="4" w:space="0" w:color="auto"/>
              <w:right w:val="single" w:sz="4" w:space="0" w:color="auto"/>
            </w:tcBorders>
            <w:vAlign w:val="center"/>
          </w:tcPr>
          <w:p w14:paraId="11E3BA00" w14:textId="06117A2E"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22.24</w:t>
            </w:r>
          </w:p>
        </w:tc>
        <w:tc>
          <w:tcPr>
            <w:tcW w:w="521" w:type="pct"/>
            <w:tcBorders>
              <w:top w:val="nil"/>
              <w:left w:val="single" w:sz="4" w:space="0" w:color="auto"/>
              <w:bottom w:val="single" w:sz="4" w:space="0" w:color="auto"/>
              <w:right w:val="double" w:sz="6" w:space="0" w:color="auto"/>
            </w:tcBorders>
            <w:vAlign w:val="center"/>
          </w:tcPr>
          <w:p w14:paraId="68635043" w14:textId="6788E1A5"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47.32</w:t>
            </w:r>
          </w:p>
        </w:tc>
      </w:tr>
      <w:tr w:rsidR="00F71134" w:rsidRPr="00186395" w14:paraId="44E0042E" w14:textId="77777777" w:rsidTr="00DF6C8E">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vAlign w:val="center"/>
            <w:hideMark/>
          </w:tcPr>
          <w:p w14:paraId="55B2BBEB" w14:textId="77777777" w:rsidR="00F71134" w:rsidRPr="003642B9" w:rsidRDefault="00F71134" w:rsidP="00DF6C8E">
            <w:pPr>
              <w:jc w:val="left"/>
              <w:rPr>
                <w:rFonts w:eastAsia="Times New Roman" w:cs="Times New Roman"/>
                <w:i/>
                <w:color w:val="000000"/>
                <w:sz w:val="20"/>
                <w:szCs w:val="20"/>
                <w:lang w:val="en-US"/>
              </w:rPr>
            </w:pPr>
            <w:r w:rsidRPr="003642B9">
              <w:rPr>
                <w:rFonts w:eastAsia="Times New Roman" w:cs="Times New Roman"/>
                <w:i/>
                <w:color w:val="000000"/>
                <w:sz w:val="20"/>
                <w:szCs w:val="20"/>
                <w:lang w:val="en-US"/>
              </w:rPr>
              <w:t>SunRail Effects</w:t>
            </w:r>
          </w:p>
        </w:tc>
      </w:tr>
      <w:tr w:rsidR="00D46413" w:rsidRPr="00186395" w14:paraId="671FC969" w14:textId="77777777" w:rsidTr="00B741B9">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hideMark/>
          </w:tcPr>
          <w:p w14:paraId="610D426F" w14:textId="77777777" w:rsidR="00D46413" w:rsidRPr="00EB7B4B" w:rsidRDefault="00D46413" w:rsidP="00D46413">
            <w:pPr>
              <w:jc w:val="left"/>
              <w:rPr>
                <w:rFonts w:eastAsia="Times New Roman" w:cs="Times New Roman"/>
                <w:color w:val="000000"/>
                <w:sz w:val="20"/>
                <w:szCs w:val="20"/>
                <w:lang w:val="en-US"/>
              </w:rPr>
            </w:pPr>
            <w:r w:rsidRPr="005408AB">
              <w:rPr>
                <w:rFonts w:eastAsia="Times New Roman" w:cs="Times New Roman"/>
                <w:color w:val="000000"/>
                <w:sz w:val="20"/>
                <w:szCs w:val="20"/>
                <w:lang w:val="en-US"/>
              </w:rPr>
              <w:t xml:space="preserve">Distance Decay Function </w:t>
            </w:r>
            <w:r>
              <w:rPr>
                <w:rFonts w:eastAsia="Times New Roman" w:cs="Times New Roman"/>
                <w:color w:val="000000"/>
                <w:sz w:val="20"/>
                <w:szCs w:val="20"/>
                <w:lang w:val="en-US"/>
              </w:rPr>
              <w:t>for SunRail</w:t>
            </w:r>
            <w:r w:rsidRPr="00A82A2C">
              <w:rPr>
                <w:rFonts w:eastAsia="Calibri" w:cs="Times New Roman"/>
                <w:sz w:val="20"/>
                <w:szCs w:val="20"/>
              </w:rPr>
              <w:t>*SunRail operation period</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54BA817A"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single" w:sz="4" w:space="0" w:color="auto"/>
              <w:left w:val="nil"/>
              <w:bottom w:val="single" w:sz="4" w:space="0" w:color="auto"/>
              <w:right w:val="single" w:sz="4" w:space="0" w:color="auto"/>
            </w:tcBorders>
            <w:shd w:val="clear" w:color="auto" w:fill="auto"/>
            <w:noWrap/>
            <w:vAlign w:val="center"/>
          </w:tcPr>
          <w:p w14:paraId="12060768" w14:textId="77777777" w:rsidR="00D46413" w:rsidRPr="00EB7B4B"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0C56CB58" w14:textId="793CB7A0"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-5.06</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78C3A909" w14:textId="295D6632"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-27.50</w:t>
            </w:r>
          </w:p>
        </w:tc>
        <w:tc>
          <w:tcPr>
            <w:tcW w:w="579" w:type="pct"/>
            <w:tcBorders>
              <w:top w:val="single" w:sz="4" w:space="0" w:color="auto"/>
              <w:left w:val="single" w:sz="4" w:space="0" w:color="auto"/>
              <w:bottom w:val="single" w:sz="4" w:space="0" w:color="auto"/>
              <w:right w:val="single" w:sz="4" w:space="0" w:color="auto"/>
            </w:tcBorders>
            <w:vAlign w:val="center"/>
          </w:tcPr>
          <w:p w14:paraId="0538B5B6" w14:textId="2F518DE9"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-5.35</w:t>
            </w:r>
          </w:p>
        </w:tc>
        <w:tc>
          <w:tcPr>
            <w:tcW w:w="521" w:type="pct"/>
            <w:tcBorders>
              <w:top w:val="single" w:sz="4" w:space="0" w:color="auto"/>
              <w:left w:val="single" w:sz="4" w:space="0" w:color="auto"/>
              <w:bottom w:val="single" w:sz="4" w:space="0" w:color="auto"/>
              <w:right w:val="double" w:sz="6" w:space="0" w:color="auto"/>
            </w:tcBorders>
            <w:vAlign w:val="center"/>
          </w:tcPr>
          <w:p w14:paraId="6B9FA8E8" w14:textId="66BE022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-24.74</w:t>
            </w:r>
          </w:p>
        </w:tc>
      </w:tr>
      <w:tr w:rsidR="00F71134" w:rsidRPr="00186395" w14:paraId="1B067076" w14:textId="77777777" w:rsidTr="00DF6C8E">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tcPr>
          <w:p w14:paraId="497EA82C" w14:textId="77777777" w:rsidR="00F71134" w:rsidRPr="00B02508" w:rsidRDefault="00F71134" w:rsidP="00DF6C8E">
            <w:pPr>
              <w:jc w:val="center"/>
              <w:rPr>
                <w:rFonts w:eastAsia="Times New Roman" w:cs="Times New Roman"/>
                <w:b/>
                <w:color w:val="000000"/>
                <w:sz w:val="20"/>
                <w:szCs w:val="20"/>
                <w:lang w:val="en-US"/>
              </w:rPr>
            </w:pPr>
            <w:r w:rsidRPr="00B02508">
              <w:rPr>
                <w:rFonts w:eastAsia="Times New Roman" w:cs="Times New Roman"/>
                <w:b/>
                <w:color w:val="000000"/>
                <w:sz w:val="20"/>
                <w:szCs w:val="20"/>
                <w:lang w:val="en-US"/>
              </w:rPr>
              <w:t>Alternative Specific Effects (</w:t>
            </w:r>
            <m:oMath>
              <m:sSub>
                <m:sSubPr>
                  <m:ctrlPr>
                    <w:rPr>
                      <w:rFonts w:ascii="Cambria Math" w:eastAsia="Times New Roman" w:hAnsi="Cambria Math" w:cs="Vrinda"/>
                      <w:i/>
                      <w:sz w:val="20"/>
                      <w:szCs w:val="20"/>
                    </w:rPr>
                  </m:ctrlPr>
                </m:sSubPr>
                <m:e>
                  <m:r>
                    <w:rPr>
                      <w:rFonts w:ascii="Cambria Math" w:eastAsia="Times New Roman" w:hAnsi="Cambria Math"/>
                      <w:sz w:val="20"/>
                      <w:szCs w:val="20"/>
                    </w:rPr>
                    <m:t>ρ</m:t>
                  </m:r>
                </m:e>
                <m:sub>
                  <m:r>
                    <w:rPr>
                      <w:rFonts w:ascii="Cambria Math" w:eastAsia="Times New Roman" w:hAnsi="Cambria Math" w:cs="Vrinda"/>
                      <w:sz w:val="20"/>
                      <w:szCs w:val="20"/>
                    </w:rPr>
                    <m:t>j</m:t>
                  </m:r>
                </m:sub>
              </m:sSub>
            </m:oMath>
            <w:r w:rsidRPr="003642B9">
              <w:rPr>
                <w:rFonts w:eastAsia="Times New Roman" w:cs="Vrinda"/>
                <w:sz w:val="20"/>
                <w:szCs w:val="20"/>
              </w:rPr>
              <w:t xml:space="preserve"> and </w:t>
            </w:r>
            <m:oMath>
              <m:sSub>
                <m:sSubPr>
                  <m:ctrlPr>
                    <w:rPr>
                      <w:rFonts w:ascii="Cambria Math" w:eastAsia="Times New Roman" w:hAnsi="Cambria Math" w:cs="Vrinda"/>
                      <w:i/>
                      <w:sz w:val="20"/>
                      <w:szCs w:val="20"/>
                    </w:rPr>
                  </m:ctrlPr>
                </m:sSubPr>
                <m:e>
                  <m:r>
                    <w:rPr>
                      <w:rFonts w:ascii="Cambria Math" w:eastAsia="Times New Roman" w:hAnsi="Cambria Math" w:cs="Vrinda"/>
                      <w:sz w:val="20"/>
                      <w:szCs w:val="20"/>
                    </w:rPr>
                    <m:t>τ</m:t>
                  </m:r>
                </m:e>
                <m:sub>
                  <m:r>
                    <w:rPr>
                      <w:rFonts w:ascii="Cambria Math" w:eastAsia="Times New Roman" w:hAnsi="Cambria Math" w:cs="Vrinda"/>
                      <w:sz w:val="20"/>
                      <w:szCs w:val="20"/>
                    </w:rPr>
                    <m:t>j</m:t>
                  </m:r>
                </m:sub>
              </m:sSub>
            </m:oMath>
            <w:r w:rsidRPr="00B02508">
              <w:rPr>
                <w:rFonts w:eastAsia="Times New Roman" w:cs="Times New Roman"/>
                <w:b/>
                <w:color w:val="000000"/>
                <w:sz w:val="20"/>
                <w:szCs w:val="20"/>
                <w:lang w:val="en-US"/>
              </w:rPr>
              <w:t>)</w:t>
            </w:r>
          </w:p>
        </w:tc>
      </w:tr>
      <w:tr w:rsidR="00D46413" w:rsidRPr="00186395" w14:paraId="4591EB5B" w14:textId="77777777" w:rsidTr="00B741B9">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6115157D" w14:textId="77777777" w:rsidR="00D46413" w:rsidRPr="005408AB" w:rsidRDefault="00D46413" w:rsidP="00D46413">
            <w:pPr>
              <w:jc w:val="left"/>
              <w:rPr>
                <w:rFonts w:eastAsia="Times New Roman" w:cs="Times New Roman"/>
                <w:color w:val="000000"/>
                <w:sz w:val="20"/>
                <w:szCs w:val="20"/>
                <w:lang w:val="en-US"/>
              </w:rPr>
            </w:pPr>
            <w:r w:rsidRPr="00A61F8C">
              <w:rPr>
                <w:sz w:val="20"/>
                <w:szCs w:val="20"/>
              </w:rPr>
              <w:t>Constant – Alternative 1 (0-5 ridership)</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00E64637"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single" w:sz="4" w:space="0" w:color="auto"/>
              <w:left w:val="nil"/>
              <w:bottom w:val="single" w:sz="4" w:space="0" w:color="auto"/>
              <w:right w:val="single" w:sz="4" w:space="0" w:color="auto"/>
            </w:tcBorders>
            <w:shd w:val="clear" w:color="auto" w:fill="auto"/>
            <w:noWrap/>
            <w:vAlign w:val="center"/>
          </w:tcPr>
          <w:p w14:paraId="1D204B61"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7AF87FD5" w14:textId="3DB20E6E"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22.63</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2A4D118B" w14:textId="72E05F5C"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90.62</w:t>
            </w:r>
          </w:p>
        </w:tc>
        <w:tc>
          <w:tcPr>
            <w:tcW w:w="579" w:type="pct"/>
            <w:tcBorders>
              <w:top w:val="single" w:sz="4" w:space="0" w:color="auto"/>
              <w:left w:val="single" w:sz="4" w:space="0" w:color="auto"/>
              <w:bottom w:val="single" w:sz="4" w:space="0" w:color="auto"/>
              <w:right w:val="single" w:sz="4" w:space="0" w:color="auto"/>
            </w:tcBorders>
            <w:vAlign w:val="center"/>
          </w:tcPr>
          <w:p w14:paraId="69A6C6CD" w14:textId="42F73AC0"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25.89</w:t>
            </w:r>
          </w:p>
        </w:tc>
        <w:tc>
          <w:tcPr>
            <w:tcW w:w="521" w:type="pct"/>
            <w:tcBorders>
              <w:top w:val="single" w:sz="4" w:space="0" w:color="auto"/>
              <w:left w:val="single" w:sz="4" w:space="0" w:color="auto"/>
              <w:bottom w:val="single" w:sz="4" w:space="0" w:color="auto"/>
              <w:right w:val="double" w:sz="6" w:space="0" w:color="auto"/>
            </w:tcBorders>
            <w:vAlign w:val="center"/>
          </w:tcPr>
          <w:p w14:paraId="3E25A75A" w14:textId="2195B93C"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86.68</w:t>
            </w:r>
          </w:p>
        </w:tc>
      </w:tr>
      <w:tr w:rsidR="00D46413" w:rsidRPr="00186395" w14:paraId="54609F6D" w14:textId="77777777" w:rsidTr="00B741B9">
        <w:trPr>
          <w:trHeight w:val="287"/>
          <w:jc w:val="center"/>
        </w:trPr>
        <w:tc>
          <w:tcPr>
            <w:tcW w:w="1725" w:type="pct"/>
            <w:tcBorders>
              <w:top w:val="single" w:sz="4" w:space="0" w:color="auto"/>
              <w:left w:val="double" w:sz="6" w:space="0" w:color="auto"/>
              <w:bottom w:val="single" w:sz="4" w:space="0" w:color="auto"/>
              <w:right w:val="single" w:sz="4" w:space="0" w:color="auto"/>
            </w:tcBorders>
            <w:shd w:val="clear" w:color="auto" w:fill="auto"/>
            <w:noWrap/>
          </w:tcPr>
          <w:p w14:paraId="09FEDCBA" w14:textId="77777777" w:rsidR="00D46413" w:rsidRPr="005408AB" w:rsidRDefault="00D46413" w:rsidP="00D46413">
            <w:pPr>
              <w:jc w:val="left"/>
              <w:rPr>
                <w:rFonts w:eastAsia="Times New Roman" w:cs="Times New Roman"/>
                <w:color w:val="000000"/>
                <w:sz w:val="20"/>
                <w:szCs w:val="20"/>
                <w:lang w:val="en-US"/>
              </w:rPr>
            </w:pPr>
            <w:r w:rsidRPr="00A61F8C">
              <w:rPr>
                <w:sz w:val="20"/>
                <w:szCs w:val="20"/>
              </w:rPr>
              <w:lastRenderedPageBreak/>
              <w:t>Constant – Alternative 2 (</w:t>
            </w:r>
            <w:r>
              <w:rPr>
                <w:sz w:val="20"/>
                <w:szCs w:val="20"/>
              </w:rPr>
              <w:t>&gt;</w:t>
            </w:r>
            <w:r w:rsidRPr="00A61F8C">
              <w:rPr>
                <w:sz w:val="20"/>
                <w:szCs w:val="20"/>
              </w:rPr>
              <w:t>5-10 ridership)</w:t>
            </w:r>
          </w:p>
        </w:tc>
        <w:tc>
          <w:tcPr>
            <w:tcW w:w="579" w:type="pct"/>
            <w:tcBorders>
              <w:top w:val="single" w:sz="4" w:space="0" w:color="auto"/>
              <w:left w:val="nil"/>
              <w:bottom w:val="single" w:sz="4" w:space="0" w:color="auto"/>
              <w:right w:val="single" w:sz="4" w:space="0" w:color="auto"/>
            </w:tcBorders>
            <w:shd w:val="clear" w:color="auto" w:fill="auto"/>
            <w:noWrap/>
            <w:vAlign w:val="center"/>
          </w:tcPr>
          <w:p w14:paraId="116676CF"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single" w:sz="4" w:space="0" w:color="auto"/>
              <w:left w:val="nil"/>
              <w:bottom w:val="single" w:sz="4" w:space="0" w:color="auto"/>
              <w:right w:val="single" w:sz="4" w:space="0" w:color="auto"/>
            </w:tcBorders>
            <w:shd w:val="clear" w:color="auto" w:fill="auto"/>
            <w:noWrap/>
            <w:vAlign w:val="center"/>
          </w:tcPr>
          <w:p w14:paraId="22E88F42"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single" w:sz="4" w:space="0" w:color="auto"/>
              <w:right w:val="single" w:sz="4" w:space="0" w:color="auto"/>
            </w:tcBorders>
            <w:shd w:val="clear" w:color="auto" w:fill="auto"/>
            <w:noWrap/>
            <w:vAlign w:val="center"/>
          </w:tcPr>
          <w:p w14:paraId="4ECCA952" w14:textId="0A84702C"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10.61</w:t>
            </w:r>
          </w:p>
        </w:tc>
        <w:tc>
          <w:tcPr>
            <w:tcW w:w="531" w:type="pct"/>
            <w:tcBorders>
              <w:top w:val="single" w:sz="4" w:space="0" w:color="auto"/>
              <w:left w:val="nil"/>
              <w:bottom w:val="single" w:sz="4" w:space="0" w:color="auto"/>
              <w:right w:val="single" w:sz="4" w:space="0" w:color="auto"/>
            </w:tcBorders>
            <w:shd w:val="clear" w:color="auto" w:fill="auto"/>
            <w:noWrap/>
            <w:vAlign w:val="center"/>
          </w:tcPr>
          <w:p w14:paraId="1C88A088" w14:textId="15D004D4"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58.69</w:t>
            </w:r>
          </w:p>
        </w:tc>
        <w:tc>
          <w:tcPr>
            <w:tcW w:w="579" w:type="pct"/>
            <w:tcBorders>
              <w:top w:val="single" w:sz="4" w:space="0" w:color="auto"/>
              <w:left w:val="single" w:sz="4" w:space="0" w:color="auto"/>
              <w:bottom w:val="single" w:sz="4" w:space="0" w:color="auto"/>
              <w:right w:val="single" w:sz="4" w:space="0" w:color="auto"/>
            </w:tcBorders>
            <w:vAlign w:val="center"/>
          </w:tcPr>
          <w:p w14:paraId="408350E8" w14:textId="07EFF257"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12.29</w:t>
            </w:r>
          </w:p>
        </w:tc>
        <w:tc>
          <w:tcPr>
            <w:tcW w:w="521" w:type="pct"/>
            <w:tcBorders>
              <w:top w:val="single" w:sz="4" w:space="0" w:color="auto"/>
              <w:left w:val="single" w:sz="4" w:space="0" w:color="auto"/>
              <w:bottom w:val="single" w:sz="4" w:space="0" w:color="auto"/>
              <w:right w:val="double" w:sz="6" w:space="0" w:color="auto"/>
            </w:tcBorders>
            <w:vAlign w:val="center"/>
          </w:tcPr>
          <w:p w14:paraId="08C3A369" w14:textId="1B30A848"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57.54</w:t>
            </w:r>
          </w:p>
        </w:tc>
      </w:tr>
      <w:tr w:rsidR="00F71134" w:rsidRPr="00186395" w14:paraId="01F40D37" w14:textId="77777777" w:rsidTr="00050A4E">
        <w:trPr>
          <w:trHeight w:val="287"/>
          <w:jc w:val="center"/>
        </w:trPr>
        <w:tc>
          <w:tcPr>
            <w:tcW w:w="5000" w:type="pct"/>
            <w:gridSpan w:val="7"/>
            <w:tcBorders>
              <w:top w:val="single" w:sz="4" w:space="0" w:color="auto"/>
              <w:left w:val="double" w:sz="6" w:space="0" w:color="auto"/>
              <w:bottom w:val="single" w:sz="4" w:space="0" w:color="auto"/>
              <w:right w:val="double" w:sz="6" w:space="0" w:color="auto"/>
            </w:tcBorders>
            <w:shd w:val="clear" w:color="auto" w:fill="auto"/>
            <w:noWrap/>
          </w:tcPr>
          <w:p w14:paraId="19D0FFDA" w14:textId="77777777" w:rsidR="00F71134" w:rsidRPr="00C31014" w:rsidRDefault="00F71134" w:rsidP="00DF6C8E">
            <w:pPr>
              <w:jc w:val="center"/>
              <w:rPr>
                <w:b/>
                <w:sz w:val="20"/>
                <w:szCs w:val="20"/>
              </w:rPr>
            </w:pPr>
            <w:r>
              <w:rPr>
                <w:b/>
                <w:sz w:val="20"/>
                <w:szCs w:val="20"/>
              </w:rPr>
              <w:t xml:space="preserve">Variance </w:t>
            </w:r>
            <w:r w:rsidRPr="00B02508">
              <w:rPr>
                <w:b/>
                <w:sz w:val="20"/>
                <w:szCs w:val="20"/>
              </w:rPr>
              <w:t>(</w:t>
            </w:r>
            <m:oMath>
              <m:sSubSup>
                <m:sSubSupPr>
                  <m:ctrlPr>
                    <w:rPr>
                      <w:rFonts w:ascii="Cambria Math" w:eastAsia="Times New Roman" w:hAnsi="Cambria Math" w:cs="Vrinda"/>
                      <w:i/>
                      <w:sz w:val="20"/>
                      <w:szCs w:val="20"/>
                    </w:rPr>
                  </m:ctrlPr>
                </m:sSubSupPr>
                <m:e>
                  <m:r>
                    <w:rPr>
                      <w:rFonts w:ascii="Cambria Math" w:eastAsia="Times New Roman" w:hAnsi="Cambria Math"/>
                      <w:sz w:val="20"/>
                      <w:szCs w:val="20"/>
                    </w:rPr>
                    <m:t>λ</m:t>
                  </m:r>
                </m:e>
                <m:sub>
                  <m:r>
                    <w:rPr>
                      <w:rFonts w:ascii="Cambria Math" w:eastAsia="Times New Roman" w:hAnsi="Cambria Math"/>
                      <w:sz w:val="20"/>
                      <w:szCs w:val="20"/>
                    </w:rPr>
                    <m:t>B</m:t>
                  </m:r>
                </m:sub>
                <m:sup>
                  <m:r>
                    <w:rPr>
                      <w:rFonts w:ascii="Cambria Math" w:eastAsia="Times New Roman" w:hAnsi="Cambria Math"/>
                      <w:sz w:val="20"/>
                      <w:szCs w:val="20"/>
                    </w:rPr>
                    <m:t>2</m:t>
                  </m:r>
                </m:sup>
              </m:sSubSup>
            </m:oMath>
            <w:r w:rsidRPr="003642B9">
              <w:rPr>
                <w:rFonts w:eastAsia="Times New Roman"/>
                <w:sz w:val="20"/>
                <w:szCs w:val="20"/>
              </w:rPr>
              <w:t xml:space="preserve"> and </w:t>
            </w:r>
            <m:oMath>
              <m:sSubSup>
                <m:sSubSupPr>
                  <m:ctrlPr>
                    <w:rPr>
                      <w:rFonts w:ascii="Cambria Math" w:eastAsia="Times New Roman" w:hAnsi="Cambria Math" w:cs="Vrinda"/>
                      <w:i/>
                      <w:sz w:val="20"/>
                      <w:szCs w:val="20"/>
                    </w:rPr>
                  </m:ctrlPr>
                </m:sSubSupPr>
                <m:e>
                  <m:r>
                    <w:rPr>
                      <w:rFonts w:ascii="Cambria Math" w:eastAsia="Times New Roman" w:hAnsi="Cambria Math"/>
                      <w:sz w:val="20"/>
                      <w:szCs w:val="20"/>
                    </w:rPr>
                    <m:t>λ</m:t>
                  </m:r>
                </m:e>
                <m:sub>
                  <m:r>
                    <w:rPr>
                      <w:rFonts w:ascii="Cambria Math" w:eastAsia="Times New Roman" w:hAnsi="Cambria Math"/>
                      <w:sz w:val="20"/>
                      <w:szCs w:val="20"/>
                    </w:rPr>
                    <m:t>A</m:t>
                  </m:r>
                </m:sub>
                <m:sup>
                  <m:r>
                    <w:rPr>
                      <w:rFonts w:ascii="Cambria Math" w:eastAsia="Times New Roman" w:hAnsi="Cambria Math"/>
                      <w:sz w:val="20"/>
                      <w:szCs w:val="20"/>
                    </w:rPr>
                    <m:t>2</m:t>
                  </m:r>
                </m:sup>
              </m:sSubSup>
            </m:oMath>
            <w:r w:rsidRPr="00B02508">
              <w:rPr>
                <w:b/>
                <w:sz w:val="20"/>
                <w:szCs w:val="20"/>
              </w:rPr>
              <w:t>)</w:t>
            </w:r>
          </w:p>
        </w:tc>
      </w:tr>
      <w:tr w:rsidR="00D46413" w:rsidRPr="00186395" w14:paraId="2B9D7943" w14:textId="77777777" w:rsidTr="00B741B9">
        <w:trPr>
          <w:trHeight w:val="287"/>
          <w:jc w:val="center"/>
        </w:trPr>
        <w:tc>
          <w:tcPr>
            <w:tcW w:w="1725" w:type="pct"/>
            <w:tcBorders>
              <w:top w:val="single" w:sz="4" w:space="0" w:color="auto"/>
              <w:left w:val="double" w:sz="6" w:space="0" w:color="auto"/>
              <w:bottom w:val="double" w:sz="4" w:space="0" w:color="auto"/>
              <w:right w:val="single" w:sz="4" w:space="0" w:color="auto"/>
            </w:tcBorders>
            <w:shd w:val="clear" w:color="auto" w:fill="auto"/>
            <w:noWrap/>
          </w:tcPr>
          <w:p w14:paraId="0AABA13E" w14:textId="77777777" w:rsidR="00D46413" w:rsidRPr="005408AB" w:rsidRDefault="00D46413" w:rsidP="00D46413">
            <w:pPr>
              <w:jc w:val="left"/>
              <w:rPr>
                <w:rFonts w:eastAsia="Times New Roman" w:cs="Times New Roman"/>
                <w:color w:val="000000"/>
                <w:sz w:val="20"/>
                <w:szCs w:val="20"/>
                <w:lang w:val="en-US"/>
              </w:rPr>
            </w:pPr>
            <w:r>
              <w:rPr>
                <w:rFonts w:eastAsia="Times New Roman" w:cs="Times New Roman"/>
                <w:color w:val="000000"/>
                <w:sz w:val="20"/>
                <w:szCs w:val="20"/>
                <w:lang w:val="en-US"/>
              </w:rPr>
              <w:t>Constant</w:t>
            </w:r>
          </w:p>
        </w:tc>
        <w:tc>
          <w:tcPr>
            <w:tcW w:w="579" w:type="pct"/>
            <w:tcBorders>
              <w:top w:val="single" w:sz="4" w:space="0" w:color="auto"/>
              <w:left w:val="nil"/>
              <w:bottom w:val="double" w:sz="4" w:space="0" w:color="auto"/>
              <w:right w:val="single" w:sz="4" w:space="0" w:color="auto"/>
            </w:tcBorders>
            <w:shd w:val="clear" w:color="auto" w:fill="auto"/>
            <w:noWrap/>
            <w:vAlign w:val="center"/>
          </w:tcPr>
          <w:p w14:paraId="75558C15"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485" w:type="pct"/>
            <w:tcBorders>
              <w:top w:val="single" w:sz="4" w:space="0" w:color="auto"/>
              <w:left w:val="nil"/>
              <w:bottom w:val="double" w:sz="4" w:space="0" w:color="auto"/>
              <w:right w:val="single" w:sz="4" w:space="0" w:color="auto"/>
            </w:tcBorders>
            <w:shd w:val="clear" w:color="auto" w:fill="auto"/>
            <w:noWrap/>
            <w:vAlign w:val="center"/>
          </w:tcPr>
          <w:p w14:paraId="6DEBFA2D" w14:textId="77777777" w:rsidR="00D46413" w:rsidRDefault="00D46413" w:rsidP="00B741B9">
            <w:pPr>
              <w:jc w:val="left"/>
              <w:rPr>
                <w:rFonts w:eastAsia="Times New Roman" w:cs="Times New Roman"/>
                <w:color w:val="000000"/>
                <w:sz w:val="20"/>
                <w:szCs w:val="20"/>
                <w:lang w:val="en-US"/>
              </w:rPr>
            </w:pPr>
            <w:r>
              <w:rPr>
                <w:rFonts w:eastAsia="Times New Roman" w:cs="Times New Roman"/>
                <w:color w:val="000000"/>
                <w:sz w:val="20"/>
                <w:szCs w:val="20"/>
                <w:lang w:val="en-US"/>
              </w:rPr>
              <w:t>-</w:t>
            </w:r>
          </w:p>
        </w:tc>
        <w:tc>
          <w:tcPr>
            <w:tcW w:w="580" w:type="pct"/>
            <w:tcBorders>
              <w:top w:val="single" w:sz="4" w:space="0" w:color="auto"/>
              <w:left w:val="nil"/>
              <w:bottom w:val="double" w:sz="4" w:space="0" w:color="auto"/>
              <w:right w:val="single" w:sz="4" w:space="0" w:color="auto"/>
            </w:tcBorders>
            <w:shd w:val="clear" w:color="auto" w:fill="auto"/>
            <w:noWrap/>
            <w:vAlign w:val="center"/>
          </w:tcPr>
          <w:p w14:paraId="10E98B4F" w14:textId="17AED187"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2.86</w:t>
            </w:r>
          </w:p>
        </w:tc>
        <w:tc>
          <w:tcPr>
            <w:tcW w:w="531" w:type="pct"/>
            <w:tcBorders>
              <w:top w:val="single" w:sz="4" w:space="0" w:color="auto"/>
              <w:left w:val="nil"/>
              <w:bottom w:val="double" w:sz="4" w:space="0" w:color="auto"/>
              <w:right w:val="single" w:sz="4" w:space="0" w:color="auto"/>
            </w:tcBorders>
            <w:shd w:val="clear" w:color="auto" w:fill="auto"/>
            <w:noWrap/>
            <w:vAlign w:val="center"/>
          </w:tcPr>
          <w:p w14:paraId="6A920C05" w14:textId="28A8F00D" w:rsidR="00D46413" w:rsidRPr="00EB7B4B"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571.65</w:t>
            </w:r>
          </w:p>
        </w:tc>
        <w:tc>
          <w:tcPr>
            <w:tcW w:w="579" w:type="pct"/>
            <w:tcBorders>
              <w:top w:val="single" w:sz="4" w:space="0" w:color="auto"/>
              <w:left w:val="single" w:sz="4" w:space="0" w:color="auto"/>
              <w:bottom w:val="double" w:sz="4" w:space="0" w:color="auto"/>
              <w:right w:val="single" w:sz="4" w:space="0" w:color="auto"/>
            </w:tcBorders>
            <w:vAlign w:val="center"/>
          </w:tcPr>
          <w:p w14:paraId="7FE4101A" w14:textId="31C83A41"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2.92</w:t>
            </w:r>
          </w:p>
        </w:tc>
        <w:tc>
          <w:tcPr>
            <w:tcW w:w="521" w:type="pct"/>
            <w:tcBorders>
              <w:top w:val="single" w:sz="4" w:space="0" w:color="auto"/>
              <w:left w:val="single" w:sz="4" w:space="0" w:color="auto"/>
              <w:bottom w:val="double" w:sz="4" w:space="0" w:color="auto"/>
              <w:right w:val="double" w:sz="6" w:space="0" w:color="auto"/>
            </w:tcBorders>
            <w:vAlign w:val="center"/>
          </w:tcPr>
          <w:p w14:paraId="6B4AB20C" w14:textId="696F8C14" w:rsidR="00D46413" w:rsidRDefault="00D46413" w:rsidP="00B741B9">
            <w:pPr>
              <w:jc w:val="left"/>
              <w:rPr>
                <w:rFonts w:eastAsia="Times New Roman" w:cs="Times New Roman"/>
                <w:color w:val="000000"/>
                <w:sz w:val="20"/>
                <w:szCs w:val="20"/>
                <w:lang w:val="en-US"/>
              </w:rPr>
            </w:pPr>
            <w:r w:rsidRPr="00B741B9">
              <w:rPr>
                <w:rFonts w:eastAsia="Times New Roman" w:cs="Times New Roman"/>
                <w:color w:val="000000"/>
                <w:sz w:val="20"/>
                <w:szCs w:val="20"/>
                <w:lang w:val="en-US"/>
              </w:rPr>
              <w:t>516.67</w:t>
            </w:r>
          </w:p>
        </w:tc>
      </w:tr>
    </w:tbl>
    <w:p w14:paraId="2C1C6E98" w14:textId="77777777" w:rsidR="00F71134" w:rsidRDefault="00F71134" w:rsidP="00F71134">
      <w:pPr>
        <w:pStyle w:val="Heading3"/>
        <w:spacing w:before="0"/>
        <w:rPr>
          <w:rFonts w:cs="Times New Roman"/>
        </w:rPr>
      </w:pPr>
    </w:p>
    <w:p w14:paraId="5B8EBB6F" w14:textId="0DB97F8C" w:rsidR="00F71134" w:rsidRDefault="00F71134" w:rsidP="00030437">
      <w:pPr>
        <w:pStyle w:val="EndNoteBibliography"/>
        <w:ind w:left="720" w:hanging="720"/>
      </w:pPr>
    </w:p>
    <w:p w14:paraId="205ED8C1" w14:textId="71AE351C" w:rsidR="00F71134" w:rsidRDefault="00F71134" w:rsidP="00030437">
      <w:pPr>
        <w:pStyle w:val="EndNoteBibliography"/>
        <w:ind w:left="720" w:hanging="720"/>
      </w:pPr>
    </w:p>
    <w:p w14:paraId="43385A93" w14:textId="63F7865A" w:rsidR="00F71134" w:rsidRDefault="00F71134" w:rsidP="00030437">
      <w:pPr>
        <w:pStyle w:val="EndNoteBibliography"/>
        <w:ind w:left="720" w:hanging="720"/>
      </w:pPr>
    </w:p>
    <w:p w14:paraId="29EA1971" w14:textId="14DEC95D" w:rsidR="00F71134" w:rsidRDefault="00F71134" w:rsidP="00030437">
      <w:pPr>
        <w:pStyle w:val="EndNoteBibliography"/>
        <w:ind w:left="720" w:hanging="720"/>
      </w:pPr>
    </w:p>
    <w:p w14:paraId="41DFA8EF" w14:textId="3C60C2D9" w:rsidR="00F71134" w:rsidRDefault="00F71134" w:rsidP="00030437">
      <w:pPr>
        <w:pStyle w:val="EndNoteBibliography"/>
        <w:ind w:left="720" w:hanging="720"/>
      </w:pPr>
    </w:p>
    <w:p w14:paraId="671FD97E" w14:textId="4BE7AEBC" w:rsidR="00F71134" w:rsidRDefault="00F71134" w:rsidP="00030437">
      <w:pPr>
        <w:pStyle w:val="EndNoteBibliography"/>
        <w:ind w:left="720" w:hanging="720"/>
      </w:pPr>
    </w:p>
    <w:p w14:paraId="122734B9" w14:textId="051E4932" w:rsidR="00F71134" w:rsidRDefault="00F71134" w:rsidP="00030437">
      <w:pPr>
        <w:pStyle w:val="EndNoteBibliography"/>
        <w:ind w:left="720" w:hanging="720"/>
      </w:pPr>
    </w:p>
    <w:p w14:paraId="75EAA82D" w14:textId="77777777" w:rsidR="00F71134" w:rsidRDefault="00F71134" w:rsidP="00030437">
      <w:pPr>
        <w:pStyle w:val="EndNoteBibliography"/>
        <w:ind w:left="720" w:hanging="720"/>
      </w:pPr>
    </w:p>
    <w:sectPr w:rsidR="00F71134" w:rsidSect="00030437">
      <w:headerReference w:type="default" r:id="rId19"/>
      <w:headerReference w:type="first" r:id="rId20"/>
      <w:pgSz w:w="12240" w:h="15840"/>
      <w:pgMar w:top="1440" w:right="1440" w:bottom="1440" w:left="1440"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6B6C7" w14:textId="77777777" w:rsidR="00DF6C8E" w:rsidRDefault="00DF6C8E">
      <w:r>
        <w:separator/>
      </w:r>
    </w:p>
  </w:endnote>
  <w:endnote w:type="continuationSeparator" w:id="0">
    <w:p w14:paraId="69C0AE6C" w14:textId="77777777" w:rsidR="00DF6C8E" w:rsidRDefault="00DF6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rinda">
    <w:altName w:val="ESRI NIMA VMAP1&amp;2 PT"/>
    <w:panose1 w:val="000004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867436"/>
      <w:docPartObj>
        <w:docPartGallery w:val="Page Numbers (Bottom of Page)"/>
        <w:docPartUnique/>
      </w:docPartObj>
    </w:sdtPr>
    <w:sdtEndPr>
      <w:rPr>
        <w:noProof/>
      </w:rPr>
    </w:sdtEndPr>
    <w:sdtContent>
      <w:p w14:paraId="712E7161" w14:textId="5DBE7768" w:rsidR="00DF6C8E" w:rsidRDefault="00DF6C8E">
        <w:pPr>
          <w:pStyle w:val="Footer"/>
          <w:jc w:val="center"/>
        </w:pPr>
        <w:r>
          <w:fldChar w:fldCharType="begin"/>
        </w:r>
        <w:r>
          <w:instrText xml:space="preserve"> PAGE   \* MERGEFORMAT </w:instrText>
        </w:r>
        <w:r>
          <w:fldChar w:fldCharType="separate"/>
        </w:r>
        <w:r w:rsidR="0067710A">
          <w:rPr>
            <w:noProof/>
          </w:rPr>
          <w:t>19</w:t>
        </w:r>
        <w:r>
          <w:rPr>
            <w:noProof/>
          </w:rPr>
          <w:fldChar w:fldCharType="end"/>
        </w:r>
      </w:p>
    </w:sdtContent>
  </w:sdt>
  <w:p w14:paraId="1DC07BFE" w14:textId="77777777" w:rsidR="00DF6C8E" w:rsidRDefault="00DF6C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3AC06" w14:textId="77777777" w:rsidR="00DF6C8E" w:rsidRDefault="00DF6C8E">
      <w:r>
        <w:separator/>
      </w:r>
    </w:p>
  </w:footnote>
  <w:footnote w:type="continuationSeparator" w:id="0">
    <w:p w14:paraId="29A26BEB" w14:textId="77777777" w:rsidR="00DF6C8E" w:rsidRDefault="00DF6C8E">
      <w:r>
        <w:continuationSeparator/>
      </w:r>
    </w:p>
  </w:footnote>
  <w:footnote w:id="1">
    <w:p w14:paraId="242BDAC1" w14:textId="20429157" w:rsidR="00DF6C8E" w:rsidRPr="00DE551F" w:rsidRDefault="00DF6C8E">
      <w:pPr>
        <w:pStyle w:val="FootnoteText"/>
        <w:rPr>
          <w:lang w:val="en-US"/>
        </w:rPr>
      </w:pPr>
      <w:r>
        <w:rPr>
          <w:rStyle w:val="FootnoteReference"/>
        </w:rPr>
        <w:footnoteRef/>
      </w:r>
      <w:r>
        <w:t xml:space="preserve"> </w:t>
      </w:r>
      <w:bookmarkStart w:id="5" w:name="_Hlk12740716"/>
      <w:r>
        <w:rPr>
          <w:lang w:val="en-US"/>
        </w:rPr>
        <w:t xml:space="preserve">The grouped response approach proposed in Rahman et al. (2019) provides </w:t>
      </w:r>
      <w:r>
        <w:t xml:space="preserve">a true non-linear variant of the linear regression model structure (with the same number of model parameters as linear regression). In this model system, while continuous data </w:t>
      </w:r>
      <w:r>
        <w:rPr>
          <w:rFonts w:cs="Times New Roman"/>
          <w:szCs w:val="24"/>
        </w:rPr>
        <w:t xml:space="preserve">is binned into various categories, the binning is simply to facilitate model estimation. Unlike traditional ordered discrete models, the grouped response model does not estimate thresholds in the ridership model. The thresholds of the bins selected are directly used in the model estimation; thus, observed levels of the dependent variable are tied to the propensity. Post model estimation, the model developed can be used to estimate the probability of any ridership level (see Rahman et al. 2019 for more details). </w:t>
      </w:r>
      <w:bookmarkEnd w:id="5"/>
    </w:p>
  </w:footnote>
  <w:footnote w:id="2">
    <w:p w14:paraId="7A084180" w14:textId="40D745B5" w:rsidR="00DF6C8E" w:rsidRPr="00D46413" w:rsidRDefault="00DF6C8E">
      <w:pPr>
        <w:pStyle w:val="FootnoteText"/>
        <w:rPr>
          <w:lang w:val="en-US"/>
        </w:rPr>
      </w:pPr>
      <w:r>
        <w:rPr>
          <w:rStyle w:val="FootnoteReference"/>
        </w:rPr>
        <w:footnoteRef/>
      </w:r>
      <w:r>
        <w:t xml:space="preserve"> </w:t>
      </w:r>
      <w:r>
        <w:rPr>
          <w:lang w:val="en-US"/>
        </w:rPr>
        <w:t>Estimation results for independent model is presented in Appendix 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96FFF" w14:textId="387058A3" w:rsidR="00DF6C8E" w:rsidRDefault="00DF6C8E" w:rsidP="00E31A07">
    <w:pPr>
      <w:pStyle w:val="Header"/>
      <w:tabs>
        <w:tab w:val="left" w:pos="419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8D4EF" w14:textId="40CC22F5" w:rsidR="00DF6C8E" w:rsidRDefault="00DF6C8E">
    <w:pPr>
      <w:pStyle w:val="Header"/>
      <w:jc w:val="right"/>
    </w:pPr>
    <w:r>
      <w:tab/>
    </w:r>
    <w:r>
      <w:tab/>
    </w:r>
  </w:p>
  <w:p w14:paraId="7BEDB029" w14:textId="77777777" w:rsidR="00DF6C8E" w:rsidRDefault="00DF6C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20091" w14:textId="77777777" w:rsidR="00DF6C8E" w:rsidRPr="00030437" w:rsidRDefault="00DF6C8E" w:rsidP="00030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6564476"/>
      <w:docPartObj>
        <w:docPartGallery w:val="Page Numbers (Top of Page)"/>
        <w:docPartUnique/>
      </w:docPartObj>
    </w:sdtPr>
    <w:sdtEndPr>
      <w:rPr>
        <w:noProof/>
      </w:rPr>
    </w:sdtEndPr>
    <w:sdtContent>
      <w:p w14:paraId="28D50FDD" w14:textId="42A6C57C" w:rsidR="00DF6C8E" w:rsidRDefault="00DF6C8E" w:rsidP="00413B61">
        <w:pPr>
          <w:pStyle w:val="Header"/>
          <w:jc w:val="left"/>
        </w:pPr>
        <w:r>
          <w:t>Rahman, Yasmin, Eluru</w:t>
        </w:r>
        <w:r>
          <w:tab/>
        </w:r>
        <w:r>
          <w:tab/>
          <w:t xml:space="preserve">              </w:t>
        </w:r>
        <w:r>
          <w:fldChar w:fldCharType="begin"/>
        </w:r>
        <w:r>
          <w:instrText xml:space="preserve"> PAGE   \* MERGEFORMAT </w:instrText>
        </w:r>
        <w:r>
          <w:fldChar w:fldCharType="separate"/>
        </w:r>
        <w:r>
          <w:rPr>
            <w:noProof/>
          </w:rPr>
          <w:t>10</w:t>
        </w:r>
        <w:r>
          <w:rPr>
            <w:noProof/>
          </w:rPr>
          <w:fldChar w:fldCharType="end"/>
        </w:r>
      </w:p>
    </w:sdtContent>
  </w:sdt>
  <w:p w14:paraId="10CE49EF" w14:textId="77777777" w:rsidR="00DF6C8E" w:rsidRPr="001959A0" w:rsidRDefault="00DF6C8E" w:rsidP="00413B61">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078B8" w14:textId="77777777" w:rsidR="00DF6C8E" w:rsidRDefault="00DF6C8E" w:rsidP="00413B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538490"/>
      <w:docPartObj>
        <w:docPartGallery w:val="Page Numbers (Top of Page)"/>
        <w:docPartUnique/>
      </w:docPartObj>
    </w:sdtPr>
    <w:sdtEndPr>
      <w:rPr>
        <w:noProof/>
      </w:rPr>
    </w:sdtEndPr>
    <w:sdtContent>
      <w:p w14:paraId="34CD5AEC" w14:textId="6B954A4D" w:rsidR="00DF6C8E" w:rsidRDefault="00DF6C8E" w:rsidP="00413B61">
        <w:pPr>
          <w:pStyle w:val="Header"/>
          <w:jc w:val="left"/>
        </w:pPr>
        <w:r>
          <w:t>Rahman, Yasmin, Eluru</w:t>
        </w:r>
        <w:r>
          <w:tab/>
        </w:r>
        <w:r>
          <w:tab/>
          <w:t xml:space="preserve">              </w:t>
        </w:r>
        <w:r>
          <w:fldChar w:fldCharType="begin"/>
        </w:r>
        <w:r>
          <w:instrText xml:space="preserve"> PAGE   \* MERGEFORMAT </w:instrText>
        </w:r>
        <w:r>
          <w:fldChar w:fldCharType="separate"/>
        </w:r>
        <w:r>
          <w:rPr>
            <w:noProof/>
          </w:rPr>
          <w:t>10</w:t>
        </w:r>
        <w:r>
          <w:rPr>
            <w:noProof/>
          </w:rPr>
          <w:fldChar w:fldCharType="end"/>
        </w:r>
      </w:p>
    </w:sdtContent>
  </w:sdt>
  <w:p w14:paraId="4525E8AD" w14:textId="77777777" w:rsidR="00DF6C8E" w:rsidRPr="001959A0" w:rsidRDefault="00DF6C8E" w:rsidP="00413B61">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34371"/>
    <w:multiLevelType w:val="multilevel"/>
    <w:tmpl w:val="5EA6898A"/>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0D0034"/>
    <w:multiLevelType w:val="hybridMultilevel"/>
    <w:tmpl w:val="0152F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43E6F"/>
    <w:multiLevelType w:val="hybridMultilevel"/>
    <w:tmpl w:val="0DDE6F16"/>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4A51A0B"/>
    <w:multiLevelType w:val="hybridMultilevel"/>
    <w:tmpl w:val="11CE87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2BB6AC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455157"/>
    <w:multiLevelType w:val="hybridMultilevel"/>
    <w:tmpl w:val="62327C7C"/>
    <w:lvl w:ilvl="0" w:tplc="8BA80C4E">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A8534D5"/>
    <w:multiLevelType w:val="hybridMultilevel"/>
    <w:tmpl w:val="365CECC4"/>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4B6E6D3C"/>
    <w:multiLevelType w:val="hybridMultilevel"/>
    <w:tmpl w:val="0DDE6F16"/>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4B9C7311"/>
    <w:multiLevelType w:val="multilevel"/>
    <w:tmpl w:val="4CEAFFE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20B3F4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F2623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573723"/>
    <w:multiLevelType w:val="hybridMultilevel"/>
    <w:tmpl w:val="6ACEBBDC"/>
    <w:lvl w:ilvl="0" w:tplc="A58EB976">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3"/>
  </w:num>
  <w:num w:numId="3">
    <w:abstractNumId w:val="5"/>
  </w:num>
  <w:num w:numId="4">
    <w:abstractNumId w:val="8"/>
  </w:num>
  <w:num w:numId="5">
    <w:abstractNumId w:val="10"/>
  </w:num>
  <w:num w:numId="6">
    <w:abstractNumId w:val="9"/>
  </w:num>
  <w:num w:numId="7">
    <w:abstractNumId w:val="4"/>
  </w:num>
  <w:num w:numId="8">
    <w:abstractNumId w:val="6"/>
  </w:num>
  <w:num w:numId="9">
    <w:abstractNumId w:val="7"/>
  </w:num>
  <w:num w:numId="10">
    <w:abstractNumId w:val="2"/>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33B44"/>
    <w:rsid w:val="00030437"/>
    <w:rsid w:val="000322F7"/>
    <w:rsid w:val="00032AC2"/>
    <w:rsid w:val="000432F8"/>
    <w:rsid w:val="00050A4E"/>
    <w:rsid w:val="00076804"/>
    <w:rsid w:val="00086CE5"/>
    <w:rsid w:val="0009674C"/>
    <w:rsid w:val="000C5CBA"/>
    <w:rsid w:val="000E4D86"/>
    <w:rsid w:val="000E6BF9"/>
    <w:rsid w:val="001019BF"/>
    <w:rsid w:val="00143E99"/>
    <w:rsid w:val="00165837"/>
    <w:rsid w:val="001C1B3F"/>
    <w:rsid w:val="001E2490"/>
    <w:rsid w:val="00241249"/>
    <w:rsid w:val="00250079"/>
    <w:rsid w:val="00255C61"/>
    <w:rsid w:val="00261EBF"/>
    <w:rsid w:val="00264E3D"/>
    <w:rsid w:val="002760A6"/>
    <w:rsid w:val="002B239B"/>
    <w:rsid w:val="002C6DEE"/>
    <w:rsid w:val="003642B9"/>
    <w:rsid w:val="003A2A12"/>
    <w:rsid w:val="003C2ABD"/>
    <w:rsid w:val="00413B61"/>
    <w:rsid w:val="004216D6"/>
    <w:rsid w:val="00473CCE"/>
    <w:rsid w:val="0048439A"/>
    <w:rsid w:val="004A1E64"/>
    <w:rsid w:val="004D2014"/>
    <w:rsid w:val="004F0BD4"/>
    <w:rsid w:val="005043B5"/>
    <w:rsid w:val="00541F2C"/>
    <w:rsid w:val="005C08FB"/>
    <w:rsid w:val="005E02DF"/>
    <w:rsid w:val="005F3A8B"/>
    <w:rsid w:val="005F7F7F"/>
    <w:rsid w:val="0061786F"/>
    <w:rsid w:val="00636488"/>
    <w:rsid w:val="00641596"/>
    <w:rsid w:val="0067710A"/>
    <w:rsid w:val="00716F5C"/>
    <w:rsid w:val="007315D3"/>
    <w:rsid w:val="0075369F"/>
    <w:rsid w:val="0079529C"/>
    <w:rsid w:val="007D33B4"/>
    <w:rsid w:val="00852381"/>
    <w:rsid w:val="008755ED"/>
    <w:rsid w:val="00895D23"/>
    <w:rsid w:val="009168F7"/>
    <w:rsid w:val="009323C6"/>
    <w:rsid w:val="00963859"/>
    <w:rsid w:val="009850EE"/>
    <w:rsid w:val="009B637B"/>
    <w:rsid w:val="009C5616"/>
    <w:rsid w:val="009D68F8"/>
    <w:rsid w:val="009E03A0"/>
    <w:rsid w:val="00A058CC"/>
    <w:rsid w:val="00A06719"/>
    <w:rsid w:val="00A33B44"/>
    <w:rsid w:val="00A378C4"/>
    <w:rsid w:val="00A53D88"/>
    <w:rsid w:val="00A95356"/>
    <w:rsid w:val="00AC03A2"/>
    <w:rsid w:val="00AD4014"/>
    <w:rsid w:val="00AF38EB"/>
    <w:rsid w:val="00B02508"/>
    <w:rsid w:val="00B06DE3"/>
    <w:rsid w:val="00B22999"/>
    <w:rsid w:val="00B57E9E"/>
    <w:rsid w:val="00B63A08"/>
    <w:rsid w:val="00B741B9"/>
    <w:rsid w:val="00B76854"/>
    <w:rsid w:val="00B77619"/>
    <w:rsid w:val="00BA7535"/>
    <w:rsid w:val="00BB7282"/>
    <w:rsid w:val="00C22B74"/>
    <w:rsid w:val="00C34342"/>
    <w:rsid w:val="00C3665E"/>
    <w:rsid w:val="00C7571A"/>
    <w:rsid w:val="00C91768"/>
    <w:rsid w:val="00CA3E8A"/>
    <w:rsid w:val="00CB60A8"/>
    <w:rsid w:val="00CC462D"/>
    <w:rsid w:val="00D233C3"/>
    <w:rsid w:val="00D46413"/>
    <w:rsid w:val="00D66462"/>
    <w:rsid w:val="00DB65C9"/>
    <w:rsid w:val="00DD5691"/>
    <w:rsid w:val="00DD792C"/>
    <w:rsid w:val="00DE551F"/>
    <w:rsid w:val="00DF6C8E"/>
    <w:rsid w:val="00E21E01"/>
    <w:rsid w:val="00E31A07"/>
    <w:rsid w:val="00E355BF"/>
    <w:rsid w:val="00E66345"/>
    <w:rsid w:val="00E701E4"/>
    <w:rsid w:val="00E74843"/>
    <w:rsid w:val="00EA33AD"/>
    <w:rsid w:val="00EA66F1"/>
    <w:rsid w:val="00EB5AA5"/>
    <w:rsid w:val="00EC3E0C"/>
    <w:rsid w:val="00EF7CFA"/>
    <w:rsid w:val="00F71134"/>
    <w:rsid w:val="00F87128"/>
    <w:rsid w:val="00F9012C"/>
    <w:rsid w:val="00FB7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0C48"/>
  <w15:chartTrackingRefBased/>
  <w15:docId w15:val="{8962437D-35D3-47AD-9D52-BF424110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B44"/>
    <w:pPr>
      <w:spacing w:after="0" w:line="240" w:lineRule="auto"/>
      <w:jc w:val="both"/>
    </w:pPr>
    <w:rPr>
      <w:rFonts w:ascii="Times New Roman" w:hAnsi="Times New Roman"/>
      <w:sz w:val="24"/>
      <w:lang w:val="en-CA"/>
    </w:rPr>
  </w:style>
  <w:style w:type="paragraph" w:styleId="Heading1">
    <w:name w:val="heading 1"/>
    <w:basedOn w:val="Normal"/>
    <w:next w:val="Normal"/>
    <w:link w:val="Heading1Char"/>
    <w:uiPriority w:val="9"/>
    <w:qFormat/>
    <w:rsid w:val="00A33B44"/>
    <w:pPr>
      <w:keepNext/>
      <w:keepLines/>
      <w:spacing w:before="240" w:after="240"/>
      <w:ind w:left="432" w:hanging="432"/>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A33B44"/>
    <w:pPr>
      <w:keepNext/>
      <w:keepLines/>
      <w:spacing w:before="120" w:after="120"/>
      <w:ind w:left="576" w:hanging="576"/>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A33B44"/>
    <w:pPr>
      <w:keepNext/>
      <w:spacing w:before="120"/>
      <w:ind w:left="720" w:hanging="720"/>
      <w:outlineLvl w:val="2"/>
    </w:pPr>
    <w:rPr>
      <w:rFonts w:eastAsia="Times New Roman"/>
      <w:bCs/>
      <w:szCs w:val="26"/>
      <w:u w:val="single"/>
    </w:rPr>
  </w:style>
  <w:style w:type="paragraph" w:styleId="Heading4">
    <w:name w:val="heading 4"/>
    <w:basedOn w:val="Normal"/>
    <w:next w:val="Normal"/>
    <w:link w:val="Heading4Char"/>
    <w:uiPriority w:val="9"/>
    <w:unhideWhenUsed/>
    <w:qFormat/>
    <w:rsid w:val="00A33B44"/>
    <w:pPr>
      <w:keepNext/>
      <w:keepLines/>
      <w:ind w:left="864" w:hanging="864"/>
      <w:outlineLvl w:val="3"/>
    </w:pPr>
    <w:rPr>
      <w:rFonts w:eastAsiaTheme="majorEastAsia" w:cs="Times New Roman"/>
      <w:bCs/>
      <w:i/>
      <w:iCs/>
    </w:rPr>
  </w:style>
  <w:style w:type="paragraph" w:styleId="Heading5">
    <w:name w:val="heading 5"/>
    <w:basedOn w:val="Normal"/>
    <w:next w:val="Normal"/>
    <w:link w:val="Heading5Char"/>
    <w:uiPriority w:val="9"/>
    <w:semiHidden/>
    <w:unhideWhenUsed/>
    <w:qFormat/>
    <w:rsid w:val="00A33B44"/>
    <w:pPr>
      <w:keepNext/>
      <w:keepLines/>
      <w:spacing w:before="200"/>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33B44"/>
    <w:pPr>
      <w:keepNext/>
      <w:keepLines/>
      <w:spacing w:before="200"/>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33B44"/>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33B44"/>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33B44"/>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3B44"/>
    <w:rPr>
      <w:rFonts w:ascii="Times New Roman" w:eastAsiaTheme="majorEastAsia" w:hAnsi="Times New Roman" w:cstheme="majorBidi"/>
      <w:b/>
      <w:bCs/>
      <w:color w:val="000000" w:themeColor="text1"/>
      <w:sz w:val="28"/>
      <w:szCs w:val="28"/>
      <w:lang w:val="en-CA"/>
    </w:rPr>
  </w:style>
  <w:style w:type="character" w:customStyle="1" w:styleId="Heading2Char">
    <w:name w:val="Heading 2 Char"/>
    <w:basedOn w:val="DefaultParagraphFont"/>
    <w:link w:val="Heading2"/>
    <w:uiPriority w:val="9"/>
    <w:rsid w:val="00A33B44"/>
    <w:rPr>
      <w:rFonts w:ascii="Times New Roman" w:eastAsiaTheme="majorEastAsia" w:hAnsi="Times New Roman" w:cstheme="majorBidi"/>
      <w:b/>
      <w:bCs/>
      <w:color w:val="000000" w:themeColor="text1"/>
      <w:sz w:val="26"/>
      <w:szCs w:val="26"/>
      <w:lang w:val="en-CA"/>
    </w:rPr>
  </w:style>
  <w:style w:type="character" w:customStyle="1" w:styleId="Heading3Char">
    <w:name w:val="Heading 3 Char"/>
    <w:basedOn w:val="DefaultParagraphFont"/>
    <w:link w:val="Heading3"/>
    <w:uiPriority w:val="9"/>
    <w:rsid w:val="00A33B44"/>
    <w:rPr>
      <w:rFonts w:ascii="Times New Roman" w:eastAsia="Times New Roman" w:hAnsi="Times New Roman"/>
      <w:bCs/>
      <w:sz w:val="24"/>
      <w:szCs w:val="26"/>
      <w:u w:val="single"/>
      <w:lang w:val="en-CA"/>
    </w:rPr>
  </w:style>
  <w:style w:type="character" w:customStyle="1" w:styleId="Heading4Char">
    <w:name w:val="Heading 4 Char"/>
    <w:basedOn w:val="DefaultParagraphFont"/>
    <w:link w:val="Heading4"/>
    <w:uiPriority w:val="9"/>
    <w:rsid w:val="00A33B44"/>
    <w:rPr>
      <w:rFonts w:ascii="Times New Roman" w:eastAsiaTheme="majorEastAsia" w:hAnsi="Times New Roman" w:cs="Times New Roman"/>
      <w:bCs/>
      <w:i/>
      <w:iCs/>
      <w:sz w:val="24"/>
      <w:lang w:val="en-CA"/>
    </w:rPr>
  </w:style>
  <w:style w:type="character" w:customStyle="1" w:styleId="Heading5Char">
    <w:name w:val="Heading 5 Char"/>
    <w:basedOn w:val="DefaultParagraphFont"/>
    <w:link w:val="Heading5"/>
    <w:uiPriority w:val="9"/>
    <w:semiHidden/>
    <w:rsid w:val="00A33B44"/>
    <w:rPr>
      <w:rFonts w:asciiTheme="majorHAnsi" w:eastAsiaTheme="majorEastAsia" w:hAnsiTheme="majorHAnsi" w:cstheme="majorBidi"/>
      <w:color w:val="1F4D78" w:themeColor="accent1" w:themeShade="7F"/>
      <w:sz w:val="24"/>
      <w:lang w:val="en-CA"/>
    </w:rPr>
  </w:style>
  <w:style w:type="character" w:customStyle="1" w:styleId="Heading6Char">
    <w:name w:val="Heading 6 Char"/>
    <w:basedOn w:val="DefaultParagraphFont"/>
    <w:link w:val="Heading6"/>
    <w:uiPriority w:val="9"/>
    <w:semiHidden/>
    <w:rsid w:val="00A33B44"/>
    <w:rPr>
      <w:rFonts w:asciiTheme="majorHAnsi" w:eastAsiaTheme="majorEastAsia" w:hAnsiTheme="majorHAnsi" w:cstheme="majorBidi"/>
      <w:i/>
      <w:iCs/>
      <w:color w:val="1F4D78" w:themeColor="accent1" w:themeShade="7F"/>
      <w:sz w:val="24"/>
      <w:lang w:val="en-CA"/>
    </w:rPr>
  </w:style>
  <w:style w:type="character" w:customStyle="1" w:styleId="Heading7Char">
    <w:name w:val="Heading 7 Char"/>
    <w:basedOn w:val="DefaultParagraphFont"/>
    <w:link w:val="Heading7"/>
    <w:uiPriority w:val="9"/>
    <w:semiHidden/>
    <w:rsid w:val="00A33B44"/>
    <w:rPr>
      <w:rFonts w:asciiTheme="majorHAnsi" w:eastAsiaTheme="majorEastAsia" w:hAnsiTheme="majorHAnsi" w:cstheme="majorBidi"/>
      <w:i/>
      <w:iCs/>
      <w:color w:val="404040" w:themeColor="text1" w:themeTint="BF"/>
      <w:sz w:val="24"/>
      <w:lang w:val="en-CA"/>
    </w:rPr>
  </w:style>
  <w:style w:type="character" w:customStyle="1" w:styleId="Heading8Char">
    <w:name w:val="Heading 8 Char"/>
    <w:basedOn w:val="DefaultParagraphFont"/>
    <w:link w:val="Heading8"/>
    <w:uiPriority w:val="9"/>
    <w:semiHidden/>
    <w:rsid w:val="00A33B44"/>
    <w:rPr>
      <w:rFonts w:asciiTheme="majorHAnsi" w:eastAsiaTheme="majorEastAsia" w:hAnsiTheme="majorHAnsi" w:cstheme="majorBidi"/>
      <w:color w:val="404040" w:themeColor="text1" w:themeTint="BF"/>
      <w:sz w:val="20"/>
      <w:szCs w:val="20"/>
      <w:lang w:val="en-CA"/>
    </w:rPr>
  </w:style>
  <w:style w:type="character" w:customStyle="1" w:styleId="Heading9Char">
    <w:name w:val="Heading 9 Char"/>
    <w:basedOn w:val="DefaultParagraphFont"/>
    <w:link w:val="Heading9"/>
    <w:uiPriority w:val="9"/>
    <w:semiHidden/>
    <w:rsid w:val="00A33B44"/>
    <w:rPr>
      <w:rFonts w:asciiTheme="majorHAnsi" w:eastAsiaTheme="majorEastAsia" w:hAnsiTheme="majorHAnsi" w:cstheme="majorBidi"/>
      <w:i/>
      <w:iCs/>
      <w:color w:val="404040" w:themeColor="text1" w:themeTint="BF"/>
      <w:sz w:val="20"/>
      <w:szCs w:val="20"/>
      <w:lang w:val="en-CA"/>
    </w:rPr>
  </w:style>
  <w:style w:type="paragraph" w:styleId="ListParagraph">
    <w:name w:val="List Paragraph"/>
    <w:basedOn w:val="Normal"/>
    <w:uiPriority w:val="34"/>
    <w:qFormat/>
    <w:rsid w:val="00A33B44"/>
    <w:pPr>
      <w:ind w:left="720"/>
      <w:contextualSpacing/>
    </w:pPr>
  </w:style>
  <w:style w:type="paragraph" w:styleId="FootnoteText">
    <w:name w:val="footnote text"/>
    <w:basedOn w:val="Normal"/>
    <w:link w:val="FootnoteTextChar"/>
    <w:uiPriority w:val="99"/>
    <w:semiHidden/>
    <w:unhideWhenUsed/>
    <w:rsid w:val="00A33B44"/>
    <w:rPr>
      <w:sz w:val="20"/>
      <w:szCs w:val="20"/>
    </w:rPr>
  </w:style>
  <w:style w:type="character" w:customStyle="1" w:styleId="FootnoteTextChar">
    <w:name w:val="Footnote Text Char"/>
    <w:basedOn w:val="DefaultParagraphFont"/>
    <w:link w:val="FootnoteText"/>
    <w:uiPriority w:val="99"/>
    <w:semiHidden/>
    <w:rsid w:val="00A33B44"/>
    <w:rPr>
      <w:rFonts w:ascii="Times New Roman" w:hAnsi="Times New Roman"/>
      <w:sz w:val="20"/>
      <w:szCs w:val="20"/>
      <w:lang w:val="en-CA"/>
    </w:rPr>
  </w:style>
  <w:style w:type="character" w:styleId="FootnoteReference">
    <w:name w:val="footnote reference"/>
    <w:basedOn w:val="DefaultParagraphFont"/>
    <w:uiPriority w:val="99"/>
    <w:unhideWhenUsed/>
    <w:rsid w:val="00A33B44"/>
    <w:rPr>
      <w:vertAlign w:val="superscript"/>
    </w:rPr>
  </w:style>
  <w:style w:type="paragraph" w:styleId="BalloonText">
    <w:name w:val="Balloon Text"/>
    <w:basedOn w:val="Normal"/>
    <w:link w:val="BalloonTextChar"/>
    <w:uiPriority w:val="99"/>
    <w:semiHidden/>
    <w:unhideWhenUsed/>
    <w:rsid w:val="00A33B44"/>
    <w:rPr>
      <w:rFonts w:ascii="Tahoma" w:hAnsi="Tahoma" w:cs="Tahoma"/>
      <w:sz w:val="16"/>
      <w:szCs w:val="16"/>
    </w:rPr>
  </w:style>
  <w:style w:type="character" w:customStyle="1" w:styleId="BalloonTextChar">
    <w:name w:val="Balloon Text Char"/>
    <w:basedOn w:val="DefaultParagraphFont"/>
    <w:link w:val="BalloonText"/>
    <w:uiPriority w:val="99"/>
    <w:semiHidden/>
    <w:rsid w:val="00A33B44"/>
    <w:rPr>
      <w:rFonts w:ascii="Tahoma" w:hAnsi="Tahoma" w:cs="Tahoma"/>
      <w:sz w:val="16"/>
      <w:szCs w:val="16"/>
      <w:lang w:val="en-CA"/>
    </w:rPr>
  </w:style>
  <w:style w:type="paragraph" w:styleId="Header">
    <w:name w:val="header"/>
    <w:basedOn w:val="Normal"/>
    <w:link w:val="HeaderChar"/>
    <w:uiPriority w:val="99"/>
    <w:unhideWhenUsed/>
    <w:rsid w:val="00A33B44"/>
    <w:pPr>
      <w:tabs>
        <w:tab w:val="center" w:pos="4680"/>
        <w:tab w:val="right" w:pos="9360"/>
      </w:tabs>
    </w:pPr>
  </w:style>
  <w:style w:type="character" w:customStyle="1" w:styleId="HeaderChar">
    <w:name w:val="Header Char"/>
    <w:basedOn w:val="DefaultParagraphFont"/>
    <w:link w:val="Header"/>
    <w:uiPriority w:val="99"/>
    <w:rsid w:val="00A33B44"/>
    <w:rPr>
      <w:rFonts w:ascii="Times New Roman" w:hAnsi="Times New Roman"/>
      <w:sz w:val="24"/>
      <w:lang w:val="en-CA"/>
    </w:rPr>
  </w:style>
  <w:style w:type="paragraph" w:styleId="Footer">
    <w:name w:val="footer"/>
    <w:basedOn w:val="Normal"/>
    <w:link w:val="FooterChar"/>
    <w:uiPriority w:val="99"/>
    <w:unhideWhenUsed/>
    <w:rsid w:val="00A33B44"/>
    <w:pPr>
      <w:tabs>
        <w:tab w:val="center" w:pos="4680"/>
        <w:tab w:val="right" w:pos="9360"/>
      </w:tabs>
    </w:pPr>
  </w:style>
  <w:style w:type="character" w:customStyle="1" w:styleId="FooterChar">
    <w:name w:val="Footer Char"/>
    <w:basedOn w:val="DefaultParagraphFont"/>
    <w:link w:val="Footer"/>
    <w:uiPriority w:val="99"/>
    <w:rsid w:val="00A33B44"/>
    <w:rPr>
      <w:rFonts w:ascii="Times New Roman" w:hAnsi="Times New Roman"/>
      <w:sz w:val="24"/>
      <w:lang w:val="en-CA"/>
    </w:rPr>
  </w:style>
  <w:style w:type="character" w:styleId="CommentReference">
    <w:name w:val="annotation reference"/>
    <w:basedOn w:val="DefaultParagraphFont"/>
    <w:uiPriority w:val="99"/>
    <w:rsid w:val="00A33B44"/>
    <w:rPr>
      <w:rFonts w:cs="Times New Roman"/>
      <w:sz w:val="16"/>
      <w:szCs w:val="16"/>
    </w:rPr>
  </w:style>
  <w:style w:type="paragraph" w:styleId="CommentText">
    <w:name w:val="annotation text"/>
    <w:basedOn w:val="Normal"/>
    <w:link w:val="CommentTextChar"/>
    <w:uiPriority w:val="99"/>
    <w:rsid w:val="00A33B44"/>
    <w:pPr>
      <w:spacing w:after="200" w:line="276" w:lineRule="auto"/>
      <w:jc w:val="left"/>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A33B44"/>
    <w:rPr>
      <w:rFonts w:ascii="Calibri" w:eastAsia="Times New Roman" w:hAnsi="Calibri" w:cs="Times New Roman"/>
      <w:sz w:val="20"/>
      <w:szCs w:val="20"/>
      <w:lang w:val="en-CA"/>
    </w:rPr>
  </w:style>
  <w:style w:type="paragraph" w:customStyle="1" w:styleId="Default">
    <w:name w:val="Default"/>
    <w:rsid w:val="00A33B44"/>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apple-converted-space">
    <w:name w:val="apple-converted-space"/>
    <w:basedOn w:val="DefaultParagraphFont"/>
    <w:rsid w:val="00A33B44"/>
  </w:style>
  <w:style w:type="table" w:styleId="TableGrid">
    <w:name w:val="Table Grid"/>
    <w:basedOn w:val="TableNormal"/>
    <w:uiPriority w:val="39"/>
    <w:rsid w:val="00A33B44"/>
    <w:pPr>
      <w:spacing w:after="0" w:line="240" w:lineRule="auto"/>
      <w:jc w:val="both"/>
    </w:pPr>
    <w:rPr>
      <w:rFonts w:ascii="Times New Roman" w:hAnsi="Times New Roman" w:cs="Times New Roman"/>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33B44"/>
    <w:pPr>
      <w:jc w:val="left"/>
    </w:pPr>
    <w:rPr>
      <w:rFonts w:ascii="Book Antiqua" w:hAnsi="Book Antiqua"/>
      <w:sz w:val="22"/>
      <w:szCs w:val="21"/>
    </w:rPr>
  </w:style>
  <w:style w:type="character" w:customStyle="1" w:styleId="PlainTextChar">
    <w:name w:val="Plain Text Char"/>
    <w:basedOn w:val="DefaultParagraphFont"/>
    <w:link w:val="PlainText"/>
    <w:uiPriority w:val="99"/>
    <w:rsid w:val="00A33B44"/>
    <w:rPr>
      <w:rFonts w:ascii="Book Antiqua" w:hAnsi="Book Antiqua"/>
      <w:szCs w:val="21"/>
      <w:lang w:val="en-CA"/>
    </w:rPr>
  </w:style>
  <w:style w:type="character" w:styleId="Hyperlink">
    <w:name w:val="Hyperlink"/>
    <w:basedOn w:val="DefaultParagraphFont"/>
    <w:uiPriority w:val="99"/>
    <w:unhideWhenUsed/>
    <w:rsid w:val="00A33B44"/>
    <w:rPr>
      <w:color w:val="0000FF"/>
      <w:u w:val="single"/>
    </w:rPr>
  </w:style>
  <w:style w:type="character" w:styleId="LineNumber">
    <w:name w:val="line number"/>
    <w:basedOn w:val="DefaultParagraphFont"/>
    <w:uiPriority w:val="99"/>
    <w:semiHidden/>
    <w:unhideWhenUsed/>
    <w:rsid w:val="00A33B44"/>
  </w:style>
  <w:style w:type="paragraph" w:customStyle="1" w:styleId="Table">
    <w:name w:val="Table"/>
    <w:basedOn w:val="ListParagraph"/>
    <w:link w:val="TableChar"/>
    <w:qFormat/>
    <w:rsid w:val="00A33B44"/>
    <w:pPr>
      <w:spacing w:after="120"/>
      <w:ind w:left="0"/>
      <w:jc w:val="center"/>
    </w:pPr>
    <w:rPr>
      <w:rFonts w:eastAsia="Times New Roman" w:cs="Times New Roman"/>
      <w:b/>
      <w:szCs w:val="24"/>
    </w:rPr>
  </w:style>
  <w:style w:type="character" w:customStyle="1" w:styleId="TableChar">
    <w:name w:val="Table Char"/>
    <w:basedOn w:val="DefaultParagraphFont"/>
    <w:link w:val="Table"/>
    <w:rsid w:val="00A33B44"/>
    <w:rPr>
      <w:rFonts w:ascii="Times New Roman" w:eastAsia="Times New Roman" w:hAnsi="Times New Roman" w:cs="Times New Roman"/>
      <w:b/>
      <w:sz w:val="24"/>
      <w:szCs w:val="24"/>
      <w:lang w:val="en-CA"/>
    </w:rPr>
  </w:style>
  <w:style w:type="table" w:customStyle="1" w:styleId="TableGrid1">
    <w:name w:val="Table Grid1"/>
    <w:basedOn w:val="TableNormal"/>
    <w:next w:val="TableGrid"/>
    <w:uiPriority w:val="59"/>
    <w:rsid w:val="00A33B44"/>
    <w:pPr>
      <w:spacing w:after="0" w:line="240" w:lineRule="auto"/>
      <w:jc w:val="both"/>
    </w:pPr>
    <w:rPr>
      <w:rFonts w:ascii="Times New Roman" w:hAnsi="Times New Roman" w:cs="Times New Roman"/>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3B44"/>
    <w:pPr>
      <w:spacing w:before="100" w:beforeAutospacing="1" w:after="100" w:afterAutospacing="1"/>
      <w:jc w:val="left"/>
    </w:pPr>
    <w:rPr>
      <w:rFonts w:eastAsia="Times New Roman" w:cs="Times New Roman"/>
      <w:szCs w:val="24"/>
      <w:lang w:val="en-US"/>
    </w:rPr>
  </w:style>
  <w:style w:type="character" w:styleId="FollowedHyperlink">
    <w:name w:val="FollowedHyperlink"/>
    <w:basedOn w:val="DefaultParagraphFont"/>
    <w:uiPriority w:val="99"/>
    <w:semiHidden/>
    <w:unhideWhenUsed/>
    <w:rsid w:val="00A33B44"/>
    <w:rPr>
      <w:color w:val="954F72" w:themeColor="followedHyperlink"/>
      <w:u w:val="single"/>
    </w:rPr>
  </w:style>
  <w:style w:type="paragraph" w:styleId="NoSpacing">
    <w:name w:val="No Spacing"/>
    <w:uiPriority w:val="1"/>
    <w:qFormat/>
    <w:rsid w:val="00A33B44"/>
    <w:pPr>
      <w:spacing w:after="0" w:line="240" w:lineRule="auto"/>
      <w:jc w:val="both"/>
    </w:pPr>
    <w:rPr>
      <w:rFonts w:ascii="Times New Roman" w:hAnsi="Times New Roman"/>
      <w:sz w:val="24"/>
      <w:lang w:val="en-CA"/>
    </w:rPr>
  </w:style>
  <w:style w:type="paragraph" w:styleId="Subtitle">
    <w:name w:val="Subtitle"/>
    <w:basedOn w:val="Normal"/>
    <w:next w:val="Normal"/>
    <w:link w:val="SubtitleChar"/>
    <w:uiPriority w:val="11"/>
    <w:qFormat/>
    <w:rsid w:val="00A33B44"/>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A33B44"/>
    <w:rPr>
      <w:rFonts w:eastAsiaTheme="minorEastAsia"/>
      <w:color w:val="5A5A5A" w:themeColor="text1" w:themeTint="A5"/>
      <w:spacing w:val="15"/>
      <w:lang w:val="en-CA"/>
    </w:rPr>
  </w:style>
  <w:style w:type="paragraph" w:styleId="Title">
    <w:name w:val="Title"/>
    <w:basedOn w:val="Normal"/>
    <w:next w:val="Normal"/>
    <w:link w:val="TitleChar"/>
    <w:uiPriority w:val="10"/>
    <w:qFormat/>
    <w:rsid w:val="00A33B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3B44"/>
    <w:rPr>
      <w:rFonts w:asciiTheme="majorHAnsi" w:eastAsiaTheme="majorEastAsia" w:hAnsiTheme="majorHAnsi" w:cstheme="majorBidi"/>
      <w:spacing w:val="-10"/>
      <w:kern w:val="28"/>
      <w:sz w:val="56"/>
      <w:szCs w:val="56"/>
      <w:lang w:val="en-CA"/>
    </w:rPr>
  </w:style>
  <w:style w:type="character" w:customStyle="1" w:styleId="contribdegrees">
    <w:name w:val="contribdegrees"/>
    <w:basedOn w:val="DefaultParagraphFont"/>
    <w:rsid w:val="00A33B44"/>
  </w:style>
  <w:style w:type="character" w:customStyle="1" w:styleId="ui-helper-hidden-accessible">
    <w:name w:val="ui-helper-hidden-accessible"/>
    <w:basedOn w:val="DefaultParagraphFont"/>
    <w:rsid w:val="00A33B44"/>
  </w:style>
  <w:style w:type="character" w:customStyle="1" w:styleId="institution">
    <w:name w:val="institution"/>
    <w:basedOn w:val="DefaultParagraphFont"/>
    <w:rsid w:val="00A33B44"/>
  </w:style>
  <w:style w:type="character" w:styleId="Strong">
    <w:name w:val="Strong"/>
    <w:basedOn w:val="DefaultParagraphFont"/>
    <w:uiPriority w:val="22"/>
    <w:qFormat/>
    <w:rsid w:val="00A33B44"/>
    <w:rPr>
      <w:b/>
      <w:bCs/>
    </w:rPr>
  </w:style>
  <w:style w:type="character" w:styleId="Emphasis">
    <w:name w:val="Emphasis"/>
    <w:basedOn w:val="DefaultParagraphFont"/>
    <w:uiPriority w:val="20"/>
    <w:qFormat/>
    <w:rsid w:val="00A33B44"/>
    <w:rPr>
      <w:i/>
      <w:iCs/>
    </w:rPr>
  </w:style>
  <w:style w:type="paragraph" w:styleId="CommentSubject">
    <w:name w:val="annotation subject"/>
    <w:basedOn w:val="CommentText"/>
    <w:next w:val="CommentText"/>
    <w:link w:val="CommentSubjectChar"/>
    <w:uiPriority w:val="99"/>
    <w:semiHidden/>
    <w:unhideWhenUsed/>
    <w:rsid w:val="00A33B44"/>
    <w:pPr>
      <w:spacing w:after="0" w:line="240" w:lineRule="auto"/>
      <w:jc w:val="both"/>
    </w:pPr>
    <w:rPr>
      <w:rFonts w:ascii="Times New Roman" w:hAnsi="Times New Roman"/>
      <w:b/>
      <w:bCs/>
    </w:rPr>
  </w:style>
  <w:style w:type="character" w:customStyle="1" w:styleId="CommentSubjectChar">
    <w:name w:val="Comment Subject Char"/>
    <w:basedOn w:val="CommentTextChar"/>
    <w:link w:val="CommentSubject"/>
    <w:uiPriority w:val="99"/>
    <w:semiHidden/>
    <w:rsid w:val="00A33B44"/>
    <w:rPr>
      <w:rFonts w:ascii="Times New Roman" w:eastAsia="Times New Roman" w:hAnsi="Times New Roman" w:cs="Times New Roman"/>
      <w:b/>
      <w:bCs/>
      <w:sz w:val="20"/>
      <w:szCs w:val="20"/>
      <w:lang w:val="en-CA"/>
    </w:rPr>
  </w:style>
  <w:style w:type="paragraph" w:customStyle="1" w:styleId="EndNoteBibliographyTitle">
    <w:name w:val="EndNote Bibliography Title"/>
    <w:basedOn w:val="Normal"/>
    <w:link w:val="EndNoteBibliographyTitleChar"/>
    <w:rsid w:val="00A33B44"/>
    <w:pPr>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A33B44"/>
    <w:rPr>
      <w:rFonts w:ascii="Times New Roman" w:hAnsi="Times New Roman" w:cs="Times New Roman"/>
      <w:noProof/>
      <w:sz w:val="24"/>
    </w:rPr>
  </w:style>
  <w:style w:type="paragraph" w:customStyle="1" w:styleId="EndNoteBibliography">
    <w:name w:val="EndNote Bibliography"/>
    <w:basedOn w:val="Normal"/>
    <w:link w:val="EndNoteBibliographyChar"/>
    <w:rsid w:val="00A33B44"/>
    <w:rPr>
      <w:rFonts w:cs="Times New Roman"/>
      <w:noProof/>
      <w:lang w:val="en-US"/>
    </w:rPr>
  </w:style>
  <w:style w:type="character" w:customStyle="1" w:styleId="EndNoteBibliographyChar">
    <w:name w:val="EndNote Bibliography Char"/>
    <w:basedOn w:val="DefaultParagraphFont"/>
    <w:link w:val="EndNoteBibliography"/>
    <w:rsid w:val="00A33B44"/>
    <w:rPr>
      <w:rFonts w:ascii="Times New Roman" w:hAnsi="Times New Roman" w:cs="Times New Roman"/>
      <w:noProof/>
      <w:sz w:val="24"/>
    </w:rPr>
  </w:style>
  <w:style w:type="table" w:customStyle="1" w:styleId="TableGrid2">
    <w:name w:val="Table Grid2"/>
    <w:basedOn w:val="TableNormal"/>
    <w:next w:val="TableGrid"/>
    <w:uiPriority w:val="59"/>
    <w:rsid w:val="00A33B44"/>
    <w:pPr>
      <w:spacing w:after="0" w:line="240" w:lineRule="auto"/>
      <w:jc w:val="both"/>
    </w:pPr>
    <w:rPr>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A33B44"/>
    <w:rPr>
      <w:color w:val="808080"/>
      <w:shd w:val="clear" w:color="auto" w:fill="E6E6E6"/>
    </w:rPr>
  </w:style>
  <w:style w:type="paragraph" w:styleId="Caption">
    <w:name w:val="caption"/>
    <w:basedOn w:val="Normal"/>
    <w:next w:val="Normal"/>
    <w:uiPriority w:val="35"/>
    <w:unhideWhenUsed/>
    <w:qFormat/>
    <w:rsid w:val="00A33B4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shiur@" TargetMode="Externa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37157-01DE-44FB-8190-560A31F8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27</Pages>
  <Words>10075</Words>
  <Characters>57429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Shamsunnahar Yasmin</dc:creator>
  <cp:keywords/>
  <dc:description/>
  <cp:lastModifiedBy>Naveen Eluru</cp:lastModifiedBy>
  <cp:revision>27</cp:revision>
  <cp:lastPrinted>2019-07-11T15:03:00Z</cp:lastPrinted>
  <dcterms:created xsi:type="dcterms:W3CDTF">2019-06-28T11:57:00Z</dcterms:created>
  <dcterms:modified xsi:type="dcterms:W3CDTF">2019-07-11T15:04:00Z</dcterms:modified>
</cp:coreProperties>
</file>