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063C" w14:textId="69BB0557" w:rsidR="00702415" w:rsidRPr="00330640" w:rsidRDefault="00BD6315" w:rsidP="00DF7B18">
      <w:pPr>
        <w:rPr>
          <w:b/>
          <w:bCs/>
          <w:sz w:val="28"/>
          <w:szCs w:val="28"/>
        </w:rPr>
      </w:pPr>
      <w:r>
        <w:rPr>
          <w:b/>
          <w:bCs/>
          <w:sz w:val="28"/>
          <w:szCs w:val="28"/>
        </w:rPr>
        <w:t xml:space="preserve">A Note on </w:t>
      </w:r>
      <w:r w:rsidR="00DF7B18" w:rsidRPr="00330640">
        <w:rPr>
          <w:b/>
          <w:bCs/>
          <w:sz w:val="28"/>
          <w:szCs w:val="28"/>
        </w:rPr>
        <w:t xml:space="preserve">Estimating Safety Performance Functions with a </w:t>
      </w:r>
      <w:r w:rsidR="005D4EE9" w:rsidRPr="00330640">
        <w:rPr>
          <w:b/>
          <w:bCs/>
          <w:sz w:val="28"/>
          <w:szCs w:val="28"/>
        </w:rPr>
        <w:t>Flexible Specification</w:t>
      </w:r>
      <w:r w:rsidR="00127D02" w:rsidRPr="00330640">
        <w:rPr>
          <w:b/>
          <w:bCs/>
          <w:sz w:val="28"/>
          <w:szCs w:val="28"/>
        </w:rPr>
        <w:t xml:space="preserve"> of Traffic Volume</w:t>
      </w:r>
    </w:p>
    <w:p w14:paraId="37C48342" w14:textId="1DD5FE5D" w:rsidR="003C6D83" w:rsidRPr="00330640" w:rsidRDefault="003C6D83" w:rsidP="00DF7B18">
      <w:pPr>
        <w:rPr>
          <w:i/>
          <w:iCs/>
        </w:rPr>
      </w:pPr>
    </w:p>
    <w:p w14:paraId="67D62E0D" w14:textId="77777777" w:rsidR="007B1258" w:rsidRDefault="007B1258" w:rsidP="007B1258">
      <w:pPr>
        <w:jc w:val="left"/>
        <w:rPr>
          <w:rFonts w:eastAsia="Calibri" w:cs="Times New Roman"/>
          <w:b/>
        </w:rPr>
      </w:pPr>
    </w:p>
    <w:p w14:paraId="47E725D6" w14:textId="6A8AD875" w:rsidR="007B1258" w:rsidRPr="00494C5F" w:rsidRDefault="007B1258" w:rsidP="007B1258">
      <w:pPr>
        <w:jc w:val="left"/>
        <w:rPr>
          <w:rFonts w:eastAsia="Calibri" w:cs="Times New Roman"/>
          <w:b/>
        </w:rPr>
      </w:pPr>
      <w:r w:rsidRPr="00494C5F">
        <w:rPr>
          <w:rFonts w:eastAsia="Calibri" w:cs="Times New Roman"/>
          <w:b/>
        </w:rPr>
        <w:t>Naveen Eluru</w:t>
      </w:r>
      <w:r w:rsidR="00CB307D">
        <w:rPr>
          <w:rFonts w:eastAsia="Calibri" w:cs="Times New Roman"/>
          <w:b/>
        </w:rPr>
        <w:t>*</w:t>
      </w:r>
    </w:p>
    <w:p w14:paraId="09A369EC" w14:textId="77777777" w:rsidR="007B1258" w:rsidRPr="00494C5F" w:rsidRDefault="007B1258" w:rsidP="007B1258">
      <w:pPr>
        <w:jc w:val="left"/>
        <w:rPr>
          <w:rFonts w:eastAsia="Calibri" w:cs="Times New Roman"/>
        </w:rPr>
      </w:pPr>
      <w:r w:rsidRPr="00494C5F">
        <w:rPr>
          <w:rFonts w:eastAsia="Calibri" w:cs="Times New Roman"/>
        </w:rPr>
        <w:t>Professor</w:t>
      </w:r>
    </w:p>
    <w:p w14:paraId="5D233AC7" w14:textId="77777777" w:rsidR="007B1258" w:rsidRPr="00494C5F" w:rsidRDefault="007B1258" w:rsidP="007B1258">
      <w:pPr>
        <w:jc w:val="left"/>
        <w:rPr>
          <w:rFonts w:eastAsia="Calibri" w:cs="Times New Roman"/>
        </w:rPr>
      </w:pPr>
      <w:r w:rsidRPr="00494C5F">
        <w:rPr>
          <w:rFonts w:eastAsia="Calibri" w:cs="Times New Roman"/>
        </w:rPr>
        <w:t xml:space="preserve">Department of Civil, Environmental </w:t>
      </w:r>
      <w:r>
        <w:rPr>
          <w:rFonts w:eastAsia="Calibri" w:cs="Times New Roman"/>
        </w:rPr>
        <w:t>&amp;</w:t>
      </w:r>
      <w:r w:rsidRPr="00494C5F">
        <w:rPr>
          <w:rFonts w:eastAsia="Calibri" w:cs="Times New Roman"/>
        </w:rPr>
        <w:t xml:space="preserve"> Construction Engineering</w:t>
      </w:r>
    </w:p>
    <w:p w14:paraId="2B92DF67" w14:textId="77777777" w:rsidR="007B1258" w:rsidRPr="00494C5F" w:rsidRDefault="007B1258" w:rsidP="007B1258">
      <w:pPr>
        <w:jc w:val="left"/>
        <w:rPr>
          <w:rFonts w:eastAsia="Calibri" w:cs="Times New Roman"/>
        </w:rPr>
      </w:pPr>
      <w:r w:rsidRPr="00494C5F">
        <w:rPr>
          <w:rFonts w:eastAsia="Calibri" w:cs="Times New Roman"/>
        </w:rPr>
        <w:t>University of Central Florida</w:t>
      </w:r>
    </w:p>
    <w:p w14:paraId="3C91369A" w14:textId="33E087FF" w:rsidR="007B1258" w:rsidRPr="00494C5F" w:rsidRDefault="007B1258" w:rsidP="007B1258">
      <w:pPr>
        <w:jc w:val="left"/>
        <w:rPr>
          <w:rFonts w:eastAsia="Calibri" w:cs="Times New Roman"/>
        </w:rPr>
      </w:pPr>
      <w:r w:rsidRPr="00494C5F">
        <w:rPr>
          <w:rFonts w:eastAsia="Calibri" w:cs="Times New Roman"/>
        </w:rPr>
        <w:t>Tel: 407-823-4815</w:t>
      </w:r>
    </w:p>
    <w:p w14:paraId="29E89706" w14:textId="77777777" w:rsidR="007B1258" w:rsidRDefault="007B1258" w:rsidP="007B1258">
      <w:pPr>
        <w:jc w:val="left"/>
        <w:rPr>
          <w:rFonts w:eastAsia="Calibri" w:cs="Times New Roman"/>
          <w:color w:val="0000FF"/>
          <w:u w:val="single"/>
        </w:rPr>
      </w:pPr>
      <w:r w:rsidRPr="00494C5F">
        <w:rPr>
          <w:rFonts w:eastAsia="Calibri" w:cs="Times New Roman"/>
        </w:rPr>
        <w:t xml:space="preserve">Email: </w:t>
      </w:r>
      <w:hyperlink r:id="rId8" w:history="1">
        <w:r w:rsidRPr="00494C5F">
          <w:rPr>
            <w:rFonts w:eastAsia="Calibri" w:cs="Times New Roman"/>
            <w:color w:val="0000FF"/>
            <w:u w:val="single"/>
          </w:rPr>
          <w:t>naveen.eluru@ucf.edu</w:t>
        </w:r>
      </w:hyperlink>
    </w:p>
    <w:p w14:paraId="70229232" w14:textId="77777777" w:rsidR="007B1258" w:rsidRDefault="007B1258" w:rsidP="00996C13">
      <w:pPr>
        <w:rPr>
          <w:b/>
          <w:bCs/>
        </w:rPr>
      </w:pPr>
    </w:p>
    <w:p w14:paraId="6139213C" w14:textId="77777777" w:rsidR="007B1258" w:rsidRDefault="007B1258" w:rsidP="00996C13">
      <w:pPr>
        <w:rPr>
          <w:b/>
          <w:bCs/>
        </w:rPr>
      </w:pPr>
    </w:p>
    <w:p w14:paraId="7289CEA8" w14:textId="77777777" w:rsidR="008E16E6" w:rsidRDefault="007B1258" w:rsidP="00996C13">
      <w:pPr>
        <w:rPr>
          <w:b/>
          <w:bCs/>
        </w:rPr>
      </w:pPr>
      <w:r w:rsidRPr="007B1258">
        <w:rPr>
          <w:b/>
          <w:bCs/>
        </w:rPr>
        <w:t>Vikash V. Gayah</w:t>
      </w:r>
    </w:p>
    <w:p w14:paraId="1B7F6BA3" w14:textId="1AD191E4" w:rsidR="00FA3A28" w:rsidRPr="00494C5F" w:rsidRDefault="00FA3A28" w:rsidP="00FA3A28">
      <w:pPr>
        <w:jc w:val="left"/>
        <w:rPr>
          <w:rFonts w:eastAsia="Calibri" w:cs="Times New Roman"/>
        </w:rPr>
      </w:pPr>
      <w:r>
        <w:rPr>
          <w:rFonts w:eastAsia="Calibri" w:cs="Times New Roman"/>
        </w:rPr>
        <w:t xml:space="preserve">Associate </w:t>
      </w:r>
      <w:r w:rsidRPr="00494C5F">
        <w:rPr>
          <w:rFonts w:eastAsia="Calibri" w:cs="Times New Roman"/>
        </w:rPr>
        <w:t>Professor</w:t>
      </w:r>
    </w:p>
    <w:p w14:paraId="33AD88C4" w14:textId="5B98EA7F" w:rsidR="008E16E6" w:rsidRPr="008E16E6" w:rsidRDefault="008E16E6" w:rsidP="00996C13">
      <w:r w:rsidRPr="008E16E6">
        <w:t xml:space="preserve">Department of Civil and Environmental Engineering, </w:t>
      </w:r>
    </w:p>
    <w:p w14:paraId="546848EA" w14:textId="76479856" w:rsidR="008E16E6" w:rsidRDefault="008E16E6" w:rsidP="00996C13">
      <w:r w:rsidRPr="008E16E6">
        <w:t>The Pennsylvania State University</w:t>
      </w:r>
    </w:p>
    <w:p w14:paraId="0A89DA6A" w14:textId="47CE1315" w:rsidR="004C6BD7" w:rsidRPr="00494C5F" w:rsidRDefault="004C6BD7" w:rsidP="004C6BD7">
      <w:pPr>
        <w:jc w:val="left"/>
        <w:rPr>
          <w:rFonts w:eastAsia="Calibri" w:cs="Times New Roman"/>
        </w:rPr>
      </w:pPr>
      <w:r w:rsidRPr="00494C5F">
        <w:rPr>
          <w:rFonts w:eastAsia="Calibri" w:cs="Times New Roman"/>
        </w:rPr>
        <w:t xml:space="preserve">Tel: </w:t>
      </w:r>
      <w:r w:rsidR="00BE035B" w:rsidRPr="00BE035B">
        <w:rPr>
          <w:rFonts w:eastAsia="Calibri" w:cs="Times New Roman"/>
        </w:rPr>
        <w:t>814-865-4014</w:t>
      </w:r>
    </w:p>
    <w:p w14:paraId="4D4438ED" w14:textId="77777777" w:rsidR="00CB307D" w:rsidRDefault="004C6BD7" w:rsidP="00996C13">
      <w:r w:rsidRPr="004C6BD7">
        <w:t xml:space="preserve">E-mail: </w:t>
      </w:r>
      <w:hyperlink r:id="rId9" w:history="1">
        <w:r w:rsidRPr="000C057F">
          <w:rPr>
            <w:rStyle w:val="Hyperlink"/>
          </w:rPr>
          <w:t>gayah@engr.psu.edu</w:t>
        </w:r>
      </w:hyperlink>
    </w:p>
    <w:p w14:paraId="7ABA7B5F" w14:textId="77777777" w:rsidR="00CB307D" w:rsidRDefault="00CB307D" w:rsidP="00996C13"/>
    <w:p w14:paraId="2D37A388" w14:textId="77777777" w:rsidR="00DB368C" w:rsidRDefault="00CB307D" w:rsidP="00996C13">
      <w:r>
        <w:t>*Corresponding Author</w:t>
      </w:r>
      <w:r w:rsidR="004C6BD7">
        <w:t xml:space="preserve"> </w:t>
      </w:r>
    </w:p>
    <w:p w14:paraId="7CD88EFB" w14:textId="77777777" w:rsidR="006F7092" w:rsidRDefault="006F7092" w:rsidP="00DB368C">
      <w:pPr>
        <w:jc w:val="center"/>
        <w:rPr>
          <w:rFonts w:cs="Times New Roman"/>
          <w:szCs w:val="24"/>
        </w:rPr>
      </w:pPr>
    </w:p>
    <w:p w14:paraId="581D551F" w14:textId="77777777" w:rsidR="006F7092" w:rsidRDefault="006F7092" w:rsidP="00DB368C">
      <w:pPr>
        <w:jc w:val="center"/>
        <w:rPr>
          <w:rFonts w:cs="Times New Roman"/>
          <w:szCs w:val="24"/>
        </w:rPr>
      </w:pPr>
    </w:p>
    <w:p w14:paraId="4E980E61" w14:textId="77777777" w:rsidR="006F7092" w:rsidRDefault="006F7092" w:rsidP="00DB368C">
      <w:pPr>
        <w:jc w:val="center"/>
        <w:rPr>
          <w:rFonts w:cs="Times New Roman"/>
          <w:szCs w:val="24"/>
        </w:rPr>
      </w:pPr>
    </w:p>
    <w:p w14:paraId="6F4DFBD9" w14:textId="77777777" w:rsidR="006F7092" w:rsidRDefault="006F7092" w:rsidP="00DB368C">
      <w:pPr>
        <w:jc w:val="center"/>
        <w:rPr>
          <w:rFonts w:cs="Times New Roman"/>
          <w:szCs w:val="24"/>
        </w:rPr>
      </w:pPr>
    </w:p>
    <w:p w14:paraId="759FA8E1" w14:textId="77777777" w:rsidR="006F7092" w:rsidRDefault="006F7092" w:rsidP="00DB368C">
      <w:pPr>
        <w:jc w:val="center"/>
        <w:rPr>
          <w:rFonts w:cs="Times New Roman"/>
          <w:szCs w:val="24"/>
        </w:rPr>
      </w:pPr>
    </w:p>
    <w:p w14:paraId="79B98943" w14:textId="77777777" w:rsidR="006F7092" w:rsidRDefault="006F7092" w:rsidP="00DB368C">
      <w:pPr>
        <w:jc w:val="center"/>
        <w:rPr>
          <w:rFonts w:cs="Times New Roman"/>
          <w:szCs w:val="24"/>
        </w:rPr>
      </w:pPr>
    </w:p>
    <w:p w14:paraId="1E27A35A" w14:textId="77777777" w:rsidR="006F7092" w:rsidRDefault="006F7092" w:rsidP="00DB368C">
      <w:pPr>
        <w:jc w:val="center"/>
        <w:rPr>
          <w:rFonts w:cs="Times New Roman"/>
          <w:szCs w:val="24"/>
        </w:rPr>
      </w:pPr>
    </w:p>
    <w:p w14:paraId="4A8968CE" w14:textId="22EDFEA0" w:rsidR="00DB368C" w:rsidRPr="003F3AEE" w:rsidRDefault="00CE394B" w:rsidP="00DB368C">
      <w:pPr>
        <w:jc w:val="center"/>
        <w:rPr>
          <w:rFonts w:cs="Times New Roman"/>
          <w:szCs w:val="24"/>
        </w:rPr>
      </w:pPr>
      <w:r>
        <w:rPr>
          <w:rFonts w:cs="Times New Roman"/>
          <w:szCs w:val="24"/>
        </w:rPr>
        <w:t>January</w:t>
      </w:r>
      <w:r w:rsidR="001910A3" w:rsidRPr="003F3AEE">
        <w:rPr>
          <w:rFonts w:cs="Times New Roman"/>
          <w:szCs w:val="24"/>
        </w:rPr>
        <w:t xml:space="preserve"> </w:t>
      </w:r>
      <w:r>
        <w:rPr>
          <w:rFonts w:cs="Times New Roman"/>
          <w:szCs w:val="24"/>
        </w:rPr>
        <w:t>3</w:t>
      </w:r>
      <w:r w:rsidR="00DB368C" w:rsidRPr="003F3AEE">
        <w:rPr>
          <w:rFonts w:cs="Times New Roman"/>
          <w:szCs w:val="24"/>
        </w:rPr>
        <w:t>, 20</w:t>
      </w:r>
      <w:r w:rsidR="00DB368C">
        <w:rPr>
          <w:rFonts w:cs="Times New Roman"/>
          <w:szCs w:val="24"/>
        </w:rPr>
        <w:t>2</w:t>
      </w:r>
      <w:r>
        <w:rPr>
          <w:rFonts w:cs="Times New Roman"/>
          <w:szCs w:val="24"/>
        </w:rPr>
        <w:t>2</w:t>
      </w:r>
    </w:p>
    <w:p w14:paraId="22BE6471" w14:textId="24D8D387" w:rsidR="00AC3A44" w:rsidRPr="008E16E6" w:rsidRDefault="008E16E6" w:rsidP="00996C13">
      <w:r w:rsidRPr="008E16E6">
        <w:t xml:space="preserve"> </w:t>
      </w:r>
      <w:r w:rsidR="00AC3A44" w:rsidRPr="008E16E6">
        <w:br w:type="page"/>
      </w:r>
    </w:p>
    <w:p w14:paraId="1B7D3171" w14:textId="77777777" w:rsidR="00664DF1" w:rsidRDefault="00664DF1" w:rsidP="00996C13">
      <w:pPr>
        <w:rPr>
          <w:b/>
          <w:bCs/>
        </w:rPr>
      </w:pPr>
      <w:r>
        <w:rPr>
          <w:b/>
          <w:bCs/>
        </w:rPr>
        <w:lastRenderedPageBreak/>
        <w:t>Abstract</w:t>
      </w:r>
    </w:p>
    <w:p w14:paraId="25D6C82F" w14:textId="453CB88A" w:rsidR="002E50BE" w:rsidRDefault="002A6AAC" w:rsidP="00996C13">
      <w:pPr>
        <w:rPr>
          <w:b/>
          <w:bCs/>
        </w:rPr>
      </w:pPr>
      <w:r>
        <w:t>In this note, a</w:t>
      </w:r>
      <w:r w:rsidR="002E50BE">
        <w:t xml:space="preserve"> flexible approach to allow for variation in the impact of </w:t>
      </w:r>
      <w:r w:rsidR="002C3644">
        <w:t xml:space="preserve">traffic volume in </w:t>
      </w:r>
      <w:r>
        <w:t xml:space="preserve">the estimation of </w:t>
      </w:r>
      <w:r w:rsidR="002C3644">
        <w:t>Safety Performance Function</w:t>
      </w:r>
      <w:r>
        <w:t>s</w:t>
      </w:r>
      <w:r w:rsidR="002C3644">
        <w:t xml:space="preserve"> (SPF</w:t>
      </w:r>
      <w:r>
        <w:t>s</w:t>
      </w:r>
      <w:r w:rsidR="002C3644">
        <w:t>)</w:t>
      </w:r>
      <w:r>
        <w:t xml:space="preserve"> is proposed</w:t>
      </w:r>
      <w:r w:rsidR="002E50BE">
        <w:t>. The approach generalizes a recently proposed approach by Gayah and Don</w:t>
      </w:r>
      <w:r w:rsidR="005E2585">
        <w:t>n</w:t>
      </w:r>
      <w:r w:rsidR="002E50BE">
        <w:t>ell (2021)</w:t>
      </w:r>
      <w:r w:rsidR="00051680">
        <w:t xml:space="preserve"> </w:t>
      </w:r>
      <w:r w:rsidR="001C0254">
        <w:t xml:space="preserve">(GD) </w:t>
      </w:r>
      <w:r w:rsidR="00051680">
        <w:t>titled “</w:t>
      </w:r>
      <w:r w:rsidR="00CE2FA7" w:rsidRPr="00506A16">
        <w:t>Estimating safety performance functions for two-lane rural roads using an alternative functional form for traffic volume</w:t>
      </w:r>
      <w:r w:rsidR="00051680">
        <w:t>”</w:t>
      </w:r>
      <w:r w:rsidR="002E50BE">
        <w:t xml:space="preserve">. </w:t>
      </w:r>
      <w:r w:rsidR="001C0254">
        <w:t xml:space="preserve">GD approach proposes a multiple regime structure for AADT impact while explicitly constraining the impact at the regime threshold to be the same.  </w:t>
      </w:r>
      <w:r w:rsidR="0055714D">
        <w:t xml:space="preserve">While the GD approach </w:t>
      </w:r>
      <w:r w:rsidR="00A850F1">
        <w:t>provides a flexible structure</w:t>
      </w:r>
      <w:r w:rsidR="0055714D">
        <w:t xml:space="preserve">, the framework as proposed calls for careful judgement for threshold selection and additional model estimation complexity for the AADT constraint. </w:t>
      </w:r>
      <w:r w:rsidR="002E50BE">
        <w:t xml:space="preserve">The </w:t>
      </w:r>
      <w:r w:rsidR="0055714D">
        <w:t xml:space="preserve">current </w:t>
      </w:r>
      <w:r w:rsidR="002E50BE">
        <w:t xml:space="preserve">note establishes the equivalence of the proposed approach </w:t>
      </w:r>
      <w:r w:rsidR="0055714D">
        <w:t xml:space="preserve">with the GD approach </w:t>
      </w:r>
      <w:r w:rsidR="001077C9">
        <w:t xml:space="preserve">and subsequently presents a more flexible model structure that improves on the </w:t>
      </w:r>
      <w:r w:rsidR="00C2796F">
        <w:t>GD</w:t>
      </w:r>
      <w:r w:rsidR="001077C9">
        <w:t xml:space="preserve"> approach. </w:t>
      </w:r>
      <w:r w:rsidR="001F37E3">
        <w:t>Subsequently</w:t>
      </w:r>
      <w:r w:rsidR="001077C9">
        <w:t>,</w:t>
      </w:r>
      <w:r w:rsidR="002E50BE">
        <w:t xml:space="preserve"> we document the advantages of our proposed approach in terms of model estimation, parameter significance testing</w:t>
      </w:r>
      <w:r w:rsidR="00C84805">
        <w:t xml:space="preserve">, </w:t>
      </w:r>
      <w:r w:rsidR="002E50BE">
        <w:t xml:space="preserve">flexibility to consider multiple </w:t>
      </w:r>
      <w:r w:rsidR="00B33F9E">
        <w:t>traffic volume</w:t>
      </w:r>
      <w:r w:rsidR="002E50BE">
        <w:t xml:space="preserve"> ranges</w:t>
      </w:r>
      <w:r w:rsidR="00C84805">
        <w:t xml:space="preserve"> and ease of accommodating random parameters</w:t>
      </w:r>
      <w:r w:rsidR="002E50BE">
        <w:t xml:space="preserve"> for analysis.</w:t>
      </w:r>
      <w:r w:rsidR="001F37E3">
        <w:t xml:space="preserve"> Finally, we present </w:t>
      </w:r>
      <w:r w:rsidR="00C75DC0">
        <w:t xml:space="preserve">potential </w:t>
      </w:r>
      <w:r w:rsidR="001F37E3">
        <w:t xml:space="preserve">directions for future research. </w:t>
      </w:r>
    </w:p>
    <w:p w14:paraId="1EDBE647" w14:textId="77777777" w:rsidR="001F6BF6" w:rsidRDefault="001F6BF6">
      <w:pPr>
        <w:spacing w:before="0" w:after="160"/>
        <w:jc w:val="left"/>
        <w:rPr>
          <w:b/>
          <w:bCs/>
        </w:rPr>
      </w:pPr>
    </w:p>
    <w:p w14:paraId="205639B4" w14:textId="6CAD9B4D" w:rsidR="002E50BE" w:rsidRDefault="001F6BF6">
      <w:pPr>
        <w:spacing w:before="0" w:after="160"/>
        <w:jc w:val="left"/>
        <w:rPr>
          <w:b/>
          <w:bCs/>
        </w:rPr>
      </w:pPr>
      <w:r>
        <w:rPr>
          <w:b/>
          <w:bCs/>
        </w:rPr>
        <w:t xml:space="preserve">Keywords: </w:t>
      </w:r>
      <w:r w:rsidR="00B62C72" w:rsidRPr="00B62C72">
        <w:t>Safety Performance Function</w:t>
      </w:r>
      <w:r w:rsidR="00B62C72">
        <w:t xml:space="preserve">, </w:t>
      </w:r>
      <w:r w:rsidR="00451E2F">
        <w:t>t</w:t>
      </w:r>
      <w:r w:rsidR="00B62C72">
        <w:t xml:space="preserve">raffic </w:t>
      </w:r>
      <w:r w:rsidR="00451E2F">
        <w:t>v</w:t>
      </w:r>
      <w:r w:rsidR="00B62C72">
        <w:t xml:space="preserve">olume, </w:t>
      </w:r>
      <w:r w:rsidR="00B74B06">
        <w:t xml:space="preserve">and </w:t>
      </w:r>
      <w:r w:rsidR="00B42F13">
        <w:t xml:space="preserve">piece-wise </w:t>
      </w:r>
      <w:r w:rsidR="00B74B06">
        <w:t>linear regression</w:t>
      </w:r>
      <w:r w:rsidR="00B42F13">
        <w:t xml:space="preserve"> </w:t>
      </w:r>
      <w:r w:rsidR="002E50BE">
        <w:rPr>
          <w:b/>
          <w:bCs/>
        </w:rPr>
        <w:br w:type="page"/>
      </w:r>
    </w:p>
    <w:p w14:paraId="410BAE0D" w14:textId="375A5AB2" w:rsidR="002766D1" w:rsidRDefault="00D909C1" w:rsidP="00996C13">
      <w:pPr>
        <w:rPr>
          <w:b/>
          <w:bCs/>
        </w:rPr>
      </w:pPr>
      <w:r>
        <w:rPr>
          <w:b/>
          <w:bCs/>
        </w:rPr>
        <w:lastRenderedPageBreak/>
        <w:t xml:space="preserve">Background </w:t>
      </w:r>
    </w:p>
    <w:p w14:paraId="78C21C7F" w14:textId="3D7B5AF3" w:rsidR="00433F3B" w:rsidRDefault="002D66B1" w:rsidP="00433F3B">
      <w:pPr>
        <w:rPr>
          <w:rFonts w:eastAsia="Times New Roman" w:cs="Times New Roman"/>
          <w:szCs w:val="24"/>
        </w:rPr>
      </w:pPr>
      <w:r>
        <w:t>T</w:t>
      </w:r>
      <w:r w:rsidR="00D436A8">
        <w:t>raffic volume</w:t>
      </w:r>
      <w:r w:rsidR="004D6511">
        <w:t xml:space="preserve"> </w:t>
      </w:r>
      <w:r>
        <w:t>—</w:t>
      </w:r>
      <w:r w:rsidR="004D6511">
        <w:t xml:space="preserve"> </w:t>
      </w:r>
      <w:r>
        <w:t xml:space="preserve">typically </w:t>
      </w:r>
      <w:r w:rsidR="006637E5">
        <w:t xml:space="preserve">represented </w:t>
      </w:r>
      <w:r>
        <w:t xml:space="preserve">using </w:t>
      </w:r>
      <w:r w:rsidR="00737D77">
        <w:t xml:space="preserve">Average Annual Daily Traffic </w:t>
      </w:r>
      <w:r w:rsidR="006637E5">
        <w:t>(</w:t>
      </w:r>
      <w:r w:rsidR="00737D77">
        <w:t>AADT</w:t>
      </w:r>
      <w:r>
        <w:t>)</w:t>
      </w:r>
      <w:r w:rsidR="004D6511">
        <w:t xml:space="preserve"> </w:t>
      </w:r>
      <w:r>
        <w:t>—</w:t>
      </w:r>
      <w:r w:rsidR="004D6511">
        <w:t xml:space="preserve"> </w:t>
      </w:r>
      <w:r>
        <w:t xml:space="preserve">are </w:t>
      </w:r>
      <w:r w:rsidR="00D436A8">
        <w:t xml:space="preserve">considered </w:t>
      </w:r>
      <w:r w:rsidR="00737D77">
        <w:t>in</w:t>
      </w:r>
      <w:r w:rsidR="00D436A8">
        <w:t xml:space="preserve"> Safety Performance </w:t>
      </w:r>
      <w:r w:rsidR="00140DDF">
        <w:t>Function</w:t>
      </w:r>
      <w:r w:rsidR="00936373">
        <w:t xml:space="preserve"> (SPF)</w:t>
      </w:r>
      <w:r w:rsidR="00D436A8">
        <w:t xml:space="preserve"> estimation</w:t>
      </w:r>
      <w:r w:rsidR="006774F1">
        <w:t xml:space="preserve"> </w:t>
      </w:r>
      <w:r w:rsidR="002A2079">
        <w:t>employing</w:t>
      </w:r>
      <w:r w:rsidR="006774F1">
        <w:t xml:space="preserve"> </w:t>
      </w:r>
      <w:r w:rsidR="002E675E">
        <w:t xml:space="preserve">a natural logarithm </w:t>
      </w:r>
      <w:r w:rsidR="002A2079">
        <w:t xml:space="preserve">transformation. </w:t>
      </w:r>
      <w:r w:rsidR="00433F3B">
        <w:t xml:space="preserve">The </w:t>
      </w:r>
      <w:r w:rsidR="00757665">
        <w:t xml:space="preserve">natural logarithm of the </w:t>
      </w:r>
      <w:r w:rsidR="00433F3B">
        <w:rPr>
          <w:rFonts w:eastAsia="Times New Roman" w:cs="Times New Roman"/>
        </w:rPr>
        <w:t xml:space="preserve">expected number of crashes on a facility </w:t>
      </w:r>
      <w:proofErr w:type="spellStart"/>
      <w:r w:rsidR="00433F3B" w:rsidRPr="00433F3B">
        <w:rPr>
          <w:rFonts w:eastAsia="Times New Roman" w:cs="Times New Roman"/>
          <w:i/>
          <w:iCs/>
        </w:rPr>
        <w:t>i</w:t>
      </w:r>
      <w:proofErr w:type="spellEnd"/>
      <w:r w:rsidR="00433F3B">
        <w:rPr>
          <w:rFonts w:eastAsia="Times New Roman" w:cs="Times New Roman"/>
        </w:rPr>
        <w:t xml:space="preserve"> </w:t>
      </w:r>
      <w:r w:rsidR="006212D8">
        <w:rPr>
          <w:rFonts w:eastAsia="Times New Roman" w:cs="Times New Roman"/>
        </w:rPr>
        <w:t>(</w:t>
      </w:r>
      <m:oMath>
        <m:sSub>
          <m:sSubPr>
            <m:ctrlPr>
              <w:rPr>
                <w:rFonts w:ascii="Cambria Math" w:eastAsia="Calibri" w:hAnsi="Cambria Math" w:cs="Times New Roman"/>
                <w:i/>
              </w:rPr>
            </m:ctrlPr>
          </m:sSubPr>
          <m:e>
            <m:r>
              <w:rPr>
                <w:rFonts w:ascii="Cambria Math" w:eastAsia="Calibri" w:hAnsi="Cambria Math" w:cs="Times New Roman"/>
              </w:rPr>
              <m:t>μ</m:t>
            </m:r>
          </m:e>
          <m:sub>
            <m:r>
              <w:rPr>
                <w:rFonts w:ascii="Cambria Math" w:eastAsia="Calibri" w:hAnsi="Cambria Math" w:cs="Times New Roman"/>
              </w:rPr>
              <m:t>i</m:t>
            </m:r>
          </m:sub>
        </m:sSub>
        <m:r>
          <w:rPr>
            <w:rFonts w:ascii="Cambria Math" w:eastAsia="Calibri" w:hAnsi="Cambria Math" w:cs="Times New Roman"/>
          </w:rPr>
          <m:t>)</m:t>
        </m:r>
      </m:oMath>
      <w:r w:rsidR="00433F3B">
        <w:rPr>
          <w:rFonts w:eastAsia="Times New Roman" w:cs="Times New Roman"/>
        </w:rPr>
        <w:t xml:space="preserve"> </w:t>
      </w:r>
      <w:r w:rsidR="006212D8">
        <w:rPr>
          <w:rFonts w:eastAsia="Times New Roman" w:cs="Times New Roman"/>
        </w:rPr>
        <w:t xml:space="preserve">is </w:t>
      </w:r>
      <w:r w:rsidR="00FB1509">
        <w:rPr>
          <w:rFonts w:eastAsia="Times New Roman" w:cs="Times New Roman"/>
        </w:rPr>
        <w:t xml:space="preserve">specified </w:t>
      </w:r>
      <w:r w:rsidR="00433F3B">
        <w:rPr>
          <w:rFonts w:eastAsia="Times New Roman" w:cs="Times New Roman"/>
        </w:rPr>
        <w:t xml:space="preserve">as a function of </w:t>
      </w:r>
      <w:r w:rsidR="00E64112">
        <w:rPr>
          <w:rFonts w:eastAsia="Times New Roman" w:cs="Times New Roman"/>
        </w:rPr>
        <w:t>AADT</w:t>
      </w:r>
      <w:r>
        <w:rPr>
          <w:rFonts w:eastAsia="Times New Roman" w:cs="Times New Roman"/>
        </w:rPr>
        <w:t xml:space="preserve"> (in log form)</w:t>
      </w:r>
      <w:r w:rsidR="00E64112">
        <w:rPr>
          <w:rFonts w:eastAsia="Times New Roman" w:cs="Times New Roman"/>
        </w:rPr>
        <w:t xml:space="preserve"> and other </w:t>
      </w:r>
      <w:r w:rsidR="00433F3B">
        <w:rPr>
          <w:rFonts w:eastAsia="Times New Roman" w:cs="Times New Roman"/>
        </w:rPr>
        <w:t>explanatory variables using a log-link function 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433F3B" w:rsidRPr="0010387C" w14:paraId="00EC838E" w14:textId="77777777" w:rsidTr="007C7BE0">
        <w:tc>
          <w:tcPr>
            <w:tcW w:w="4349" w:type="pct"/>
            <w:vAlign w:val="center"/>
          </w:tcPr>
          <w:p w14:paraId="49CC31F1" w14:textId="2B4D80E9" w:rsidR="00433F3B" w:rsidRPr="00897164" w:rsidRDefault="004123F5" w:rsidP="00EE3F8B">
            <w:pPr>
              <w:rPr>
                <w:rFonts w:eastAsia="Calibri" w:cs="Times New Roman"/>
                <w:szCs w:val="24"/>
                <w:lang w:val="en-US"/>
              </w:rPr>
            </w:pPr>
            <m:oMathPara>
              <m:oMathParaPr>
                <m:jc m:val="left"/>
              </m:oMathPara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ln</m:t>
                    </m:r>
                    <m:r>
                      <m:rPr>
                        <m:sty m:val="p"/>
                      </m:rPr>
                      <w:rPr>
                        <w:rFonts w:ascii="Cambria Math" w:eastAsia="Times New Roman" w:hAnsi="Cambria Math" w:cs="Times New Roman"/>
                        <w:szCs w:val="24"/>
                        <w:lang w:val="en-US"/>
                      </w:rPr>
                      <m:t>⁡</m:t>
                    </m:r>
                    <m:r>
                      <w:rPr>
                        <w:rFonts w:ascii="Cambria Math" w:eastAsia="Times New Roman" w:hAnsi="Cambria Math" w:cs="Times New Roman"/>
                        <w:szCs w:val="24"/>
                        <w:lang w:val="en-US"/>
                      </w:rPr>
                      <m:t>(μ</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hAnsi="Cambria Math"/>
                        <w:vertAlign w:val="subscript"/>
                      </w:rPr>
                    </m:ctrlPr>
                  </m:sSubPr>
                  <m:e>
                    <m:r>
                      <m:rPr>
                        <m:sty m:val="p"/>
                      </m:rPr>
                      <w:rPr>
                        <w:rFonts w:ascii="Cambria Math" w:hAnsi="Cambria Math"/>
                        <w:lang w:val="el-GR"/>
                      </w:rPr>
                      <m:t>β</m:t>
                    </m:r>
                  </m:e>
                  <m:sub>
                    <m:r>
                      <w:rPr>
                        <w:rFonts w:ascii="Cambria Math" w:hAnsi="Cambria Math"/>
                        <w:vertAlign w:val="subscript"/>
                      </w:rPr>
                      <m:t>AADT</m:t>
                    </m:r>
                  </m:sub>
                </m:sSub>
                <m:func>
                  <m:funcPr>
                    <m:ctrlPr>
                      <w:rPr>
                        <w:rFonts w:ascii="Cambria Math" w:hAnsi="Cambria Math"/>
                        <w:vertAlign w:val="subscript"/>
                      </w:rPr>
                    </m:ctrlPr>
                  </m:funcPr>
                  <m:fName>
                    <m:r>
                      <w:rPr>
                        <w:rFonts w:ascii="Cambria Math" w:hAnsi="Cambria Math"/>
                        <w:vertAlign w:val="subscript"/>
                      </w:rPr>
                      <m:t>ln</m:t>
                    </m:r>
                  </m:fName>
                  <m:e>
                    <m:d>
                      <m:dPr>
                        <m:ctrlPr>
                          <w:rPr>
                            <w:rFonts w:ascii="Cambria Math" w:hAnsi="Cambria Math"/>
                            <w:vertAlign w:val="subscript"/>
                          </w:rPr>
                        </m:ctrlPr>
                      </m:dPr>
                      <m:e>
                        <m:sSub>
                          <m:sSubPr>
                            <m:ctrlPr>
                              <w:rPr>
                                <w:rFonts w:ascii="Cambria Math" w:hAnsi="Cambria Math"/>
                                <w:vertAlign w:val="subscript"/>
                              </w:rPr>
                            </m:ctrlPr>
                          </m:sSubPr>
                          <m:e>
                            <m:r>
                              <m:rPr>
                                <m:sty m:val="p"/>
                              </m:rPr>
                              <w:rPr>
                                <w:rFonts w:ascii="Cambria Math" w:hAnsi="Cambria Math"/>
                                <w:vertAlign w:val="subscript"/>
                              </w:rPr>
                              <m:t>AADT</m:t>
                            </m:r>
                          </m:e>
                          <m:sub>
                            <m:r>
                              <w:rPr>
                                <w:rFonts w:ascii="Cambria Math" w:hAnsi="Cambria Math"/>
                                <w:vertAlign w:val="subscript"/>
                              </w:rPr>
                              <m:t>i</m:t>
                            </m:r>
                          </m:sub>
                        </m:sSub>
                      </m:e>
                    </m:d>
                  </m:e>
                </m:func>
                <m:r>
                  <m:rPr>
                    <m:sty m:val="p"/>
                  </m:rPr>
                  <w:rPr>
                    <w:rFonts w:ascii="Cambria Math" w:hAnsi="Cambria Math"/>
                    <w:vertAlign w:val="subscript"/>
                  </w:rPr>
                  <m:t>+γ</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m:t>
                    </m:r>
                  </m:sub>
                </m:sSub>
              </m:oMath>
            </m:oMathPara>
          </w:p>
        </w:tc>
        <w:tc>
          <w:tcPr>
            <w:tcW w:w="651" w:type="pct"/>
            <w:vAlign w:val="center"/>
          </w:tcPr>
          <w:p w14:paraId="39A4C37E" w14:textId="77777777" w:rsidR="00433F3B" w:rsidRPr="0010387C" w:rsidRDefault="00433F3B" w:rsidP="00EE3F8B">
            <w:pPr>
              <w:numPr>
                <w:ilvl w:val="0"/>
                <w:numId w:val="2"/>
              </w:numPr>
              <w:contextualSpacing/>
              <w:jc w:val="right"/>
              <w:rPr>
                <w:rFonts w:ascii="Calibri" w:eastAsia="Calibri" w:hAnsi="Calibri" w:cs="Times New Roman"/>
                <w:lang w:val="en-US"/>
              </w:rPr>
            </w:pPr>
          </w:p>
        </w:tc>
      </w:tr>
    </w:tbl>
    <w:p w14:paraId="5B3F2E32" w14:textId="34F18555" w:rsidR="00E64112" w:rsidRDefault="0003460E" w:rsidP="00996C13">
      <w:pPr>
        <w:rPr>
          <w:rFonts w:eastAsia="Times New Roman" w:cs="Times New Roman"/>
          <w:szCs w:val="24"/>
        </w:rPr>
      </w:pPr>
      <w:r>
        <w:t>where</w:t>
      </w:r>
      <w:r w:rsidR="00FD69CD">
        <w:t xml:space="preserve"> </w:t>
      </w:r>
      <m:oMath>
        <m:sSub>
          <m:sSubPr>
            <m:ctrlPr>
              <w:rPr>
                <w:rFonts w:ascii="Cambria Math" w:hAnsi="Cambria Math"/>
                <w:vertAlign w:val="subscript"/>
                <w:lang w:val="en-CA"/>
              </w:rPr>
            </m:ctrlPr>
          </m:sSubPr>
          <m:e>
            <m:r>
              <m:rPr>
                <m:sty m:val="p"/>
              </m:rPr>
              <w:rPr>
                <w:rFonts w:ascii="Cambria Math" w:hAnsi="Cambria Math"/>
                <w:lang w:val="el-GR"/>
              </w:rPr>
              <m:t>β</m:t>
            </m:r>
          </m:e>
          <m:sub>
            <m:r>
              <w:rPr>
                <w:rFonts w:ascii="Cambria Math" w:hAnsi="Cambria Math"/>
                <w:vertAlign w:val="subscript"/>
              </w:rPr>
              <m:t>AADT</m:t>
            </m:r>
          </m:sub>
        </m:sSub>
      </m:oMath>
      <w:r w:rsidR="00FD69CD">
        <w:rPr>
          <w:rFonts w:eastAsiaTheme="minorEastAsia"/>
          <w:vertAlign w:val="subscript"/>
          <w:lang w:val="en-CA"/>
        </w:rPr>
        <w:t xml:space="preserve"> </w:t>
      </w:r>
      <w:r w:rsidR="00FD69CD" w:rsidRPr="00FD69CD">
        <w:rPr>
          <w:rFonts w:eastAsiaTheme="minorEastAsia"/>
          <w:lang w:val="en-CA"/>
        </w:rPr>
        <w:t>represents</w:t>
      </w:r>
      <w:r w:rsidR="00FD69CD">
        <w:t xml:space="preserve"> the parameter for the natural logarithm of AADT for facility </w:t>
      </w:r>
      <w:proofErr w:type="spellStart"/>
      <w:r w:rsidR="00FD69CD" w:rsidRPr="00FD69CD">
        <w:rPr>
          <w:i/>
          <w:iCs/>
        </w:rPr>
        <w:t>i</w:t>
      </w:r>
      <w:proofErr w:type="spellEnd"/>
      <w:r w:rsidR="00FD69CD">
        <w:t>,</w:t>
      </w:r>
      <w:r>
        <w:t xml:space="preserve"> </w:t>
      </w:r>
      <m:oMath>
        <m:sSub>
          <m:sSubPr>
            <m:ctrlPr>
              <w:rPr>
                <w:rFonts w:ascii="Cambria Math" w:eastAsia="Times New Roman" w:hAnsi="Cambria Math" w:cs="Times New Roman"/>
                <w:i/>
                <w:szCs w:val="24"/>
              </w:rPr>
            </m:ctrlPr>
          </m:sSubPr>
          <m:e>
            <m:r>
              <m:rPr>
                <m:sty m:val="bi"/>
              </m:rPr>
              <w:rPr>
                <w:rFonts w:ascii="Cambria Math" w:eastAsia="Times New Roman" w:hAnsi="Cambria Math" w:cs="Times New Roman"/>
                <w:szCs w:val="24"/>
              </w:rPr>
              <m:t>z</m:t>
            </m:r>
          </m:e>
          <m:sub>
            <m:r>
              <w:rPr>
                <w:rFonts w:ascii="Cambria Math" w:eastAsia="Times New Roman" w:hAnsi="Cambria Math" w:cs="Times New Roman"/>
                <w:szCs w:val="24"/>
              </w:rPr>
              <m:t>i</m:t>
            </m:r>
          </m:sub>
        </m:sSub>
      </m:oMath>
      <w:r w:rsidR="004B02F2">
        <w:rPr>
          <w:rFonts w:eastAsia="Times New Roman" w:cs="Times New Roman"/>
          <w:szCs w:val="24"/>
        </w:rPr>
        <w:t xml:space="preserve"> is a vector of </w:t>
      </w:r>
      <w:r w:rsidR="00FD69CD">
        <w:rPr>
          <w:rFonts w:eastAsia="Times New Roman" w:cs="Times New Roman"/>
          <w:szCs w:val="24"/>
        </w:rPr>
        <w:t xml:space="preserve">other </w:t>
      </w:r>
      <w:r w:rsidR="004B02F2">
        <w:rPr>
          <w:rFonts w:eastAsia="Times New Roman" w:cs="Times New Roman"/>
          <w:szCs w:val="24"/>
        </w:rPr>
        <w:t>explanatory variables associated with facility</w:t>
      </w:r>
      <w:r w:rsidR="004B02F2">
        <w:rPr>
          <w:rFonts w:eastAsia="Times New Roman" w:cs="Times New Roman"/>
        </w:rPr>
        <w:t xml:space="preserve"> </w:t>
      </w:r>
      <m:oMath>
        <m:r>
          <w:rPr>
            <w:rFonts w:ascii="Cambria Math" w:eastAsia="Times New Roman" w:hAnsi="Cambria Math" w:cs="Times New Roman"/>
            <w:szCs w:val="24"/>
          </w:rPr>
          <m:t>i</m:t>
        </m:r>
      </m:oMath>
      <w:r w:rsidR="009D1300">
        <w:rPr>
          <w:rFonts w:eastAsia="Times New Roman" w:cs="Times New Roman"/>
          <w:szCs w:val="24"/>
        </w:rPr>
        <w:t xml:space="preserve"> including a constant</w:t>
      </w:r>
      <w:r w:rsidR="002D66B1">
        <w:rPr>
          <w:rFonts w:eastAsia="Times New Roman" w:cs="Times New Roman"/>
          <w:szCs w:val="24"/>
        </w:rPr>
        <w:t xml:space="preserve">, </w:t>
      </w:r>
      <m:oMath>
        <m:r>
          <m:rPr>
            <m:sty m:val="p"/>
          </m:rPr>
          <w:rPr>
            <w:rFonts w:ascii="Cambria Math" w:hAnsi="Cambria Math"/>
            <w:vertAlign w:val="subscript"/>
          </w:rPr>
          <m:t>γ</m:t>
        </m:r>
      </m:oMath>
      <w:r w:rsidR="00691ED6">
        <w:rPr>
          <w:rFonts w:eastAsia="Times New Roman" w:cs="Times New Roman"/>
          <w:b/>
          <w:szCs w:val="24"/>
        </w:rPr>
        <w:t xml:space="preserve"> </w:t>
      </w:r>
      <w:r w:rsidR="00691ED6" w:rsidRPr="0009216A">
        <w:rPr>
          <w:rFonts w:eastAsia="Times New Roman" w:cs="Times New Roman"/>
          <w:szCs w:val="24"/>
        </w:rPr>
        <w:t>is a vector of coefficients</w:t>
      </w:r>
      <w:r w:rsidR="00691ED6">
        <w:rPr>
          <w:rFonts w:eastAsia="Times New Roman" w:cs="Times New Roman"/>
          <w:szCs w:val="24"/>
        </w:rPr>
        <w:t xml:space="preserve"> to be estimated</w:t>
      </w:r>
      <w:r w:rsidR="002D66B1">
        <w:rPr>
          <w:rFonts w:eastAsia="Times New Roman" w:cs="Times New Roman"/>
          <w:szCs w:val="24"/>
        </w:rPr>
        <w:t xml:space="preserve">, and </w:t>
      </w:r>
      <w:r w:rsidR="00EF62C4">
        <w:rPr>
          <w:rFonts w:eastAsia="Times New Roman" w:cs="Times New Roman"/>
          <w:szCs w:val="24"/>
        </w:rPr>
        <w:t>exp(</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ε</m:t>
            </m:r>
          </m:e>
          <m:sub>
            <m:r>
              <w:rPr>
                <w:rFonts w:ascii="Cambria Math" w:eastAsia="Times New Roman" w:hAnsi="Cambria Math" w:cs="Times New Roman"/>
                <w:szCs w:val="24"/>
              </w:rPr>
              <m:t>i</m:t>
            </m:r>
          </m:sub>
        </m:sSub>
        <m:r>
          <w:rPr>
            <w:rFonts w:ascii="Cambria Math" w:eastAsia="Times New Roman" w:hAnsi="Cambria Math" w:cs="Times New Roman"/>
            <w:szCs w:val="24"/>
          </w:rPr>
          <m:t>)</m:t>
        </m:r>
      </m:oMath>
      <w:r w:rsidR="00691ED6">
        <w:rPr>
          <w:rFonts w:eastAsia="Times New Roman" w:cs="Times New Roman"/>
          <w:szCs w:val="24"/>
        </w:rPr>
        <w:t xml:space="preserve"> is a gamma distributed error term with mean 1 and variance </w:t>
      </w:r>
      <m:oMath>
        <m:r>
          <w:rPr>
            <w:rFonts w:ascii="Cambria Math" w:eastAsia="Calibri" w:hAnsi="Cambria Math" w:cs="Times New Roman"/>
          </w:rPr>
          <m:t>α</m:t>
        </m:r>
      </m:oMath>
      <w:r w:rsidR="00691ED6">
        <w:rPr>
          <w:rFonts w:eastAsia="Times New Roman" w:cs="Times New Roman"/>
        </w:rPr>
        <w:t>.</w:t>
      </w:r>
      <w:r w:rsidR="00593468">
        <w:rPr>
          <w:rFonts w:eastAsia="Times New Roman" w:cs="Times New Roman"/>
        </w:rPr>
        <w:t xml:space="preserve"> </w:t>
      </w:r>
    </w:p>
    <w:p w14:paraId="6526A702" w14:textId="2F2B936F" w:rsidR="0053182D" w:rsidRDefault="002D66B1" w:rsidP="00996C13">
      <w:r>
        <w:t>T</w:t>
      </w:r>
      <w:r w:rsidR="0081138B">
        <w:t>raditional SPFs restrict the impact of AADT on crash frequency to remain the same across the range of AADT</w:t>
      </w:r>
      <w:r w:rsidR="00EF6876">
        <w:rPr>
          <w:rStyle w:val="FootnoteReference"/>
        </w:rPr>
        <w:footnoteReference w:id="1"/>
      </w:r>
      <w:r w:rsidR="0081138B">
        <w:t xml:space="preserve">. </w:t>
      </w:r>
      <w:r w:rsidR="000041D0">
        <w:t>However, as highlighted in several research efforts,</w:t>
      </w:r>
      <w:r w:rsidR="008052DC">
        <w:t xml:space="preserve"> it is possible that the influence of AADT on crash frequency might vary with AADT. </w:t>
      </w:r>
      <w:r w:rsidR="006D002A">
        <w:t xml:space="preserve">Towards addressing this limitation, </w:t>
      </w:r>
      <w:r w:rsidR="00242710">
        <w:t xml:space="preserve">Gayah and Donnell </w:t>
      </w:r>
      <w:r w:rsidR="00655990">
        <w:t>(</w:t>
      </w:r>
      <w:r w:rsidR="00242710">
        <w:t>2021</w:t>
      </w:r>
      <w:r w:rsidR="00655990">
        <w:t>)</w:t>
      </w:r>
      <w:r w:rsidR="00B36DA6">
        <w:t xml:space="preserve"> – referred to as GD in the rest of the note </w:t>
      </w:r>
      <w:r>
        <w:t>–</w:t>
      </w:r>
      <w:r w:rsidR="00655990">
        <w:t xml:space="preserve"> </w:t>
      </w:r>
      <w:r>
        <w:t xml:space="preserve">recently </w:t>
      </w:r>
      <w:r w:rsidR="00655990">
        <w:t xml:space="preserve">proposed an alternative </w:t>
      </w:r>
      <w:r w:rsidR="007938AE">
        <w:t xml:space="preserve">functional form for </w:t>
      </w:r>
      <w:r w:rsidR="009A5DC6">
        <w:t xml:space="preserve">considering </w:t>
      </w:r>
      <w:r w:rsidR="006D002A">
        <w:t xml:space="preserve">AADT </w:t>
      </w:r>
      <w:r w:rsidR="009A5DC6">
        <w:t xml:space="preserve">in </w:t>
      </w:r>
      <w:r w:rsidR="00D671CE">
        <w:t xml:space="preserve">estimating </w:t>
      </w:r>
      <w:r w:rsidR="00936373">
        <w:t>SPFs</w:t>
      </w:r>
      <w:r w:rsidR="007938AE">
        <w:t xml:space="preserve">. </w:t>
      </w:r>
      <w:r w:rsidR="00996C13">
        <w:t xml:space="preserve">The </w:t>
      </w:r>
      <w:r w:rsidR="00B24715">
        <w:t>GD</w:t>
      </w:r>
      <w:r w:rsidR="00996C13">
        <w:t xml:space="preserve"> functional form facilitates different elasticities of traffic volume for different traffic volume ranges</w:t>
      </w:r>
      <w:r w:rsidR="00B24715">
        <w:t xml:space="preserve"> and</w:t>
      </w:r>
      <w:r w:rsidR="00785FA7">
        <w:t xml:space="preserve"> addresses the limitations of approaches documented in </w:t>
      </w:r>
      <w:r w:rsidR="007F49D8">
        <w:t>prior</w:t>
      </w:r>
      <w:r w:rsidR="000D4BB6">
        <w:t xml:space="preserve"> research (</w:t>
      </w:r>
      <w:r w:rsidR="00785FA7">
        <w:t>Shankar et al.</w:t>
      </w:r>
      <w:r w:rsidR="000D4BB6">
        <w:t>,</w:t>
      </w:r>
      <w:r w:rsidR="00785FA7">
        <w:t xml:space="preserve"> 1998</w:t>
      </w:r>
      <w:r w:rsidR="000D4BB6">
        <w:t>;</w:t>
      </w:r>
      <w:r w:rsidR="00785FA7">
        <w:t xml:space="preserve"> </w:t>
      </w:r>
      <w:proofErr w:type="spellStart"/>
      <w:r w:rsidR="00392825">
        <w:t>Ulfarsson</w:t>
      </w:r>
      <w:proofErr w:type="spellEnd"/>
      <w:r w:rsidR="00392825">
        <w:t xml:space="preserve"> and Shankar, 2003</w:t>
      </w:r>
      <w:r w:rsidR="000D4BB6">
        <w:t>; Anastasopoulos and Mannering, 2009; Venkataraman et al., 2011</w:t>
      </w:r>
      <w:r w:rsidR="00233953">
        <w:t>; Hauer, 2015; see Gayah and Donnell (2021) for more details</w:t>
      </w:r>
      <w:r w:rsidR="000D4BB6">
        <w:t xml:space="preserve">). </w:t>
      </w:r>
      <w:r w:rsidR="00B24715">
        <w:t>It</w:t>
      </w:r>
      <w:r w:rsidR="00996C13">
        <w:t xml:space="preserve"> provides a continuous relationship between crash frequency and </w:t>
      </w:r>
      <w:r w:rsidR="000D4BB6">
        <w:t>AADT</w:t>
      </w:r>
      <w:r w:rsidR="00996C13">
        <w:t xml:space="preserve">, which more realistically reflects how crash frequencies should </w:t>
      </w:r>
      <w:r>
        <w:t>vary as traffic volume increases</w:t>
      </w:r>
      <w:r w:rsidR="00996C13">
        <w:t>. The use of discrete traffic volume ranges also provides natural breakpoints to consider how the effects of other features might vary on low- or high-volume roads.</w:t>
      </w:r>
    </w:p>
    <w:p w14:paraId="35C3E2DD" w14:textId="77777777" w:rsidR="00DE7740" w:rsidRDefault="00DE7740" w:rsidP="00996C13"/>
    <w:p w14:paraId="3C8A9558" w14:textId="2B927CCF" w:rsidR="002766D1" w:rsidRPr="002766D1" w:rsidRDefault="002766D1" w:rsidP="002766D1">
      <w:pPr>
        <w:rPr>
          <w:b/>
          <w:bCs/>
        </w:rPr>
      </w:pPr>
      <w:r>
        <w:rPr>
          <w:b/>
          <w:bCs/>
        </w:rPr>
        <w:t>Proposed Approach</w:t>
      </w:r>
    </w:p>
    <w:p w14:paraId="6436E4F0" w14:textId="3BF95D2B" w:rsidR="00BE360E" w:rsidRDefault="007F5ADF" w:rsidP="003B4C13">
      <w:r>
        <w:t xml:space="preserve">The GD approach assumes that two regimes exist in the crash frequency model. Regime 1 is applied when AADT is below the pre-defined AADT threshold, while Regime 2 is applied otherwise. To ensure continuity in AADT impact across the regimes at the threshold value, an explicit constraint is added to the model estimation process. This process can be extended to three or more regimes to accommodate a continuous relationship between safety performance and AADT, while allowing the impact of traffic volume to vary across the range of AADT values. However, this requires a priori determination of the AADT threshold(s) used </w:t>
      </w:r>
      <w:r w:rsidR="00090909">
        <w:t xml:space="preserve">to </w:t>
      </w:r>
      <w:r>
        <w:t xml:space="preserve">separate the regimes. This is far from trivial and involves an iterative procedure. </w:t>
      </w:r>
      <w:r w:rsidR="00192BAE">
        <w:t xml:space="preserve">Further, the constrained maximization approach </w:t>
      </w:r>
      <w:r w:rsidR="002E01FB">
        <w:t xml:space="preserve">places substantial burden for estimating random parameters. </w:t>
      </w:r>
      <w:r>
        <w:t xml:space="preserve">Overall, while the GD approach provides a </w:t>
      </w:r>
      <w:r w:rsidR="002F2307">
        <w:t>flexible stru</w:t>
      </w:r>
      <w:r w:rsidR="00A850F1">
        <w:t>cture</w:t>
      </w:r>
      <w:r>
        <w:t xml:space="preserve">, the framework as proposed calls for careful </w:t>
      </w:r>
      <w:r>
        <w:lastRenderedPageBreak/>
        <w:t>judgement for threshold selection</w:t>
      </w:r>
      <w:r w:rsidR="002E01FB">
        <w:t xml:space="preserve">, </w:t>
      </w:r>
      <w:r>
        <w:t xml:space="preserve">additional model estimation complexity </w:t>
      </w:r>
      <w:r w:rsidR="00B21056">
        <w:t xml:space="preserve">due to the presence of the </w:t>
      </w:r>
      <w:r>
        <w:t xml:space="preserve">AADT </w:t>
      </w:r>
      <w:r w:rsidR="00B21056">
        <w:t xml:space="preserve">regime </w:t>
      </w:r>
      <w:r>
        <w:t>constraint</w:t>
      </w:r>
      <w:r w:rsidR="00B21056">
        <w:t xml:space="preserve"> (in particular for random parameter estimation)</w:t>
      </w:r>
      <w:r>
        <w:t>.</w:t>
      </w:r>
    </w:p>
    <w:p w14:paraId="6ED2CA66" w14:textId="4570605A" w:rsidR="00800DFC" w:rsidRDefault="0009080D" w:rsidP="003B4C13">
      <w:r>
        <w:t xml:space="preserve">In this note, we propose an approach that </w:t>
      </w:r>
      <w:r w:rsidR="002A4790">
        <w:t xml:space="preserve">offers a simpler process to </w:t>
      </w:r>
      <w:r w:rsidR="00B61A07">
        <w:t>achieve the objective</w:t>
      </w:r>
      <w:r w:rsidR="00BC0CA5">
        <w:t xml:space="preserve">s sought by </w:t>
      </w:r>
      <w:r w:rsidR="00B61A07">
        <w:t xml:space="preserve">Gayah and Donnell (2021). The proposed approach </w:t>
      </w:r>
      <w:r>
        <w:t xml:space="preserve">subsumes the </w:t>
      </w:r>
      <w:r w:rsidR="00B36DA6">
        <w:t xml:space="preserve">GD </w:t>
      </w:r>
      <w:r w:rsidR="00B61A07">
        <w:t>method</w:t>
      </w:r>
      <w:r w:rsidR="00CA4DF2">
        <w:t xml:space="preserve"> without any need for constrained optimization. </w:t>
      </w:r>
      <w:r w:rsidR="00401B42">
        <w:t xml:space="preserve">Traditional SPFs consider a linear representation of the impact of </w:t>
      </w:r>
      <w:r w:rsidR="00280347" w:rsidRPr="00B07636">
        <w:rPr>
          <w:i/>
          <w:iCs/>
        </w:rPr>
        <w:t>ln</w:t>
      </w:r>
      <w:r w:rsidR="005928C7">
        <w:t> </w:t>
      </w:r>
      <w:r w:rsidR="00280347">
        <w:t>(</w:t>
      </w:r>
      <w:r w:rsidR="00401B42">
        <w:t>AADT</w:t>
      </w:r>
      <w:r w:rsidR="00280347">
        <w:t>)</w:t>
      </w:r>
      <w:r w:rsidR="00401B42">
        <w:t xml:space="preserve"> on crash propensity</w:t>
      </w:r>
      <w:r w:rsidR="00F92555">
        <w:t xml:space="preserv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ln</m:t>
            </m:r>
            <m:r>
              <m:rPr>
                <m:sty m:val="p"/>
              </m:rPr>
              <w:rPr>
                <w:rFonts w:ascii="Cambria Math" w:eastAsia="Times New Roman" w:hAnsi="Cambria Math" w:cs="Times New Roman"/>
                <w:szCs w:val="24"/>
              </w:rPr>
              <m:t>⁡</m:t>
            </m:r>
            <m:r>
              <w:rPr>
                <w:rFonts w:ascii="Cambria Math" w:eastAsia="Times New Roman" w:hAnsi="Cambria Math" w:cs="Times New Roman"/>
                <w:szCs w:val="24"/>
              </w:rPr>
              <m:t>(μ</m:t>
            </m:r>
          </m:e>
          <m:sub>
            <m:r>
              <w:rPr>
                <w:rFonts w:ascii="Cambria Math" w:eastAsia="Times New Roman" w:hAnsi="Cambria Math" w:cs="Times New Roman"/>
                <w:szCs w:val="24"/>
              </w:rPr>
              <m:t>i</m:t>
            </m:r>
          </m:sub>
        </m:sSub>
        <m:r>
          <w:rPr>
            <w:rFonts w:ascii="Cambria Math" w:eastAsia="Times New Roman" w:hAnsi="Cambria Math" w:cs="Times New Roman"/>
            <w:szCs w:val="24"/>
          </w:rPr>
          <m:t>))</m:t>
        </m:r>
      </m:oMath>
      <w:r w:rsidR="003412D2">
        <w:t xml:space="preserve"> as </w:t>
      </w:r>
      <w:r w:rsidR="00BC0CA5">
        <w:t xml:space="preserve">presented in Equation 1. </w:t>
      </w:r>
      <w:r w:rsidR="003D3283">
        <w:t xml:space="preserve">The assumption of </w:t>
      </w:r>
      <w:r w:rsidR="00396413">
        <w:t xml:space="preserve">restricting the </w:t>
      </w:r>
      <w:r w:rsidR="00744802">
        <w:t xml:space="preserve">parameter </w:t>
      </w:r>
      <w:r w:rsidR="00396413">
        <w:t>(</w:t>
      </w:r>
      <w:r w:rsidR="003D3283" w:rsidRPr="00B27CF3">
        <w:rPr>
          <w:lang w:val="el-GR"/>
        </w:rPr>
        <w:t>β</w:t>
      </w:r>
      <w:r w:rsidR="003D3283" w:rsidRPr="00B27CF3">
        <w:rPr>
          <w:vertAlign w:val="subscript"/>
        </w:rPr>
        <w:t>AADT</w:t>
      </w:r>
      <w:r w:rsidR="00396413">
        <w:t xml:space="preserve">) to be the same </w:t>
      </w:r>
      <w:r w:rsidR="00744802">
        <w:t>implies</w:t>
      </w:r>
      <w:r w:rsidR="003D3283">
        <w:t xml:space="preserve"> </w:t>
      </w:r>
      <w:r w:rsidR="00396413">
        <w:t xml:space="preserve">a constant </w:t>
      </w:r>
      <w:r w:rsidR="003D3283">
        <w:t>marginal impact</w:t>
      </w:r>
      <w:r w:rsidR="00396413">
        <w:t xml:space="preserve"> or slope</w:t>
      </w:r>
      <w:r w:rsidR="003D3283">
        <w:t xml:space="preserve"> </w:t>
      </w:r>
      <w:r w:rsidR="00BE360E">
        <w:t>for the</w:t>
      </w:r>
      <w:r w:rsidR="003D3283">
        <w:t xml:space="preserve"> ln (AADT) </w:t>
      </w:r>
      <w:r w:rsidR="00BE360E">
        <w:t xml:space="preserve">variable </w:t>
      </w:r>
      <w:r w:rsidR="003D3283">
        <w:t>irrespective of AADT value.</w:t>
      </w:r>
      <w:r w:rsidR="00FC6BE8">
        <w:t xml:space="preserve"> To address this restriction, in the proposed approach, we consider a piece-wise linear representation of the impact our variable of interest (natural logarithm of AADT). To elaborate, we consider that the influence of ln (AADT) </w:t>
      </w:r>
      <w:r w:rsidR="00BE360E">
        <w:t xml:space="preserve">will </w:t>
      </w:r>
      <w:r w:rsidR="00FC6BE8">
        <w:t xml:space="preserve">stay the same within a specified range and the slope of the line can increase or decrease at pre-defined intervals selected by the analyst. Consider the following </w:t>
      </w:r>
      <w:r w:rsidR="00BE360E">
        <w:t xml:space="preserve">illustrative </w:t>
      </w:r>
      <w:r w:rsidR="00FC6BE8">
        <w:t>formulation</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800DFC" w:rsidRPr="0010387C" w14:paraId="4D647E87" w14:textId="77777777" w:rsidTr="007C7BE0">
        <w:tc>
          <w:tcPr>
            <w:tcW w:w="4349" w:type="pct"/>
            <w:vAlign w:val="center"/>
          </w:tcPr>
          <w:p w14:paraId="07FD2858" w14:textId="6551663F" w:rsidR="00800DFC" w:rsidRPr="00897164" w:rsidRDefault="004123F5" w:rsidP="00EE3F8B">
            <w:pPr>
              <w:rPr>
                <w:rFonts w:eastAsia="Calibri" w:cs="Times New Roman"/>
                <w:szCs w:val="24"/>
                <w:lang w:val="en-US"/>
              </w:rPr>
            </w:pPr>
            <m:oMathPara>
              <m:oMathParaPr>
                <m:jc m:val="left"/>
              </m:oMathPara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ln</m:t>
                    </m:r>
                    <m:r>
                      <m:rPr>
                        <m:sty m:val="p"/>
                      </m:rPr>
                      <w:rPr>
                        <w:rFonts w:ascii="Cambria Math" w:eastAsia="Times New Roman" w:hAnsi="Cambria Math" w:cs="Times New Roman"/>
                        <w:szCs w:val="24"/>
                        <w:lang w:val="en-US"/>
                      </w:rPr>
                      <m:t>⁡</m:t>
                    </m:r>
                    <m:r>
                      <w:rPr>
                        <w:rFonts w:ascii="Cambria Math" w:eastAsia="Times New Roman" w:hAnsi="Cambria Math" w:cs="Times New Roman"/>
                        <w:szCs w:val="24"/>
                        <w:lang w:val="en-US"/>
                      </w:rPr>
                      <m:t>(μ</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hAnsi="Cambria Math"/>
                        <w:vertAlign w:val="subscript"/>
                      </w:rPr>
                    </m:ctrlPr>
                  </m:sSubPr>
                  <m:e>
                    <m:r>
                      <m:rPr>
                        <m:sty m:val="p"/>
                      </m:rPr>
                      <w:rPr>
                        <w:rFonts w:ascii="Cambria Math" w:hAnsi="Cambria Math"/>
                        <w:lang w:val="el-GR"/>
                      </w:rPr>
                      <m:t>β</m:t>
                    </m:r>
                  </m:e>
                  <m:sub>
                    <m:r>
                      <w:rPr>
                        <w:rFonts w:ascii="Cambria Math" w:hAnsi="Cambria Math"/>
                        <w:vertAlign w:val="subscript"/>
                      </w:rPr>
                      <m:t>AADT</m:t>
                    </m:r>
                  </m:sub>
                </m:sSub>
                <m:func>
                  <m:funcPr>
                    <m:ctrlPr>
                      <w:rPr>
                        <w:rFonts w:ascii="Cambria Math" w:hAnsi="Cambria Math"/>
                        <w:vertAlign w:val="subscript"/>
                      </w:rPr>
                    </m:ctrlPr>
                  </m:funcPr>
                  <m:fName>
                    <m:r>
                      <w:rPr>
                        <w:rFonts w:ascii="Cambria Math" w:hAnsi="Cambria Math"/>
                        <w:vertAlign w:val="subscript"/>
                      </w:rPr>
                      <m:t>ln</m:t>
                    </m:r>
                  </m:fName>
                  <m:e>
                    <m:d>
                      <m:dPr>
                        <m:ctrlPr>
                          <w:rPr>
                            <w:rFonts w:ascii="Cambria Math" w:hAnsi="Cambria Math"/>
                            <w:vertAlign w:val="subscript"/>
                          </w:rPr>
                        </m:ctrlPr>
                      </m:dPr>
                      <m:e>
                        <m:sSub>
                          <m:sSubPr>
                            <m:ctrlPr>
                              <w:rPr>
                                <w:rFonts w:ascii="Cambria Math" w:hAnsi="Cambria Math"/>
                                <w:vertAlign w:val="subscript"/>
                              </w:rPr>
                            </m:ctrlPr>
                          </m:sSubPr>
                          <m:e>
                            <m:r>
                              <m:rPr>
                                <m:sty m:val="p"/>
                              </m:rPr>
                              <w:rPr>
                                <w:rFonts w:ascii="Cambria Math" w:hAnsi="Cambria Math"/>
                                <w:vertAlign w:val="subscript"/>
                              </w:rPr>
                              <m:t>AADT</m:t>
                            </m:r>
                          </m:e>
                          <m:sub>
                            <m:r>
                              <w:rPr>
                                <w:rFonts w:ascii="Cambria Math" w:hAnsi="Cambria Math"/>
                                <w:vertAlign w:val="subscript"/>
                              </w:rPr>
                              <m:t>i</m:t>
                            </m:r>
                          </m:sub>
                        </m:sSub>
                      </m:e>
                    </m:d>
                    <m:r>
                      <w:rPr>
                        <w:rFonts w:ascii="Cambria Math" w:hAnsi="Cambria Math"/>
                        <w:vertAlign w:val="subscript"/>
                      </w:rPr>
                      <m:t>+</m:t>
                    </m:r>
                    <m:sSub>
                      <m:sSubPr>
                        <m:ctrlPr>
                          <w:rPr>
                            <w:rFonts w:ascii="Cambria Math" w:hAnsi="Cambria Math"/>
                            <w:lang w:val="el-GR"/>
                          </w:rPr>
                        </m:ctrlPr>
                      </m:sSubPr>
                      <m:e>
                        <m:r>
                          <m:rPr>
                            <m:sty m:val="p"/>
                          </m:rPr>
                          <w:rPr>
                            <w:rFonts w:ascii="Cambria Math" w:hAnsi="Cambria Math"/>
                            <w:lang w:val="el-GR"/>
                          </w:rPr>
                          <m:t>δ</m:t>
                        </m:r>
                      </m:e>
                      <m:sub>
                        <m:r>
                          <w:rPr>
                            <w:rFonts w:ascii="Cambria Math" w:hAnsi="Cambria Math"/>
                            <w:lang w:val="el-GR"/>
                          </w:rPr>
                          <m:t>1</m:t>
                        </m:r>
                      </m:sub>
                    </m:sSub>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inc1</m:t>
                        </m:r>
                      </m:sub>
                    </m:sSub>
                    <m:r>
                      <w:rPr>
                        <w:rFonts w:ascii="Cambria Math" w:hAnsi="Cambria Math"/>
                      </w:rPr>
                      <m:t>+</m:t>
                    </m:r>
                    <m:sSub>
                      <m:sSubPr>
                        <m:ctrlPr>
                          <w:rPr>
                            <w:rFonts w:ascii="Cambria Math" w:hAnsi="Cambria Math"/>
                            <w:lang w:val="el-GR"/>
                          </w:rPr>
                        </m:ctrlPr>
                      </m:sSubPr>
                      <m:e>
                        <m:r>
                          <m:rPr>
                            <m:sty m:val="p"/>
                          </m:rPr>
                          <w:rPr>
                            <w:rFonts w:ascii="Cambria Math" w:hAnsi="Cambria Math"/>
                            <w:lang w:val="el-GR"/>
                          </w:rPr>
                          <m:t>δ</m:t>
                        </m:r>
                      </m:e>
                      <m:sub>
                        <m:r>
                          <w:rPr>
                            <w:rFonts w:ascii="Cambria Math" w:hAnsi="Cambria Math"/>
                            <w:lang w:val="el-GR"/>
                          </w:rPr>
                          <m:t>2</m:t>
                        </m:r>
                      </m:sub>
                    </m:sSub>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inc2</m:t>
                        </m:r>
                      </m:sub>
                    </m:sSub>
                    <m:r>
                      <w:rPr>
                        <w:rFonts w:ascii="Cambria Math" w:hAnsi="Cambria Math"/>
                      </w:rPr>
                      <m:t xml:space="preserve"> </m:t>
                    </m:r>
                  </m:e>
                </m:func>
                <m:r>
                  <m:rPr>
                    <m:sty m:val="p"/>
                  </m:rPr>
                  <w:rPr>
                    <w:rFonts w:ascii="Cambria Math" w:hAnsi="Cambria Math"/>
                    <w:vertAlign w:val="subscript"/>
                  </w:rPr>
                  <m:t>+γ</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m:t>
                    </m:r>
                  </m:sub>
                </m:sSub>
              </m:oMath>
            </m:oMathPara>
          </w:p>
        </w:tc>
        <w:tc>
          <w:tcPr>
            <w:tcW w:w="651" w:type="pct"/>
            <w:vAlign w:val="center"/>
          </w:tcPr>
          <w:p w14:paraId="16015D49" w14:textId="77777777" w:rsidR="00800DFC" w:rsidRPr="0010387C" w:rsidRDefault="00800DFC" w:rsidP="00EE3F8B">
            <w:pPr>
              <w:numPr>
                <w:ilvl w:val="0"/>
                <w:numId w:val="2"/>
              </w:numPr>
              <w:contextualSpacing/>
              <w:jc w:val="right"/>
              <w:rPr>
                <w:rFonts w:ascii="Calibri" w:eastAsia="Calibri" w:hAnsi="Calibri" w:cs="Times New Roman"/>
                <w:lang w:val="en-US"/>
              </w:rPr>
            </w:pPr>
          </w:p>
        </w:tc>
      </w:tr>
    </w:tbl>
    <w:p w14:paraId="51B5797A" w14:textId="4DFC0303" w:rsidR="00800DFC" w:rsidRDefault="00074881" w:rsidP="003B4C13">
      <w:r>
        <w:t>where, the newly added independent variables</w:t>
      </w:r>
      <w:r w:rsidR="00923E49">
        <w:t xml:space="preserve"> </w:t>
      </w: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i_inc1</m:t>
            </m:r>
          </m:sub>
        </m:sSub>
      </m:oMath>
      <w:r w:rsidR="005A70BB">
        <w:rPr>
          <w:rFonts w:eastAsiaTheme="minorEastAsia"/>
        </w:rPr>
        <w:t xml:space="preserve">and </w:t>
      </w: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i_inc2</m:t>
            </m:r>
          </m:sub>
        </m:sSub>
      </m:oMath>
      <w:r>
        <w:t xml:space="preserve"> are defined 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074881" w:rsidRPr="0010387C" w14:paraId="783F3F89" w14:textId="77777777" w:rsidTr="007C7BE0">
        <w:tc>
          <w:tcPr>
            <w:tcW w:w="4349" w:type="pct"/>
            <w:vAlign w:val="center"/>
          </w:tcPr>
          <w:p w14:paraId="3BCAAA20" w14:textId="5F2562DA" w:rsidR="00074881" w:rsidRPr="0081138B" w:rsidRDefault="00074881" w:rsidP="00EE3F8B">
            <w:pPr>
              <w:rPr>
                <w:rFonts w:eastAsiaTheme="minorEastAsia"/>
              </w:rPr>
            </w:pPr>
            <m:oMathPara>
              <m:oMathParaPr>
                <m:jc m:val="left"/>
              </m:oMathParaP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i_inc1</m:t>
                    </m:r>
                  </m:sub>
                </m:sSub>
                <m:r>
                  <w:rPr>
                    <w:rFonts w:ascii="Cambria Math" w:hAnsi="Cambria Math"/>
                  </w:rPr>
                  <m:t>= Max</m:t>
                </m:r>
                <m:d>
                  <m:dPr>
                    <m:begChr m:val="["/>
                    <m:endChr m:val="]"/>
                    <m:ctrlPr>
                      <w:rPr>
                        <w:rFonts w:ascii="Cambria Math" w:hAnsi="Cambria Math"/>
                        <w:i/>
                        <w:lang w:val="en-US"/>
                      </w:rPr>
                    </m:ctrlPr>
                  </m:dPr>
                  <m:e>
                    <m:r>
                      <w:rPr>
                        <w:rFonts w:ascii="Cambria Math" w:hAnsi="Cambria Math"/>
                      </w:rPr>
                      <m:t>0,</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i/>
                                    <w:vertAlign w:val="subscript"/>
                                  </w:rPr>
                                </m:ctrlPr>
                              </m:sSubPr>
                              <m:e>
                                <m:r>
                                  <w:rPr>
                                    <w:rFonts w:ascii="Cambria Math" w:hAnsi="Cambria Math"/>
                                  </w:rPr>
                                  <m:t>AADT</m:t>
                                </m:r>
                              </m:e>
                              <m:sub>
                                <m:r>
                                  <w:rPr>
                                    <w:rFonts w:ascii="Cambria Math" w:hAnsi="Cambria Math"/>
                                    <w:vertAlign w:val="subscript"/>
                                  </w:rPr>
                                  <m:t>i</m:t>
                                </m:r>
                              </m:sub>
                            </m:sSub>
                          </m:e>
                        </m:d>
                      </m:e>
                    </m:func>
                    <m:r>
                      <w:rPr>
                        <w:rFonts w:ascii="Cambria Math" w:hAnsi="Cambria Math"/>
                      </w:rPr>
                      <m:t>-ln</m:t>
                    </m:r>
                    <m:d>
                      <m:dPr>
                        <m:ctrlPr>
                          <w:rPr>
                            <w:rFonts w:ascii="Cambria Math" w:hAnsi="Cambria Math"/>
                            <w:i/>
                          </w:rPr>
                        </m:ctrlPr>
                      </m:dPr>
                      <m:e>
                        <m:sSub>
                          <m:sSubPr>
                            <m:ctrlPr>
                              <w:rPr>
                                <w:rFonts w:ascii="Cambria Math" w:hAnsi="Cambria Math"/>
                                <w:i/>
                                <w:lang w:val="en-US"/>
                              </w:rPr>
                            </m:ctrlPr>
                          </m:sSubPr>
                          <m:e>
                            <m:r>
                              <w:rPr>
                                <w:rFonts w:ascii="Cambria Math" w:hAnsi="Cambria Math"/>
                              </w:rPr>
                              <m:t>T</m:t>
                            </m:r>
                          </m:e>
                          <m:sub>
                            <m:r>
                              <w:rPr>
                                <w:rFonts w:ascii="Cambria Math" w:hAnsi="Cambria Math"/>
                              </w:rPr>
                              <m:t>1</m:t>
                            </m:r>
                          </m:sub>
                        </m:sSub>
                      </m:e>
                    </m:d>
                  </m:e>
                </m:d>
              </m:oMath>
            </m:oMathPara>
          </w:p>
        </w:tc>
        <w:tc>
          <w:tcPr>
            <w:tcW w:w="651" w:type="pct"/>
            <w:vAlign w:val="center"/>
          </w:tcPr>
          <w:p w14:paraId="68ED721A" w14:textId="77777777" w:rsidR="00074881" w:rsidRPr="0010387C" w:rsidRDefault="00074881" w:rsidP="00EE3F8B">
            <w:pPr>
              <w:numPr>
                <w:ilvl w:val="0"/>
                <w:numId w:val="2"/>
              </w:numPr>
              <w:contextualSpacing/>
              <w:jc w:val="right"/>
              <w:rPr>
                <w:rFonts w:ascii="Calibri" w:eastAsia="Calibri" w:hAnsi="Calibri" w:cs="Times New Roman"/>
                <w:lang w:val="en-US"/>
              </w:rPr>
            </w:pPr>
          </w:p>
        </w:tc>
      </w:tr>
      <w:tr w:rsidR="00074881" w:rsidRPr="0010387C" w14:paraId="4E60FE1E" w14:textId="77777777" w:rsidTr="007C7BE0">
        <w:tc>
          <w:tcPr>
            <w:tcW w:w="4349" w:type="pct"/>
            <w:vAlign w:val="center"/>
          </w:tcPr>
          <w:p w14:paraId="2D7560C8" w14:textId="29BE5A49" w:rsidR="00074881" w:rsidRPr="0081138B" w:rsidRDefault="00074881" w:rsidP="00EE3F8B">
            <w:pPr>
              <w:rPr>
                <w:rFonts w:eastAsiaTheme="minorEastAsia"/>
              </w:rPr>
            </w:pPr>
            <m:oMathPara>
              <m:oMathParaPr>
                <m:jc m:val="left"/>
              </m:oMathParaP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i_inc2</m:t>
                    </m:r>
                  </m:sub>
                </m:sSub>
                <m:r>
                  <w:rPr>
                    <w:rFonts w:ascii="Cambria Math" w:hAnsi="Cambria Math"/>
                  </w:rPr>
                  <m:t>= Max</m:t>
                </m:r>
                <m:d>
                  <m:dPr>
                    <m:begChr m:val="["/>
                    <m:endChr m:val="]"/>
                    <m:ctrlPr>
                      <w:rPr>
                        <w:rFonts w:ascii="Cambria Math" w:hAnsi="Cambria Math"/>
                        <w:i/>
                        <w:lang w:val="en-US"/>
                      </w:rPr>
                    </m:ctrlPr>
                  </m:dPr>
                  <m:e>
                    <m:r>
                      <w:rPr>
                        <w:rFonts w:ascii="Cambria Math" w:hAnsi="Cambria Math"/>
                      </w:rPr>
                      <m:t>0,</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i/>
                                    <w:vertAlign w:val="subscript"/>
                                  </w:rPr>
                                </m:ctrlPr>
                              </m:sSubPr>
                              <m:e>
                                <m:r>
                                  <w:rPr>
                                    <w:rFonts w:ascii="Cambria Math" w:hAnsi="Cambria Math"/>
                                  </w:rPr>
                                  <m:t>AADT</m:t>
                                </m:r>
                              </m:e>
                              <m:sub>
                                <m:r>
                                  <w:rPr>
                                    <w:rFonts w:ascii="Cambria Math" w:hAnsi="Cambria Math"/>
                                    <w:vertAlign w:val="subscript"/>
                                  </w:rPr>
                                  <m:t>i</m:t>
                                </m:r>
                              </m:sub>
                            </m:sSub>
                          </m:e>
                        </m:d>
                      </m:e>
                    </m:func>
                    <m:r>
                      <w:rPr>
                        <w:rFonts w:ascii="Cambria Math" w:hAnsi="Cambria Math"/>
                      </w:rPr>
                      <m:t>-ln</m:t>
                    </m:r>
                    <m:d>
                      <m:dPr>
                        <m:ctrlPr>
                          <w:rPr>
                            <w:rFonts w:ascii="Cambria Math" w:hAnsi="Cambria Math"/>
                            <w:i/>
                          </w:rPr>
                        </m:ctrlPr>
                      </m:dPr>
                      <m:e>
                        <m:sSub>
                          <m:sSubPr>
                            <m:ctrlPr>
                              <w:rPr>
                                <w:rFonts w:ascii="Cambria Math" w:hAnsi="Cambria Math"/>
                                <w:i/>
                                <w:lang w:val="en-US"/>
                              </w:rPr>
                            </m:ctrlPr>
                          </m:sSubPr>
                          <m:e>
                            <m:r>
                              <w:rPr>
                                <w:rFonts w:ascii="Cambria Math" w:hAnsi="Cambria Math"/>
                              </w:rPr>
                              <m:t>T</m:t>
                            </m:r>
                          </m:e>
                          <m:sub>
                            <m:r>
                              <w:rPr>
                                <w:rFonts w:ascii="Cambria Math" w:hAnsi="Cambria Math"/>
                              </w:rPr>
                              <m:t>2</m:t>
                            </m:r>
                          </m:sub>
                        </m:sSub>
                      </m:e>
                    </m:d>
                  </m:e>
                </m:d>
              </m:oMath>
            </m:oMathPara>
          </w:p>
        </w:tc>
        <w:tc>
          <w:tcPr>
            <w:tcW w:w="651" w:type="pct"/>
            <w:vAlign w:val="center"/>
          </w:tcPr>
          <w:p w14:paraId="0B0EB5CC" w14:textId="77777777" w:rsidR="00074881" w:rsidRPr="0010387C" w:rsidRDefault="00074881" w:rsidP="00EE3F8B">
            <w:pPr>
              <w:numPr>
                <w:ilvl w:val="0"/>
                <w:numId w:val="2"/>
              </w:numPr>
              <w:contextualSpacing/>
              <w:jc w:val="right"/>
              <w:rPr>
                <w:rFonts w:ascii="Calibri" w:eastAsia="Calibri" w:hAnsi="Calibri" w:cs="Times New Roman"/>
                <w:lang w:val="en-US"/>
              </w:rPr>
            </w:pPr>
          </w:p>
        </w:tc>
      </w:tr>
    </w:tbl>
    <w:p w14:paraId="0493923A" w14:textId="3D3E3FF4" w:rsidR="007F3865" w:rsidRPr="007F3865" w:rsidRDefault="007F3865" w:rsidP="00050157">
      <w:r>
        <w:t xml:space="preserve">and </w:t>
      </w:r>
      <m:oMath>
        <m:sSub>
          <m:sSubPr>
            <m:ctrlPr>
              <w:rPr>
                <w:rFonts w:ascii="Cambria Math" w:hAnsi="Cambria Math"/>
                <w:lang w:val="el-GR"/>
              </w:rPr>
            </m:ctrlPr>
          </m:sSubPr>
          <m:e>
            <m:r>
              <m:rPr>
                <m:sty m:val="p"/>
              </m:rPr>
              <w:rPr>
                <w:rFonts w:ascii="Cambria Math" w:hAnsi="Cambria Math"/>
                <w:lang w:val="el-GR"/>
              </w:rPr>
              <m:t>δ</m:t>
            </m:r>
          </m:e>
          <m:sub>
            <m:r>
              <w:rPr>
                <w:rFonts w:ascii="Cambria Math" w:hAnsi="Cambria Math"/>
                <w:lang w:val="el-GR"/>
              </w:rPr>
              <m:t>1</m:t>
            </m:r>
          </m:sub>
        </m:sSub>
      </m:oMath>
      <w:r>
        <w:rPr>
          <w:rFonts w:eastAsiaTheme="minorEastAsia"/>
        </w:rPr>
        <w:t xml:space="preserve"> and </w:t>
      </w:r>
      <m:oMath>
        <m:sSub>
          <m:sSubPr>
            <m:ctrlPr>
              <w:rPr>
                <w:rFonts w:ascii="Cambria Math" w:hAnsi="Cambria Math"/>
                <w:lang w:val="el-GR"/>
              </w:rPr>
            </m:ctrlPr>
          </m:sSubPr>
          <m:e>
            <m:r>
              <m:rPr>
                <m:sty m:val="p"/>
              </m:rPr>
              <w:rPr>
                <w:rFonts w:ascii="Cambria Math" w:hAnsi="Cambria Math"/>
                <w:lang w:val="el-GR"/>
              </w:rPr>
              <m:t>δ</m:t>
            </m:r>
          </m:e>
          <m:sub>
            <m:r>
              <w:rPr>
                <w:rFonts w:ascii="Cambria Math" w:hAnsi="Cambria Math"/>
                <w:lang w:val="el-GR"/>
              </w:rPr>
              <m:t>2</m:t>
            </m:r>
          </m:sub>
        </m:sSub>
      </m:oMath>
      <w:r>
        <w:rPr>
          <w:rFonts w:eastAsiaTheme="minorEastAsia"/>
        </w:rPr>
        <w:t xml:space="preserve"> represent the </w:t>
      </w:r>
      <w:r w:rsidR="00314D77">
        <w:rPr>
          <w:rFonts w:eastAsiaTheme="minorEastAsia"/>
        </w:rPr>
        <w:t xml:space="preserve">parameters for the </w:t>
      </w:r>
      <w:r w:rsidR="00923E49">
        <w:rPr>
          <w:rFonts w:eastAsiaTheme="minorEastAsia"/>
        </w:rPr>
        <w:t>newly created independent variable</w:t>
      </w:r>
      <w:r>
        <w:rPr>
          <w:rFonts w:eastAsiaTheme="minorEastAsia"/>
        </w:rPr>
        <w:t xml:space="preserve"> to </w:t>
      </w:r>
      <w:r w:rsidR="00923E49">
        <w:rPr>
          <w:rFonts w:eastAsiaTheme="minorEastAsia"/>
        </w:rPr>
        <w:t xml:space="preserve">capture </w:t>
      </w:r>
      <w:r>
        <w:rPr>
          <w:rFonts w:eastAsiaTheme="minorEastAsia"/>
        </w:rPr>
        <w:t xml:space="preserve">the </w:t>
      </w:r>
      <w:r w:rsidR="00923E49">
        <w:rPr>
          <w:rFonts w:eastAsiaTheme="minorEastAsia"/>
        </w:rPr>
        <w:t xml:space="preserve">changes to the </w:t>
      </w:r>
      <w:r>
        <w:rPr>
          <w:rFonts w:eastAsiaTheme="minorEastAsia"/>
        </w:rPr>
        <w:t xml:space="preserve">impact of </w:t>
      </w:r>
      <w:r w:rsidR="00B07636">
        <w:rPr>
          <w:rFonts w:eastAsiaTheme="minorEastAsia"/>
        </w:rPr>
        <w:t>AADT variable (</w:t>
      </w:r>
      <m:oMath>
        <m:func>
          <m:funcPr>
            <m:ctrlPr>
              <w:rPr>
                <w:rFonts w:ascii="Cambria Math" w:hAnsi="Cambria Math"/>
                <w:vertAlign w:val="subscript"/>
                <w:lang w:val="en-CA"/>
              </w:rPr>
            </m:ctrlPr>
          </m:funcPr>
          <m:fName>
            <m:r>
              <w:rPr>
                <w:rFonts w:ascii="Cambria Math" w:hAnsi="Cambria Math"/>
                <w:vertAlign w:val="subscript"/>
              </w:rPr>
              <m:t>ln</m:t>
            </m:r>
            <m:ctrlPr>
              <w:rPr>
                <w:rFonts w:ascii="Cambria Math" w:hAnsi="Cambria Math"/>
                <w:vertAlign w:val="subscript"/>
              </w:rPr>
            </m:ctrlPr>
          </m:fName>
          <m:e>
            <m:d>
              <m:dPr>
                <m:ctrlPr>
                  <w:rPr>
                    <w:rFonts w:ascii="Cambria Math" w:hAnsi="Cambria Math"/>
                    <w:vertAlign w:val="subscript"/>
                    <w:lang w:val="en-CA"/>
                  </w:rPr>
                </m:ctrlPr>
              </m:dPr>
              <m:e>
                <m:sSub>
                  <m:sSubPr>
                    <m:ctrlPr>
                      <w:rPr>
                        <w:rFonts w:ascii="Cambria Math" w:hAnsi="Cambria Math"/>
                        <w:vertAlign w:val="subscript"/>
                        <w:lang w:val="en-CA"/>
                      </w:rPr>
                    </m:ctrlPr>
                  </m:sSubPr>
                  <m:e>
                    <m:r>
                      <m:rPr>
                        <m:sty m:val="p"/>
                      </m:rPr>
                      <w:rPr>
                        <w:rFonts w:ascii="Cambria Math" w:hAnsi="Cambria Math"/>
                        <w:vertAlign w:val="subscript"/>
                      </w:rPr>
                      <m:t>AADT</m:t>
                    </m:r>
                  </m:e>
                  <m:sub>
                    <m:r>
                      <w:rPr>
                        <w:rFonts w:ascii="Cambria Math" w:hAnsi="Cambria Math"/>
                        <w:vertAlign w:val="subscript"/>
                      </w:rPr>
                      <m:t>i</m:t>
                    </m:r>
                  </m:sub>
                </m:sSub>
              </m:e>
            </m:d>
          </m:e>
        </m:func>
      </m:oMath>
      <w:r w:rsidR="00B07636">
        <w:rPr>
          <w:rFonts w:eastAsiaTheme="minorEastAsia"/>
        </w:rPr>
        <w:t>)</w:t>
      </w:r>
      <w:r w:rsidR="00155E36">
        <w:rPr>
          <w:rFonts w:eastAsiaTheme="minorEastAsia"/>
        </w:rPr>
        <w:t xml:space="preserve">; </w:t>
      </w:r>
      <w:r w:rsidR="00155E36">
        <w:t>T</w:t>
      </w:r>
      <w:r w:rsidR="00155E36" w:rsidRPr="00DE7DF5">
        <w:rPr>
          <w:vertAlign w:val="subscript"/>
        </w:rPr>
        <w:t>1</w:t>
      </w:r>
      <w:r w:rsidR="00155E36">
        <w:t xml:space="preserve"> and T</w:t>
      </w:r>
      <w:r w:rsidR="00155E36" w:rsidRPr="00DE7DF5">
        <w:rPr>
          <w:vertAlign w:val="subscript"/>
        </w:rPr>
        <w:t>2</w:t>
      </w:r>
      <w:r w:rsidR="00155E36">
        <w:rPr>
          <w:rFonts w:eastAsiaTheme="minorEastAsia"/>
        </w:rPr>
        <w:t xml:space="preserve"> represent the </w:t>
      </w:r>
      <m:oMath>
        <m:func>
          <m:funcPr>
            <m:ctrlPr>
              <w:rPr>
                <w:rFonts w:ascii="Cambria Math" w:hAnsi="Cambria Math"/>
                <w:vertAlign w:val="subscript"/>
                <w:lang w:val="en-CA"/>
              </w:rPr>
            </m:ctrlPr>
          </m:funcPr>
          <m:fName>
            <m:r>
              <w:rPr>
                <w:rFonts w:ascii="Cambria Math" w:hAnsi="Cambria Math"/>
                <w:vertAlign w:val="subscript"/>
              </w:rPr>
              <m:t>ln</m:t>
            </m:r>
            <m:ctrlPr>
              <w:rPr>
                <w:rFonts w:ascii="Cambria Math" w:hAnsi="Cambria Math"/>
                <w:vertAlign w:val="subscript"/>
              </w:rPr>
            </m:ctrlPr>
          </m:fName>
          <m:e>
            <m:d>
              <m:dPr>
                <m:ctrlPr>
                  <w:rPr>
                    <w:rFonts w:ascii="Cambria Math" w:hAnsi="Cambria Math"/>
                    <w:vertAlign w:val="subscript"/>
                    <w:lang w:val="en-CA"/>
                  </w:rPr>
                </m:ctrlPr>
              </m:dPr>
              <m:e>
                <m:sSub>
                  <m:sSubPr>
                    <m:ctrlPr>
                      <w:rPr>
                        <w:rFonts w:ascii="Cambria Math" w:hAnsi="Cambria Math"/>
                        <w:i/>
                        <w:vertAlign w:val="subscript"/>
                        <w:lang w:val="en-CA"/>
                      </w:rPr>
                    </m:ctrlPr>
                  </m:sSubPr>
                  <m:e>
                    <m:r>
                      <w:rPr>
                        <w:rFonts w:ascii="Cambria Math" w:hAnsi="Cambria Math"/>
                      </w:rPr>
                      <m:t>AADT</m:t>
                    </m:r>
                  </m:e>
                  <m:sub>
                    <m:r>
                      <w:rPr>
                        <w:rFonts w:ascii="Cambria Math" w:hAnsi="Cambria Math"/>
                        <w:vertAlign w:val="subscript"/>
                      </w:rPr>
                      <m:t>i</m:t>
                    </m:r>
                  </m:sub>
                </m:sSub>
              </m:e>
            </m:d>
          </m:e>
        </m:func>
      </m:oMath>
      <w:r w:rsidR="00155E36">
        <w:rPr>
          <w:rFonts w:eastAsiaTheme="minorEastAsia"/>
        </w:rPr>
        <w:t xml:space="preserve"> threshold points</w:t>
      </w:r>
      <w:r w:rsidR="00F92F8E">
        <w:rPr>
          <w:rFonts w:eastAsiaTheme="minorEastAsia"/>
        </w:rPr>
        <w:t xml:space="preserve"> where the slope is expected to change. </w:t>
      </w:r>
    </w:p>
    <w:p w14:paraId="6104F66B" w14:textId="24A76000" w:rsidR="00050157" w:rsidRDefault="00FC6BE8" w:rsidP="00050157">
      <w:r>
        <w:t>To facilitate</w:t>
      </w:r>
      <w:r w:rsidR="00D5489D">
        <w:t xml:space="preserve"> the</w:t>
      </w:r>
      <w:r>
        <w:t xml:space="preserve"> reader’s understanding, the traditional and proposed </w:t>
      </w:r>
      <w:r w:rsidR="00C70EC8">
        <w:t xml:space="preserve">model forms are shown in Figure 1. </w:t>
      </w:r>
      <w:r w:rsidR="00C51881">
        <w:t xml:space="preserve">The x-axis represents the </w:t>
      </w:r>
      <m:oMath>
        <m:func>
          <m:funcPr>
            <m:ctrlPr>
              <w:rPr>
                <w:rFonts w:ascii="Cambria Math" w:hAnsi="Cambria Math"/>
                <w:vertAlign w:val="subscript"/>
                <w:lang w:val="en-CA"/>
              </w:rPr>
            </m:ctrlPr>
          </m:funcPr>
          <m:fName>
            <m:r>
              <w:rPr>
                <w:rFonts w:ascii="Cambria Math" w:hAnsi="Cambria Math"/>
                <w:vertAlign w:val="subscript"/>
              </w:rPr>
              <m:t>ln</m:t>
            </m:r>
            <m:ctrlPr>
              <w:rPr>
                <w:rFonts w:ascii="Cambria Math" w:hAnsi="Cambria Math"/>
                <w:vertAlign w:val="subscript"/>
              </w:rPr>
            </m:ctrlPr>
          </m:fName>
          <m:e>
            <m:d>
              <m:dPr>
                <m:ctrlPr>
                  <w:rPr>
                    <w:rFonts w:ascii="Cambria Math" w:hAnsi="Cambria Math"/>
                    <w:vertAlign w:val="subscript"/>
                    <w:lang w:val="en-CA"/>
                  </w:rPr>
                </m:ctrlPr>
              </m:dPr>
              <m:e>
                <m:sSub>
                  <m:sSubPr>
                    <m:ctrlPr>
                      <w:rPr>
                        <w:rFonts w:ascii="Cambria Math" w:hAnsi="Cambria Math"/>
                        <w:i/>
                        <w:vertAlign w:val="subscript"/>
                        <w:lang w:val="en-CA"/>
                      </w:rPr>
                    </m:ctrlPr>
                  </m:sSubPr>
                  <m:e>
                    <m:r>
                      <w:rPr>
                        <w:rFonts w:ascii="Cambria Math" w:hAnsi="Cambria Math"/>
                      </w:rPr>
                      <m:t>AADT</m:t>
                    </m:r>
                  </m:e>
                  <m:sub>
                    <m:r>
                      <w:rPr>
                        <w:rFonts w:ascii="Cambria Math" w:hAnsi="Cambria Math"/>
                        <w:vertAlign w:val="subscript"/>
                      </w:rPr>
                      <m:t>i</m:t>
                    </m:r>
                  </m:sub>
                </m:sSub>
              </m:e>
            </m:d>
          </m:e>
        </m:func>
      </m:oMath>
      <w:r w:rsidR="00C51881">
        <w:t xml:space="preserve"> while the y-axis represents</w:t>
      </w:r>
      <w:r w:rsidR="001225E5">
        <w:t xml:space="preserve"> crash propensity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ln</m:t>
            </m:r>
            <m:r>
              <m:rPr>
                <m:sty m:val="p"/>
              </m:rPr>
              <w:rPr>
                <w:rFonts w:ascii="Cambria Math" w:eastAsia="Times New Roman" w:hAnsi="Cambria Math" w:cs="Times New Roman"/>
                <w:szCs w:val="24"/>
              </w:rPr>
              <m:t>⁡</m:t>
            </m:r>
            <m:r>
              <w:rPr>
                <w:rFonts w:ascii="Cambria Math" w:eastAsia="Times New Roman" w:hAnsi="Cambria Math" w:cs="Times New Roman"/>
                <w:szCs w:val="24"/>
              </w:rPr>
              <m:t>(μ</m:t>
            </m:r>
          </m:e>
          <m:sub>
            <m:r>
              <w:rPr>
                <w:rFonts w:ascii="Cambria Math" w:eastAsia="Times New Roman" w:hAnsi="Cambria Math" w:cs="Times New Roman"/>
                <w:szCs w:val="24"/>
              </w:rPr>
              <m:t>i</m:t>
            </m:r>
          </m:sub>
        </m:sSub>
        <m:r>
          <w:rPr>
            <w:rFonts w:ascii="Cambria Math" w:eastAsia="Times New Roman" w:hAnsi="Cambria Math" w:cs="Times New Roman"/>
            <w:szCs w:val="24"/>
          </w:rPr>
          <m:t>))</m:t>
        </m:r>
      </m:oMath>
      <w:r w:rsidR="00C51881">
        <w:rPr>
          <w:rFonts w:eastAsiaTheme="minorEastAsia"/>
          <w:szCs w:val="24"/>
        </w:rPr>
        <w:t xml:space="preserve">. </w:t>
      </w:r>
      <w:r w:rsidR="00C70EC8">
        <w:t>The figure on the left present</w:t>
      </w:r>
      <w:r w:rsidR="00C51881">
        <w:t>s</w:t>
      </w:r>
      <w:r w:rsidR="00C70EC8">
        <w:t xml:space="preserve"> the traditional model where the marginal effect (or slope) of </w:t>
      </w:r>
      <w:r w:rsidR="00A723B1">
        <w:t xml:space="preserve">the relationship is constant. </w:t>
      </w:r>
      <w:r w:rsidR="00B96B48">
        <w:t xml:space="preserve">In the figure on the right, we present </w:t>
      </w:r>
      <w:r w:rsidR="00BD6013">
        <w:t>the</w:t>
      </w:r>
      <w:r w:rsidR="00B96B48">
        <w:t xml:space="preserve"> more flexible model structure. Specifically, </w:t>
      </w:r>
      <w:r w:rsidR="00280347">
        <w:t xml:space="preserve">at </w:t>
      </w:r>
      <m:oMath>
        <m:func>
          <m:funcPr>
            <m:ctrlPr>
              <w:rPr>
                <w:rFonts w:ascii="Cambria Math" w:hAnsi="Cambria Math"/>
                <w:vertAlign w:val="subscript"/>
                <w:lang w:val="en-CA"/>
              </w:rPr>
            </m:ctrlPr>
          </m:funcPr>
          <m:fName>
            <m:r>
              <w:rPr>
                <w:rFonts w:ascii="Cambria Math" w:hAnsi="Cambria Math"/>
                <w:vertAlign w:val="subscript"/>
              </w:rPr>
              <m:t>ln</m:t>
            </m:r>
            <m:ctrlPr>
              <w:rPr>
                <w:rFonts w:ascii="Cambria Math" w:hAnsi="Cambria Math"/>
                <w:vertAlign w:val="subscript"/>
              </w:rPr>
            </m:ctrlPr>
          </m:fName>
          <m:e>
            <m:d>
              <m:dPr>
                <m:ctrlPr>
                  <w:rPr>
                    <w:rFonts w:ascii="Cambria Math" w:hAnsi="Cambria Math"/>
                    <w:vertAlign w:val="subscript"/>
                    <w:lang w:val="en-CA"/>
                  </w:rPr>
                </m:ctrlPr>
              </m:dPr>
              <m:e>
                <m:sSub>
                  <m:sSubPr>
                    <m:ctrlPr>
                      <w:rPr>
                        <w:rFonts w:ascii="Cambria Math" w:hAnsi="Cambria Math"/>
                        <w:i/>
                        <w:vertAlign w:val="subscript"/>
                        <w:lang w:val="en-CA"/>
                      </w:rPr>
                    </m:ctrlPr>
                  </m:sSubPr>
                  <m:e>
                    <m:r>
                      <w:rPr>
                        <w:rFonts w:ascii="Cambria Math" w:hAnsi="Cambria Math"/>
                      </w:rPr>
                      <m:t>AADT</m:t>
                    </m:r>
                  </m:e>
                  <m:sub>
                    <m:r>
                      <w:rPr>
                        <w:rFonts w:ascii="Cambria Math" w:hAnsi="Cambria Math"/>
                        <w:vertAlign w:val="subscript"/>
                      </w:rPr>
                      <m:t>i</m:t>
                    </m:r>
                  </m:sub>
                </m:sSub>
              </m:e>
            </m:d>
          </m:e>
        </m:func>
      </m:oMath>
      <w:r w:rsidR="00B73A4E">
        <w:rPr>
          <w:rFonts w:eastAsiaTheme="minorEastAsia"/>
        </w:rPr>
        <w:t xml:space="preserve"> </w:t>
      </w:r>
      <w:r w:rsidR="00280347">
        <w:t xml:space="preserve">value </w:t>
      </w:r>
      <w:r w:rsidR="003E6A4F">
        <w:t xml:space="preserve">= </w:t>
      </w:r>
      <w:r w:rsidR="00280347">
        <w:t>T</w:t>
      </w:r>
      <w:r w:rsidR="00280347" w:rsidRPr="00DE7DF5">
        <w:rPr>
          <w:vertAlign w:val="subscript"/>
        </w:rPr>
        <w:t>1</w:t>
      </w:r>
      <w:r w:rsidR="00280347">
        <w:t xml:space="preserve"> </w:t>
      </w:r>
      <w:r w:rsidR="00BD6013">
        <w:t xml:space="preserve">the slope changes </w:t>
      </w:r>
      <w:r w:rsidR="00280347">
        <w:t xml:space="preserve">from </w:t>
      </w:r>
      <w:r w:rsidR="00280347" w:rsidRPr="00B27CF3">
        <w:rPr>
          <w:lang w:val="el-GR"/>
        </w:rPr>
        <w:t>β</w:t>
      </w:r>
      <w:r w:rsidR="00280347" w:rsidRPr="00B27CF3">
        <w:rPr>
          <w:vertAlign w:val="subscript"/>
        </w:rPr>
        <w:t>AADT</w:t>
      </w:r>
      <w:r w:rsidR="00280347" w:rsidRPr="00280347">
        <w:rPr>
          <w:lang w:val="el-GR"/>
        </w:rPr>
        <w:t xml:space="preserve"> </w:t>
      </w:r>
      <w:r w:rsidR="00280347">
        <w:t xml:space="preserve">to </w:t>
      </w:r>
      <w:r w:rsidR="00827FA4" w:rsidRPr="00827FA4">
        <w:rPr>
          <w:lang w:val="el-GR"/>
        </w:rPr>
        <w:t>β</w:t>
      </w:r>
      <w:r w:rsidR="00827FA4" w:rsidRPr="00827FA4">
        <w:rPr>
          <w:vertAlign w:val="subscript"/>
        </w:rPr>
        <w:t xml:space="preserve">AADT </w:t>
      </w:r>
      <w:r w:rsidR="00827FA4" w:rsidRPr="00827FA4">
        <w:t xml:space="preserve">+ </w:t>
      </w:r>
      <w:r w:rsidR="00827FA4" w:rsidRPr="00827FA4">
        <w:rPr>
          <w:lang w:val="el-GR"/>
        </w:rPr>
        <w:t>δ</w:t>
      </w:r>
      <w:r w:rsidR="00827FA4" w:rsidRPr="00827FA4">
        <w:rPr>
          <w:vertAlign w:val="subscript"/>
        </w:rPr>
        <w:t>1</w:t>
      </w:r>
      <w:r w:rsidR="00827FA4">
        <w:rPr>
          <w:vertAlign w:val="subscript"/>
        </w:rPr>
        <w:t xml:space="preserve"> </w:t>
      </w:r>
      <w:r w:rsidR="003E6A4F">
        <w:t xml:space="preserve">and is associated with </w:t>
      </w: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i_inc1</m:t>
            </m:r>
          </m:sub>
        </m:sSub>
      </m:oMath>
      <w:r w:rsidR="00827FA4">
        <w:t xml:space="preserve">. A positive value for </w:t>
      </w:r>
      <w:r w:rsidR="00827FA4" w:rsidRPr="00827FA4">
        <w:rPr>
          <w:lang w:val="el-GR"/>
        </w:rPr>
        <w:t>δ</w:t>
      </w:r>
      <w:r w:rsidR="00827FA4" w:rsidRPr="00827FA4">
        <w:rPr>
          <w:vertAlign w:val="subscript"/>
        </w:rPr>
        <w:t>1</w:t>
      </w:r>
      <w:r w:rsidR="00827FA4">
        <w:rPr>
          <w:vertAlign w:val="subscript"/>
        </w:rPr>
        <w:t xml:space="preserve"> </w:t>
      </w:r>
      <w:r w:rsidR="00827FA4">
        <w:t xml:space="preserve">would imply an increase in the marginal effect of AADT </w:t>
      </w:r>
      <w:r w:rsidR="002A3A28">
        <w:t xml:space="preserve">(as shown in the figure for illustrative purposes) </w:t>
      </w:r>
      <w:r w:rsidR="00827FA4">
        <w:t xml:space="preserve">while a negative value would represent a reduction in marginal effect of AADT. </w:t>
      </w:r>
      <w:r w:rsidR="00DE7DF5">
        <w:t>A second shift in marginal effect is considered at T</w:t>
      </w:r>
      <w:r w:rsidR="00DE7DF5" w:rsidRPr="00DE7DF5">
        <w:rPr>
          <w:vertAlign w:val="subscript"/>
        </w:rPr>
        <w:t>2</w:t>
      </w:r>
      <w:r w:rsidR="00DE7DF5">
        <w:t xml:space="preserve">. The </w:t>
      </w:r>
      <w:r w:rsidR="003B4C13">
        <w:t xml:space="preserve">overall </w:t>
      </w:r>
      <w:r w:rsidR="00855EBA">
        <w:t xml:space="preserve">slope </w:t>
      </w:r>
      <w:r w:rsidR="004B4618">
        <w:t>beyond T</w:t>
      </w:r>
      <w:r w:rsidR="004B4618" w:rsidRPr="004B4618">
        <w:rPr>
          <w:vertAlign w:val="subscript"/>
        </w:rPr>
        <w:t>2</w:t>
      </w:r>
      <w:r w:rsidR="004B4618">
        <w:t xml:space="preserve"> </w:t>
      </w:r>
      <w:r w:rsidR="003B4C13">
        <w:t xml:space="preserve">is </w:t>
      </w:r>
      <w:r w:rsidR="000859A8">
        <w:t>(</w:t>
      </w:r>
      <w:r w:rsidR="003B4C13" w:rsidRPr="003B4C13">
        <w:rPr>
          <w:lang w:val="el-GR"/>
        </w:rPr>
        <w:t>β</w:t>
      </w:r>
      <w:r w:rsidR="003B4C13" w:rsidRPr="003B4C13">
        <w:rPr>
          <w:vertAlign w:val="subscript"/>
        </w:rPr>
        <w:t xml:space="preserve">1 </w:t>
      </w:r>
      <w:r w:rsidR="003B4C13" w:rsidRPr="003B4C13">
        <w:t xml:space="preserve">+ </w:t>
      </w:r>
      <w:r w:rsidR="003B4C13" w:rsidRPr="003B4C13">
        <w:rPr>
          <w:lang w:val="el-GR"/>
        </w:rPr>
        <w:t>δ</w:t>
      </w:r>
      <w:r w:rsidR="003B4C13" w:rsidRPr="003B4C13">
        <w:rPr>
          <w:vertAlign w:val="subscript"/>
        </w:rPr>
        <w:t>1</w:t>
      </w:r>
      <w:r w:rsidR="003B4C13" w:rsidRPr="003B4C13">
        <w:t xml:space="preserve">+ </w:t>
      </w:r>
      <w:r w:rsidR="003B4C13" w:rsidRPr="003B4C13">
        <w:rPr>
          <w:lang w:val="el-GR"/>
        </w:rPr>
        <w:t>δ</w:t>
      </w:r>
      <w:r w:rsidR="003B4C13" w:rsidRPr="003B4C13">
        <w:rPr>
          <w:vertAlign w:val="subscript"/>
        </w:rPr>
        <w:t>2</w:t>
      </w:r>
      <w:r w:rsidR="000859A8">
        <w:t>).</w:t>
      </w:r>
      <w:r w:rsidR="005462A4">
        <w:t xml:space="preserve"> </w:t>
      </w:r>
      <w:r w:rsidR="004B4618">
        <w:t xml:space="preserve">The approach can accommodate </w:t>
      </w:r>
      <w:r w:rsidR="002A3A28">
        <w:t>additional</w:t>
      </w:r>
      <w:r w:rsidR="004B4618">
        <w:t xml:space="preserve"> changes in slope in a similar manner. </w:t>
      </w:r>
      <w:r w:rsidR="00050157">
        <w:rPr>
          <w:rFonts w:eastAsiaTheme="minorEastAsia"/>
        </w:rPr>
        <w:t xml:space="preserve">The </w:t>
      </w:r>
      <w:r w:rsidR="005462A4">
        <w:rPr>
          <w:rFonts w:eastAsiaTheme="minorEastAsia"/>
        </w:rPr>
        <w:t xml:space="preserve">reader would note that the </w:t>
      </w:r>
      <w:r w:rsidR="00050157">
        <w:rPr>
          <w:rFonts w:eastAsiaTheme="minorEastAsia"/>
        </w:rPr>
        <w:t>newly created independent variables</w:t>
      </w:r>
      <w:r w:rsidR="009B72A7">
        <w:rPr>
          <w:rFonts w:eastAsiaTheme="minorEastAsia"/>
        </w:rPr>
        <w:t xml:space="preserve"> (such as </w:t>
      </w: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i_inc1</m:t>
            </m:r>
          </m:sub>
        </m:sSub>
      </m:oMath>
      <w:r w:rsidR="009B72A7">
        <w:rPr>
          <w:rFonts w:eastAsiaTheme="minorEastAsia"/>
        </w:rPr>
        <w:t xml:space="preserve"> and </w:t>
      </w: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i_inc2</m:t>
            </m:r>
          </m:sub>
        </m:sSub>
      </m:oMath>
      <w:r w:rsidR="009B72A7">
        <w:rPr>
          <w:rFonts w:eastAsiaTheme="minorEastAsia"/>
        </w:rPr>
        <w:t>)</w:t>
      </w:r>
      <w:r w:rsidR="00050157">
        <w:rPr>
          <w:rFonts w:eastAsiaTheme="minorEastAsia"/>
        </w:rPr>
        <w:t xml:space="preserve"> are </w:t>
      </w:r>
      <w:r w:rsidR="00E97317">
        <w:t>non-negative</w:t>
      </w:r>
      <w:r w:rsidR="00050157">
        <w:t xml:space="preserve"> only after the </w:t>
      </w:r>
      <w:r w:rsidR="00AD15AE">
        <w:t xml:space="preserve">corresponding </w:t>
      </w:r>
      <w:r w:rsidR="00050157">
        <w:t xml:space="preserve">threshold is crossed and </w:t>
      </w:r>
      <w:r w:rsidR="00E97317">
        <w:t>0 otherwise.</w:t>
      </w:r>
      <w:r w:rsidR="00F73001">
        <w:t xml:space="preserve"> The proposed approach has been employed for variables in </w:t>
      </w:r>
      <w:r w:rsidR="002A3A28">
        <w:t>their</w:t>
      </w:r>
      <w:r w:rsidR="00F73001">
        <w:t xml:space="preserve"> linear form for relaxing the constant slope assumption for the contribution of travel time to mode choice utility (see Pinjari and Bhat, 2006).</w:t>
      </w:r>
      <w:r w:rsidR="00037A92">
        <w:t xml:space="preserve"> </w:t>
      </w:r>
      <w:r w:rsidR="00090837">
        <w:t xml:space="preserve">The change in slope at </w:t>
      </w:r>
      <w:r w:rsidR="00534AF4">
        <w:t xml:space="preserve">the </w:t>
      </w:r>
      <w:r w:rsidR="00090837">
        <w:t>thresholds (such as T</w:t>
      </w:r>
      <w:r w:rsidR="00090837" w:rsidRPr="00DE7DF5">
        <w:rPr>
          <w:vertAlign w:val="subscript"/>
        </w:rPr>
        <w:t>1</w:t>
      </w:r>
      <w:r w:rsidR="00090837">
        <w:t xml:space="preserve"> and T</w:t>
      </w:r>
      <w:r w:rsidR="00090837">
        <w:rPr>
          <w:vertAlign w:val="subscript"/>
        </w:rPr>
        <w:t>2</w:t>
      </w:r>
      <w:r w:rsidR="00090837">
        <w:t xml:space="preserve">) can be attributed to </w:t>
      </w:r>
      <w:r w:rsidR="00CE4F13">
        <w:t>differences in</w:t>
      </w:r>
      <w:r w:rsidR="00090837">
        <w:t xml:space="preserve"> driver behavior </w:t>
      </w:r>
      <w:r w:rsidR="00CE4F13">
        <w:t xml:space="preserve">across </w:t>
      </w:r>
      <w:r w:rsidR="00090837">
        <w:t>facilities with different volumes</w:t>
      </w:r>
      <w:r w:rsidR="00132527">
        <w:t xml:space="preserve"> (increased caution exercised in locations with increasing volumes)</w:t>
      </w:r>
      <w:r w:rsidR="00090837">
        <w:t xml:space="preserve">, </w:t>
      </w:r>
      <w:r w:rsidR="00132527">
        <w:t xml:space="preserve">potential presence of </w:t>
      </w:r>
      <w:r w:rsidR="00CE4F13">
        <w:t>custom</w:t>
      </w:r>
      <w:r w:rsidR="00090837">
        <w:t xml:space="preserve"> design features </w:t>
      </w:r>
      <w:r w:rsidR="006C3A71">
        <w:t xml:space="preserve">closely </w:t>
      </w:r>
      <w:r w:rsidR="00CE4F13">
        <w:t xml:space="preserve">associated </w:t>
      </w:r>
      <w:r w:rsidR="00132527">
        <w:t xml:space="preserve">with </w:t>
      </w:r>
      <w:r w:rsidR="006C3A71">
        <w:t>traffic</w:t>
      </w:r>
      <w:r w:rsidR="00132527">
        <w:t xml:space="preserve"> volumes</w:t>
      </w:r>
      <w:r w:rsidR="00CE255E">
        <w:t xml:space="preserve"> and other AADT associated factors. </w:t>
      </w:r>
    </w:p>
    <w:p w14:paraId="6333E880" w14:textId="6708608A" w:rsidR="00D7453A" w:rsidRDefault="00D7453A">
      <w:r>
        <w:br w:type="page"/>
      </w:r>
    </w:p>
    <w:p w14:paraId="68E2766C" w14:textId="77777777" w:rsidR="00F672DF" w:rsidRDefault="00F672DF" w:rsidP="00D7453A">
      <w:pPr>
        <w:sectPr w:rsidR="00F672DF">
          <w:pgSz w:w="12240" w:h="15840"/>
          <w:pgMar w:top="1440" w:right="1440" w:bottom="1440" w:left="1440" w:header="720" w:footer="720" w:gutter="0"/>
          <w:cols w:space="720"/>
          <w:docGrid w:linePitch="360"/>
        </w:sectPr>
      </w:pPr>
    </w:p>
    <w:p w14:paraId="643A2AFA" w14:textId="5C250518" w:rsidR="00F672DF" w:rsidRDefault="00F672DF" w:rsidP="004F1710">
      <w:pPr>
        <w:jc w:val="center"/>
        <w:rPr>
          <w:noProof/>
        </w:rPr>
      </w:pPr>
    </w:p>
    <w:p w14:paraId="134146DC" w14:textId="27360E51" w:rsidR="004602F2" w:rsidRDefault="004602F2" w:rsidP="004F1710">
      <w:pPr>
        <w:jc w:val="center"/>
        <w:rPr>
          <w:noProof/>
        </w:rPr>
      </w:pPr>
    </w:p>
    <w:p w14:paraId="5FD003AE" w14:textId="474894B4" w:rsidR="004602F2" w:rsidRDefault="00893B94" w:rsidP="004F1710">
      <w:pPr>
        <w:jc w:val="center"/>
      </w:pPr>
      <w:r>
        <w:rPr>
          <w:noProof/>
        </w:rPr>
        <w:drawing>
          <wp:inline distT="0" distB="0" distL="0" distR="0" wp14:anchorId="467DA790" wp14:editId="5FC20B7B">
            <wp:extent cx="7918450" cy="367411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781"/>
                    <a:stretch/>
                  </pic:blipFill>
                  <pic:spPr bwMode="auto">
                    <a:xfrm>
                      <a:off x="0" y="0"/>
                      <a:ext cx="7918450" cy="3674110"/>
                    </a:xfrm>
                    <a:prstGeom prst="rect">
                      <a:avLst/>
                    </a:prstGeom>
                    <a:ln>
                      <a:noFill/>
                    </a:ln>
                    <a:extLst>
                      <a:ext uri="{53640926-AAD7-44D8-BBD7-CCE9431645EC}">
                        <a14:shadowObscured xmlns:a14="http://schemas.microsoft.com/office/drawing/2010/main"/>
                      </a:ext>
                    </a:extLst>
                  </pic:spPr>
                </pic:pic>
              </a:graphicData>
            </a:graphic>
          </wp:inline>
        </w:drawing>
      </w:r>
    </w:p>
    <w:p w14:paraId="7FDC4439" w14:textId="77777777" w:rsidR="00016CB2" w:rsidRDefault="00016CB2" w:rsidP="004F1710">
      <w:pPr>
        <w:jc w:val="center"/>
        <w:rPr>
          <w:b/>
          <w:bCs/>
        </w:rPr>
      </w:pPr>
    </w:p>
    <w:p w14:paraId="5B0F1C5B" w14:textId="32A1AFA6" w:rsidR="00F672DF" w:rsidRPr="004F1710" w:rsidRDefault="00F672DF" w:rsidP="004F1710">
      <w:pPr>
        <w:jc w:val="center"/>
        <w:sectPr w:rsidR="00F672DF" w:rsidRPr="004F1710" w:rsidSect="00F672DF">
          <w:pgSz w:w="15840" w:h="12240" w:orient="landscape"/>
          <w:pgMar w:top="1440" w:right="1440" w:bottom="1440" w:left="1440" w:header="720" w:footer="720" w:gutter="0"/>
          <w:cols w:space="720"/>
          <w:docGrid w:linePitch="360"/>
        </w:sectPr>
      </w:pPr>
      <w:r w:rsidRPr="004F1710">
        <w:rPr>
          <w:b/>
          <w:bCs/>
        </w:rPr>
        <w:t>Figure 1:</w:t>
      </w:r>
      <w:r w:rsidR="004F1710" w:rsidRPr="004F1710">
        <w:rPr>
          <w:b/>
          <w:bCs/>
        </w:rPr>
        <w:t xml:space="preserve">  </w:t>
      </w:r>
      <w:r w:rsidR="004F1710" w:rsidRPr="004F1710">
        <w:t>Illustration of the traditional SPF and the proposed SPF</w:t>
      </w:r>
    </w:p>
    <w:p w14:paraId="567F52E2" w14:textId="2492D648" w:rsidR="00BB2F85" w:rsidRDefault="004F4E87" w:rsidP="00BB2F85">
      <w:pPr>
        <w:rPr>
          <w:b/>
          <w:bCs/>
        </w:rPr>
      </w:pPr>
      <w:r w:rsidRPr="004F4E87">
        <w:rPr>
          <w:b/>
          <w:bCs/>
        </w:rPr>
        <w:lastRenderedPageBreak/>
        <w:t>Empirical Analysis</w:t>
      </w:r>
    </w:p>
    <w:p w14:paraId="545B4258" w14:textId="7C19B340" w:rsidR="005A48A4" w:rsidRDefault="00CC1C99" w:rsidP="00BB2F85">
      <w:r w:rsidRPr="00CC1C99">
        <w:t xml:space="preserve">In this </w:t>
      </w:r>
      <w:r>
        <w:t xml:space="preserve">section, we present the results of the model </w:t>
      </w:r>
      <w:r w:rsidR="00805594">
        <w:t xml:space="preserve">estimated employing the proposed functional form. </w:t>
      </w:r>
      <w:r w:rsidR="00825B2C">
        <w:t xml:space="preserve">For the sake of brevity, data preparation and </w:t>
      </w:r>
      <w:r w:rsidR="008D626A">
        <w:t xml:space="preserve">sample characteristics are not presented (interested readers can see Gayah and Donnell (2021)). </w:t>
      </w:r>
      <w:r w:rsidR="00524D90">
        <w:t xml:space="preserve">We start with illustrating how the proposed model can represent the </w:t>
      </w:r>
      <w:r w:rsidR="00492580">
        <w:t xml:space="preserve">GD </w:t>
      </w:r>
      <w:r w:rsidR="00524D90">
        <w:t>functional form and subsequently present a more flexible model</w:t>
      </w:r>
      <w:r w:rsidR="008D626A">
        <w:t xml:space="preserve"> with our proposed system</w:t>
      </w:r>
      <w:r w:rsidR="00524D90">
        <w:t xml:space="preserve">. </w:t>
      </w:r>
    </w:p>
    <w:p w14:paraId="00FE89DA" w14:textId="77777777" w:rsidR="00E76D1B" w:rsidRDefault="00E76D1B" w:rsidP="00BB2F85"/>
    <w:p w14:paraId="2D268D8B" w14:textId="3C13EBF8" w:rsidR="005A48A4" w:rsidRPr="005A48A4" w:rsidRDefault="005A48A4" w:rsidP="00BB2F85">
      <w:pPr>
        <w:rPr>
          <w:b/>
          <w:bCs/>
          <w:i/>
          <w:iCs/>
        </w:rPr>
      </w:pPr>
      <w:r w:rsidRPr="005A48A4">
        <w:rPr>
          <w:b/>
          <w:bCs/>
          <w:i/>
          <w:iCs/>
        </w:rPr>
        <w:t>GD Approach and Proposed Equivalent Model</w:t>
      </w:r>
    </w:p>
    <w:p w14:paraId="7966E6F7" w14:textId="5FD04CC0" w:rsidR="00805594" w:rsidRDefault="005928C7" w:rsidP="00BB2F85">
      <w:r>
        <w:t xml:space="preserve">The </w:t>
      </w:r>
      <w:r w:rsidR="00492580">
        <w:t>GD approach</w:t>
      </w:r>
      <w:r w:rsidR="00DD1AA6">
        <w:t xml:space="preserve"> considers two ranges of AADT employing a single threshold to differentiate the impact at AADT = 1900. We </w:t>
      </w:r>
      <w:r w:rsidR="00A30236">
        <w:t xml:space="preserve">illustrate how our proposed framework can replicate this one threshold model in our framework. </w:t>
      </w:r>
      <w:r w:rsidR="008349B9">
        <w:t>The model</w:t>
      </w:r>
      <w:r w:rsidR="00115BEC">
        <w:t xml:space="preserve"> results are </w:t>
      </w:r>
      <w:r w:rsidR="00807F23">
        <w:t>presented in Table 1.</w:t>
      </w:r>
      <w:r w:rsidR="00CE6BA2">
        <w:t xml:space="preserve"> The second column panel presents the results from Gayah and Donnell (2021) and the third </w:t>
      </w:r>
      <w:r>
        <w:t xml:space="preserve">column </w:t>
      </w:r>
      <w:r w:rsidR="000A5F0E">
        <w:t xml:space="preserve">panel </w:t>
      </w:r>
      <w:r w:rsidR="00CE6BA2">
        <w:t>present</w:t>
      </w:r>
      <w:r w:rsidR="00232368">
        <w:t>s</w:t>
      </w:r>
      <w:r w:rsidR="00CE6BA2">
        <w:t xml:space="preserve"> the </w:t>
      </w:r>
      <w:r w:rsidR="005B6306">
        <w:t>One Threshold framework for our proposed alternative form.</w:t>
      </w:r>
      <w:r w:rsidR="00DA0286">
        <w:t xml:space="preserve"> The </w:t>
      </w:r>
      <w:r w:rsidR="002E50FE">
        <w:t xml:space="preserve">propensity equation and the </w:t>
      </w:r>
      <w:r w:rsidR="00A30236">
        <w:t xml:space="preserve">AADT variable </w:t>
      </w:r>
      <w:r w:rsidR="00DA0286">
        <w:t xml:space="preserve">employed in the estimation </w:t>
      </w:r>
      <w:r w:rsidR="005A48A4">
        <w:t xml:space="preserve">for our proposed form </w:t>
      </w:r>
      <w:r w:rsidR="00DA0286">
        <w:t xml:space="preserve">is </w:t>
      </w:r>
      <w:r w:rsidR="00A30236">
        <w:t xml:space="preserve">defined </w:t>
      </w:r>
      <w:r w:rsidR="00DA0286">
        <w:t>as follows</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DA0286" w:rsidRPr="0010387C" w14:paraId="1676171D" w14:textId="77777777" w:rsidTr="007C7BE0">
        <w:tc>
          <w:tcPr>
            <w:tcW w:w="4349" w:type="pct"/>
            <w:vAlign w:val="center"/>
          </w:tcPr>
          <w:p w14:paraId="347D303A" w14:textId="1F5D4ABE" w:rsidR="00DA0286" w:rsidRPr="00897164" w:rsidRDefault="004123F5" w:rsidP="00EE3F8B">
            <w:pPr>
              <w:rPr>
                <w:rFonts w:eastAsia="Calibri" w:cs="Times New Roman"/>
                <w:szCs w:val="24"/>
                <w:lang w:val="en-US"/>
              </w:rPr>
            </w:pPr>
            <m:oMathPara>
              <m:oMathParaPr>
                <m:jc m:val="left"/>
              </m:oMathParaPr>
              <m:oMath>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ln</m:t>
                    </m:r>
                    <m:r>
                      <m:rPr>
                        <m:sty m:val="p"/>
                      </m:rPr>
                      <w:rPr>
                        <w:rFonts w:ascii="Cambria Math" w:eastAsia="Times New Roman" w:hAnsi="Cambria Math" w:cs="Times New Roman"/>
                        <w:szCs w:val="24"/>
                        <w:lang w:val="en-US"/>
                      </w:rPr>
                      <m:t>⁡</m:t>
                    </m:r>
                    <m:r>
                      <w:rPr>
                        <w:rFonts w:ascii="Cambria Math" w:eastAsia="Times New Roman" w:hAnsi="Cambria Math" w:cs="Times New Roman"/>
                        <w:szCs w:val="24"/>
                        <w:lang w:val="en-US"/>
                      </w:rPr>
                      <m:t>(μ</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hAnsi="Cambria Math"/>
                        <w:vertAlign w:val="subscript"/>
                      </w:rPr>
                    </m:ctrlPr>
                  </m:sSubPr>
                  <m:e>
                    <m:r>
                      <m:rPr>
                        <m:sty m:val="p"/>
                      </m:rPr>
                      <w:rPr>
                        <w:rFonts w:ascii="Cambria Math" w:hAnsi="Cambria Math"/>
                        <w:lang w:val="el-GR"/>
                      </w:rPr>
                      <m:t>β</m:t>
                    </m:r>
                  </m:e>
                  <m:sub>
                    <m:r>
                      <w:rPr>
                        <w:rFonts w:ascii="Cambria Math" w:hAnsi="Cambria Math"/>
                        <w:vertAlign w:val="subscript"/>
                      </w:rPr>
                      <m:t>AADT</m:t>
                    </m:r>
                  </m:sub>
                </m:sSub>
                <m:func>
                  <m:funcPr>
                    <m:ctrlPr>
                      <w:rPr>
                        <w:rFonts w:ascii="Cambria Math" w:hAnsi="Cambria Math"/>
                        <w:vertAlign w:val="subscript"/>
                      </w:rPr>
                    </m:ctrlPr>
                  </m:funcPr>
                  <m:fName>
                    <m:r>
                      <w:rPr>
                        <w:rFonts w:ascii="Cambria Math" w:hAnsi="Cambria Math"/>
                        <w:vertAlign w:val="subscript"/>
                      </w:rPr>
                      <m:t>ln</m:t>
                    </m:r>
                  </m:fName>
                  <m:e>
                    <m:d>
                      <m:dPr>
                        <m:ctrlPr>
                          <w:rPr>
                            <w:rFonts w:ascii="Cambria Math" w:hAnsi="Cambria Math"/>
                            <w:vertAlign w:val="subscript"/>
                          </w:rPr>
                        </m:ctrlPr>
                      </m:dPr>
                      <m:e>
                        <m:sSub>
                          <m:sSubPr>
                            <m:ctrlPr>
                              <w:rPr>
                                <w:rFonts w:ascii="Cambria Math" w:hAnsi="Cambria Math"/>
                                <w:vertAlign w:val="subscript"/>
                              </w:rPr>
                            </m:ctrlPr>
                          </m:sSubPr>
                          <m:e>
                            <m:r>
                              <m:rPr>
                                <m:sty m:val="p"/>
                              </m:rPr>
                              <w:rPr>
                                <w:rFonts w:ascii="Cambria Math" w:hAnsi="Cambria Math"/>
                                <w:vertAlign w:val="subscript"/>
                              </w:rPr>
                              <m:t>AADT</m:t>
                            </m:r>
                          </m:e>
                          <m:sub>
                            <m:r>
                              <w:rPr>
                                <w:rFonts w:ascii="Cambria Math" w:hAnsi="Cambria Math"/>
                                <w:vertAlign w:val="subscript"/>
                              </w:rPr>
                              <m:t>i</m:t>
                            </m:r>
                          </m:sub>
                        </m:sSub>
                      </m:e>
                    </m:d>
                    <m:r>
                      <w:rPr>
                        <w:rFonts w:ascii="Cambria Math" w:hAnsi="Cambria Math"/>
                        <w:vertAlign w:val="subscript"/>
                      </w:rPr>
                      <m:t>+</m:t>
                    </m:r>
                    <m:sSub>
                      <m:sSubPr>
                        <m:ctrlPr>
                          <w:rPr>
                            <w:rFonts w:ascii="Cambria Math" w:hAnsi="Cambria Math"/>
                            <w:lang w:val="el-GR"/>
                          </w:rPr>
                        </m:ctrlPr>
                      </m:sSubPr>
                      <m:e>
                        <m:r>
                          <m:rPr>
                            <m:sty m:val="p"/>
                          </m:rPr>
                          <w:rPr>
                            <w:rFonts w:ascii="Cambria Math" w:hAnsi="Cambria Math"/>
                            <w:lang w:val="el-GR"/>
                          </w:rPr>
                          <m:t>δ</m:t>
                        </m:r>
                      </m:e>
                      <m:sub>
                        <m:r>
                          <w:rPr>
                            <w:rFonts w:ascii="Cambria Math" w:hAnsi="Cambria Math"/>
                            <w:lang w:val="el-GR"/>
                          </w:rPr>
                          <m:t>1</m:t>
                        </m:r>
                      </m:sub>
                    </m:sSub>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i_inc_1900</m:t>
                        </m:r>
                      </m:sub>
                    </m:sSub>
                    <m:r>
                      <w:rPr>
                        <w:rFonts w:ascii="Cambria Math" w:hAnsi="Cambria Math"/>
                      </w:rPr>
                      <m:t xml:space="preserve"> </m:t>
                    </m:r>
                  </m:e>
                </m:func>
                <m:r>
                  <m:rPr>
                    <m:sty m:val="p"/>
                  </m:rPr>
                  <w:rPr>
                    <w:rFonts w:ascii="Cambria Math" w:hAnsi="Cambria Math"/>
                    <w:vertAlign w:val="subscript"/>
                  </w:rPr>
                  <m:t>+γ</m:t>
                </m:r>
                <m:sSub>
                  <m:sSubPr>
                    <m:ctrlPr>
                      <w:rPr>
                        <w:rFonts w:ascii="Cambria Math" w:eastAsia="Times New Roman" w:hAnsi="Cambria Math" w:cs="Times New Roman"/>
                        <w:i/>
                        <w:szCs w:val="24"/>
                        <w:lang w:val="en-US"/>
                      </w:rPr>
                    </m:ctrlPr>
                  </m:sSubPr>
                  <m:e>
                    <m:r>
                      <m:rPr>
                        <m:sty m:val="bi"/>
                      </m:rPr>
                      <w:rPr>
                        <w:rFonts w:ascii="Cambria Math" w:eastAsia="Times New Roman" w:hAnsi="Cambria Math" w:cs="Times New Roman"/>
                        <w:szCs w:val="24"/>
                        <w:lang w:val="en-US"/>
                      </w:rPr>
                      <m:t>z</m:t>
                    </m:r>
                  </m:e>
                  <m:sub>
                    <m:r>
                      <w:rPr>
                        <w:rFonts w:ascii="Cambria Math" w:eastAsia="Times New Roman" w:hAnsi="Cambria Math" w:cs="Times New Roman"/>
                        <w:szCs w:val="24"/>
                        <w:lang w:val="en-US"/>
                      </w:rPr>
                      <m:t>i</m:t>
                    </m:r>
                  </m:sub>
                </m:sSub>
                <m:r>
                  <w:rPr>
                    <w:rFonts w:ascii="Cambria Math" w:eastAsia="Times New Roman" w:hAnsi="Cambria Math" w:cs="Times New Roman"/>
                    <w:szCs w:val="24"/>
                    <w:lang w:val="en-US"/>
                  </w:rPr>
                  <m:t>+</m:t>
                </m:r>
                <m:sSub>
                  <m:sSubPr>
                    <m:ctrlPr>
                      <w:rPr>
                        <w:rFonts w:ascii="Cambria Math" w:eastAsia="Times New Roman" w:hAnsi="Cambria Math" w:cs="Times New Roman"/>
                        <w:i/>
                        <w:szCs w:val="24"/>
                        <w:lang w:val="en-US"/>
                      </w:rPr>
                    </m:ctrlPr>
                  </m:sSubPr>
                  <m:e>
                    <m:r>
                      <w:rPr>
                        <w:rFonts w:ascii="Cambria Math" w:eastAsia="Times New Roman" w:hAnsi="Cambria Math" w:cs="Times New Roman"/>
                        <w:szCs w:val="24"/>
                        <w:lang w:val="en-US"/>
                      </w:rPr>
                      <m:t>ε</m:t>
                    </m:r>
                  </m:e>
                  <m:sub>
                    <m:r>
                      <w:rPr>
                        <w:rFonts w:ascii="Cambria Math" w:eastAsia="Times New Roman" w:hAnsi="Cambria Math" w:cs="Times New Roman"/>
                        <w:szCs w:val="24"/>
                        <w:lang w:val="en-US"/>
                      </w:rPr>
                      <m:t>i</m:t>
                    </m:r>
                  </m:sub>
                </m:sSub>
              </m:oMath>
            </m:oMathPara>
          </w:p>
        </w:tc>
        <w:tc>
          <w:tcPr>
            <w:tcW w:w="651" w:type="pct"/>
            <w:vAlign w:val="center"/>
          </w:tcPr>
          <w:p w14:paraId="41AFF5D0" w14:textId="77777777" w:rsidR="00DA0286" w:rsidRPr="0010387C" w:rsidRDefault="00DA0286" w:rsidP="00EE3F8B">
            <w:pPr>
              <w:numPr>
                <w:ilvl w:val="0"/>
                <w:numId w:val="2"/>
              </w:numPr>
              <w:contextualSpacing/>
              <w:jc w:val="right"/>
              <w:rPr>
                <w:rFonts w:ascii="Calibri" w:eastAsia="Calibri" w:hAnsi="Calibri" w:cs="Times New Roman"/>
                <w:lang w:val="en-US"/>
              </w:rPr>
            </w:pPr>
          </w:p>
        </w:tc>
      </w:tr>
    </w:tbl>
    <w:p w14:paraId="7AD0BA04" w14:textId="230D19D7" w:rsidR="00DA0286" w:rsidRDefault="00232368" w:rsidP="00BB2F85">
      <w:r>
        <w:t>where</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232368" w:rsidRPr="0010387C" w14:paraId="234F395A" w14:textId="77777777" w:rsidTr="007C7BE0">
        <w:tc>
          <w:tcPr>
            <w:tcW w:w="4349" w:type="pct"/>
            <w:vAlign w:val="center"/>
          </w:tcPr>
          <w:p w14:paraId="6B6026B8" w14:textId="4EC2288F" w:rsidR="00232368" w:rsidRPr="0081138B" w:rsidRDefault="00232368" w:rsidP="00EE3F8B">
            <w:pPr>
              <w:rPr>
                <w:rFonts w:eastAsiaTheme="minorEastAsia"/>
              </w:rPr>
            </w:pPr>
            <m:oMathPara>
              <m:oMathParaPr>
                <m:jc m:val="left"/>
              </m:oMathParaP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i_inc_1900</m:t>
                    </m:r>
                  </m:sub>
                </m:sSub>
                <m:r>
                  <w:rPr>
                    <w:rFonts w:ascii="Cambria Math" w:hAnsi="Cambria Math"/>
                  </w:rPr>
                  <m:t>= Max</m:t>
                </m:r>
                <m:d>
                  <m:dPr>
                    <m:begChr m:val="["/>
                    <m:endChr m:val="]"/>
                    <m:ctrlPr>
                      <w:rPr>
                        <w:rFonts w:ascii="Cambria Math" w:hAnsi="Cambria Math"/>
                        <w:i/>
                        <w:lang w:val="en-US"/>
                      </w:rPr>
                    </m:ctrlPr>
                  </m:dPr>
                  <m:e>
                    <m:r>
                      <w:rPr>
                        <w:rFonts w:ascii="Cambria Math" w:hAnsi="Cambria Math"/>
                      </w:rPr>
                      <m:t>0,</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vertAlign w:val="subscript"/>
                                  </w:rPr>
                                </m:ctrlPr>
                              </m:sSubPr>
                              <m:e>
                                <m:r>
                                  <m:rPr>
                                    <m:sty m:val="p"/>
                                  </m:rPr>
                                  <w:rPr>
                                    <w:rFonts w:ascii="Cambria Math" w:hAnsi="Cambria Math"/>
                                    <w:vertAlign w:val="subscript"/>
                                  </w:rPr>
                                  <m:t>AADT</m:t>
                                </m:r>
                              </m:e>
                              <m:sub>
                                <m:r>
                                  <w:rPr>
                                    <w:rFonts w:ascii="Cambria Math" w:hAnsi="Cambria Math"/>
                                    <w:vertAlign w:val="subscript"/>
                                  </w:rPr>
                                  <m:t>i</m:t>
                                </m:r>
                              </m:sub>
                            </m:sSub>
                          </m:e>
                        </m:d>
                      </m:e>
                    </m:func>
                    <m:r>
                      <w:rPr>
                        <w:rFonts w:ascii="Cambria Math" w:hAnsi="Cambria Math"/>
                      </w:rPr>
                      <m:t>-ln</m:t>
                    </m:r>
                    <m:d>
                      <m:dPr>
                        <m:ctrlPr>
                          <w:rPr>
                            <w:rFonts w:ascii="Cambria Math" w:hAnsi="Cambria Math"/>
                            <w:i/>
                          </w:rPr>
                        </m:ctrlPr>
                      </m:dPr>
                      <m:e>
                        <m:r>
                          <w:rPr>
                            <w:rFonts w:ascii="Cambria Math" w:hAnsi="Cambria Math"/>
                          </w:rPr>
                          <m:t>1900</m:t>
                        </m:r>
                      </m:e>
                    </m:d>
                  </m:e>
                </m:d>
              </m:oMath>
            </m:oMathPara>
          </w:p>
        </w:tc>
        <w:tc>
          <w:tcPr>
            <w:tcW w:w="651" w:type="pct"/>
            <w:vAlign w:val="center"/>
          </w:tcPr>
          <w:p w14:paraId="62BA6205" w14:textId="77777777" w:rsidR="00232368" w:rsidRPr="0010387C" w:rsidRDefault="00232368" w:rsidP="00EE3F8B">
            <w:pPr>
              <w:numPr>
                <w:ilvl w:val="0"/>
                <w:numId w:val="2"/>
              </w:numPr>
              <w:contextualSpacing/>
              <w:jc w:val="right"/>
              <w:rPr>
                <w:rFonts w:ascii="Calibri" w:eastAsia="Calibri" w:hAnsi="Calibri" w:cs="Times New Roman"/>
                <w:lang w:val="en-US"/>
              </w:rPr>
            </w:pPr>
          </w:p>
        </w:tc>
      </w:tr>
    </w:tbl>
    <w:p w14:paraId="6F741B1C" w14:textId="78EBA6F8" w:rsidR="00A95354" w:rsidRDefault="00B97DDD" w:rsidP="00A95354">
      <w:pPr>
        <w:rPr>
          <w:rFonts w:eastAsiaTheme="minorEastAsia"/>
        </w:rPr>
      </w:pPr>
      <w:r>
        <w:t xml:space="preserve">The following observations can be made from </w:t>
      </w:r>
      <w:r w:rsidR="007C5E74">
        <w:t xml:space="preserve">the review of </w:t>
      </w:r>
      <w:r w:rsidR="005A48A4">
        <w:t xml:space="preserve">the results in </w:t>
      </w:r>
      <w:r w:rsidR="007C5E74">
        <w:t xml:space="preserve">Table 1. </w:t>
      </w:r>
      <w:r w:rsidR="001D5245" w:rsidRPr="00935057">
        <w:rPr>
          <w:i/>
          <w:iCs/>
        </w:rPr>
        <w:t>First</w:t>
      </w:r>
      <w:r w:rsidR="001D5245">
        <w:t xml:space="preserve">, apart from the </w:t>
      </w:r>
      <w:r w:rsidR="00D576A1">
        <w:t xml:space="preserve">second </w:t>
      </w:r>
      <w:r w:rsidR="001D5245">
        <w:t>constant</w:t>
      </w:r>
      <w:r w:rsidR="00D576A1">
        <w:t xml:space="preserve"> in </w:t>
      </w:r>
      <w:r w:rsidR="005928C7">
        <w:t xml:space="preserve">the </w:t>
      </w:r>
      <w:r w:rsidR="00D349E6">
        <w:t xml:space="preserve">GD </w:t>
      </w:r>
      <w:r w:rsidR="00147B43">
        <w:t xml:space="preserve">approach </w:t>
      </w:r>
      <w:r w:rsidR="001D5245">
        <w:t xml:space="preserve">and </w:t>
      </w:r>
      <w:r w:rsidR="00522AA2">
        <w:t xml:space="preserve">second </w:t>
      </w:r>
      <w:r w:rsidR="001D5245">
        <w:t>AADT related variable</w:t>
      </w:r>
      <w:r w:rsidR="00BC0168">
        <w:t xml:space="preserve"> in </w:t>
      </w:r>
      <w:r w:rsidR="00055A0C">
        <w:t xml:space="preserve">the </w:t>
      </w:r>
      <w:r w:rsidR="00BC0168">
        <w:t>two systems</w:t>
      </w:r>
      <w:r w:rsidR="001D5245">
        <w:t>, all other</w:t>
      </w:r>
      <w:r w:rsidR="007C5E74">
        <w:t xml:space="preserve"> variables are identical across the two systems. </w:t>
      </w:r>
      <w:r w:rsidR="00D576A1">
        <w:t>The model fit for the two systems is also identical. Further, it is easy to illustrate that the other parameters also offer the same mathematical relationship across the regimes. For example,</w:t>
      </w:r>
      <w:r w:rsidR="007E4C87">
        <w:t xml:space="preserve"> </w:t>
      </w:r>
      <w:r w:rsidR="00055A0C">
        <w:t xml:space="preserve">the </w:t>
      </w:r>
      <w:r w:rsidR="009C6F14">
        <w:t xml:space="preserve">reduced constant for the </w:t>
      </w:r>
      <w:r w:rsidR="005B3241">
        <w:t>higher traffic volume regime is -4.7634</w:t>
      </w:r>
      <w:r w:rsidR="006241C6">
        <w:t xml:space="preserve"> </w:t>
      </w:r>
      <w:r w:rsidR="005928C7">
        <w:t xml:space="preserve">in the GD approach </w:t>
      </w:r>
      <w:r w:rsidR="006241C6">
        <w:t>(1.485 reduction from -6.2488)</w:t>
      </w:r>
      <w:r w:rsidR="005B3241">
        <w:t xml:space="preserve">. The drop </w:t>
      </w:r>
      <w:r w:rsidR="00237A65">
        <w:t>compensates</w:t>
      </w:r>
      <w:r w:rsidR="005B3241">
        <w:t xml:space="preserve"> the </w:t>
      </w:r>
      <w:r w:rsidR="00C73A26">
        <w:t>drop</w:t>
      </w:r>
      <w:r w:rsidR="00DC70C5">
        <w:t xml:space="preserve"> in AADT parameter</w:t>
      </w:r>
      <w:r w:rsidR="00935057">
        <w:t xml:space="preserve"> at </w:t>
      </w:r>
      <w:r w:rsidR="005928C7">
        <w:t xml:space="preserve">an </w:t>
      </w:r>
      <w:r w:rsidR="00935057">
        <w:t xml:space="preserve">AADT </w:t>
      </w:r>
      <w:r w:rsidR="005928C7">
        <w:t xml:space="preserve">value of </w:t>
      </w:r>
      <w:r w:rsidR="00935057">
        <w:t>1900</w:t>
      </w:r>
      <w:r w:rsidR="00DC70C5">
        <w:t xml:space="preserve"> </w:t>
      </w:r>
      <w:r w:rsidR="001772DC">
        <w:t>(</w:t>
      </w:r>
      <w:r w:rsidR="005928C7">
        <w:t xml:space="preserve">i.e., </w:t>
      </w:r>
      <w:r w:rsidR="00DC70C5">
        <w:t>(0.7723-0.5756)*ln(1900) = 1.485</w:t>
      </w:r>
      <w:r w:rsidR="001772DC">
        <w:t>)</w:t>
      </w:r>
      <w:r w:rsidR="006241C6">
        <w:t xml:space="preserve">. Also, the new incremental coefficient in the proposed model </w:t>
      </w:r>
      <w:r w:rsidR="00D92818" w:rsidRPr="00D92818">
        <w:t>-0.1967</w:t>
      </w:r>
      <w:r w:rsidR="00D92818">
        <w:t xml:space="preserve"> is the same as </w:t>
      </w:r>
      <w:r w:rsidR="001772DC">
        <w:t xml:space="preserve">the change in AADT parameter from the </w:t>
      </w:r>
      <w:r w:rsidR="00147B43">
        <w:t>GD</w:t>
      </w:r>
      <w:r w:rsidR="001772DC">
        <w:t xml:space="preserve"> system </w:t>
      </w:r>
      <w:r w:rsidR="00D92818">
        <w:t>(</w:t>
      </w:r>
      <w:r w:rsidR="005928C7">
        <w:t>0.5756 – 0.7723 = -0.1967</w:t>
      </w:r>
      <w:r w:rsidR="00D92818">
        <w:t>).</w:t>
      </w:r>
      <w:r w:rsidR="00EC787B">
        <w:t xml:space="preserve"> The comparison clearly illustrates that the two models are identical in how impact of AADT and all other variables are accommodated. </w:t>
      </w:r>
      <w:r w:rsidR="009321C1" w:rsidRPr="00935057">
        <w:rPr>
          <w:i/>
          <w:iCs/>
        </w:rPr>
        <w:t>Second</w:t>
      </w:r>
      <w:r w:rsidR="009321C1">
        <w:t>, the number of parameters in Gayah and Donnell (2021) is higher by 1. Based on what we</w:t>
      </w:r>
      <w:r w:rsidR="000B22EA">
        <w:t xml:space="preserve"> have</w:t>
      </w:r>
      <w:r w:rsidR="009321C1">
        <w:t xml:space="preserve"> shown above, it indicates that the second constant in </w:t>
      </w:r>
      <w:r w:rsidR="0029333E">
        <w:t xml:space="preserve">GD approach </w:t>
      </w:r>
      <w:r w:rsidR="009321C1">
        <w:t xml:space="preserve">is an artifact of the specification and not an additional degree of freedom. </w:t>
      </w:r>
      <w:r w:rsidR="00412517" w:rsidRPr="00935057">
        <w:rPr>
          <w:i/>
          <w:iCs/>
        </w:rPr>
        <w:t>Finally</w:t>
      </w:r>
      <w:r w:rsidR="00EC787B">
        <w:t xml:space="preserve">, </w:t>
      </w:r>
      <w:r w:rsidR="00BF17E1">
        <w:t xml:space="preserve">given the nature of the separate regime model in </w:t>
      </w:r>
      <w:r w:rsidR="005928C7">
        <w:t xml:space="preserve">the </w:t>
      </w:r>
      <w:r w:rsidR="0029333E">
        <w:t>GD approach</w:t>
      </w:r>
      <w:r w:rsidR="00BF17E1">
        <w:t>, the AADT coefficient for both regimes will be significant</w:t>
      </w:r>
      <w:r w:rsidR="009321C1">
        <w:t xml:space="preserve"> and </w:t>
      </w:r>
      <w:r w:rsidR="00CB5901">
        <w:t>quite likely</w:t>
      </w:r>
      <w:r w:rsidR="009321C1">
        <w:t xml:space="preserve"> different</w:t>
      </w:r>
      <w:r w:rsidR="00987576">
        <w:t xml:space="preserve"> in most cases</w:t>
      </w:r>
      <w:r w:rsidR="009321C1">
        <w:t xml:space="preserve">. </w:t>
      </w:r>
      <w:r w:rsidR="00987576">
        <w:t xml:space="preserve">However, this does not establish that the difference </w:t>
      </w:r>
      <w:r w:rsidR="001270A3">
        <w:t xml:space="preserve">is statistically significant. In our proposed framework, the comparison is more straightforward. If the parameter for </w:t>
      </w: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i_inc_1900</m:t>
            </m:r>
          </m:sub>
        </m:sSub>
      </m:oMath>
      <w:r w:rsidR="001270A3">
        <w:rPr>
          <w:rFonts w:eastAsiaTheme="minorEastAsia"/>
        </w:rPr>
        <w:t xml:space="preserve"> is statistically insignificant then one can conclude there is no reason for using the </w:t>
      </w:r>
      <w:r w:rsidR="00CB5901">
        <w:rPr>
          <w:rFonts w:eastAsiaTheme="minorEastAsia"/>
        </w:rPr>
        <w:t>different AADT ranges</w:t>
      </w:r>
      <w:r w:rsidR="001270A3">
        <w:rPr>
          <w:rFonts w:eastAsiaTheme="minorEastAsia"/>
        </w:rPr>
        <w:t xml:space="preserve">. The ease of </w:t>
      </w:r>
      <w:r w:rsidR="00E22CF7">
        <w:rPr>
          <w:rFonts w:eastAsiaTheme="minorEastAsia"/>
        </w:rPr>
        <w:t xml:space="preserve">undertaking this statistical test is of value to analysts testing if AADT impact is indeed different across different ranges. </w:t>
      </w:r>
    </w:p>
    <w:p w14:paraId="03717FCB" w14:textId="3440406D" w:rsidR="00E76D1B" w:rsidRDefault="00E76D1B" w:rsidP="00A95354">
      <w:pPr>
        <w:rPr>
          <w:rFonts w:eastAsiaTheme="minorEastAsia"/>
        </w:rPr>
      </w:pPr>
    </w:p>
    <w:p w14:paraId="21AD3701" w14:textId="247746F3" w:rsidR="00A95354" w:rsidRPr="005A48A4" w:rsidRDefault="00A95354" w:rsidP="00A95354">
      <w:pPr>
        <w:rPr>
          <w:b/>
          <w:bCs/>
          <w:i/>
          <w:iCs/>
        </w:rPr>
      </w:pPr>
      <w:r>
        <w:rPr>
          <w:b/>
          <w:bCs/>
          <w:i/>
          <w:iCs/>
        </w:rPr>
        <w:lastRenderedPageBreak/>
        <w:t xml:space="preserve">Flexible version of the </w:t>
      </w:r>
      <w:r w:rsidRPr="005A48A4">
        <w:rPr>
          <w:b/>
          <w:bCs/>
          <w:i/>
          <w:iCs/>
        </w:rPr>
        <w:t>Proposed Model</w:t>
      </w:r>
    </w:p>
    <w:p w14:paraId="17BD0D91" w14:textId="52E93011" w:rsidR="00E22CF7" w:rsidRDefault="00A95354" w:rsidP="006241C6">
      <w:r>
        <w:t xml:space="preserve">The proposed system can be employed to test several AADT ranges. </w:t>
      </w:r>
      <w:r w:rsidR="009A7955">
        <w:t xml:space="preserve">For this exercise, we considered </w:t>
      </w:r>
      <w:r w:rsidR="00CA1F54">
        <w:t xml:space="preserve">AADT values of </w:t>
      </w:r>
      <w:r w:rsidR="001B2674">
        <w:t xml:space="preserve">500, </w:t>
      </w:r>
      <w:r w:rsidR="00E559F6">
        <w:t xml:space="preserve">1000, 2000, </w:t>
      </w:r>
      <w:r w:rsidR="001E7A65">
        <w:t xml:space="preserve">5000 and 10,000 as thresholds. </w:t>
      </w:r>
      <w:r w:rsidR="00F1426B">
        <w:t xml:space="preserve">The exact </w:t>
      </w:r>
      <w:r w:rsidR="00045D83">
        <w:t xml:space="preserve">independent </w:t>
      </w:r>
      <w:r w:rsidR="00F1426B">
        <w:t xml:space="preserve">variables </w:t>
      </w:r>
      <w:r w:rsidR="00045D83">
        <w:t xml:space="preserve">generated and </w:t>
      </w:r>
      <w:r w:rsidR="00F1426B">
        <w:t>considered</w:t>
      </w:r>
      <w:r w:rsidR="00045D83">
        <w:t xml:space="preserve"> in our model estimation </w:t>
      </w:r>
      <w:r w:rsidR="00F1426B">
        <w:t>include:</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F1426B" w:rsidRPr="0010387C" w14:paraId="3F79C8E5" w14:textId="77777777" w:rsidTr="00F1426B">
        <w:tc>
          <w:tcPr>
            <w:tcW w:w="4349" w:type="pct"/>
            <w:vAlign w:val="center"/>
          </w:tcPr>
          <w:p w14:paraId="3E1A9510" w14:textId="2A090D47" w:rsidR="00F1426B" w:rsidRPr="0081138B" w:rsidRDefault="00F1426B" w:rsidP="00800B58">
            <w:pPr>
              <w:rPr>
                <w:rFonts w:eastAsiaTheme="minorEastAsia"/>
              </w:rPr>
            </w:pPr>
            <m:oMathPara>
              <m:oMathParaPr>
                <m:jc m:val="left"/>
              </m:oMathParaP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i_inc_500</m:t>
                    </m:r>
                  </m:sub>
                </m:sSub>
                <m:r>
                  <w:rPr>
                    <w:rFonts w:ascii="Cambria Math" w:hAnsi="Cambria Math"/>
                  </w:rPr>
                  <m:t>= Max</m:t>
                </m:r>
                <m:d>
                  <m:dPr>
                    <m:begChr m:val="["/>
                    <m:endChr m:val="]"/>
                    <m:ctrlPr>
                      <w:rPr>
                        <w:rFonts w:ascii="Cambria Math" w:hAnsi="Cambria Math"/>
                        <w:i/>
                        <w:lang w:val="en-US"/>
                      </w:rPr>
                    </m:ctrlPr>
                  </m:dPr>
                  <m:e>
                    <m:r>
                      <w:rPr>
                        <w:rFonts w:ascii="Cambria Math" w:hAnsi="Cambria Math"/>
                      </w:rPr>
                      <m:t>0,</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vertAlign w:val="subscript"/>
                                  </w:rPr>
                                </m:ctrlPr>
                              </m:sSubPr>
                              <m:e>
                                <m:r>
                                  <w:rPr>
                                    <w:rFonts w:ascii="Cambria Math" w:hAnsi="Cambria Math"/>
                                    <w:vertAlign w:val="subscript"/>
                                  </w:rPr>
                                  <m:t>AADT</m:t>
                                </m:r>
                              </m:e>
                              <m:sub>
                                <m:r>
                                  <w:rPr>
                                    <w:rFonts w:ascii="Cambria Math" w:hAnsi="Cambria Math"/>
                                    <w:vertAlign w:val="subscript"/>
                                  </w:rPr>
                                  <m:t>i</m:t>
                                </m:r>
                              </m:sub>
                            </m:sSub>
                          </m:e>
                        </m:d>
                      </m:e>
                    </m:func>
                    <m:r>
                      <w:rPr>
                        <w:rFonts w:ascii="Cambria Math" w:hAnsi="Cambria Math"/>
                      </w:rPr>
                      <m:t>-ln</m:t>
                    </m:r>
                    <m:d>
                      <m:dPr>
                        <m:ctrlPr>
                          <w:rPr>
                            <w:rFonts w:ascii="Cambria Math" w:hAnsi="Cambria Math"/>
                            <w:i/>
                          </w:rPr>
                        </m:ctrlPr>
                      </m:dPr>
                      <m:e>
                        <m:r>
                          <w:rPr>
                            <w:rFonts w:ascii="Cambria Math" w:hAnsi="Cambria Math"/>
                          </w:rPr>
                          <m:t>500</m:t>
                        </m:r>
                      </m:e>
                    </m:d>
                  </m:e>
                </m:d>
              </m:oMath>
            </m:oMathPara>
          </w:p>
        </w:tc>
        <w:tc>
          <w:tcPr>
            <w:tcW w:w="651" w:type="pct"/>
            <w:vAlign w:val="center"/>
          </w:tcPr>
          <w:p w14:paraId="1CD55710" w14:textId="77777777" w:rsidR="00F1426B" w:rsidRPr="0010387C" w:rsidRDefault="00F1426B" w:rsidP="00800B58">
            <w:pPr>
              <w:numPr>
                <w:ilvl w:val="0"/>
                <w:numId w:val="2"/>
              </w:numPr>
              <w:contextualSpacing/>
              <w:jc w:val="right"/>
              <w:rPr>
                <w:rFonts w:ascii="Calibri" w:eastAsia="Calibri" w:hAnsi="Calibri" w:cs="Times New Roman"/>
                <w:lang w:val="en-US"/>
              </w:rPr>
            </w:pPr>
          </w:p>
        </w:tc>
      </w:tr>
      <w:tr w:rsidR="00F1426B" w:rsidRPr="0010387C" w14:paraId="64E57397" w14:textId="77777777" w:rsidTr="00F1426B">
        <w:tc>
          <w:tcPr>
            <w:tcW w:w="4349" w:type="pct"/>
          </w:tcPr>
          <w:p w14:paraId="0B427806" w14:textId="50C1E41A" w:rsidR="00F1426B" w:rsidRPr="0081138B" w:rsidRDefault="00F1426B" w:rsidP="00800B58">
            <w:pPr>
              <w:rPr>
                <w:rFonts w:eastAsiaTheme="minorEastAsia"/>
              </w:rPr>
            </w:pPr>
            <m:oMathPara>
              <m:oMathParaPr>
                <m:jc m:val="left"/>
              </m:oMathParaP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i_inc_1000</m:t>
                    </m:r>
                  </m:sub>
                </m:sSub>
                <m:r>
                  <w:rPr>
                    <w:rFonts w:ascii="Cambria Math" w:hAnsi="Cambria Math"/>
                  </w:rPr>
                  <m:t>= Max</m:t>
                </m:r>
                <m:d>
                  <m:dPr>
                    <m:begChr m:val="["/>
                    <m:endChr m:val="]"/>
                    <m:ctrlPr>
                      <w:rPr>
                        <w:rFonts w:ascii="Cambria Math" w:hAnsi="Cambria Math"/>
                        <w:i/>
                        <w:lang w:val="en-US"/>
                      </w:rPr>
                    </m:ctrlPr>
                  </m:dPr>
                  <m:e>
                    <m:r>
                      <w:rPr>
                        <w:rFonts w:ascii="Cambria Math" w:hAnsi="Cambria Math"/>
                      </w:rPr>
                      <m:t>0,</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vertAlign w:val="subscript"/>
                                  </w:rPr>
                                </m:ctrlPr>
                              </m:sSubPr>
                              <m:e>
                                <m:r>
                                  <w:rPr>
                                    <w:rFonts w:ascii="Cambria Math" w:hAnsi="Cambria Math"/>
                                    <w:vertAlign w:val="subscript"/>
                                  </w:rPr>
                                  <m:t>AADT</m:t>
                                </m:r>
                              </m:e>
                              <m:sub>
                                <m:r>
                                  <w:rPr>
                                    <w:rFonts w:ascii="Cambria Math" w:hAnsi="Cambria Math"/>
                                    <w:vertAlign w:val="subscript"/>
                                  </w:rPr>
                                  <m:t>i</m:t>
                                </m:r>
                              </m:sub>
                            </m:sSub>
                          </m:e>
                        </m:d>
                      </m:e>
                    </m:func>
                    <m:r>
                      <w:rPr>
                        <w:rFonts w:ascii="Cambria Math" w:hAnsi="Cambria Math"/>
                      </w:rPr>
                      <m:t>-ln</m:t>
                    </m:r>
                    <m:d>
                      <m:dPr>
                        <m:ctrlPr>
                          <w:rPr>
                            <w:rFonts w:ascii="Cambria Math" w:hAnsi="Cambria Math"/>
                            <w:i/>
                          </w:rPr>
                        </m:ctrlPr>
                      </m:dPr>
                      <m:e>
                        <m:r>
                          <w:rPr>
                            <w:rFonts w:ascii="Cambria Math" w:hAnsi="Cambria Math"/>
                          </w:rPr>
                          <m:t>1000</m:t>
                        </m:r>
                      </m:e>
                    </m:d>
                  </m:e>
                </m:d>
              </m:oMath>
            </m:oMathPara>
          </w:p>
        </w:tc>
        <w:tc>
          <w:tcPr>
            <w:tcW w:w="651" w:type="pct"/>
          </w:tcPr>
          <w:p w14:paraId="10032D17" w14:textId="77777777" w:rsidR="00F1426B" w:rsidRPr="0010387C" w:rsidRDefault="00F1426B" w:rsidP="00800B58">
            <w:pPr>
              <w:numPr>
                <w:ilvl w:val="0"/>
                <w:numId w:val="2"/>
              </w:numPr>
              <w:contextualSpacing/>
              <w:jc w:val="right"/>
              <w:rPr>
                <w:rFonts w:ascii="Calibri" w:eastAsia="Calibri" w:hAnsi="Calibri" w:cs="Times New Roman"/>
                <w:lang w:val="en-US"/>
              </w:rPr>
            </w:pPr>
          </w:p>
        </w:tc>
      </w:tr>
      <w:tr w:rsidR="00F1426B" w:rsidRPr="0010387C" w14:paraId="20C84179" w14:textId="77777777" w:rsidTr="00F1426B">
        <w:tc>
          <w:tcPr>
            <w:tcW w:w="4349" w:type="pct"/>
          </w:tcPr>
          <w:p w14:paraId="3D468DAD" w14:textId="17A0F77A" w:rsidR="00F1426B" w:rsidRPr="0081138B" w:rsidRDefault="00F1426B" w:rsidP="00800B58">
            <w:pPr>
              <w:rPr>
                <w:rFonts w:eastAsiaTheme="minorEastAsia"/>
              </w:rPr>
            </w:pPr>
            <m:oMathPara>
              <m:oMathParaPr>
                <m:jc m:val="left"/>
              </m:oMathParaP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i_inc_2000</m:t>
                    </m:r>
                  </m:sub>
                </m:sSub>
                <m:r>
                  <w:rPr>
                    <w:rFonts w:ascii="Cambria Math" w:hAnsi="Cambria Math"/>
                  </w:rPr>
                  <m:t>= Max</m:t>
                </m:r>
                <m:d>
                  <m:dPr>
                    <m:begChr m:val="["/>
                    <m:endChr m:val="]"/>
                    <m:ctrlPr>
                      <w:rPr>
                        <w:rFonts w:ascii="Cambria Math" w:hAnsi="Cambria Math"/>
                        <w:i/>
                        <w:lang w:val="en-US"/>
                      </w:rPr>
                    </m:ctrlPr>
                  </m:dPr>
                  <m:e>
                    <m:r>
                      <w:rPr>
                        <w:rFonts w:ascii="Cambria Math" w:hAnsi="Cambria Math"/>
                      </w:rPr>
                      <m:t>0,</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r>
                              <w:rPr>
                                <w:rFonts w:ascii="Cambria Math" w:hAnsi="Cambria Math"/>
                                <w:vertAlign w:val="subscript"/>
                              </w:rPr>
                              <m:t>AADT</m:t>
                            </m:r>
                          </m:e>
                        </m:d>
                      </m:e>
                    </m:func>
                    <m:r>
                      <w:rPr>
                        <w:rFonts w:ascii="Cambria Math" w:hAnsi="Cambria Math"/>
                      </w:rPr>
                      <m:t>-ln</m:t>
                    </m:r>
                    <m:d>
                      <m:dPr>
                        <m:ctrlPr>
                          <w:rPr>
                            <w:rFonts w:ascii="Cambria Math" w:hAnsi="Cambria Math"/>
                            <w:i/>
                          </w:rPr>
                        </m:ctrlPr>
                      </m:dPr>
                      <m:e>
                        <m:r>
                          <w:rPr>
                            <w:rFonts w:ascii="Cambria Math" w:hAnsi="Cambria Math"/>
                          </w:rPr>
                          <m:t>2000</m:t>
                        </m:r>
                      </m:e>
                    </m:d>
                  </m:e>
                </m:d>
              </m:oMath>
            </m:oMathPara>
          </w:p>
        </w:tc>
        <w:tc>
          <w:tcPr>
            <w:tcW w:w="651" w:type="pct"/>
          </w:tcPr>
          <w:p w14:paraId="56B60AC6" w14:textId="77777777" w:rsidR="00F1426B" w:rsidRPr="0010387C" w:rsidRDefault="00F1426B" w:rsidP="00800B58">
            <w:pPr>
              <w:numPr>
                <w:ilvl w:val="0"/>
                <w:numId w:val="2"/>
              </w:numPr>
              <w:contextualSpacing/>
              <w:jc w:val="right"/>
              <w:rPr>
                <w:rFonts w:ascii="Calibri" w:eastAsia="Calibri" w:hAnsi="Calibri" w:cs="Times New Roman"/>
                <w:lang w:val="en-US"/>
              </w:rPr>
            </w:pPr>
          </w:p>
        </w:tc>
      </w:tr>
      <w:tr w:rsidR="00F1426B" w:rsidRPr="0010387C" w14:paraId="2539C892" w14:textId="77777777" w:rsidTr="00F1426B">
        <w:tc>
          <w:tcPr>
            <w:tcW w:w="4349" w:type="pct"/>
          </w:tcPr>
          <w:p w14:paraId="673C1EC7" w14:textId="3CFB0FCE" w:rsidR="00F1426B" w:rsidRPr="0081138B" w:rsidRDefault="00F1426B" w:rsidP="00800B58">
            <w:pPr>
              <w:rPr>
                <w:rFonts w:eastAsiaTheme="minorEastAsia"/>
              </w:rPr>
            </w:pPr>
            <m:oMathPara>
              <m:oMathParaPr>
                <m:jc m:val="left"/>
              </m:oMathParaP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i_inc_5000</m:t>
                    </m:r>
                  </m:sub>
                </m:sSub>
                <m:r>
                  <w:rPr>
                    <w:rFonts w:ascii="Cambria Math" w:hAnsi="Cambria Math"/>
                  </w:rPr>
                  <m:t>= Max</m:t>
                </m:r>
                <m:d>
                  <m:dPr>
                    <m:begChr m:val="["/>
                    <m:endChr m:val="]"/>
                    <m:ctrlPr>
                      <w:rPr>
                        <w:rFonts w:ascii="Cambria Math" w:hAnsi="Cambria Math"/>
                        <w:i/>
                        <w:lang w:val="en-US"/>
                      </w:rPr>
                    </m:ctrlPr>
                  </m:dPr>
                  <m:e>
                    <m:r>
                      <w:rPr>
                        <w:rFonts w:ascii="Cambria Math" w:hAnsi="Cambria Math"/>
                      </w:rPr>
                      <m:t>0,</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r>
                              <w:rPr>
                                <w:rFonts w:ascii="Cambria Math" w:hAnsi="Cambria Math"/>
                                <w:vertAlign w:val="subscript"/>
                              </w:rPr>
                              <m:t>AADT</m:t>
                            </m:r>
                          </m:e>
                        </m:d>
                      </m:e>
                    </m:func>
                    <m:r>
                      <w:rPr>
                        <w:rFonts w:ascii="Cambria Math" w:hAnsi="Cambria Math"/>
                      </w:rPr>
                      <m:t>-ln</m:t>
                    </m:r>
                    <m:d>
                      <m:dPr>
                        <m:ctrlPr>
                          <w:rPr>
                            <w:rFonts w:ascii="Cambria Math" w:hAnsi="Cambria Math"/>
                            <w:i/>
                          </w:rPr>
                        </m:ctrlPr>
                      </m:dPr>
                      <m:e>
                        <m:r>
                          <w:rPr>
                            <w:rFonts w:ascii="Cambria Math" w:hAnsi="Cambria Math"/>
                          </w:rPr>
                          <m:t>5000</m:t>
                        </m:r>
                      </m:e>
                    </m:d>
                  </m:e>
                </m:d>
              </m:oMath>
            </m:oMathPara>
          </w:p>
        </w:tc>
        <w:tc>
          <w:tcPr>
            <w:tcW w:w="651" w:type="pct"/>
          </w:tcPr>
          <w:p w14:paraId="0875AB50" w14:textId="77777777" w:rsidR="00F1426B" w:rsidRPr="0010387C" w:rsidRDefault="00F1426B" w:rsidP="00800B58">
            <w:pPr>
              <w:numPr>
                <w:ilvl w:val="0"/>
                <w:numId w:val="2"/>
              </w:numPr>
              <w:contextualSpacing/>
              <w:jc w:val="right"/>
              <w:rPr>
                <w:rFonts w:ascii="Calibri" w:eastAsia="Calibri" w:hAnsi="Calibri" w:cs="Times New Roman"/>
                <w:lang w:val="en-US"/>
              </w:rPr>
            </w:pPr>
          </w:p>
        </w:tc>
      </w:tr>
      <w:tr w:rsidR="00F1426B" w:rsidRPr="0010387C" w14:paraId="75953AD4" w14:textId="77777777" w:rsidTr="00F1426B">
        <w:tc>
          <w:tcPr>
            <w:tcW w:w="4349" w:type="pct"/>
          </w:tcPr>
          <w:p w14:paraId="1B27A32A" w14:textId="63DDB9C4" w:rsidR="00F1426B" w:rsidRPr="0081138B" w:rsidRDefault="00F1426B" w:rsidP="00800B58">
            <w:pPr>
              <w:rPr>
                <w:rFonts w:eastAsiaTheme="minorEastAsia"/>
              </w:rPr>
            </w:pPr>
            <m:oMathPara>
              <m:oMathParaPr>
                <m:jc m:val="left"/>
              </m:oMathParaP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i_inc_10000</m:t>
                    </m:r>
                  </m:sub>
                </m:sSub>
                <m:r>
                  <w:rPr>
                    <w:rFonts w:ascii="Cambria Math" w:hAnsi="Cambria Math"/>
                  </w:rPr>
                  <m:t>= Max</m:t>
                </m:r>
                <m:d>
                  <m:dPr>
                    <m:begChr m:val="["/>
                    <m:endChr m:val="]"/>
                    <m:ctrlPr>
                      <w:rPr>
                        <w:rFonts w:ascii="Cambria Math" w:hAnsi="Cambria Math"/>
                        <w:i/>
                        <w:lang w:val="en-US"/>
                      </w:rPr>
                    </m:ctrlPr>
                  </m:dPr>
                  <m:e>
                    <m:r>
                      <w:rPr>
                        <w:rFonts w:ascii="Cambria Math" w:hAnsi="Cambria Math"/>
                      </w:rPr>
                      <m:t>0,</m:t>
                    </m:r>
                    <m:func>
                      <m:funcPr>
                        <m:ctrlPr>
                          <w:rPr>
                            <w:rFonts w:ascii="Cambria Math" w:hAnsi="Cambria Math"/>
                            <w:i/>
                          </w:rPr>
                        </m:ctrlPr>
                      </m:funcPr>
                      <m:fName>
                        <m:r>
                          <w:rPr>
                            <w:rFonts w:ascii="Cambria Math" w:hAnsi="Cambria Math"/>
                          </w:rPr>
                          <m:t>ln</m:t>
                        </m:r>
                      </m:fName>
                      <m:e>
                        <m:d>
                          <m:dPr>
                            <m:ctrlPr>
                              <w:rPr>
                                <w:rFonts w:ascii="Cambria Math" w:hAnsi="Cambria Math"/>
                                <w:i/>
                              </w:rPr>
                            </m:ctrlPr>
                          </m:dPr>
                          <m:e>
                            <m:r>
                              <w:rPr>
                                <w:rFonts w:ascii="Cambria Math" w:hAnsi="Cambria Math"/>
                                <w:vertAlign w:val="subscript"/>
                              </w:rPr>
                              <m:t>AADT</m:t>
                            </m:r>
                          </m:e>
                        </m:d>
                      </m:e>
                    </m:func>
                    <m:r>
                      <w:rPr>
                        <w:rFonts w:ascii="Cambria Math" w:hAnsi="Cambria Math"/>
                      </w:rPr>
                      <m:t>-ln</m:t>
                    </m:r>
                    <m:d>
                      <m:dPr>
                        <m:ctrlPr>
                          <w:rPr>
                            <w:rFonts w:ascii="Cambria Math" w:hAnsi="Cambria Math"/>
                            <w:i/>
                          </w:rPr>
                        </m:ctrlPr>
                      </m:dPr>
                      <m:e>
                        <m:r>
                          <w:rPr>
                            <w:rFonts w:ascii="Cambria Math" w:hAnsi="Cambria Math"/>
                          </w:rPr>
                          <m:t>10000</m:t>
                        </m:r>
                      </m:e>
                    </m:d>
                  </m:e>
                </m:d>
              </m:oMath>
            </m:oMathPara>
          </w:p>
        </w:tc>
        <w:tc>
          <w:tcPr>
            <w:tcW w:w="651" w:type="pct"/>
          </w:tcPr>
          <w:p w14:paraId="5AAB3821" w14:textId="77777777" w:rsidR="00F1426B" w:rsidRPr="0010387C" w:rsidRDefault="00F1426B" w:rsidP="00800B58">
            <w:pPr>
              <w:numPr>
                <w:ilvl w:val="0"/>
                <w:numId w:val="2"/>
              </w:numPr>
              <w:contextualSpacing/>
              <w:jc w:val="right"/>
              <w:rPr>
                <w:rFonts w:ascii="Calibri" w:eastAsia="Calibri" w:hAnsi="Calibri" w:cs="Times New Roman"/>
                <w:lang w:val="en-US"/>
              </w:rPr>
            </w:pPr>
          </w:p>
        </w:tc>
      </w:tr>
    </w:tbl>
    <w:p w14:paraId="254995A6" w14:textId="5FBA3C07" w:rsidR="007269E1" w:rsidRDefault="00F1426B" w:rsidP="00BD6478">
      <w:r>
        <w:t xml:space="preserve">The final model results with this specification are presented in Table 2. </w:t>
      </w:r>
      <w:r w:rsidR="00E82089">
        <w:t xml:space="preserve">From the results, we can observe that only </w:t>
      </w:r>
      <w:r w:rsidR="009C44F6">
        <w:t xml:space="preserve">two of the five tested </w:t>
      </w:r>
      <w:r w:rsidR="00FB4B77">
        <w:t>variables</w:t>
      </w:r>
      <w:r w:rsidR="009C44F6">
        <w:t xml:space="preserve"> </w:t>
      </w:r>
      <w:r w:rsidR="005928C7">
        <w:t xml:space="preserve">are statistically </w:t>
      </w:r>
      <w:r w:rsidR="009C44F6">
        <w:t>significant. The results indicate that there exist three ranges of AADT impact</w:t>
      </w:r>
      <w:r w:rsidR="005928C7">
        <w:t>:</w:t>
      </w:r>
      <w:r w:rsidR="009C44F6">
        <w:t xml:space="preserve"> 0-2000, 2000-5000 and above 5000. </w:t>
      </w:r>
      <w:r w:rsidR="00BD6478">
        <w:t xml:space="preserve">The coefficients </w:t>
      </w:r>
      <w:r w:rsidR="005928C7">
        <w:t xml:space="preserve">associated with AADT </w:t>
      </w:r>
      <w:r w:rsidR="00BD6478">
        <w:t xml:space="preserve">within these ranges can be computed as 0.7998, </w:t>
      </w:r>
      <w:r w:rsidR="00082A5B">
        <w:t>0.4522 (</w:t>
      </w:r>
      <w:r w:rsidR="00BD6478">
        <w:t>0.7998</w:t>
      </w:r>
      <w:r w:rsidR="00082A5B">
        <w:t xml:space="preserve"> - </w:t>
      </w:r>
      <w:r w:rsidR="00BD6478">
        <w:t>0.3476</w:t>
      </w:r>
      <w:r w:rsidR="00082A5B">
        <w:t xml:space="preserve">) and 0.7799 (0.7998 - 0.3476 + </w:t>
      </w:r>
      <w:r w:rsidR="00BD6478">
        <w:t>0.3277</w:t>
      </w:r>
      <w:r w:rsidR="00082A5B">
        <w:t xml:space="preserve">). </w:t>
      </w:r>
      <w:r w:rsidR="008841A8">
        <w:t xml:space="preserve">The </w:t>
      </w:r>
      <w:r w:rsidR="006E0AC2">
        <w:t>flexible</w:t>
      </w:r>
      <w:r w:rsidR="008841A8">
        <w:t xml:space="preserve"> system significantly improved the log-likelihood compared to the one threshold system</w:t>
      </w:r>
      <w:r w:rsidR="00675A2C">
        <w:t>. The log-likelihood test value comparing the two model systems is 2 * (</w:t>
      </w:r>
      <w:r w:rsidR="005E06F4">
        <w:noBreakHyphen/>
      </w:r>
      <w:r w:rsidR="00675A2C" w:rsidRPr="00675A2C">
        <w:t>19525.262</w:t>
      </w:r>
      <w:r w:rsidR="005E06F4">
        <w:t>+</w:t>
      </w:r>
      <w:r w:rsidR="00675A2C" w:rsidRPr="00675A2C">
        <w:t>19531.932</w:t>
      </w:r>
      <w:r w:rsidR="005E06F4">
        <w:t>) = 13.34</w:t>
      </w:r>
      <w:r w:rsidR="000147DB">
        <w:t xml:space="preserve">; a value higher than the corresponding </w:t>
      </w:r>
      <w:r w:rsidR="000147DB">
        <w:rPr>
          <w:rFonts w:cs="Times New Roman"/>
        </w:rPr>
        <w:t>ψ</w:t>
      </w:r>
      <w:r w:rsidR="000147DB" w:rsidRPr="000147DB">
        <w:rPr>
          <w:vertAlign w:val="superscript"/>
        </w:rPr>
        <w:t>2</w:t>
      </w:r>
      <w:r w:rsidR="000147DB">
        <w:t xml:space="preserve"> test-statistic for any level of significance for one degree of freedom.</w:t>
      </w:r>
    </w:p>
    <w:p w14:paraId="069DC27F" w14:textId="77777777" w:rsidR="00DE7740" w:rsidRDefault="00DE7740" w:rsidP="00BD6478"/>
    <w:p w14:paraId="22AC84A8" w14:textId="77777777" w:rsidR="00993D14" w:rsidRPr="00D909C1" w:rsidRDefault="00993D14" w:rsidP="00993D14">
      <w:pPr>
        <w:rPr>
          <w:b/>
          <w:bCs/>
          <w:i/>
          <w:iCs/>
        </w:rPr>
      </w:pPr>
      <w:r w:rsidRPr="00D909C1">
        <w:rPr>
          <w:b/>
          <w:bCs/>
          <w:i/>
          <w:iCs/>
        </w:rPr>
        <w:t>Advantages of the Proposed Framework</w:t>
      </w:r>
    </w:p>
    <w:p w14:paraId="40E8164E" w14:textId="43D7C968" w:rsidR="00993D14" w:rsidRDefault="00993D14" w:rsidP="00942A42">
      <w:r>
        <w:t xml:space="preserve">The proposed approach offers several advantages. </w:t>
      </w:r>
      <w:r w:rsidRPr="00C72EDB">
        <w:rPr>
          <w:i/>
          <w:iCs/>
        </w:rPr>
        <w:t>First</w:t>
      </w:r>
      <w:r>
        <w:t xml:space="preserve">, the proposed approach does not require any additional infrastructure to estimate the model. Unlike the GD approach, which requires a constraint to be included in the model estimation, the proposed model can be estimated with currently employed software for SPF estimation without any modification. The approach requires only an addition of independent variables to allow for </w:t>
      </w:r>
      <m:oMath>
        <m:func>
          <m:funcPr>
            <m:ctrlPr>
              <w:rPr>
                <w:rFonts w:ascii="Cambria Math" w:hAnsi="Cambria Math"/>
                <w:vertAlign w:val="subscript"/>
                <w:lang w:val="en-CA"/>
              </w:rPr>
            </m:ctrlPr>
          </m:funcPr>
          <m:fName>
            <m:r>
              <w:rPr>
                <w:rFonts w:ascii="Cambria Math" w:hAnsi="Cambria Math"/>
                <w:vertAlign w:val="subscript"/>
              </w:rPr>
              <m:t>ln</m:t>
            </m:r>
            <m:ctrlPr>
              <w:rPr>
                <w:rFonts w:ascii="Cambria Math" w:hAnsi="Cambria Math"/>
                <w:vertAlign w:val="subscript"/>
              </w:rPr>
            </m:ctrlPr>
          </m:fName>
          <m:e>
            <m:d>
              <m:dPr>
                <m:ctrlPr>
                  <w:rPr>
                    <w:rFonts w:ascii="Cambria Math" w:hAnsi="Cambria Math"/>
                    <w:vertAlign w:val="subscript"/>
                    <w:lang w:val="en-CA"/>
                  </w:rPr>
                </m:ctrlPr>
              </m:dPr>
              <m:e>
                <m:sSub>
                  <m:sSubPr>
                    <m:ctrlPr>
                      <w:rPr>
                        <w:rFonts w:ascii="Cambria Math" w:hAnsi="Cambria Math"/>
                        <w:i/>
                        <w:vertAlign w:val="subscript"/>
                        <w:lang w:val="en-CA"/>
                      </w:rPr>
                    </m:ctrlPr>
                  </m:sSubPr>
                  <m:e>
                    <m:r>
                      <w:rPr>
                        <w:rFonts w:ascii="Cambria Math" w:hAnsi="Cambria Math"/>
                      </w:rPr>
                      <m:t>AADT</m:t>
                    </m:r>
                  </m:e>
                  <m:sub>
                    <m:r>
                      <w:rPr>
                        <w:rFonts w:ascii="Cambria Math" w:hAnsi="Cambria Math"/>
                        <w:vertAlign w:val="subscript"/>
                      </w:rPr>
                      <m:t>i</m:t>
                    </m:r>
                  </m:sub>
                </m:sSub>
              </m:e>
            </m:d>
          </m:e>
        </m:func>
      </m:oMath>
      <w:r>
        <w:t xml:space="preserve"> impact to vary across its range as shown in equations 3 and 4. </w:t>
      </w:r>
      <w:r w:rsidRPr="00AB6C1F">
        <w:rPr>
          <w:i/>
          <w:iCs/>
        </w:rPr>
        <w:t>Second</w:t>
      </w:r>
      <w:r>
        <w:t xml:space="preserve">, the determination of whether the impact changes beyond a threshold value is relatively straightforward. The t-statistic of the parameters (such as </w:t>
      </w:r>
      <m:oMath>
        <m:sSub>
          <m:sSubPr>
            <m:ctrlPr>
              <w:rPr>
                <w:rFonts w:ascii="Cambria Math" w:hAnsi="Cambria Math"/>
                <w:lang w:val="el-GR"/>
              </w:rPr>
            </m:ctrlPr>
          </m:sSubPr>
          <m:e>
            <m:r>
              <m:rPr>
                <m:sty m:val="p"/>
              </m:rPr>
              <w:rPr>
                <w:rFonts w:ascii="Cambria Math" w:hAnsi="Cambria Math"/>
                <w:lang w:val="el-GR"/>
              </w:rPr>
              <m:t>δ</m:t>
            </m:r>
          </m:e>
          <m:sub>
            <m:r>
              <w:rPr>
                <w:rFonts w:ascii="Cambria Math" w:hAnsi="Cambria Math"/>
                <w:lang w:val="el-GR"/>
              </w:rPr>
              <m:t>1</m:t>
            </m:r>
          </m:sub>
        </m:sSub>
      </m:oMath>
      <w:r>
        <w:rPr>
          <w:rFonts w:eastAsiaTheme="minorEastAsia"/>
        </w:rPr>
        <w:t xml:space="preserve"> and </w:t>
      </w:r>
      <m:oMath>
        <m:sSub>
          <m:sSubPr>
            <m:ctrlPr>
              <w:rPr>
                <w:rFonts w:ascii="Cambria Math" w:hAnsi="Cambria Math"/>
                <w:lang w:val="el-GR"/>
              </w:rPr>
            </m:ctrlPr>
          </m:sSubPr>
          <m:e>
            <m:r>
              <m:rPr>
                <m:sty m:val="p"/>
              </m:rPr>
              <w:rPr>
                <w:rFonts w:ascii="Cambria Math" w:hAnsi="Cambria Math"/>
                <w:lang w:val="el-GR"/>
              </w:rPr>
              <m:t>δ</m:t>
            </m:r>
          </m:e>
          <m:sub>
            <m:r>
              <w:rPr>
                <w:rFonts w:ascii="Cambria Math" w:hAnsi="Cambria Math"/>
                <w:lang w:val="el-GR"/>
              </w:rPr>
              <m:t>2</m:t>
            </m:r>
          </m:sub>
        </m:sSub>
      </m:oMath>
      <w:r>
        <w:rPr>
          <w:rFonts w:eastAsiaTheme="minorEastAsia"/>
        </w:rPr>
        <w:t xml:space="preserve"> in Equation 2</w:t>
      </w:r>
      <w:r>
        <w:t xml:space="preserve">) for the new independent variables (such as </w:t>
      </w: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i_inc1</m:t>
            </m:r>
          </m:sub>
        </m:sSub>
      </m:oMath>
      <w:r>
        <w:rPr>
          <w:rFonts w:eastAsiaTheme="minorEastAsia"/>
        </w:rPr>
        <w:t xml:space="preserve">and </w:t>
      </w:r>
      <m:oMath>
        <m:r>
          <w:rPr>
            <w:rFonts w:ascii="Cambria Math" w:hAnsi="Cambria Math"/>
          </w:rPr>
          <m:t>AAD</m:t>
        </m:r>
        <m:sSub>
          <m:sSubPr>
            <m:ctrlPr>
              <w:rPr>
                <w:rFonts w:ascii="Cambria Math" w:hAnsi="Cambria Math"/>
                <w:i/>
              </w:rPr>
            </m:ctrlPr>
          </m:sSubPr>
          <m:e>
            <m:r>
              <w:rPr>
                <w:rFonts w:ascii="Cambria Math" w:hAnsi="Cambria Math"/>
              </w:rPr>
              <m:t>T</m:t>
            </m:r>
          </m:e>
          <m:sub>
            <m:r>
              <w:rPr>
                <w:rFonts w:ascii="Cambria Math" w:hAnsi="Cambria Math"/>
              </w:rPr>
              <m:t>i_inc2</m:t>
            </m:r>
          </m:sub>
        </m:sSub>
      </m:oMath>
      <w:r>
        <w:rPr>
          <w:rFonts w:eastAsiaTheme="minorEastAsia"/>
        </w:rPr>
        <w:t xml:space="preserve">) provide a clear indication of the parameter significance. </w:t>
      </w:r>
      <w:r>
        <w:t xml:space="preserve">Thus, the analyst can easily evaluate if the proposed additional parameter results represent a significant change in AADT impact. </w:t>
      </w:r>
      <w:r w:rsidR="00A018B2">
        <w:t>The t-statistic based evaluation can also be augmented with a likelihood ratio test</w:t>
      </w:r>
      <w:r w:rsidR="00554067">
        <w:rPr>
          <w:rStyle w:val="FootnoteReference"/>
        </w:rPr>
        <w:footnoteReference w:id="2"/>
      </w:r>
      <w:r w:rsidR="00BB5D07">
        <w:t xml:space="preserve"> to confirm the findings</w:t>
      </w:r>
      <w:r w:rsidR="003F3DA8">
        <w:t xml:space="preserve">. </w:t>
      </w:r>
      <w:r w:rsidR="00BB5D07">
        <w:t xml:space="preserve">In most empirical cases, the t-statistic evaluation and likelihood ratio test are closely aligned. </w:t>
      </w:r>
      <w:r>
        <w:t xml:space="preserve">The computation of such comparisons for the GD approach will be far from straight forward and would </w:t>
      </w:r>
      <w:r>
        <w:lastRenderedPageBreak/>
        <w:t xml:space="preserve">require complex procedures for hypothesis testing. </w:t>
      </w:r>
      <w:r w:rsidRPr="00935057">
        <w:rPr>
          <w:i/>
          <w:iCs/>
        </w:rPr>
        <w:t>Third</w:t>
      </w:r>
      <w:r>
        <w:t>, as opposed to the GD approach, consideration of multiple AADT ranges entails only small incremental computation in the form of independent variable generation.</w:t>
      </w:r>
      <w:r w:rsidR="008214F4">
        <w:t xml:space="preserve"> To elaborate, the analyst will only need to generate additional independent variables as illustrated in Equations 7-11 to examine changes to AADT parameter in their empirical context. </w:t>
      </w:r>
      <w:r w:rsidRPr="00935057">
        <w:rPr>
          <w:i/>
          <w:iCs/>
        </w:rPr>
        <w:t>Finally</w:t>
      </w:r>
      <w:r>
        <w:t xml:space="preserve">, </w:t>
      </w:r>
      <w:r w:rsidR="005D5DF9">
        <w:t xml:space="preserve">the flexibility to accommodate </w:t>
      </w:r>
      <w:r w:rsidR="00F265BC">
        <w:t>multiple thresholds</w:t>
      </w:r>
      <w:r w:rsidR="005D5DF9">
        <w:t xml:space="preserve"> might increase analyst burden in determining the appropriate number of thresholds and the actual threshold values</w:t>
      </w:r>
      <w:r w:rsidR="00F265BC">
        <w:t xml:space="preserve">. </w:t>
      </w:r>
      <w:r w:rsidR="003D7B0F">
        <w:t xml:space="preserve">The analyst will need to </w:t>
      </w:r>
      <w:r w:rsidR="007E3026">
        <w:t xml:space="preserve">draw on </w:t>
      </w:r>
      <w:r w:rsidR="003D7B0F">
        <w:t xml:space="preserve">their experience </w:t>
      </w:r>
      <w:r w:rsidR="007E3026">
        <w:t>to</w:t>
      </w:r>
      <w:r w:rsidR="003D7B0F">
        <w:t xml:space="preserve"> </w:t>
      </w:r>
      <w:r w:rsidR="007E3026">
        <w:t>identify</w:t>
      </w:r>
      <w:r w:rsidR="003D7B0F">
        <w:t xml:space="preserve"> the number of thresholds</w:t>
      </w:r>
      <w:r w:rsidR="00F02154">
        <w:t xml:space="preserve"> and cut-off points. </w:t>
      </w:r>
      <w:r w:rsidR="00AD7B54">
        <w:t xml:space="preserve">A useful approach would be to plot the AADT frequency distribution and identify natural cut-off points in the data. </w:t>
      </w:r>
      <w:r w:rsidR="004F0741">
        <w:t xml:space="preserve">We recommend considering up to 4 cut-off points for typical data [resulting in 5 ranges of AADT]. </w:t>
      </w:r>
      <w:r w:rsidR="000F64FA">
        <w:t>After determining the cut-off points, the model can be estimated relatively easily with additional independent variables</w:t>
      </w:r>
      <w:r w:rsidR="007E3026">
        <w:t xml:space="preserve"> (following equations 7-11)</w:t>
      </w:r>
      <w:r w:rsidR="000F64FA">
        <w:t xml:space="preserve">. </w:t>
      </w:r>
      <w:r w:rsidR="00632D00">
        <w:t>The variables included should be evaluated for statistical significance using the t-</w:t>
      </w:r>
      <w:r w:rsidR="007B330A">
        <w:t xml:space="preserve">statistic or the likelihood ratio test. </w:t>
      </w:r>
      <w:r w:rsidR="00F02154">
        <w:t xml:space="preserve">At the same time, given the flexible nature of the proposed approach, </w:t>
      </w:r>
      <w:r w:rsidR="00AD7B54">
        <w:t xml:space="preserve">differences in the number </w:t>
      </w:r>
      <w:r w:rsidR="00942A42">
        <w:t xml:space="preserve">and cut-offs are likely to result in only smaller overall changes to AADT impact across the study region. </w:t>
      </w:r>
    </w:p>
    <w:p w14:paraId="44F75665" w14:textId="77777777" w:rsidR="00DE7740" w:rsidRDefault="00DE7740" w:rsidP="00993D14">
      <w:pPr>
        <w:rPr>
          <w:b/>
          <w:bCs/>
        </w:rPr>
      </w:pPr>
    </w:p>
    <w:p w14:paraId="79039026" w14:textId="20AC9AE5" w:rsidR="00F14FD6" w:rsidRDefault="00F14FD6" w:rsidP="00D909C1">
      <w:pPr>
        <w:rPr>
          <w:b/>
          <w:bCs/>
        </w:rPr>
      </w:pPr>
      <w:r>
        <w:rPr>
          <w:b/>
          <w:bCs/>
        </w:rPr>
        <w:t>Consideration of Unobserved Heterogeneity</w:t>
      </w:r>
    </w:p>
    <w:p w14:paraId="3AD8EE23" w14:textId="4B5581AF" w:rsidR="00012DF2" w:rsidRDefault="00A32070" w:rsidP="00551370">
      <w:r w:rsidRPr="00252126">
        <w:t xml:space="preserve">The </w:t>
      </w:r>
      <w:r w:rsidRPr="00A32070">
        <w:t>proposed</w:t>
      </w:r>
      <w:r>
        <w:t xml:space="preserve"> framework is focused on </w:t>
      </w:r>
      <w:r w:rsidR="00A22BD1" w:rsidRPr="00252126">
        <w:rPr>
          <w:rFonts w:eastAsiaTheme="minorEastAsia" w:cs="Times New Roman"/>
          <w:iCs/>
          <w:szCs w:val="24"/>
        </w:rPr>
        <w:t>simplifying</w:t>
      </w:r>
      <w:r w:rsidR="00A22BD1" w:rsidDel="00A22BD1">
        <w:t xml:space="preserve"> </w:t>
      </w:r>
      <w:r>
        <w:t xml:space="preserve">the GD paper framework for estimating AADT parameters for different ranges. </w:t>
      </w:r>
      <w:r w:rsidR="00CC7B3B">
        <w:t xml:space="preserve">The current formulation of the GD approach employs a constraint maximization framework </w:t>
      </w:r>
      <w:r w:rsidR="00914679">
        <w:t xml:space="preserve">for model estimation. </w:t>
      </w:r>
      <w:r w:rsidR="008116C4">
        <w:t xml:space="preserve">Within this framework, </w:t>
      </w:r>
      <w:r w:rsidR="00CC7B3B">
        <w:t xml:space="preserve">estimating random parameters that satisfy the constraint across regimes is far from straightforward. For example, let us consider random parameters for each of the AADT parameter across the two regimes. To estimate the model, the constraint that AADT parameters from different regimes need to be the same at the threshold value needs to be satisfied. Given the usual unbounded nature of the random parameters (such as those that arise from a multivariate normal distributional assumption), it is not possible to </w:t>
      </w:r>
      <w:r w:rsidR="0010351D">
        <w:t>test</w:t>
      </w:r>
      <w:r w:rsidR="00CC7B3B">
        <w:t xml:space="preserve"> the constraint for every realization of the random parameter. Traditional estimation approaches for RP will estimate the constraint maximization framework over a set of realizations </w:t>
      </w:r>
      <w:r w:rsidR="0010351D">
        <w:t>(</w:t>
      </w:r>
      <w:r w:rsidR="00CC7B3B">
        <w:t>say 500-1000 draws</w:t>
      </w:r>
      <w:r w:rsidR="0010351D">
        <w:t>)</w:t>
      </w:r>
      <w:r w:rsidR="00CC7B3B">
        <w:t xml:space="preserve">. However, matching the constraint for these draws does not ensure that the constraint will be met </w:t>
      </w:r>
      <w:r w:rsidR="00652DAC">
        <w:t>for all</w:t>
      </w:r>
      <w:r w:rsidR="00CC7B3B">
        <w:t xml:space="preserve"> possible realizations. To elaborate, it is not possible to estimate the simulated probability for all realizations of the random parameters to ensure that the constraint is met. Hence, overlaying random parameters could be analytically infeasible in the GD approach.</w:t>
      </w:r>
      <w:r w:rsidR="000A2885">
        <w:t xml:space="preserve"> </w:t>
      </w:r>
      <w:r w:rsidR="00012DF2">
        <w:t>The proposed approach in our note by eliminating the need for constrained optimization, circumvents the problem and allows for employing the approaches routinely employed for estimating random parameters.</w:t>
      </w:r>
    </w:p>
    <w:p w14:paraId="18BF1278" w14:textId="7922F4A3" w:rsidR="00F14FD6" w:rsidRDefault="00BC7D3E" w:rsidP="00AE2529">
      <w:pPr>
        <w:ind w:firstLine="720"/>
      </w:pPr>
      <w:r>
        <w:t xml:space="preserve">The reader would note that recent research in accommodating for unobserved heterogeneity can be </w:t>
      </w:r>
      <w:r w:rsidR="001007B8">
        <w:t>overlaid on the proposed model specification to accommodate for the influence of unobserved factors.</w:t>
      </w:r>
      <w:r w:rsidR="004B2A64">
        <w:t xml:space="preserve"> The methods to be considered include random parameter</w:t>
      </w:r>
      <w:r w:rsidR="001142E6">
        <w:t>s</w:t>
      </w:r>
      <w:r w:rsidR="004B2A64">
        <w:t xml:space="preserve"> approach, random parameters </w:t>
      </w:r>
      <w:r w:rsidR="001142E6">
        <w:t xml:space="preserve">with </w:t>
      </w:r>
      <w:r w:rsidR="001142E6" w:rsidRPr="001142E6">
        <w:t>heterogeneity</w:t>
      </w:r>
      <w:r w:rsidR="001142E6">
        <w:t xml:space="preserve"> </w:t>
      </w:r>
      <w:r w:rsidR="001142E6" w:rsidRPr="001142E6">
        <w:t>in</w:t>
      </w:r>
      <w:r w:rsidR="001142E6">
        <w:t xml:space="preserve"> </w:t>
      </w:r>
      <w:r w:rsidR="001142E6" w:rsidRPr="001142E6">
        <w:t xml:space="preserve">means </w:t>
      </w:r>
      <w:r w:rsidR="001142E6">
        <w:t xml:space="preserve">and variances </w:t>
      </w:r>
      <w:r w:rsidR="001142E6" w:rsidRPr="001142E6">
        <w:t>approach</w:t>
      </w:r>
      <w:r w:rsidR="006219C8">
        <w:t xml:space="preserve">, </w:t>
      </w:r>
      <w:r w:rsidR="003F08A2">
        <w:t xml:space="preserve">latent segmentation methods, </w:t>
      </w:r>
      <w:r w:rsidR="00F54831">
        <w:t xml:space="preserve">and </w:t>
      </w:r>
      <w:r w:rsidR="004F050E">
        <w:t>latent segmentation methods with random parameters in segments</w:t>
      </w:r>
      <w:r w:rsidR="00F54831">
        <w:t xml:space="preserve"> (see</w:t>
      </w:r>
      <w:r w:rsidR="00E075ED">
        <w:t xml:space="preserve"> for example</w:t>
      </w:r>
      <w:r w:rsidR="00F54831">
        <w:t xml:space="preserve"> </w:t>
      </w:r>
      <w:r w:rsidR="004E58BD">
        <w:t xml:space="preserve">Anastasopoulos and Mannering, 2009; </w:t>
      </w:r>
      <w:r w:rsidR="007F787F" w:rsidRPr="007F787F">
        <w:t>Xiong and Mannering</w:t>
      </w:r>
      <w:r w:rsidR="007F787F">
        <w:t xml:space="preserve">, </w:t>
      </w:r>
      <w:r w:rsidR="007F787F" w:rsidRPr="007F787F">
        <w:t>2013</w:t>
      </w:r>
      <w:r w:rsidR="007F787F">
        <w:t xml:space="preserve">; </w:t>
      </w:r>
      <w:r w:rsidR="00A74933">
        <w:t xml:space="preserve">Yasmin et al., 2014; </w:t>
      </w:r>
      <w:r w:rsidR="0032331A">
        <w:t xml:space="preserve">Mannering et al., 2016; </w:t>
      </w:r>
      <w:bookmarkStart w:id="0" w:name="bbib13"/>
      <w:r w:rsidR="00026D25">
        <w:fldChar w:fldCharType="begin"/>
      </w:r>
      <w:r w:rsidR="00026D25">
        <w:instrText xml:space="preserve"> HYPERLINK "https://www.sciencedirect.com/science/article/pii/S2213665716300100?casa_token=GHUNd2ipPVIAAAAA:u1d9obCoxJ_LiQCv9pcnc2T_nItsDkmZQys3tbHBipGMCuLQNg-i39xsJpKecaAQKWcyMmw" \l "bib13" </w:instrText>
      </w:r>
      <w:r w:rsidR="00026D25">
        <w:fldChar w:fldCharType="separate"/>
      </w:r>
      <w:r w:rsidR="00026D25" w:rsidRPr="00252126">
        <w:t>Behnood and Mannering, 2016</w:t>
      </w:r>
      <w:r w:rsidR="00026D25">
        <w:fldChar w:fldCharType="end"/>
      </w:r>
      <w:bookmarkEnd w:id="0"/>
      <w:r w:rsidR="00CA3E02">
        <w:t xml:space="preserve">; for a recent review of literature on </w:t>
      </w:r>
      <w:r w:rsidR="00CA3E02">
        <w:lastRenderedPageBreak/>
        <w:t>unobserved heterogeneity see</w:t>
      </w:r>
      <w:r w:rsidR="00E57F15">
        <w:t xml:space="preserve"> Bhowmik et al., 2021</w:t>
      </w:r>
      <w:r w:rsidR="00CA3E02">
        <w:t>)</w:t>
      </w:r>
      <w:r w:rsidR="00A2695F">
        <w:t xml:space="preserve">. </w:t>
      </w:r>
      <w:r w:rsidR="004945FE">
        <w:t>More recently</w:t>
      </w:r>
      <w:r w:rsidR="00A60D39">
        <w:t>,</w:t>
      </w:r>
      <w:r w:rsidR="004945FE">
        <w:t xml:space="preserve"> there is also growing recognition o</w:t>
      </w:r>
      <w:r w:rsidR="00A60D39">
        <w:t xml:space="preserve">f the </w:t>
      </w:r>
      <w:r w:rsidR="004945FE">
        <w:t xml:space="preserve">importance of temporal stability of parameters in safety literature </w:t>
      </w:r>
      <w:r w:rsidR="008314CF">
        <w:t xml:space="preserve">as documented in Mannering (2018). </w:t>
      </w:r>
      <w:r w:rsidR="00A53BA9">
        <w:t>The approaches</w:t>
      </w:r>
      <w:r w:rsidR="00A60D39">
        <w:t xml:space="preserve"> accounting for temporal instability</w:t>
      </w:r>
      <w:r w:rsidR="00A53BA9">
        <w:t xml:space="preserve"> include </w:t>
      </w:r>
      <w:r w:rsidR="00EA16FB">
        <w:t>M</w:t>
      </w:r>
      <w:r w:rsidR="00A53BA9">
        <w:t xml:space="preserve">arkov switching models, </w:t>
      </w:r>
      <w:r w:rsidR="00A6338D">
        <w:t>sub</w:t>
      </w:r>
      <w:r w:rsidR="00C73270">
        <w:t>sample</w:t>
      </w:r>
      <w:r w:rsidR="00A6338D">
        <w:t>-</w:t>
      </w:r>
      <w:r w:rsidR="00C73270">
        <w:t xml:space="preserve">based model comparisons and </w:t>
      </w:r>
      <w:r w:rsidR="00C4502B">
        <w:t>scaled model</w:t>
      </w:r>
      <w:r w:rsidR="00133183">
        <w:t xml:space="preserve"> frameworks (for example see </w:t>
      </w:r>
      <w:proofErr w:type="spellStart"/>
      <w:r w:rsidR="00133183" w:rsidRPr="001C0031">
        <w:t>Malyshkina</w:t>
      </w:r>
      <w:proofErr w:type="spellEnd"/>
      <w:r w:rsidR="00133183" w:rsidRPr="001C0031">
        <w:t xml:space="preserve"> et al. 2009;</w:t>
      </w:r>
      <w:r w:rsidR="00F53CAA">
        <w:t xml:space="preserve"> Marcoux et al., 2018</w:t>
      </w:r>
      <w:r w:rsidR="00BA5357">
        <w:t xml:space="preserve">; </w:t>
      </w:r>
      <w:r w:rsidR="004E290F">
        <w:t xml:space="preserve">Tirtha et al., 2020; </w:t>
      </w:r>
      <w:r w:rsidR="00BA5357">
        <w:t xml:space="preserve">Islam and Mannering, 2021; </w:t>
      </w:r>
      <w:r w:rsidR="006A45AD">
        <w:t>Yan et al., 2021</w:t>
      </w:r>
      <w:r w:rsidR="00133183">
        <w:t xml:space="preserve">). </w:t>
      </w:r>
      <w:r w:rsidR="00A53BA9">
        <w:t xml:space="preserve">The approaches employed in </w:t>
      </w:r>
      <w:r w:rsidR="006F7F1B">
        <w:t xml:space="preserve">these </w:t>
      </w:r>
      <w:r w:rsidR="00A53BA9">
        <w:t xml:space="preserve">studies can also be embedded within our proposed approach easily. </w:t>
      </w:r>
      <w:r w:rsidR="00551370">
        <w:t xml:space="preserve">Finally, analysts considering advanced model structures are </w:t>
      </w:r>
      <w:r w:rsidR="00624CFD">
        <w:t>encouraged to consider recent research on prediction with random parameter model systems</w:t>
      </w:r>
      <w:r w:rsidR="000F73E4">
        <w:t xml:space="preserve"> </w:t>
      </w:r>
      <w:r w:rsidR="00106990">
        <w:t>(Hou et al., 2021</w:t>
      </w:r>
      <w:r w:rsidR="006725DF">
        <w:t>a</w:t>
      </w:r>
      <w:r w:rsidR="00106990">
        <w:t xml:space="preserve">; </w:t>
      </w:r>
      <w:r w:rsidR="00E626F9">
        <w:t>Xu et al., 2021;</w:t>
      </w:r>
      <w:r w:rsidR="006725DF">
        <w:t xml:space="preserve"> Hou et al., 2021b</w:t>
      </w:r>
      <w:r w:rsidR="00E626F9">
        <w:t>)</w:t>
      </w:r>
      <w:r w:rsidR="00624CFD">
        <w:t xml:space="preserve">. </w:t>
      </w:r>
    </w:p>
    <w:p w14:paraId="4F1C7B78" w14:textId="17F2441F" w:rsidR="004B60C1" w:rsidRPr="004B60C1" w:rsidRDefault="004B60C1" w:rsidP="004B60C1">
      <w:pPr>
        <w:ind w:firstLine="720"/>
        <w:rPr>
          <w:rFonts w:cs="Times New Roman"/>
          <w:bCs/>
          <w:szCs w:val="24"/>
          <w:u w:val="single"/>
        </w:rPr>
      </w:pPr>
      <w:r w:rsidRPr="004B60C1">
        <w:t>While estimating random parameters is beneficial, the analyst should recognize the inherent challenges with the estimation process. The estimation of fixed parameters model is easy and accurate. The process of estimating random parameters requires simulated maximum likelihood estimation as the probability functions are no longer analytically tractable. Hence, even with an adequate number of random draws for estimation, the likelihood function is still an approximation. The simulation-based estimation can run into challenges particularly in gradient and hessian computation when many random parameters are simultaneously considered or in cases where the multidimensional log-likelihood function is flat near the optimal region (see Bhat, 2011 for a detailed discussion). In such scenarios, pinning down the value of the random parameter is not easy and sometimes can lead to non-global optima. Hence, it is beneficial to estimate the best fixed parameter model and then augment the model with random parameters (drawing on earlier work cited above). This approach reduces the potential complexity involved by reducing the number of random parameters being estimated simultaneously.</w:t>
      </w:r>
    </w:p>
    <w:p w14:paraId="7080ED92" w14:textId="77777777" w:rsidR="00F14FD6" w:rsidRDefault="00F14FD6" w:rsidP="00D909C1">
      <w:pPr>
        <w:rPr>
          <w:b/>
          <w:bCs/>
        </w:rPr>
      </w:pPr>
    </w:p>
    <w:p w14:paraId="5C4E4512" w14:textId="7CAC4C99" w:rsidR="00D909C1" w:rsidRDefault="00D909C1" w:rsidP="00D909C1">
      <w:pPr>
        <w:rPr>
          <w:b/>
          <w:bCs/>
        </w:rPr>
      </w:pPr>
      <w:r>
        <w:rPr>
          <w:b/>
          <w:bCs/>
        </w:rPr>
        <w:t xml:space="preserve">Conclusion </w:t>
      </w:r>
    </w:p>
    <w:p w14:paraId="1EE20C27" w14:textId="3F639780" w:rsidR="00F058EA" w:rsidRDefault="00F01D3D" w:rsidP="006228A0">
      <w:pPr>
        <w:spacing w:before="0" w:after="160"/>
      </w:pPr>
      <w:r>
        <w:t xml:space="preserve">The brief note presented a flexible approach to allow for </w:t>
      </w:r>
      <w:r w:rsidR="00B6488F">
        <w:t xml:space="preserve">variation in the impact of AADT across different ranges of </w:t>
      </w:r>
      <w:r>
        <w:t>AADT</w:t>
      </w:r>
      <w:r w:rsidR="00B6488F">
        <w:t>. The approach generalizes a recently</w:t>
      </w:r>
      <w:r w:rsidR="007032BD">
        <w:t xml:space="preserve"> proposed approach by Gayah and Don</w:t>
      </w:r>
      <w:r w:rsidR="00BC7B84">
        <w:t>n</w:t>
      </w:r>
      <w:r w:rsidR="007032BD">
        <w:t xml:space="preserve">ell (2021). The note establishes the equivalence of the proposed approach with </w:t>
      </w:r>
      <w:r w:rsidR="00233FB5">
        <w:t>Gayah and Don</w:t>
      </w:r>
      <w:r w:rsidR="00BC7B84">
        <w:t>n</w:t>
      </w:r>
      <w:r w:rsidR="00233FB5">
        <w:t>ell (2021)</w:t>
      </w:r>
      <w:r w:rsidR="00E14821">
        <w:t xml:space="preserve"> and subsequently presents a more flexible model structure that improves on the Gayah and Don</w:t>
      </w:r>
      <w:r w:rsidR="00BC7B84">
        <w:t>n</w:t>
      </w:r>
      <w:r w:rsidR="00E14821">
        <w:t>ell (2021) approach</w:t>
      </w:r>
      <w:r w:rsidR="00233FB5">
        <w:t xml:space="preserve">. </w:t>
      </w:r>
      <w:r w:rsidR="009538C3">
        <w:t>W</w:t>
      </w:r>
      <w:r w:rsidR="00233FB5">
        <w:t xml:space="preserve">e document the advantages of our proposed approach in terms of model estimation, </w:t>
      </w:r>
      <w:r w:rsidR="00B30350">
        <w:t xml:space="preserve">parameter significance testing and </w:t>
      </w:r>
      <w:r w:rsidR="00262F2B">
        <w:t>the flexibility to consider multiple AADT ranges for analysis.</w:t>
      </w:r>
      <w:r w:rsidR="00A368A1">
        <w:t xml:space="preserve"> </w:t>
      </w:r>
      <w:r w:rsidR="00DC7938">
        <w:t>Subsequently</w:t>
      </w:r>
      <w:r w:rsidR="00A368A1">
        <w:t xml:space="preserve">, we </w:t>
      </w:r>
      <w:r w:rsidR="005068D6">
        <w:t xml:space="preserve">also </w:t>
      </w:r>
      <w:r w:rsidR="00A368A1">
        <w:t xml:space="preserve">discuss how the proposed methodology </w:t>
      </w:r>
      <w:r w:rsidR="005068D6">
        <w:t xml:space="preserve">addresses the limitation of </w:t>
      </w:r>
      <w:r w:rsidR="00984A7E">
        <w:t xml:space="preserve">GD approach in accommodating for unobserved heterogeneity and thus </w:t>
      </w:r>
      <w:r w:rsidR="00A368A1">
        <w:t>can be</w:t>
      </w:r>
      <w:r w:rsidR="00984A7E">
        <w:t xml:space="preserve"> easily</w:t>
      </w:r>
      <w:r w:rsidR="00A368A1">
        <w:t xml:space="preserve"> extended to accommodate for unobserved heterogeneity and temporal instability. </w:t>
      </w:r>
      <w:r w:rsidR="00456151">
        <w:t>Finally, i</w:t>
      </w:r>
      <w:r w:rsidR="00975FA8">
        <w:t xml:space="preserve">t would be interesting for future research efforts to compare the proposed approach with </w:t>
      </w:r>
      <w:r w:rsidR="00975FA8" w:rsidRPr="00975FA8">
        <w:t>semi-parametric approach</w:t>
      </w:r>
      <w:r w:rsidR="00975FA8">
        <w:t>es</w:t>
      </w:r>
      <w:r w:rsidR="00975FA8" w:rsidRPr="00975FA8">
        <w:t xml:space="preserve"> or generalized additive models</w:t>
      </w:r>
      <w:r w:rsidR="00975FA8">
        <w:t xml:space="preserve"> that offer alternative approaches </w:t>
      </w:r>
      <w:r w:rsidR="00A72327">
        <w:t>that</w:t>
      </w:r>
      <w:r w:rsidR="00975FA8">
        <w:t xml:space="preserve"> allow for varying impact of AADT. </w:t>
      </w:r>
      <w:r w:rsidR="00FA05C4">
        <w:t>For the comparison, it might be beneficial to employ a</w:t>
      </w:r>
      <w:r w:rsidR="005A3ACA">
        <w:t xml:space="preserve"> </w:t>
      </w:r>
      <w:r w:rsidR="009970D5">
        <w:t xml:space="preserve">comprehensive </w:t>
      </w:r>
      <w:r w:rsidR="00FA05C4">
        <w:t xml:space="preserve">experimental design </w:t>
      </w:r>
      <w:r w:rsidR="0061312E">
        <w:t>framework</w:t>
      </w:r>
      <w:r w:rsidR="009970D5">
        <w:t xml:space="preserve"> </w:t>
      </w:r>
      <w:r w:rsidR="00FA05C4">
        <w:t xml:space="preserve">for </w:t>
      </w:r>
      <w:r w:rsidR="009970D5">
        <w:t>simulat</w:t>
      </w:r>
      <w:r w:rsidR="00FA05C4">
        <w:t xml:space="preserve">ing </w:t>
      </w:r>
      <w:r w:rsidR="009970D5">
        <w:t xml:space="preserve">data generated using </w:t>
      </w:r>
      <w:r w:rsidR="00FA05C4">
        <w:t>a wide range of independent variable distributions (see Eluru, 2013</w:t>
      </w:r>
      <w:r w:rsidR="00937078">
        <w:t>; Bhowmik et al., 2021</w:t>
      </w:r>
      <w:r w:rsidR="00830913">
        <w:t>; Xu et al., 2021</w:t>
      </w:r>
      <w:r w:rsidR="00FA05C4">
        <w:t xml:space="preserve"> for example</w:t>
      </w:r>
      <w:r w:rsidR="00D159A5">
        <w:t xml:space="preserve"> studies employing simulation for model comparison</w:t>
      </w:r>
      <w:r w:rsidR="00FA05C4">
        <w:t>).</w:t>
      </w:r>
    </w:p>
    <w:p w14:paraId="382D3F0A" w14:textId="77777777" w:rsidR="00DE7740" w:rsidRDefault="00DE7740" w:rsidP="006228A0">
      <w:pPr>
        <w:spacing w:before="0" w:after="160"/>
      </w:pPr>
    </w:p>
    <w:p w14:paraId="3590D63B" w14:textId="77777777" w:rsidR="00407CB8" w:rsidRPr="00407CB8" w:rsidRDefault="00407CB8">
      <w:pPr>
        <w:spacing w:before="0" w:after="160"/>
        <w:jc w:val="left"/>
        <w:rPr>
          <w:b/>
          <w:bCs/>
        </w:rPr>
      </w:pPr>
      <w:r w:rsidRPr="00407CB8">
        <w:rPr>
          <w:b/>
          <w:bCs/>
        </w:rPr>
        <w:lastRenderedPageBreak/>
        <w:t xml:space="preserve">Author contribution statement </w:t>
      </w:r>
    </w:p>
    <w:p w14:paraId="42BF64B4" w14:textId="1E45E799" w:rsidR="00407CB8" w:rsidRDefault="00407CB8" w:rsidP="00361984">
      <w:pPr>
        <w:spacing w:before="0" w:after="0"/>
        <w:jc w:val="left"/>
      </w:pPr>
      <w:r w:rsidRPr="00407CB8">
        <w:t xml:space="preserve">Conceptualization: </w:t>
      </w:r>
      <w:r>
        <w:t xml:space="preserve">Eluru and </w:t>
      </w:r>
      <w:r w:rsidRPr="00407CB8">
        <w:t>Gayah</w:t>
      </w:r>
      <w:r w:rsidR="006228A0">
        <w:t xml:space="preserve">; </w:t>
      </w:r>
      <w:r w:rsidRPr="00407CB8">
        <w:t xml:space="preserve">Methodology: </w:t>
      </w:r>
      <w:r>
        <w:t>Eluru</w:t>
      </w:r>
      <w:r w:rsidRPr="00407CB8">
        <w:t xml:space="preserve"> and </w:t>
      </w:r>
      <w:r>
        <w:t>Gayah</w:t>
      </w:r>
      <w:r w:rsidR="006228A0">
        <w:t xml:space="preserve">; </w:t>
      </w:r>
      <w:r w:rsidRPr="00407CB8">
        <w:t xml:space="preserve">Data curation: Gayah and </w:t>
      </w:r>
      <w:r>
        <w:t>Eluru</w:t>
      </w:r>
      <w:r w:rsidR="006228A0">
        <w:t xml:space="preserve">; </w:t>
      </w:r>
      <w:r w:rsidRPr="00407CB8">
        <w:t xml:space="preserve">Writing: </w:t>
      </w:r>
      <w:r>
        <w:t>Eluru</w:t>
      </w:r>
      <w:r w:rsidRPr="00407CB8">
        <w:t xml:space="preserve"> and </w:t>
      </w:r>
      <w:r>
        <w:t>Gayah</w:t>
      </w:r>
    </w:p>
    <w:p w14:paraId="1196E40D" w14:textId="77777777" w:rsidR="005B10BC" w:rsidRPr="00407CB8" w:rsidRDefault="005B10BC">
      <w:pPr>
        <w:spacing w:before="0" w:after="160"/>
        <w:jc w:val="left"/>
      </w:pPr>
    </w:p>
    <w:p w14:paraId="6C6D502A" w14:textId="77777777" w:rsidR="00407CB8" w:rsidRPr="00407CB8" w:rsidRDefault="00407CB8">
      <w:pPr>
        <w:spacing w:before="0" w:after="160"/>
        <w:jc w:val="left"/>
        <w:rPr>
          <w:b/>
          <w:bCs/>
        </w:rPr>
      </w:pPr>
      <w:r w:rsidRPr="00407CB8">
        <w:rPr>
          <w:b/>
          <w:bCs/>
        </w:rPr>
        <w:t xml:space="preserve">Declaration of Competing Interest </w:t>
      </w:r>
    </w:p>
    <w:p w14:paraId="0C4B3929" w14:textId="3AD8429E" w:rsidR="00407CB8" w:rsidRDefault="00407CB8">
      <w:pPr>
        <w:spacing w:before="0" w:after="160"/>
        <w:jc w:val="left"/>
      </w:pPr>
      <w:r w:rsidRPr="00407CB8">
        <w:t>The authors have no conflicts of interest to declare</w:t>
      </w:r>
    </w:p>
    <w:p w14:paraId="15807507" w14:textId="77777777" w:rsidR="00DE7740" w:rsidRPr="00407CB8" w:rsidRDefault="00DE7740">
      <w:pPr>
        <w:spacing w:before="0" w:after="160"/>
        <w:jc w:val="left"/>
      </w:pPr>
    </w:p>
    <w:p w14:paraId="47F2ED6D" w14:textId="6652A9DC" w:rsidR="00F058EA" w:rsidRPr="00F058EA" w:rsidRDefault="00F058EA">
      <w:pPr>
        <w:spacing w:before="0" w:after="160"/>
        <w:jc w:val="left"/>
        <w:rPr>
          <w:b/>
          <w:bCs/>
        </w:rPr>
      </w:pPr>
      <w:r w:rsidRPr="00F058EA">
        <w:rPr>
          <w:b/>
          <w:bCs/>
        </w:rPr>
        <w:t>References</w:t>
      </w:r>
    </w:p>
    <w:p w14:paraId="05FA6C22" w14:textId="77777777" w:rsidR="001E1213" w:rsidRPr="00AB67AB" w:rsidRDefault="001E1213" w:rsidP="001E1213">
      <w:pPr>
        <w:spacing w:before="0" w:after="160"/>
        <w:ind w:left="720" w:hanging="720"/>
        <w:jc w:val="left"/>
      </w:pPr>
      <w:r w:rsidRPr="00AB67AB">
        <w:t xml:space="preserve">Anastasopoulos, P.C., Mannering, F.L., 2009. A note on modeling vehicle accident frequencies with random-parameters count models. </w:t>
      </w:r>
      <w:proofErr w:type="spellStart"/>
      <w:r w:rsidRPr="00AB67AB">
        <w:t>Accid</w:t>
      </w:r>
      <w:proofErr w:type="spellEnd"/>
      <w:r w:rsidRPr="00AB67AB">
        <w:t>. Anal. Prev. 41 (1), 153–159.</w:t>
      </w:r>
    </w:p>
    <w:p w14:paraId="6803E263" w14:textId="74A8A897" w:rsidR="00755A8E" w:rsidRDefault="00755A8E" w:rsidP="001E1213">
      <w:pPr>
        <w:spacing w:before="0" w:after="160"/>
        <w:ind w:left="720" w:hanging="720"/>
        <w:jc w:val="left"/>
      </w:pPr>
      <w:r w:rsidRPr="00755A8E">
        <w:t>Bhat CR.</w:t>
      </w:r>
      <w:r>
        <w:t>, 2011.</w:t>
      </w:r>
      <w:r w:rsidRPr="00755A8E">
        <w:t xml:space="preserve"> The maximum approximate composite marginal likelihood (MACML) estimation of multinomial </w:t>
      </w:r>
      <w:proofErr w:type="spellStart"/>
      <w:r w:rsidRPr="00755A8E">
        <w:t>probit</w:t>
      </w:r>
      <w:proofErr w:type="spellEnd"/>
      <w:r w:rsidRPr="00755A8E">
        <w:t>-based unordered response choice models. Transportation Research Part B: Methodological Aug 1;45(7):923-39.</w:t>
      </w:r>
    </w:p>
    <w:p w14:paraId="7F0AF4DB" w14:textId="4A84E9A3" w:rsidR="00DD6F50" w:rsidRDefault="00DD6F50" w:rsidP="001E1213">
      <w:pPr>
        <w:spacing w:before="0" w:after="160"/>
        <w:ind w:left="720" w:hanging="720"/>
        <w:jc w:val="left"/>
      </w:pPr>
      <w:r w:rsidRPr="00DD6F50">
        <w:t>Bhowmik T., Yasmin S., and Eluru N., 2021. "A New Econometric Approach for Modeling Several Count Variables: A Case Study of Crash Frequency Analysis by Crash Type and Severity", Transportation Research Part B Volume 153, November 2021, Pages 172-203</w:t>
      </w:r>
    </w:p>
    <w:p w14:paraId="05C65761" w14:textId="4AECF1F4" w:rsidR="001E1213" w:rsidRPr="00AB67AB" w:rsidRDefault="001E1213" w:rsidP="001E1213">
      <w:pPr>
        <w:spacing w:before="0" w:after="160"/>
        <w:ind w:left="720" w:hanging="720"/>
        <w:jc w:val="left"/>
      </w:pPr>
      <w:r w:rsidRPr="00AB67AB">
        <w:t>Hauer, E. (Ezra), 2015. The Art of Regression Modeling in Road Safety. Springer.</w:t>
      </w:r>
    </w:p>
    <w:p w14:paraId="5805B79E" w14:textId="7A8D77C6" w:rsidR="00586D6C" w:rsidRDefault="00586D6C" w:rsidP="00586D6C">
      <w:pPr>
        <w:spacing w:before="0" w:after="160"/>
        <w:ind w:left="720" w:hanging="720"/>
        <w:jc w:val="left"/>
      </w:pPr>
      <w:r>
        <w:t xml:space="preserve">Hou, Q., Huo, X., </w:t>
      </w:r>
      <w:proofErr w:type="spellStart"/>
      <w:r>
        <w:t>Tarko</w:t>
      </w:r>
      <w:proofErr w:type="spellEnd"/>
      <w:r>
        <w:t>, A., Leng, J., 2021</w:t>
      </w:r>
      <w:r w:rsidR="006725DF">
        <w:t>a</w:t>
      </w:r>
      <w:r>
        <w:t>. Comparative analysis of alternative random parameters count data models in highway safety. Analytic Methods in Accident Research 30, 100158.</w:t>
      </w:r>
    </w:p>
    <w:p w14:paraId="2038EA6E" w14:textId="6BA44593" w:rsidR="006725DF" w:rsidRDefault="006725DF" w:rsidP="00586D6C">
      <w:pPr>
        <w:spacing w:before="0" w:after="160"/>
        <w:ind w:left="720" w:hanging="720"/>
        <w:jc w:val="left"/>
      </w:pPr>
      <w:r w:rsidRPr="006725DF">
        <w:t>Hou, Q., Huo, X., Leng, J. and Mannering, F., 2021</w:t>
      </w:r>
      <w:r>
        <w:t>b</w:t>
      </w:r>
      <w:r w:rsidRPr="006725DF">
        <w:t>. A note on out-of-sample prediction, marginal effects computations, and temporal testing with random parameters crash-injury severity models. Analytic Methods in Accident Research, p.100191.</w:t>
      </w:r>
    </w:p>
    <w:p w14:paraId="0D3576FA" w14:textId="3E98AB58" w:rsidR="00F916D1" w:rsidRDefault="00F916D1" w:rsidP="00F058EA">
      <w:pPr>
        <w:spacing w:before="0" w:after="160"/>
        <w:ind w:left="720" w:hanging="720"/>
        <w:jc w:val="left"/>
      </w:pPr>
      <w:r w:rsidRPr="00F916D1">
        <w:t>Eluru N. (2013), "Evaluating Alternate Discrete Choice Frameworks for Modeling Ordinal Discrete Variables," Accident Analysis &amp; Prevention, 55 (1), pp. 1-11</w:t>
      </w:r>
    </w:p>
    <w:p w14:paraId="4C5D3B93" w14:textId="0D6C423B" w:rsidR="00AB67AB" w:rsidRDefault="00F058EA" w:rsidP="00F058EA">
      <w:pPr>
        <w:spacing w:before="0" w:after="160"/>
        <w:ind w:left="720" w:hanging="720"/>
        <w:jc w:val="left"/>
      </w:pPr>
      <w:r w:rsidRPr="00F058EA">
        <w:t>Gayah, V.V. and Donnell, E.T., 2021. Estimating safety performance functions for two-lane rural roads using an alternative functional form for traffic volume. Accident Analysis &amp; Prevention, 157, p.106173.</w:t>
      </w:r>
      <w:r w:rsidR="00233FB5">
        <w:t xml:space="preserve"> </w:t>
      </w:r>
    </w:p>
    <w:p w14:paraId="2FCEEF47" w14:textId="22AF5943" w:rsidR="008C39E8" w:rsidRDefault="008C39E8" w:rsidP="00AB67AB">
      <w:pPr>
        <w:spacing w:before="0" w:after="160"/>
        <w:ind w:left="720" w:hanging="720"/>
        <w:jc w:val="left"/>
      </w:pPr>
      <w:r w:rsidRPr="008C39E8">
        <w:t>Islam, M. and Mannering, F., 2021. The role of gender and temporal instability in driver-injury severities in crashes caused by speeds too fast for conditions. Accident Analysis &amp; Prevention, 153, p.106039.</w:t>
      </w:r>
    </w:p>
    <w:p w14:paraId="314557CF" w14:textId="2AE8609B" w:rsidR="00A34841" w:rsidRDefault="00A34841" w:rsidP="00AB67AB">
      <w:pPr>
        <w:spacing w:before="0" w:after="160"/>
        <w:ind w:left="720" w:hanging="720"/>
        <w:jc w:val="left"/>
      </w:pPr>
      <w:r w:rsidRPr="00A34841">
        <w:t>Kononov, J., Lyon, C. and Allery, B.K., 2011. Relation of flow, speed, and density of urban freeways to functional form of a safety performance function. Transportation research record, 2236(1), pp.11-19.</w:t>
      </w:r>
    </w:p>
    <w:p w14:paraId="0EBD7501" w14:textId="1A944273" w:rsidR="0007280B" w:rsidRDefault="0007280B" w:rsidP="00AB67AB">
      <w:pPr>
        <w:spacing w:before="0" w:after="160"/>
        <w:ind w:left="720" w:hanging="720"/>
        <w:jc w:val="left"/>
      </w:pPr>
      <w:proofErr w:type="spellStart"/>
      <w:r w:rsidRPr="0007280B">
        <w:lastRenderedPageBreak/>
        <w:t>Malyshkina</w:t>
      </w:r>
      <w:proofErr w:type="spellEnd"/>
      <w:r w:rsidRPr="0007280B">
        <w:t xml:space="preserve">, N.V., Mannering, F.L. and </w:t>
      </w:r>
      <w:proofErr w:type="spellStart"/>
      <w:r w:rsidRPr="0007280B">
        <w:t>Tarko</w:t>
      </w:r>
      <w:proofErr w:type="spellEnd"/>
      <w:r w:rsidRPr="0007280B">
        <w:t>, A.P., 2009. Markov switching negative binomial models: an application to vehicle accident frequencies. Accident Analysis &amp; Prevention, 41(2), pp.217-226.</w:t>
      </w:r>
    </w:p>
    <w:p w14:paraId="060B91F7" w14:textId="6E82106F" w:rsidR="008314CF" w:rsidRDefault="008314CF" w:rsidP="00AB67AB">
      <w:pPr>
        <w:spacing w:before="0" w:after="160"/>
        <w:ind w:left="720" w:hanging="720"/>
        <w:jc w:val="left"/>
      </w:pPr>
      <w:r w:rsidRPr="008314CF">
        <w:t>Mannering, F., 2018. Temporal instability and the analysis of highway accident data. Analytic methods in accident research, 17, pp.1-13.</w:t>
      </w:r>
    </w:p>
    <w:p w14:paraId="42230271" w14:textId="77777777" w:rsidR="00100B8A" w:rsidRDefault="00100B8A" w:rsidP="00AB67AB">
      <w:pPr>
        <w:spacing w:before="0" w:after="160"/>
        <w:ind w:left="720" w:hanging="720"/>
        <w:jc w:val="left"/>
      </w:pPr>
      <w:r w:rsidRPr="00100B8A">
        <w:t>Marcoux. R., Yasmin S., Eluru N., and Rahman M., 2018. "Evaluating Temporal Variability of Exogenous Variable Impacts Over 25 Years: An Application of Scaled Generalized Ordered Logit Model for Driver Injury Severity", Analytic Methods in Accident Research Volume 20, December 2018, Pages 15-29</w:t>
      </w:r>
    </w:p>
    <w:p w14:paraId="4EF3904A" w14:textId="3343911E" w:rsidR="0060232D" w:rsidRDefault="0060232D" w:rsidP="00AB67AB">
      <w:pPr>
        <w:spacing w:before="0" w:after="160"/>
        <w:ind w:left="720" w:hanging="720"/>
        <w:jc w:val="left"/>
      </w:pPr>
      <w:r w:rsidRPr="0060232D">
        <w:t>Pinjari, A.R. and Bhat, C., 2006. Nonlinearity of response to level-of-service variables in travel mode choice models. Transportation research record, 1977(1), pp.67-74.</w:t>
      </w:r>
    </w:p>
    <w:p w14:paraId="35FE26A4" w14:textId="77777777" w:rsidR="00841C6D" w:rsidRDefault="00841C6D" w:rsidP="00AB67AB">
      <w:pPr>
        <w:spacing w:before="0" w:after="160"/>
        <w:ind w:left="720" w:hanging="720"/>
        <w:jc w:val="left"/>
      </w:pPr>
      <w:r w:rsidRPr="00841C6D">
        <w:t>Tirtha S.D., Yasmin S., and Eluru N., 2020, "Modeling of Incident Type and Incident Duration Using Data from Multiple Years" Analytic Methods in Accident Research Volume 28, December 2020, 100132</w:t>
      </w:r>
    </w:p>
    <w:p w14:paraId="2FC35543" w14:textId="1D6B3C89" w:rsidR="00AB67AB" w:rsidRDefault="00AB67AB" w:rsidP="00AB67AB">
      <w:pPr>
        <w:spacing w:before="0" w:after="160"/>
        <w:ind w:left="720" w:hanging="720"/>
        <w:jc w:val="left"/>
      </w:pPr>
      <w:r>
        <w:t>Shankar, V.N., Albin, R.B., Milton, J.C., Mannering, F.L., 1998. Evaluating median crossover likelihoods with clustered accident counts an empirical inquiry using the random effects negative binomial model. Transp. Res. Rec. J. Transp. Res. Board 1635, 44–48.</w:t>
      </w:r>
    </w:p>
    <w:p w14:paraId="73AAC387" w14:textId="77777777" w:rsidR="00AB67AB" w:rsidRPr="00AB67AB" w:rsidRDefault="00AB67AB" w:rsidP="00AB67AB">
      <w:pPr>
        <w:spacing w:before="0" w:after="160"/>
        <w:ind w:left="720" w:hanging="720"/>
        <w:jc w:val="left"/>
      </w:pPr>
      <w:proofErr w:type="spellStart"/>
      <w:r w:rsidRPr="00AB67AB">
        <w:t>Ulfarsson</w:t>
      </w:r>
      <w:proofErr w:type="spellEnd"/>
      <w:r w:rsidRPr="00AB67AB">
        <w:t>, G.F., Shankar, V.N., 2003. Accident count model based on multiyear cross-sectional roadway data with serial correlation. Transp. Res. Rec. J. Transp. Res. Board 1840, 193–197.</w:t>
      </w:r>
    </w:p>
    <w:p w14:paraId="55685683" w14:textId="77777777" w:rsidR="003063F5" w:rsidRDefault="00AB67AB" w:rsidP="003063F5">
      <w:pPr>
        <w:spacing w:before="0" w:after="160"/>
        <w:ind w:left="720" w:hanging="720"/>
        <w:jc w:val="left"/>
      </w:pPr>
      <w:r w:rsidRPr="00AB67AB">
        <w:t xml:space="preserve">Venkataraman, N.S., </w:t>
      </w:r>
      <w:proofErr w:type="spellStart"/>
      <w:r w:rsidRPr="00AB67AB">
        <w:t>Ulfarsson</w:t>
      </w:r>
      <w:proofErr w:type="spellEnd"/>
      <w:r w:rsidRPr="00AB67AB">
        <w:t>, G.F., Shankar, V., Oh, J., Park, M., 2011. Model of relationship between interstate crash occurrence and geometrics. Transp. Res. Rec. J. Transp. Res. Board 2236, 41–48.</w:t>
      </w:r>
    </w:p>
    <w:p w14:paraId="56539981" w14:textId="6FD67F42" w:rsidR="00BF7EB0" w:rsidRDefault="00BF7EB0" w:rsidP="003063F5">
      <w:pPr>
        <w:spacing w:before="0" w:after="160"/>
        <w:ind w:left="720" w:hanging="720"/>
        <w:jc w:val="left"/>
      </w:pPr>
      <w:r w:rsidRPr="00BF7EB0">
        <w:t>Wilks, S.S., 1938. The large-sample distribution of the likelihood ratio for testing composite hypotheses. The annals of mathematical statistics, 9(1), pp.60-62.</w:t>
      </w:r>
    </w:p>
    <w:p w14:paraId="437D06B6" w14:textId="1EC2E685" w:rsidR="00586D6C" w:rsidRDefault="00586D6C" w:rsidP="00586D6C">
      <w:pPr>
        <w:spacing w:before="0" w:after="160"/>
        <w:ind w:left="720" w:hanging="720"/>
        <w:jc w:val="left"/>
      </w:pPr>
      <w:r>
        <w:t>Xu, P., Zhou, H., Wong, S.C., 2021. On random-parameter count models for out-of-sample crash prediction: Accounting for the variances of random-parameter distributions. Accident Analysis and Prevention 159, 106237.</w:t>
      </w:r>
    </w:p>
    <w:p w14:paraId="6AC5640E" w14:textId="3332EB63" w:rsidR="006A45AD" w:rsidRDefault="006A45AD" w:rsidP="003063F5">
      <w:pPr>
        <w:spacing w:before="0" w:after="160"/>
        <w:ind w:left="720" w:hanging="720"/>
        <w:jc w:val="left"/>
      </w:pPr>
      <w:r w:rsidRPr="006A45AD">
        <w:t>Yan, X., He, J., Zhang, C., Liu, Z., Wang, C. and Qiao, B., 2021. Spatiotemporal instability analysis considering unobserved heterogeneity of crash-injury severities in adverse weather. Analytic Methods in Accident Research, 32, p.100182.</w:t>
      </w:r>
    </w:p>
    <w:p w14:paraId="2D6932A9" w14:textId="413A0B04" w:rsidR="00D57F75" w:rsidRDefault="003063F5" w:rsidP="003063F5">
      <w:pPr>
        <w:spacing w:before="0" w:after="160"/>
        <w:ind w:left="720" w:hanging="720"/>
        <w:jc w:val="left"/>
      </w:pPr>
      <w:r w:rsidRPr="003063F5">
        <w:t xml:space="preserve">Zhang, Y., Xie, Y. and Li, L., 2012. Crash frequency analysis of different types of urban roadway segments using generalized additive model. Journal of safety research, 43(2), pp.107-114. </w:t>
      </w:r>
      <w:r w:rsidR="00D57F75">
        <w:br w:type="page"/>
      </w:r>
    </w:p>
    <w:p w14:paraId="44B6E18B" w14:textId="15EC30A8" w:rsidR="00D57F75" w:rsidRPr="00D57F75" w:rsidRDefault="00D57F75" w:rsidP="00BB2F85">
      <w:pPr>
        <w:rPr>
          <w:b/>
          <w:bCs/>
        </w:rPr>
      </w:pPr>
      <w:r w:rsidRPr="00D57F75">
        <w:rPr>
          <w:b/>
          <w:bCs/>
        </w:rPr>
        <w:lastRenderedPageBreak/>
        <w:t xml:space="preserve">Table 1: </w:t>
      </w:r>
      <w:r w:rsidRPr="00D57F75">
        <w:t>Model Estimation Results</w:t>
      </w:r>
      <w:r w:rsidR="00AC35BE">
        <w:t xml:space="preserve"> for One Threshold Systems</w:t>
      </w:r>
    </w:p>
    <w:tbl>
      <w:tblPr>
        <w:tblStyle w:val="TableGrid"/>
        <w:tblW w:w="953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108"/>
        <w:gridCol w:w="1168"/>
        <w:gridCol w:w="1160"/>
        <w:gridCol w:w="923"/>
        <w:gridCol w:w="1168"/>
        <w:gridCol w:w="1088"/>
        <w:gridCol w:w="917"/>
      </w:tblGrid>
      <w:tr w:rsidR="00D57F75" w:rsidRPr="009F378E" w14:paraId="76071B4C" w14:textId="77777777" w:rsidTr="00136A6A">
        <w:trPr>
          <w:trHeight w:val="318"/>
        </w:trPr>
        <w:tc>
          <w:tcPr>
            <w:tcW w:w="3108" w:type="dxa"/>
            <w:vMerge w:val="restart"/>
            <w:tcBorders>
              <w:right w:val="double" w:sz="4" w:space="0" w:color="auto"/>
            </w:tcBorders>
            <w:vAlign w:val="center"/>
          </w:tcPr>
          <w:p w14:paraId="0AC85E2C" w14:textId="77777777" w:rsidR="00D57F75" w:rsidRPr="00296F4A" w:rsidRDefault="00D57F75" w:rsidP="00D57F75">
            <w:pPr>
              <w:keepNext/>
              <w:keepLines/>
              <w:spacing w:before="0" w:after="0"/>
              <w:rPr>
                <w:rFonts w:cs="Times New Roman"/>
                <w:b/>
                <w:color w:val="000000"/>
                <w:szCs w:val="24"/>
              </w:rPr>
            </w:pPr>
            <w:r w:rsidRPr="00296F4A">
              <w:rPr>
                <w:rFonts w:cs="Times New Roman"/>
                <w:b/>
                <w:color w:val="000000"/>
                <w:szCs w:val="24"/>
              </w:rPr>
              <w:t>Coefficient</w:t>
            </w:r>
          </w:p>
        </w:tc>
        <w:tc>
          <w:tcPr>
            <w:tcW w:w="3251" w:type="dxa"/>
            <w:gridSpan w:val="3"/>
            <w:tcBorders>
              <w:top w:val="double" w:sz="4" w:space="0" w:color="auto"/>
              <w:left w:val="double" w:sz="4" w:space="0" w:color="auto"/>
              <w:bottom w:val="single" w:sz="4" w:space="0" w:color="auto"/>
              <w:right w:val="double" w:sz="4" w:space="0" w:color="auto"/>
            </w:tcBorders>
            <w:vAlign w:val="center"/>
          </w:tcPr>
          <w:p w14:paraId="43D16CD1" w14:textId="4282FAFE" w:rsidR="00D57F75" w:rsidRPr="00296F4A" w:rsidRDefault="00D57F75" w:rsidP="00D57F75">
            <w:pPr>
              <w:keepNext/>
              <w:keepLines/>
              <w:spacing w:before="0" w:after="0"/>
              <w:jc w:val="center"/>
              <w:rPr>
                <w:rFonts w:cs="Times New Roman"/>
                <w:b/>
                <w:color w:val="000000"/>
                <w:szCs w:val="24"/>
              </w:rPr>
            </w:pPr>
            <w:r w:rsidRPr="00296F4A">
              <w:rPr>
                <w:rFonts w:cs="Times New Roman"/>
                <w:b/>
                <w:color w:val="000000"/>
                <w:szCs w:val="24"/>
              </w:rPr>
              <w:t>Gayah and Donnell (2021)</w:t>
            </w:r>
          </w:p>
        </w:tc>
        <w:tc>
          <w:tcPr>
            <w:tcW w:w="3173" w:type="dxa"/>
            <w:gridSpan w:val="3"/>
            <w:tcBorders>
              <w:left w:val="double" w:sz="4" w:space="0" w:color="auto"/>
            </w:tcBorders>
            <w:vAlign w:val="center"/>
          </w:tcPr>
          <w:p w14:paraId="5448558E" w14:textId="77777777" w:rsidR="00D57F75" w:rsidRPr="00296F4A" w:rsidRDefault="00D57F75" w:rsidP="00D57F75">
            <w:pPr>
              <w:keepNext/>
              <w:keepLines/>
              <w:spacing w:before="0" w:after="0"/>
              <w:jc w:val="center"/>
              <w:rPr>
                <w:rFonts w:cs="Times New Roman"/>
                <w:b/>
                <w:color w:val="000000"/>
                <w:szCs w:val="24"/>
              </w:rPr>
            </w:pPr>
            <w:r w:rsidRPr="00296F4A">
              <w:rPr>
                <w:rFonts w:cs="Times New Roman"/>
                <w:b/>
                <w:color w:val="000000"/>
                <w:szCs w:val="24"/>
              </w:rPr>
              <w:t>One Threshold</w:t>
            </w:r>
          </w:p>
        </w:tc>
      </w:tr>
      <w:tr w:rsidR="00D57F75" w:rsidRPr="009F378E" w14:paraId="02637B54" w14:textId="77777777" w:rsidTr="00136A6A">
        <w:trPr>
          <w:trHeight w:val="675"/>
        </w:trPr>
        <w:tc>
          <w:tcPr>
            <w:tcW w:w="3108" w:type="dxa"/>
            <w:vMerge/>
            <w:tcBorders>
              <w:right w:val="double" w:sz="4" w:space="0" w:color="auto"/>
            </w:tcBorders>
            <w:vAlign w:val="bottom"/>
          </w:tcPr>
          <w:p w14:paraId="09AF3656" w14:textId="77777777" w:rsidR="00D57F75" w:rsidRPr="009F378E" w:rsidRDefault="00D57F75" w:rsidP="00D57F75">
            <w:pPr>
              <w:keepNext/>
              <w:keepLines/>
              <w:spacing w:before="0" w:after="0"/>
              <w:rPr>
                <w:rFonts w:cs="Times New Roman"/>
                <w:b/>
                <w:color w:val="000000"/>
                <w:sz w:val="20"/>
                <w:szCs w:val="20"/>
              </w:rPr>
            </w:pPr>
          </w:p>
        </w:tc>
        <w:tc>
          <w:tcPr>
            <w:tcW w:w="1168" w:type="dxa"/>
            <w:tcBorders>
              <w:top w:val="single" w:sz="4" w:space="0" w:color="auto"/>
              <w:left w:val="double" w:sz="4" w:space="0" w:color="auto"/>
              <w:bottom w:val="single" w:sz="4" w:space="0" w:color="auto"/>
            </w:tcBorders>
            <w:vAlign w:val="center"/>
          </w:tcPr>
          <w:p w14:paraId="21C4414F" w14:textId="22490D30" w:rsidR="00D57F75" w:rsidRPr="009F378E" w:rsidRDefault="00D57F75" w:rsidP="00D57F75">
            <w:pPr>
              <w:keepNext/>
              <w:keepLines/>
              <w:spacing w:before="0" w:after="0"/>
              <w:jc w:val="center"/>
              <w:rPr>
                <w:rFonts w:cs="Times New Roman"/>
                <w:b/>
                <w:color w:val="000000"/>
                <w:sz w:val="20"/>
                <w:szCs w:val="20"/>
              </w:rPr>
            </w:pPr>
            <w:r w:rsidRPr="009F378E">
              <w:rPr>
                <w:rFonts w:cs="Times New Roman"/>
                <w:b/>
                <w:color w:val="000000"/>
                <w:sz w:val="20"/>
                <w:szCs w:val="20"/>
              </w:rPr>
              <w:t xml:space="preserve">Coefficient </w:t>
            </w:r>
          </w:p>
        </w:tc>
        <w:tc>
          <w:tcPr>
            <w:tcW w:w="1160" w:type="dxa"/>
            <w:tcBorders>
              <w:top w:val="single" w:sz="4" w:space="0" w:color="auto"/>
              <w:bottom w:val="single" w:sz="4" w:space="0" w:color="auto"/>
            </w:tcBorders>
            <w:vAlign w:val="center"/>
          </w:tcPr>
          <w:p w14:paraId="010A32CB" w14:textId="77777777" w:rsidR="00D57F75" w:rsidRPr="009F378E" w:rsidRDefault="00D57F75" w:rsidP="00D57F75">
            <w:pPr>
              <w:keepNext/>
              <w:keepLines/>
              <w:spacing w:before="0" w:after="0"/>
              <w:jc w:val="center"/>
              <w:rPr>
                <w:rFonts w:cs="Times New Roman"/>
                <w:b/>
                <w:color w:val="000000"/>
                <w:sz w:val="20"/>
                <w:szCs w:val="20"/>
              </w:rPr>
            </w:pPr>
            <w:r w:rsidRPr="009F378E">
              <w:rPr>
                <w:rFonts w:cs="Times New Roman"/>
                <w:b/>
                <w:color w:val="000000"/>
                <w:sz w:val="20"/>
                <w:szCs w:val="20"/>
              </w:rPr>
              <w:t>Std. error</w:t>
            </w:r>
          </w:p>
        </w:tc>
        <w:tc>
          <w:tcPr>
            <w:tcW w:w="923" w:type="dxa"/>
            <w:tcBorders>
              <w:top w:val="single" w:sz="4" w:space="0" w:color="auto"/>
              <w:bottom w:val="single" w:sz="4" w:space="0" w:color="auto"/>
              <w:right w:val="double" w:sz="4" w:space="0" w:color="auto"/>
            </w:tcBorders>
            <w:vAlign w:val="center"/>
          </w:tcPr>
          <w:p w14:paraId="7F4B46F8" w14:textId="77777777" w:rsidR="00D57F75" w:rsidRPr="009F378E" w:rsidRDefault="00D57F75" w:rsidP="00D57F75">
            <w:pPr>
              <w:keepNext/>
              <w:keepLines/>
              <w:spacing w:before="0" w:after="0"/>
              <w:jc w:val="center"/>
              <w:rPr>
                <w:rFonts w:cs="Times New Roman"/>
                <w:b/>
                <w:color w:val="000000"/>
                <w:sz w:val="20"/>
                <w:szCs w:val="20"/>
              </w:rPr>
            </w:pPr>
            <w:r w:rsidRPr="009F378E">
              <w:rPr>
                <w:rFonts w:cs="Times New Roman"/>
                <w:b/>
                <w:color w:val="000000"/>
                <w:sz w:val="20"/>
                <w:szCs w:val="20"/>
              </w:rPr>
              <w:t>p-value</w:t>
            </w:r>
          </w:p>
        </w:tc>
        <w:tc>
          <w:tcPr>
            <w:tcW w:w="1168" w:type="dxa"/>
            <w:tcBorders>
              <w:left w:val="double" w:sz="4" w:space="0" w:color="auto"/>
            </w:tcBorders>
            <w:vAlign w:val="center"/>
          </w:tcPr>
          <w:p w14:paraId="05EEA544" w14:textId="678B9FDC" w:rsidR="00D57F75" w:rsidRPr="009F378E" w:rsidRDefault="00D57F75" w:rsidP="00D57F75">
            <w:pPr>
              <w:keepNext/>
              <w:keepLines/>
              <w:spacing w:before="0" w:after="0"/>
              <w:jc w:val="center"/>
              <w:rPr>
                <w:rFonts w:cs="Times New Roman"/>
                <w:b/>
                <w:color w:val="000000"/>
                <w:sz w:val="20"/>
                <w:szCs w:val="20"/>
              </w:rPr>
            </w:pPr>
            <w:r w:rsidRPr="009F378E">
              <w:rPr>
                <w:rFonts w:cs="Times New Roman"/>
                <w:b/>
                <w:color w:val="000000"/>
                <w:sz w:val="20"/>
                <w:szCs w:val="20"/>
              </w:rPr>
              <w:t xml:space="preserve">Coefficient </w:t>
            </w:r>
          </w:p>
        </w:tc>
        <w:tc>
          <w:tcPr>
            <w:tcW w:w="1088" w:type="dxa"/>
            <w:vAlign w:val="center"/>
          </w:tcPr>
          <w:p w14:paraId="2F46C273" w14:textId="77777777" w:rsidR="00D57F75" w:rsidRPr="009F378E" w:rsidRDefault="00D57F75" w:rsidP="00D57F75">
            <w:pPr>
              <w:keepNext/>
              <w:keepLines/>
              <w:spacing w:before="0" w:after="0"/>
              <w:jc w:val="center"/>
              <w:rPr>
                <w:rFonts w:cs="Times New Roman"/>
                <w:b/>
                <w:color w:val="000000"/>
                <w:sz w:val="20"/>
                <w:szCs w:val="20"/>
              </w:rPr>
            </w:pPr>
            <w:r w:rsidRPr="009F378E">
              <w:rPr>
                <w:rFonts w:cs="Times New Roman"/>
                <w:b/>
                <w:color w:val="000000"/>
                <w:sz w:val="20"/>
                <w:szCs w:val="20"/>
              </w:rPr>
              <w:t>Std. error</w:t>
            </w:r>
          </w:p>
        </w:tc>
        <w:tc>
          <w:tcPr>
            <w:tcW w:w="917" w:type="dxa"/>
            <w:vAlign w:val="center"/>
          </w:tcPr>
          <w:p w14:paraId="489E77B7" w14:textId="77777777" w:rsidR="00D57F75" w:rsidRPr="009F378E" w:rsidRDefault="00D57F75" w:rsidP="00D57F75">
            <w:pPr>
              <w:keepNext/>
              <w:keepLines/>
              <w:spacing w:before="0" w:after="0"/>
              <w:jc w:val="center"/>
              <w:rPr>
                <w:rFonts w:cs="Times New Roman"/>
                <w:b/>
                <w:color w:val="000000"/>
                <w:sz w:val="20"/>
                <w:szCs w:val="20"/>
              </w:rPr>
            </w:pPr>
            <w:r w:rsidRPr="009F378E">
              <w:rPr>
                <w:rFonts w:cs="Times New Roman"/>
                <w:b/>
                <w:color w:val="000000"/>
                <w:sz w:val="20"/>
                <w:szCs w:val="20"/>
              </w:rPr>
              <w:t>p-value</w:t>
            </w:r>
          </w:p>
        </w:tc>
      </w:tr>
      <w:tr w:rsidR="00CA1F4A" w:rsidRPr="009F378E" w14:paraId="7CD8B571" w14:textId="77777777" w:rsidTr="00136A6A">
        <w:trPr>
          <w:trHeight w:val="639"/>
        </w:trPr>
        <w:tc>
          <w:tcPr>
            <w:tcW w:w="3108" w:type="dxa"/>
            <w:tcBorders>
              <w:right w:val="double" w:sz="4" w:space="0" w:color="auto"/>
            </w:tcBorders>
            <w:vAlign w:val="center"/>
          </w:tcPr>
          <w:p w14:paraId="3D7F02CF" w14:textId="2B760684"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Constant when traffic volume lower than threshold</w:t>
            </w:r>
          </w:p>
        </w:tc>
        <w:tc>
          <w:tcPr>
            <w:tcW w:w="1168" w:type="dxa"/>
            <w:tcBorders>
              <w:top w:val="single" w:sz="4" w:space="0" w:color="auto"/>
              <w:left w:val="double" w:sz="4" w:space="0" w:color="auto"/>
              <w:bottom w:val="single" w:sz="4" w:space="0" w:color="auto"/>
            </w:tcBorders>
            <w:vAlign w:val="center"/>
          </w:tcPr>
          <w:p w14:paraId="4C9B8901" w14:textId="69E4C201"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-6.2488</w:t>
            </w:r>
          </w:p>
        </w:tc>
        <w:tc>
          <w:tcPr>
            <w:tcW w:w="1160" w:type="dxa"/>
            <w:tcBorders>
              <w:top w:val="single" w:sz="4" w:space="0" w:color="auto"/>
              <w:bottom w:val="single" w:sz="4" w:space="0" w:color="auto"/>
            </w:tcBorders>
            <w:vAlign w:val="center"/>
          </w:tcPr>
          <w:p w14:paraId="05E3D8FD" w14:textId="07F38838"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0.2369</w:t>
            </w:r>
          </w:p>
        </w:tc>
        <w:tc>
          <w:tcPr>
            <w:tcW w:w="923" w:type="dxa"/>
            <w:tcBorders>
              <w:top w:val="single" w:sz="4" w:space="0" w:color="auto"/>
              <w:bottom w:val="single" w:sz="4" w:space="0" w:color="auto"/>
              <w:right w:val="double" w:sz="4" w:space="0" w:color="auto"/>
            </w:tcBorders>
            <w:vAlign w:val="center"/>
          </w:tcPr>
          <w:p w14:paraId="11080B6C" w14:textId="24BD7661"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7CAAF9D5" w14:textId="13733D42"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c>
          <w:tcPr>
            <w:tcW w:w="1088" w:type="dxa"/>
            <w:vAlign w:val="center"/>
          </w:tcPr>
          <w:p w14:paraId="463F6B25" w14:textId="4701D488"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c>
          <w:tcPr>
            <w:tcW w:w="917" w:type="dxa"/>
            <w:vAlign w:val="center"/>
          </w:tcPr>
          <w:p w14:paraId="09FE5392" w14:textId="2C435128"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r>
      <w:tr w:rsidR="00CA1F4A" w:rsidRPr="009F378E" w14:paraId="692A2A05" w14:textId="77777777" w:rsidTr="00136A6A">
        <w:trPr>
          <w:trHeight w:val="656"/>
        </w:trPr>
        <w:tc>
          <w:tcPr>
            <w:tcW w:w="3108" w:type="dxa"/>
            <w:tcBorders>
              <w:right w:val="double" w:sz="4" w:space="0" w:color="auto"/>
            </w:tcBorders>
            <w:vAlign w:val="center"/>
          </w:tcPr>
          <w:p w14:paraId="1449E065" w14:textId="2D8D26A7" w:rsidR="00CA1F4A" w:rsidRPr="009F378E" w:rsidRDefault="00CA1F4A" w:rsidP="00CA1F4A">
            <w:pPr>
              <w:keepNext/>
              <w:keepLines/>
              <w:spacing w:before="0" w:after="0"/>
              <w:rPr>
                <w:rFonts w:cs="Times New Roman"/>
                <w:color w:val="000000"/>
                <w:sz w:val="20"/>
                <w:szCs w:val="20"/>
              </w:rPr>
            </w:pPr>
            <w:r w:rsidRPr="009F378E">
              <w:rPr>
                <w:rFonts w:cs="Times New Roman"/>
                <w:color w:val="000000"/>
                <w:sz w:val="20"/>
                <w:szCs w:val="20"/>
              </w:rPr>
              <w:t>Constant when traffic volume higher than threshold</w:t>
            </w:r>
          </w:p>
        </w:tc>
        <w:tc>
          <w:tcPr>
            <w:tcW w:w="1168" w:type="dxa"/>
            <w:tcBorders>
              <w:top w:val="single" w:sz="4" w:space="0" w:color="auto"/>
              <w:left w:val="double" w:sz="4" w:space="0" w:color="auto"/>
              <w:bottom w:val="single" w:sz="4" w:space="0" w:color="auto"/>
            </w:tcBorders>
            <w:vAlign w:val="center"/>
          </w:tcPr>
          <w:p w14:paraId="713251BD" w14:textId="1B109436"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-4.7634</w:t>
            </w:r>
          </w:p>
        </w:tc>
        <w:tc>
          <w:tcPr>
            <w:tcW w:w="1160" w:type="dxa"/>
            <w:tcBorders>
              <w:top w:val="single" w:sz="4" w:space="0" w:color="auto"/>
              <w:bottom w:val="single" w:sz="4" w:space="0" w:color="auto"/>
            </w:tcBorders>
            <w:vAlign w:val="center"/>
          </w:tcPr>
          <w:p w14:paraId="3276B1B4" w14:textId="6612904A"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0.2039</w:t>
            </w:r>
          </w:p>
        </w:tc>
        <w:tc>
          <w:tcPr>
            <w:tcW w:w="923" w:type="dxa"/>
            <w:tcBorders>
              <w:top w:val="single" w:sz="4" w:space="0" w:color="auto"/>
              <w:bottom w:val="single" w:sz="4" w:space="0" w:color="auto"/>
              <w:right w:val="double" w:sz="4" w:space="0" w:color="auto"/>
            </w:tcBorders>
            <w:vAlign w:val="center"/>
          </w:tcPr>
          <w:p w14:paraId="0E8C0B8E" w14:textId="71365B52"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2DA3ECCD" w14:textId="4D5A3CF8"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w:t>
            </w:r>
          </w:p>
        </w:tc>
        <w:tc>
          <w:tcPr>
            <w:tcW w:w="1088" w:type="dxa"/>
            <w:vAlign w:val="center"/>
          </w:tcPr>
          <w:p w14:paraId="04C04061" w14:textId="19E1CA64"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w:t>
            </w:r>
          </w:p>
        </w:tc>
        <w:tc>
          <w:tcPr>
            <w:tcW w:w="917" w:type="dxa"/>
            <w:vAlign w:val="center"/>
          </w:tcPr>
          <w:p w14:paraId="5E727CCA" w14:textId="061E1F12"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r>
      <w:tr w:rsidR="00CA1F4A" w:rsidRPr="009F378E" w14:paraId="06DE1D1B" w14:textId="77777777" w:rsidTr="00136A6A">
        <w:trPr>
          <w:trHeight w:val="318"/>
        </w:trPr>
        <w:tc>
          <w:tcPr>
            <w:tcW w:w="3108" w:type="dxa"/>
            <w:tcBorders>
              <w:right w:val="double" w:sz="4" w:space="0" w:color="auto"/>
            </w:tcBorders>
            <w:vAlign w:val="center"/>
          </w:tcPr>
          <w:p w14:paraId="29253640" w14:textId="4C9AA69E" w:rsidR="00CA1F4A" w:rsidRPr="009F378E" w:rsidRDefault="00CA1F4A" w:rsidP="00CA1F4A">
            <w:pPr>
              <w:keepNext/>
              <w:keepLines/>
              <w:spacing w:before="0" w:after="0"/>
              <w:rPr>
                <w:rFonts w:cs="Times New Roman"/>
                <w:color w:val="000000"/>
                <w:sz w:val="20"/>
                <w:szCs w:val="20"/>
              </w:rPr>
            </w:pPr>
            <w:r w:rsidRPr="009F378E">
              <w:rPr>
                <w:rFonts w:cs="Times New Roman"/>
                <w:color w:val="000000"/>
                <w:sz w:val="20"/>
                <w:szCs w:val="20"/>
              </w:rPr>
              <w:t>Constant</w:t>
            </w:r>
          </w:p>
        </w:tc>
        <w:tc>
          <w:tcPr>
            <w:tcW w:w="1168" w:type="dxa"/>
            <w:tcBorders>
              <w:top w:val="single" w:sz="4" w:space="0" w:color="auto"/>
              <w:left w:val="double" w:sz="4" w:space="0" w:color="auto"/>
              <w:bottom w:val="single" w:sz="4" w:space="0" w:color="auto"/>
            </w:tcBorders>
            <w:vAlign w:val="center"/>
          </w:tcPr>
          <w:p w14:paraId="139F0534" w14:textId="63F6D443"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w:t>
            </w:r>
          </w:p>
        </w:tc>
        <w:tc>
          <w:tcPr>
            <w:tcW w:w="1160" w:type="dxa"/>
            <w:tcBorders>
              <w:top w:val="single" w:sz="4" w:space="0" w:color="auto"/>
              <w:bottom w:val="single" w:sz="4" w:space="0" w:color="auto"/>
            </w:tcBorders>
            <w:vAlign w:val="center"/>
          </w:tcPr>
          <w:p w14:paraId="56974819" w14:textId="0F39F884"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w:t>
            </w:r>
          </w:p>
        </w:tc>
        <w:tc>
          <w:tcPr>
            <w:tcW w:w="923" w:type="dxa"/>
            <w:tcBorders>
              <w:top w:val="single" w:sz="4" w:space="0" w:color="auto"/>
              <w:bottom w:val="single" w:sz="4" w:space="0" w:color="auto"/>
              <w:right w:val="double" w:sz="4" w:space="0" w:color="auto"/>
            </w:tcBorders>
            <w:vAlign w:val="center"/>
          </w:tcPr>
          <w:p w14:paraId="04B5C75E" w14:textId="3DFFA231"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c>
          <w:tcPr>
            <w:tcW w:w="1168" w:type="dxa"/>
            <w:tcBorders>
              <w:left w:val="double" w:sz="4" w:space="0" w:color="auto"/>
            </w:tcBorders>
            <w:vAlign w:val="center"/>
          </w:tcPr>
          <w:p w14:paraId="4CAE2449" w14:textId="12FDFB29"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-6.2488</w:t>
            </w:r>
          </w:p>
        </w:tc>
        <w:tc>
          <w:tcPr>
            <w:tcW w:w="1088" w:type="dxa"/>
            <w:vAlign w:val="center"/>
          </w:tcPr>
          <w:p w14:paraId="4FB2D4C4" w14:textId="349900B4"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0.2369</w:t>
            </w:r>
          </w:p>
        </w:tc>
        <w:tc>
          <w:tcPr>
            <w:tcW w:w="917" w:type="dxa"/>
            <w:vAlign w:val="center"/>
          </w:tcPr>
          <w:p w14:paraId="1A9951A6" w14:textId="6CBCC4B1"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43241CF8" w14:textId="77777777" w:rsidTr="00136A6A">
        <w:trPr>
          <w:trHeight w:val="639"/>
        </w:trPr>
        <w:tc>
          <w:tcPr>
            <w:tcW w:w="3108" w:type="dxa"/>
            <w:tcBorders>
              <w:right w:val="double" w:sz="4" w:space="0" w:color="auto"/>
            </w:tcBorders>
            <w:vAlign w:val="center"/>
          </w:tcPr>
          <w:p w14:paraId="20B5B31A"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Natural log of traffic volume (lower than threshold) [</w:t>
            </w:r>
            <w:proofErr w:type="spellStart"/>
            <w:r w:rsidRPr="009F378E">
              <w:rPr>
                <w:rFonts w:cs="Times New Roman"/>
                <w:color w:val="000000"/>
                <w:sz w:val="20"/>
                <w:szCs w:val="20"/>
              </w:rPr>
              <w:t>veh</w:t>
            </w:r>
            <w:proofErr w:type="spellEnd"/>
            <w:r w:rsidRPr="009F378E">
              <w:rPr>
                <w:rFonts w:cs="Times New Roman"/>
                <w:color w:val="000000"/>
                <w:sz w:val="20"/>
                <w:szCs w:val="20"/>
              </w:rPr>
              <w:t>/day]</w:t>
            </w:r>
          </w:p>
        </w:tc>
        <w:tc>
          <w:tcPr>
            <w:tcW w:w="1168" w:type="dxa"/>
            <w:tcBorders>
              <w:top w:val="single" w:sz="4" w:space="0" w:color="auto"/>
              <w:left w:val="double" w:sz="4" w:space="0" w:color="auto"/>
              <w:bottom w:val="single" w:sz="4" w:space="0" w:color="auto"/>
            </w:tcBorders>
            <w:vAlign w:val="center"/>
          </w:tcPr>
          <w:p w14:paraId="75A4BA71"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0.7723</w:t>
            </w:r>
          </w:p>
        </w:tc>
        <w:tc>
          <w:tcPr>
            <w:tcW w:w="1160" w:type="dxa"/>
            <w:tcBorders>
              <w:top w:val="single" w:sz="4" w:space="0" w:color="auto"/>
              <w:bottom w:val="single" w:sz="4" w:space="0" w:color="auto"/>
            </w:tcBorders>
            <w:vAlign w:val="center"/>
          </w:tcPr>
          <w:p w14:paraId="4B9184A0"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0.0323</w:t>
            </w:r>
          </w:p>
        </w:tc>
        <w:tc>
          <w:tcPr>
            <w:tcW w:w="923" w:type="dxa"/>
            <w:tcBorders>
              <w:top w:val="single" w:sz="4" w:space="0" w:color="auto"/>
              <w:bottom w:val="single" w:sz="4" w:space="0" w:color="auto"/>
              <w:right w:val="double" w:sz="4" w:space="0" w:color="auto"/>
            </w:tcBorders>
            <w:vAlign w:val="center"/>
          </w:tcPr>
          <w:p w14:paraId="2899C678"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2E5FA2FD"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c>
          <w:tcPr>
            <w:tcW w:w="1088" w:type="dxa"/>
            <w:vAlign w:val="center"/>
          </w:tcPr>
          <w:p w14:paraId="25FCA2FF"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c>
          <w:tcPr>
            <w:tcW w:w="917" w:type="dxa"/>
            <w:vAlign w:val="center"/>
          </w:tcPr>
          <w:p w14:paraId="6805D75E"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w:t>
            </w:r>
          </w:p>
        </w:tc>
      </w:tr>
      <w:tr w:rsidR="00CA1F4A" w:rsidRPr="009F378E" w14:paraId="5D079504" w14:textId="77777777" w:rsidTr="00136A6A">
        <w:trPr>
          <w:trHeight w:val="656"/>
        </w:trPr>
        <w:tc>
          <w:tcPr>
            <w:tcW w:w="3108" w:type="dxa"/>
            <w:tcBorders>
              <w:right w:val="double" w:sz="4" w:space="0" w:color="auto"/>
            </w:tcBorders>
            <w:vAlign w:val="center"/>
          </w:tcPr>
          <w:p w14:paraId="5B783E8B" w14:textId="77777777" w:rsidR="00CA1F4A" w:rsidRPr="009F378E" w:rsidRDefault="00CA1F4A" w:rsidP="00CA1F4A">
            <w:pPr>
              <w:keepNext/>
              <w:keepLines/>
              <w:spacing w:before="0" w:after="0"/>
              <w:rPr>
                <w:rFonts w:cs="Times New Roman"/>
                <w:color w:val="000000"/>
                <w:sz w:val="20"/>
                <w:szCs w:val="20"/>
              </w:rPr>
            </w:pPr>
            <w:r w:rsidRPr="009F378E">
              <w:rPr>
                <w:rFonts w:cs="Times New Roman"/>
                <w:color w:val="000000"/>
                <w:sz w:val="20"/>
                <w:szCs w:val="20"/>
              </w:rPr>
              <w:t>Natural log of traffic volume (greater than threshold) [</w:t>
            </w:r>
            <w:proofErr w:type="spellStart"/>
            <w:r w:rsidRPr="009F378E">
              <w:rPr>
                <w:rFonts w:cs="Times New Roman"/>
                <w:color w:val="000000"/>
                <w:sz w:val="20"/>
                <w:szCs w:val="20"/>
              </w:rPr>
              <w:t>veh</w:t>
            </w:r>
            <w:proofErr w:type="spellEnd"/>
            <w:r w:rsidRPr="009F378E">
              <w:rPr>
                <w:rFonts w:cs="Times New Roman"/>
                <w:color w:val="000000"/>
                <w:sz w:val="20"/>
                <w:szCs w:val="20"/>
              </w:rPr>
              <w:t>/day]</w:t>
            </w:r>
          </w:p>
        </w:tc>
        <w:tc>
          <w:tcPr>
            <w:tcW w:w="1168" w:type="dxa"/>
            <w:tcBorders>
              <w:top w:val="single" w:sz="4" w:space="0" w:color="auto"/>
              <w:left w:val="double" w:sz="4" w:space="0" w:color="auto"/>
              <w:bottom w:val="single" w:sz="4" w:space="0" w:color="auto"/>
            </w:tcBorders>
            <w:vAlign w:val="center"/>
          </w:tcPr>
          <w:p w14:paraId="2F043C47"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0.5756</w:t>
            </w:r>
          </w:p>
        </w:tc>
        <w:tc>
          <w:tcPr>
            <w:tcW w:w="1160" w:type="dxa"/>
            <w:tcBorders>
              <w:top w:val="single" w:sz="4" w:space="0" w:color="auto"/>
              <w:bottom w:val="single" w:sz="4" w:space="0" w:color="auto"/>
            </w:tcBorders>
            <w:vAlign w:val="center"/>
          </w:tcPr>
          <w:p w14:paraId="50894B34"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0.0248</w:t>
            </w:r>
          </w:p>
        </w:tc>
        <w:tc>
          <w:tcPr>
            <w:tcW w:w="923" w:type="dxa"/>
            <w:tcBorders>
              <w:top w:val="single" w:sz="4" w:space="0" w:color="auto"/>
              <w:bottom w:val="single" w:sz="4" w:space="0" w:color="auto"/>
              <w:right w:val="double" w:sz="4" w:space="0" w:color="auto"/>
            </w:tcBorders>
            <w:vAlign w:val="center"/>
          </w:tcPr>
          <w:p w14:paraId="3E16FACF"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12A0A6C7"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c>
          <w:tcPr>
            <w:tcW w:w="1088" w:type="dxa"/>
            <w:vAlign w:val="center"/>
          </w:tcPr>
          <w:p w14:paraId="382AD006"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w:t>
            </w:r>
          </w:p>
        </w:tc>
        <w:tc>
          <w:tcPr>
            <w:tcW w:w="917" w:type="dxa"/>
            <w:vAlign w:val="center"/>
          </w:tcPr>
          <w:p w14:paraId="5D7B44B4"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w:t>
            </w:r>
          </w:p>
        </w:tc>
      </w:tr>
      <w:tr w:rsidR="00CA1F4A" w:rsidRPr="009F378E" w14:paraId="51B876FB" w14:textId="77777777" w:rsidTr="00136A6A">
        <w:trPr>
          <w:trHeight w:val="318"/>
        </w:trPr>
        <w:tc>
          <w:tcPr>
            <w:tcW w:w="3108" w:type="dxa"/>
            <w:tcBorders>
              <w:right w:val="double" w:sz="4" w:space="0" w:color="auto"/>
            </w:tcBorders>
            <w:vAlign w:val="center"/>
          </w:tcPr>
          <w:p w14:paraId="06EC9C50" w14:textId="58A56455" w:rsidR="00CA1F4A" w:rsidRPr="00C2210F" w:rsidRDefault="004123F5" w:rsidP="00CA1F4A">
            <w:pPr>
              <w:keepNext/>
              <w:keepLines/>
              <w:spacing w:before="0" w:after="0"/>
              <w:rPr>
                <w:rFonts w:cs="Times New Roman"/>
                <w:color w:val="000000"/>
                <w:sz w:val="20"/>
                <w:szCs w:val="20"/>
              </w:rPr>
            </w:pPr>
            <m:oMathPara>
              <m:oMathParaPr>
                <m:jc m:val="left"/>
              </m:oMathParaPr>
              <m:oMath>
                <m:func>
                  <m:funcPr>
                    <m:ctrlPr>
                      <w:rPr>
                        <w:rFonts w:ascii="Cambria Math" w:hAnsi="Cambria Math"/>
                        <w:sz w:val="20"/>
                        <w:szCs w:val="20"/>
                        <w:vertAlign w:val="subscript"/>
                        <w:lang w:val="en-CA"/>
                      </w:rPr>
                    </m:ctrlPr>
                  </m:funcPr>
                  <m:fName>
                    <m:r>
                      <m:rPr>
                        <m:sty m:val="p"/>
                      </m:rPr>
                      <w:rPr>
                        <w:rFonts w:ascii="Cambria Math" w:hAnsi="Cambria Math"/>
                        <w:sz w:val="20"/>
                        <w:szCs w:val="20"/>
                        <w:vertAlign w:val="subscript"/>
                      </w:rPr>
                      <m:t>ln</m:t>
                    </m:r>
                    <m:ctrlPr>
                      <w:rPr>
                        <w:rFonts w:ascii="Cambria Math" w:hAnsi="Cambria Math"/>
                        <w:sz w:val="20"/>
                        <w:szCs w:val="20"/>
                        <w:vertAlign w:val="subscript"/>
                      </w:rPr>
                    </m:ctrlPr>
                  </m:fName>
                  <m:e>
                    <m:d>
                      <m:dPr>
                        <m:ctrlPr>
                          <w:rPr>
                            <w:rFonts w:ascii="Cambria Math" w:hAnsi="Cambria Math"/>
                            <w:sz w:val="20"/>
                            <w:szCs w:val="20"/>
                            <w:vertAlign w:val="subscript"/>
                            <w:lang w:val="en-CA"/>
                          </w:rPr>
                        </m:ctrlPr>
                      </m:dPr>
                      <m:e>
                        <m:sSub>
                          <m:sSubPr>
                            <m:ctrlPr>
                              <w:rPr>
                                <w:rFonts w:ascii="Cambria Math" w:hAnsi="Cambria Math"/>
                                <w:i/>
                                <w:sz w:val="20"/>
                                <w:szCs w:val="20"/>
                                <w:vertAlign w:val="subscript"/>
                                <w:lang w:val="en-CA"/>
                              </w:rPr>
                            </m:ctrlPr>
                          </m:sSubPr>
                          <m:e>
                            <m:r>
                              <w:rPr>
                                <w:rFonts w:ascii="Cambria Math" w:hAnsi="Cambria Math"/>
                                <w:sz w:val="20"/>
                                <w:szCs w:val="20"/>
                              </w:rPr>
                              <m:t>AADT</m:t>
                            </m:r>
                            <m:ctrlPr>
                              <w:rPr>
                                <w:rFonts w:ascii="Cambria Math" w:hAnsi="Cambria Math"/>
                                <w:sz w:val="20"/>
                                <w:szCs w:val="20"/>
                                <w:vertAlign w:val="subscript"/>
                                <w:lang w:val="en-CA"/>
                              </w:rPr>
                            </m:ctrlPr>
                          </m:e>
                          <m:sub>
                            <m:r>
                              <w:rPr>
                                <w:rFonts w:ascii="Cambria Math" w:hAnsi="Cambria Math"/>
                                <w:sz w:val="20"/>
                                <w:szCs w:val="20"/>
                                <w:vertAlign w:val="subscript"/>
                              </w:rPr>
                              <m:t>i</m:t>
                            </m:r>
                          </m:sub>
                        </m:sSub>
                      </m:e>
                    </m:d>
                  </m:e>
                </m:func>
              </m:oMath>
            </m:oMathPara>
          </w:p>
        </w:tc>
        <w:tc>
          <w:tcPr>
            <w:tcW w:w="1168" w:type="dxa"/>
            <w:tcBorders>
              <w:top w:val="single" w:sz="4" w:space="0" w:color="auto"/>
              <w:left w:val="double" w:sz="4" w:space="0" w:color="auto"/>
              <w:bottom w:val="single" w:sz="4" w:space="0" w:color="auto"/>
            </w:tcBorders>
            <w:vAlign w:val="center"/>
          </w:tcPr>
          <w:p w14:paraId="3E356515"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w:t>
            </w:r>
          </w:p>
        </w:tc>
        <w:tc>
          <w:tcPr>
            <w:tcW w:w="1160" w:type="dxa"/>
            <w:tcBorders>
              <w:top w:val="single" w:sz="4" w:space="0" w:color="auto"/>
              <w:bottom w:val="single" w:sz="4" w:space="0" w:color="auto"/>
            </w:tcBorders>
            <w:vAlign w:val="center"/>
          </w:tcPr>
          <w:p w14:paraId="21739D10"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w:t>
            </w:r>
          </w:p>
        </w:tc>
        <w:tc>
          <w:tcPr>
            <w:tcW w:w="923" w:type="dxa"/>
            <w:tcBorders>
              <w:top w:val="single" w:sz="4" w:space="0" w:color="auto"/>
              <w:bottom w:val="single" w:sz="4" w:space="0" w:color="auto"/>
              <w:right w:val="double" w:sz="4" w:space="0" w:color="auto"/>
            </w:tcBorders>
            <w:vAlign w:val="center"/>
          </w:tcPr>
          <w:p w14:paraId="6B5D3EC2"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w:t>
            </w:r>
          </w:p>
        </w:tc>
        <w:tc>
          <w:tcPr>
            <w:tcW w:w="1168" w:type="dxa"/>
            <w:tcBorders>
              <w:left w:val="double" w:sz="4" w:space="0" w:color="auto"/>
            </w:tcBorders>
            <w:vAlign w:val="center"/>
          </w:tcPr>
          <w:p w14:paraId="733D9168"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0.7723</w:t>
            </w:r>
          </w:p>
        </w:tc>
        <w:tc>
          <w:tcPr>
            <w:tcW w:w="1088" w:type="dxa"/>
            <w:vAlign w:val="center"/>
          </w:tcPr>
          <w:p w14:paraId="1C004994"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0.0323</w:t>
            </w:r>
          </w:p>
        </w:tc>
        <w:tc>
          <w:tcPr>
            <w:tcW w:w="917" w:type="dxa"/>
            <w:vAlign w:val="center"/>
          </w:tcPr>
          <w:p w14:paraId="521383EA"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1F765D37" w14:textId="77777777" w:rsidTr="00C2210F">
        <w:trPr>
          <w:trHeight w:val="467"/>
        </w:trPr>
        <w:tc>
          <w:tcPr>
            <w:tcW w:w="3108" w:type="dxa"/>
            <w:tcBorders>
              <w:right w:val="double" w:sz="4" w:space="0" w:color="auto"/>
            </w:tcBorders>
            <w:vAlign w:val="center"/>
          </w:tcPr>
          <w:p w14:paraId="2CB96642" w14:textId="22A64498" w:rsidR="00CA1F4A" w:rsidRPr="009F378E" w:rsidRDefault="00CA1F4A" w:rsidP="00CA1F4A">
            <w:pPr>
              <w:keepNext/>
              <w:keepLines/>
              <w:spacing w:before="0" w:after="0"/>
              <w:rPr>
                <w:rFonts w:cs="Times New Roman"/>
                <w:color w:val="000000"/>
                <w:sz w:val="20"/>
                <w:szCs w:val="20"/>
              </w:rPr>
            </w:pPr>
            <m:oMathPara>
              <m:oMathParaPr>
                <m:jc m:val="left"/>
              </m:oMathParaPr>
              <m:oMath>
                <m:r>
                  <w:rPr>
                    <w:rFonts w:ascii="Cambria Math" w:hAnsi="Cambria Math" w:cs="Times New Roman"/>
                    <w:sz w:val="20"/>
                    <w:szCs w:val="20"/>
                  </w:rPr>
                  <m:t>AAD</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i_inc_1900</m:t>
                    </m:r>
                  </m:sub>
                </m:sSub>
              </m:oMath>
            </m:oMathPara>
          </w:p>
        </w:tc>
        <w:tc>
          <w:tcPr>
            <w:tcW w:w="1168" w:type="dxa"/>
            <w:tcBorders>
              <w:top w:val="single" w:sz="4" w:space="0" w:color="auto"/>
              <w:left w:val="double" w:sz="4" w:space="0" w:color="auto"/>
              <w:bottom w:val="single" w:sz="4" w:space="0" w:color="auto"/>
            </w:tcBorders>
            <w:vAlign w:val="center"/>
          </w:tcPr>
          <w:p w14:paraId="5F94BB1B"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w:t>
            </w:r>
          </w:p>
        </w:tc>
        <w:tc>
          <w:tcPr>
            <w:tcW w:w="1160" w:type="dxa"/>
            <w:tcBorders>
              <w:top w:val="single" w:sz="4" w:space="0" w:color="auto"/>
              <w:bottom w:val="single" w:sz="4" w:space="0" w:color="auto"/>
            </w:tcBorders>
            <w:vAlign w:val="center"/>
          </w:tcPr>
          <w:p w14:paraId="67DADF6F"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w:t>
            </w:r>
          </w:p>
        </w:tc>
        <w:tc>
          <w:tcPr>
            <w:tcW w:w="923" w:type="dxa"/>
            <w:tcBorders>
              <w:top w:val="single" w:sz="4" w:space="0" w:color="auto"/>
              <w:bottom w:val="single" w:sz="4" w:space="0" w:color="auto"/>
              <w:right w:val="double" w:sz="4" w:space="0" w:color="auto"/>
            </w:tcBorders>
            <w:vAlign w:val="center"/>
          </w:tcPr>
          <w:p w14:paraId="52BAA35A"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w:t>
            </w:r>
          </w:p>
        </w:tc>
        <w:tc>
          <w:tcPr>
            <w:tcW w:w="1168" w:type="dxa"/>
            <w:tcBorders>
              <w:left w:val="double" w:sz="4" w:space="0" w:color="auto"/>
            </w:tcBorders>
            <w:vAlign w:val="center"/>
          </w:tcPr>
          <w:p w14:paraId="5D19A177"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-0.1967</w:t>
            </w:r>
          </w:p>
        </w:tc>
        <w:tc>
          <w:tcPr>
            <w:tcW w:w="1088" w:type="dxa"/>
            <w:vAlign w:val="center"/>
          </w:tcPr>
          <w:p w14:paraId="3B54300B"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0.0471</w:t>
            </w:r>
          </w:p>
        </w:tc>
        <w:tc>
          <w:tcPr>
            <w:tcW w:w="917" w:type="dxa"/>
            <w:vAlign w:val="center"/>
          </w:tcPr>
          <w:p w14:paraId="27C3D95C"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569A3B69" w14:textId="77777777" w:rsidTr="00136A6A">
        <w:trPr>
          <w:trHeight w:val="318"/>
        </w:trPr>
        <w:tc>
          <w:tcPr>
            <w:tcW w:w="3108" w:type="dxa"/>
            <w:tcBorders>
              <w:right w:val="double" w:sz="4" w:space="0" w:color="auto"/>
            </w:tcBorders>
            <w:vAlign w:val="center"/>
          </w:tcPr>
          <w:p w14:paraId="7A8416C7" w14:textId="5DAF678D" w:rsidR="00CA1F4A" w:rsidRPr="009F378E" w:rsidRDefault="00CA1F4A" w:rsidP="00CA1F4A">
            <w:pPr>
              <w:keepNext/>
              <w:keepLines/>
              <w:spacing w:before="0" w:after="0"/>
              <w:rPr>
                <w:rFonts w:eastAsia="Calibri" w:cs="Times New Roman"/>
                <w:sz w:val="20"/>
                <w:szCs w:val="20"/>
              </w:rPr>
            </w:pPr>
            <w:r w:rsidRPr="009F378E">
              <w:rPr>
                <w:rFonts w:cs="Times New Roman"/>
                <w:color w:val="000000"/>
                <w:sz w:val="20"/>
                <w:szCs w:val="20"/>
              </w:rPr>
              <w:t>Natural log of segment length [mi]</w:t>
            </w:r>
          </w:p>
        </w:tc>
        <w:tc>
          <w:tcPr>
            <w:tcW w:w="1168" w:type="dxa"/>
            <w:tcBorders>
              <w:top w:val="single" w:sz="4" w:space="0" w:color="auto"/>
              <w:left w:val="double" w:sz="4" w:space="0" w:color="auto"/>
              <w:bottom w:val="single" w:sz="4" w:space="0" w:color="auto"/>
            </w:tcBorders>
            <w:vAlign w:val="center"/>
          </w:tcPr>
          <w:p w14:paraId="386AD24B" w14:textId="2D2480AA"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0.8032</w:t>
            </w:r>
          </w:p>
        </w:tc>
        <w:tc>
          <w:tcPr>
            <w:tcW w:w="1160" w:type="dxa"/>
            <w:tcBorders>
              <w:top w:val="single" w:sz="4" w:space="0" w:color="auto"/>
              <w:bottom w:val="single" w:sz="4" w:space="0" w:color="auto"/>
            </w:tcBorders>
            <w:vAlign w:val="center"/>
          </w:tcPr>
          <w:p w14:paraId="751266C7" w14:textId="6C68B792"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0.0366</w:t>
            </w:r>
          </w:p>
        </w:tc>
        <w:tc>
          <w:tcPr>
            <w:tcW w:w="923" w:type="dxa"/>
            <w:tcBorders>
              <w:top w:val="single" w:sz="4" w:space="0" w:color="auto"/>
              <w:bottom w:val="single" w:sz="4" w:space="0" w:color="auto"/>
              <w:right w:val="double" w:sz="4" w:space="0" w:color="auto"/>
            </w:tcBorders>
            <w:vAlign w:val="center"/>
          </w:tcPr>
          <w:p w14:paraId="5DFDD0D5" w14:textId="085756A0"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6D4174FC" w14:textId="19A2F1E6"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0.8032</w:t>
            </w:r>
          </w:p>
        </w:tc>
        <w:tc>
          <w:tcPr>
            <w:tcW w:w="1088" w:type="dxa"/>
            <w:vAlign w:val="center"/>
          </w:tcPr>
          <w:p w14:paraId="0331E02F" w14:textId="1B26B9C2"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0.0366</w:t>
            </w:r>
          </w:p>
        </w:tc>
        <w:tc>
          <w:tcPr>
            <w:tcW w:w="917" w:type="dxa"/>
            <w:vAlign w:val="center"/>
          </w:tcPr>
          <w:p w14:paraId="2B722FA3" w14:textId="37B0F99B"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198C7DC5" w14:textId="77777777" w:rsidTr="00136A6A">
        <w:trPr>
          <w:trHeight w:val="706"/>
        </w:trPr>
        <w:tc>
          <w:tcPr>
            <w:tcW w:w="3108" w:type="dxa"/>
            <w:tcBorders>
              <w:right w:val="double" w:sz="4" w:space="0" w:color="auto"/>
            </w:tcBorders>
            <w:vAlign w:val="center"/>
          </w:tcPr>
          <w:p w14:paraId="1AE2C2B3" w14:textId="77777777" w:rsidR="00CA1F4A" w:rsidRPr="009F378E" w:rsidRDefault="00CA1F4A" w:rsidP="00CA1F4A">
            <w:pPr>
              <w:keepNext/>
              <w:keepLines/>
              <w:spacing w:before="0" w:after="0"/>
              <w:rPr>
                <w:rFonts w:cs="Times New Roman"/>
                <w:color w:val="000000"/>
                <w:sz w:val="20"/>
                <w:szCs w:val="20"/>
              </w:rPr>
            </w:pPr>
            <w:r w:rsidRPr="009F378E">
              <w:rPr>
                <w:rFonts w:cs="Times New Roman"/>
                <w:color w:val="000000"/>
                <w:sz w:val="20"/>
                <w:szCs w:val="20"/>
              </w:rPr>
              <w:t>Presence of a passing zone</w:t>
            </w:r>
          </w:p>
          <w:p w14:paraId="08541DF4"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[1 if present, 0 otherwise]</w:t>
            </w:r>
          </w:p>
        </w:tc>
        <w:tc>
          <w:tcPr>
            <w:tcW w:w="1168" w:type="dxa"/>
            <w:tcBorders>
              <w:top w:val="single" w:sz="4" w:space="0" w:color="auto"/>
              <w:left w:val="double" w:sz="4" w:space="0" w:color="auto"/>
              <w:bottom w:val="single" w:sz="4" w:space="0" w:color="auto"/>
            </w:tcBorders>
            <w:vAlign w:val="center"/>
          </w:tcPr>
          <w:p w14:paraId="1E0DD3B6"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-0.1274</w:t>
            </w:r>
          </w:p>
        </w:tc>
        <w:tc>
          <w:tcPr>
            <w:tcW w:w="1160" w:type="dxa"/>
            <w:tcBorders>
              <w:top w:val="single" w:sz="4" w:space="0" w:color="auto"/>
              <w:bottom w:val="single" w:sz="4" w:space="0" w:color="auto"/>
            </w:tcBorders>
            <w:vAlign w:val="center"/>
          </w:tcPr>
          <w:p w14:paraId="137FBE31"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0.0244</w:t>
            </w:r>
          </w:p>
        </w:tc>
        <w:tc>
          <w:tcPr>
            <w:tcW w:w="923" w:type="dxa"/>
            <w:tcBorders>
              <w:top w:val="single" w:sz="4" w:space="0" w:color="auto"/>
              <w:bottom w:val="single" w:sz="4" w:space="0" w:color="auto"/>
              <w:right w:val="double" w:sz="4" w:space="0" w:color="auto"/>
            </w:tcBorders>
            <w:vAlign w:val="center"/>
          </w:tcPr>
          <w:p w14:paraId="26B025CF"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4EA73F07"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-0.1274</w:t>
            </w:r>
          </w:p>
        </w:tc>
        <w:tc>
          <w:tcPr>
            <w:tcW w:w="1088" w:type="dxa"/>
            <w:vAlign w:val="center"/>
          </w:tcPr>
          <w:p w14:paraId="0129DEAA"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0.0244</w:t>
            </w:r>
          </w:p>
        </w:tc>
        <w:tc>
          <w:tcPr>
            <w:tcW w:w="917" w:type="dxa"/>
            <w:vAlign w:val="center"/>
          </w:tcPr>
          <w:p w14:paraId="3E4FE18C"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40EA5BC8" w14:textId="77777777" w:rsidTr="00136A6A">
        <w:trPr>
          <w:trHeight w:val="656"/>
        </w:trPr>
        <w:tc>
          <w:tcPr>
            <w:tcW w:w="3108" w:type="dxa"/>
            <w:tcBorders>
              <w:right w:val="double" w:sz="4" w:space="0" w:color="auto"/>
            </w:tcBorders>
            <w:vAlign w:val="center"/>
          </w:tcPr>
          <w:p w14:paraId="3DC1BF90" w14:textId="77777777" w:rsidR="00CA1F4A" w:rsidRPr="009F378E" w:rsidRDefault="00CA1F4A" w:rsidP="00CA1F4A">
            <w:pPr>
              <w:keepNext/>
              <w:keepLines/>
              <w:spacing w:before="0" w:after="0"/>
              <w:rPr>
                <w:rFonts w:cs="Times New Roman"/>
                <w:color w:val="000000"/>
                <w:sz w:val="20"/>
                <w:szCs w:val="20"/>
              </w:rPr>
            </w:pPr>
            <w:r w:rsidRPr="009F378E">
              <w:rPr>
                <w:rFonts w:cs="Times New Roman"/>
                <w:color w:val="000000"/>
                <w:sz w:val="20"/>
                <w:szCs w:val="20"/>
              </w:rPr>
              <w:t>Presence of shoulder rumble strips</w:t>
            </w:r>
          </w:p>
          <w:p w14:paraId="4CDEDEB7"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 xml:space="preserve"> [1 if present, 0 otherwise]</w:t>
            </w:r>
          </w:p>
        </w:tc>
        <w:tc>
          <w:tcPr>
            <w:tcW w:w="1168" w:type="dxa"/>
            <w:tcBorders>
              <w:top w:val="single" w:sz="4" w:space="0" w:color="auto"/>
              <w:left w:val="double" w:sz="4" w:space="0" w:color="auto"/>
              <w:bottom w:val="single" w:sz="4" w:space="0" w:color="auto"/>
            </w:tcBorders>
            <w:vAlign w:val="center"/>
          </w:tcPr>
          <w:p w14:paraId="1D12DF6F"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-0.1096</w:t>
            </w:r>
          </w:p>
        </w:tc>
        <w:tc>
          <w:tcPr>
            <w:tcW w:w="1160" w:type="dxa"/>
            <w:tcBorders>
              <w:top w:val="single" w:sz="4" w:space="0" w:color="auto"/>
              <w:bottom w:val="single" w:sz="4" w:space="0" w:color="auto"/>
            </w:tcBorders>
            <w:vAlign w:val="center"/>
          </w:tcPr>
          <w:p w14:paraId="78126DB4"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0.0540</w:t>
            </w:r>
          </w:p>
        </w:tc>
        <w:tc>
          <w:tcPr>
            <w:tcW w:w="923" w:type="dxa"/>
            <w:tcBorders>
              <w:top w:val="single" w:sz="4" w:space="0" w:color="auto"/>
              <w:bottom w:val="single" w:sz="4" w:space="0" w:color="auto"/>
              <w:right w:val="double" w:sz="4" w:space="0" w:color="auto"/>
            </w:tcBorders>
            <w:vAlign w:val="center"/>
          </w:tcPr>
          <w:p w14:paraId="76077E0F"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0.042</w:t>
            </w:r>
          </w:p>
        </w:tc>
        <w:tc>
          <w:tcPr>
            <w:tcW w:w="1168" w:type="dxa"/>
            <w:tcBorders>
              <w:left w:val="double" w:sz="4" w:space="0" w:color="auto"/>
            </w:tcBorders>
            <w:vAlign w:val="center"/>
          </w:tcPr>
          <w:p w14:paraId="187C0667"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-0.1096</w:t>
            </w:r>
          </w:p>
        </w:tc>
        <w:tc>
          <w:tcPr>
            <w:tcW w:w="1088" w:type="dxa"/>
            <w:vAlign w:val="center"/>
          </w:tcPr>
          <w:p w14:paraId="690E681F"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0.0540</w:t>
            </w:r>
          </w:p>
        </w:tc>
        <w:tc>
          <w:tcPr>
            <w:tcW w:w="917" w:type="dxa"/>
            <w:vAlign w:val="center"/>
          </w:tcPr>
          <w:p w14:paraId="68BD4AC5"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0.042</w:t>
            </w:r>
          </w:p>
        </w:tc>
      </w:tr>
      <w:tr w:rsidR="00CA1F4A" w:rsidRPr="009F378E" w14:paraId="05D7E2A7" w14:textId="77777777" w:rsidTr="00136A6A">
        <w:trPr>
          <w:trHeight w:val="318"/>
        </w:trPr>
        <w:tc>
          <w:tcPr>
            <w:tcW w:w="3108" w:type="dxa"/>
            <w:tcBorders>
              <w:right w:val="double" w:sz="4" w:space="0" w:color="auto"/>
            </w:tcBorders>
            <w:vAlign w:val="center"/>
          </w:tcPr>
          <w:p w14:paraId="79CFD6ED"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Access density [access points/mi]</w:t>
            </w:r>
          </w:p>
        </w:tc>
        <w:tc>
          <w:tcPr>
            <w:tcW w:w="1168" w:type="dxa"/>
            <w:tcBorders>
              <w:top w:val="single" w:sz="4" w:space="0" w:color="auto"/>
              <w:left w:val="double" w:sz="4" w:space="0" w:color="auto"/>
              <w:bottom w:val="single" w:sz="4" w:space="0" w:color="auto"/>
            </w:tcBorders>
            <w:vAlign w:val="center"/>
          </w:tcPr>
          <w:p w14:paraId="3575490B"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0.0108</w:t>
            </w:r>
          </w:p>
        </w:tc>
        <w:tc>
          <w:tcPr>
            <w:tcW w:w="1160" w:type="dxa"/>
            <w:tcBorders>
              <w:top w:val="single" w:sz="4" w:space="0" w:color="auto"/>
              <w:bottom w:val="single" w:sz="4" w:space="0" w:color="auto"/>
            </w:tcBorders>
            <w:vAlign w:val="center"/>
          </w:tcPr>
          <w:p w14:paraId="6F800A14"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0.0009</w:t>
            </w:r>
          </w:p>
        </w:tc>
        <w:tc>
          <w:tcPr>
            <w:tcW w:w="923" w:type="dxa"/>
            <w:tcBorders>
              <w:top w:val="single" w:sz="4" w:space="0" w:color="auto"/>
              <w:bottom w:val="single" w:sz="4" w:space="0" w:color="auto"/>
              <w:right w:val="double" w:sz="4" w:space="0" w:color="auto"/>
            </w:tcBorders>
            <w:vAlign w:val="center"/>
          </w:tcPr>
          <w:p w14:paraId="1E0F8E5D"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55D54B3E"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0.0108</w:t>
            </w:r>
          </w:p>
        </w:tc>
        <w:tc>
          <w:tcPr>
            <w:tcW w:w="1088" w:type="dxa"/>
            <w:vAlign w:val="center"/>
          </w:tcPr>
          <w:p w14:paraId="72B471F9"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0.0009</w:t>
            </w:r>
          </w:p>
        </w:tc>
        <w:tc>
          <w:tcPr>
            <w:tcW w:w="917" w:type="dxa"/>
            <w:vAlign w:val="center"/>
          </w:tcPr>
          <w:p w14:paraId="0F853F3E"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11A5E4DA" w14:textId="77777777" w:rsidTr="00136A6A">
        <w:trPr>
          <w:trHeight w:val="706"/>
        </w:trPr>
        <w:tc>
          <w:tcPr>
            <w:tcW w:w="3108" w:type="dxa"/>
            <w:tcBorders>
              <w:right w:val="double" w:sz="4" w:space="0" w:color="auto"/>
            </w:tcBorders>
            <w:vAlign w:val="center"/>
          </w:tcPr>
          <w:p w14:paraId="461ECBD4"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Curve density [curves/mi]</w:t>
            </w:r>
          </w:p>
        </w:tc>
        <w:tc>
          <w:tcPr>
            <w:tcW w:w="1168" w:type="dxa"/>
            <w:tcBorders>
              <w:top w:val="single" w:sz="4" w:space="0" w:color="auto"/>
              <w:left w:val="double" w:sz="4" w:space="0" w:color="auto"/>
              <w:bottom w:val="single" w:sz="4" w:space="0" w:color="auto"/>
            </w:tcBorders>
            <w:vAlign w:val="center"/>
          </w:tcPr>
          <w:p w14:paraId="267E4F78"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0.0398</w:t>
            </w:r>
          </w:p>
        </w:tc>
        <w:tc>
          <w:tcPr>
            <w:tcW w:w="1160" w:type="dxa"/>
            <w:tcBorders>
              <w:top w:val="single" w:sz="4" w:space="0" w:color="auto"/>
              <w:bottom w:val="single" w:sz="4" w:space="0" w:color="auto"/>
            </w:tcBorders>
            <w:vAlign w:val="center"/>
          </w:tcPr>
          <w:p w14:paraId="56BB850F"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0.0059</w:t>
            </w:r>
          </w:p>
        </w:tc>
        <w:tc>
          <w:tcPr>
            <w:tcW w:w="923" w:type="dxa"/>
            <w:tcBorders>
              <w:top w:val="single" w:sz="4" w:space="0" w:color="auto"/>
              <w:bottom w:val="single" w:sz="4" w:space="0" w:color="auto"/>
              <w:right w:val="double" w:sz="4" w:space="0" w:color="auto"/>
            </w:tcBorders>
            <w:vAlign w:val="center"/>
          </w:tcPr>
          <w:p w14:paraId="72EC81D0"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763D01F1"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0.0398</w:t>
            </w:r>
          </w:p>
        </w:tc>
        <w:tc>
          <w:tcPr>
            <w:tcW w:w="1088" w:type="dxa"/>
            <w:vAlign w:val="center"/>
          </w:tcPr>
          <w:p w14:paraId="1D8084A5"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0.0059</w:t>
            </w:r>
          </w:p>
        </w:tc>
        <w:tc>
          <w:tcPr>
            <w:tcW w:w="917" w:type="dxa"/>
            <w:vAlign w:val="center"/>
          </w:tcPr>
          <w:p w14:paraId="666D7EC9"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1EC88849" w14:textId="77777777" w:rsidTr="00136A6A">
        <w:trPr>
          <w:trHeight w:val="639"/>
        </w:trPr>
        <w:tc>
          <w:tcPr>
            <w:tcW w:w="3108" w:type="dxa"/>
            <w:tcBorders>
              <w:right w:val="double" w:sz="4" w:space="0" w:color="auto"/>
            </w:tcBorders>
            <w:vAlign w:val="center"/>
          </w:tcPr>
          <w:p w14:paraId="24492E07"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Total degree of curvature per mile along the segment [deg/100 ft/mile]</w:t>
            </w:r>
          </w:p>
        </w:tc>
        <w:tc>
          <w:tcPr>
            <w:tcW w:w="1168" w:type="dxa"/>
            <w:tcBorders>
              <w:top w:val="single" w:sz="4" w:space="0" w:color="auto"/>
              <w:left w:val="double" w:sz="4" w:space="0" w:color="auto"/>
              <w:bottom w:val="single" w:sz="4" w:space="0" w:color="auto"/>
            </w:tcBorders>
            <w:vAlign w:val="center"/>
          </w:tcPr>
          <w:p w14:paraId="26778A2D"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0.0014</w:t>
            </w:r>
          </w:p>
        </w:tc>
        <w:tc>
          <w:tcPr>
            <w:tcW w:w="1160" w:type="dxa"/>
            <w:tcBorders>
              <w:top w:val="single" w:sz="4" w:space="0" w:color="auto"/>
              <w:bottom w:val="single" w:sz="4" w:space="0" w:color="auto"/>
            </w:tcBorders>
            <w:vAlign w:val="center"/>
          </w:tcPr>
          <w:p w14:paraId="52FCACB3"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0.0003</w:t>
            </w:r>
          </w:p>
        </w:tc>
        <w:tc>
          <w:tcPr>
            <w:tcW w:w="923" w:type="dxa"/>
            <w:tcBorders>
              <w:top w:val="single" w:sz="4" w:space="0" w:color="auto"/>
              <w:bottom w:val="single" w:sz="4" w:space="0" w:color="auto"/>
              <w:right w:val="double" w:sz="4" w:space="0" w:color="auto"/>
            </w:tcBorders>
            <w:vAlign w:val="center"/>
          </w:tcPr>
          <w:p w14:paraId="427A2C63"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6405B83D"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0.0014</w:t>
            </w:r>
          </w:p>
        </w:tc>
        <w:tc>
          <w:tcPr>
            <w:tcW w:w="1088" w:type="dxa"/>
            <w:vAlign w:val="center"/>
          </w:tcPr>
          <w:p w14:paraId="4A79FA0A"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0.0003</w:t>
            </w:r>
          </w:p>
        </w:tc>
        <w:tc>
          <w:tcPr>
            <w:tcW w:w="917" w:type="dxa"/>
            <w:vAlign w:val="center"/>
          </w:tcPr>
          <w:p w14:paraId="447A3177"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46384CCA" w14:textId="77777777" w:rsidTr="00136A6A">
        <w:trPr>
          <w:trHeight w:val="706"/>
        </w:trPr>
        <w:tc>
          <w:tcPr>
            <w:tcW w:w="3108" w:type="dxa"/>
            <w:tcBorders>
              <w:right w:val="double" w:sz="4" w:space="0" w:color="auto"/>
            </w:tcBorders>
            <w:vAlign w:val="center"/>
          </w:tcPr>
          <w:p w14:paraId="0E211B22"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Roadway segment in Bradford county [1 if yes, 0 otherwise]</w:t>
            </w:r>
          </w:p>
        </w:tc>
        <w:tc>
          <w:tcPr>
            <w:tcW w:w="1168" w:type="dxa"/>
            <w:tcBorders>
              <w:top w:val="single" w:sz="4" w:space="0" w:color="auto"/>
              <w:left w:val="double" w:sz="4" w:space="0" w:color="auto"/>
              <w:bottom w:val="single" w:sz="4" w:space="0" w:color="auto"/>
            </w:tcBorders>
            <w:vAlign w:val="center"/>
          </w:tcPr>
          <w:p w14:paraId="271AAD30"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0.1043</w:t>
            </w:r>
          </w:p>
        </w:tc>
        <w:tc>
          <w:tcPr>
            <w:tcW w:w="1160" w:type="dxa"/>
            <w:tcBorders>
              <w:top w:val="single" w:sz="4" w:space="0" w:color="auto"/>
              <w:bottom w:val="single" w:sz="4" w:space="0" w:color="auto"/>
            </w:tcBorders>
            <w:vAlign w:val="center"/>
          </w:tcPr>
          <w:p w14:paraId="4572C901"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0.0286</w:t>
            </w:r>
          </w:p>
        </w:tc>
        <w:tc>
          <w:tcPr>
            <w:tcW w:w="923" w:type="dxa"/>
            <w:tcBorders>
              <w:top w:val="single" w:sz="4" w:space="0" w:color="auto"/>
              <w:bottom w:val="single" w:sz="4" w:space="0" w:color="auto"/>
              <w:right w:val="double" w:sz="4" w:space="0" w:color="auto"/>
            </w:tcBorders>
            <w:vAlign w:val="center"/>
          </w:tcPr>
          <w:p w14:paraId="5F95F88A"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176CA36C"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0.1043</w:t>
            </w:r>
          </w:p>
        </w:tc>
        <w:tc>
          <w:tcPr>
            <w:tcW w:w="1088" w:type="dxa"/>
            <w:vAlign w:val="center"/>
          </w:tcPr>
          <w:p w14:paraId="3DC61F2E"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0.0286</w:t>
            </w:r>
          </w:p>
        </w:tc>
        <w:tc>
          <w:tcPr>
            <w:tcW w:w="917" w:type="dxa"/>
            <w:vAlign w:val="center"/>
          </w:tcPr>
          <w:p w14:paraId="74A70358"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460A4897" w14:textId="77777777" w:rsidTr="00136A6A">
        <w:trPr>
          <w:trHeight w:val="1038"/>
        </w:trPr>
        <w:tc>
          <w:tcPr>
            <w:tcW w:w="3108" w:type="dxa"/>
            <w:tcBorders>
              <w:right w:val="double" w:sz="4" w:space="0" w:color="auto"/>
            </w:tcBorders>
            <w:vAlign w:val="center"/>
          </w:tcPr>
          <w:p w14:paraId="78E6CB1A" w14:textId="77777777" w:rsidR="00CA1F4A" w:rsidRPr="009F378E" w:rsidRDefault="00CA1F4A" w:rsidP="00CA1F4A">
            <w:pPr>
              <w:keepNext/>
              <w:keepLines/>
              <w:spacing w:before="0" w:after="0"/>
              <w:rPr>
                <w:rFonts w:cs="Times New Roman"/>
                <w:color w:val="000000"/>
                <w:sz w:val="20"/>
                <w:szCs w:val="20"/>
              </w:rPr>
            </w:pPr>
            <w:r w:rsidRPr="009F378E">
              <w:rPr>
                <w:rFonts w:cs="Times New Roman"/>
                <w:color w:val="000000"/>
                <w:sz w:val="20"/>
                <w:szCs w:val="20"/>
              </w:rPr>
              <w:t xml:space="preserve">Roadway segment in Lycoming or Montour counties </w:t>
            </w:r>
          </w:p>
          <w:p w14:paraId="490AAFF6"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[1 if yes, 0 otherwise]</w:t>
            </w:r>
          </w:p>
        </w:tc>
        <w:tc>
          <w:tcPr>
            <w:tcW w:w="1168" w:type="dxa"/>
            <w:tcBorders>
              <w:top w:val="single" w:sz="4" w:space="0" w:color="auto"/>
              <w:left w:val="double" w:sz="4" w:space="0" w:color="auto"/>
              <w:bottom w:val="single" w:sz="4" w:space="0" w:color="auto"/>
            </w:tcBorders>
            <w:vAlign w:val="center"/>
          </w:tcPr>
          <w:p w14:paraId="3A0D5299"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0.0985</w:t>
            </w:r>
          </w:p>
        </w:tc>
        <w:tc>
          <w:tcPr>
            <w:tcW w:w="1160" w:type="dxa"/>
            <w:tcBorders>
              <w:top w:val="single" w:sz="4" w:space="0" w:color="auto"/>
              <w:bottom w:val="single" w:sz="4" w:space="0" w:color="auto"/>
            </w:tcBorders>
            <w:vAlign w:val="center"/>
          </w:tcPr>
          <w:p w14:paraId="2C269671"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0.0313</w:t>
            </w:r>
          </w:p>
        </w:tc>
        <w:tc>
          <w:tcPr>
            <w:tcW w:w="923" w:type="dxa"/>
            <w:tcBorders>
              <w:top w:val="single" w:sz="4" w:space="0" w:color="auto"/>
              <w:bottom w:val="single" w:sz="4" w:space="0" w:color="auto"/>
              <w:right w:val="double" w:sz="4" w:space="0" w:color="auto"/>
            </w:tcBorders>
            <w:vAlign w:val="center"/>
          </w:tcPr>
          <w:p w14:paraId="5F66453D"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717B2D58"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0.0985</w:t>
            </w:r>
          </w:p>
        </w:tc>
        <w:tc>
          <w:tcPr>
            <w:tcW w:w="1088" w:type="dxa"/>
            <w:vAlign w:val="center"/>
          </w:tcPr>
          <w:p w14:paraId="1D87704C"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0.0313</w:t>
            </w:r>
          </w:p>
        </w:tc>
        <w:tc>
          <w:tcPr>
            <w:tcW w:w="917" w:type="dxa"/>
            <w:vAlign w:val="center"/>
          </w:tcPr>
          <w:p w14:paraId="6FEBD9AA"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0866ADC4" w14:textId="77777777" w:rsidTr="00136A6A">
        <w:trPr>
          <w:trHeight w:val="977"/>
        </w:trPr>
        <w:tc>
          <w:tcPr>
            <w:tcW w:w="3108" w:type="dxa"/>
            <w:tcBorders>
              <w:right w:val="double" w:sz="4" w:space="0" w:color="auto"/>
            </w:tcBorders>
            <w:vAlign w:val="center"/>
          </w:tcPr>
          <w:p w14:paraId="138FB02F" w14:textId="77777777" w:rsidR="00CA1F4A" w:rsidRPr="009F378E" w:rsidRDefault="00CA1F4A" w:rsidP="00CA1F4A">
            <w:pPr>
              <w:keepNext/>
              <w:keepLines/>
              <w:spacing w:before="0" w:after="0"/>
              <w:rPr>
                <w:rFonts w:cs="Times New Roman"/>
                <w:color w:val="000000"/>
                <w:sz w:val="20"/>
                <w:szCs w:val="20"/>
              </w:rPr>
            </w:pPr>
            <w:r w:rsidRPr="009F378E">
              <w:rPr>
                <w:rFonts w:cs="Times New Roman"/>
                <w:color w:val="000000"/>
                <w:sz w:val="20"/>
                <w:szCs w:val="20"/>
              </w:rPr>
              <w:t xml:space="preserve">Roadway segment in Sullivan or Union counties </w:t>
            </w:r>
          </w:p>
          <w:p w14:paraId="0A66C110" w14:textId="77777777" w:rsidR="00CA1F4A" w:rsidRPr="009F378E" w:rsidRDefault="00CA1F4A" w:rsidP="00CA1F4A">
            <w:pPr>
              <w:keepNext/>
              <w:keepLines/>
              <w:spacing w:before="0" w:after="0"/>
              <w:rPr>
                <w:rFonts w:cs="Times New Roman"/>
                <w:sz w:val="20"/>
                <w:szCs w:val="20"/>
              </w:rPr>
            </w:pPr>
            <w:r w:rsidRPr="009F378E">
              <w:rPr>
                <w:rFonts w:cs="Times New Roman"/>
                <w:color w:val="000000"/>
                <w:sz w:val="20"/>
                <w:szCs w:val="20"/>
              </w:rPr>
              <w:t>[1 if yes, 0 otherwise]</w:t>
            </w:r>
          </w:p>
        </w:tc>
        <w:tc>
          <w:tcPr>
            <w:tcW w:w="1168" w:type="dxa"/>
            <w:tcBorders>
              <w:top w:val="single" w:sz="4" w:space="0" w:color="auto"/>
              <w:left w:val="double" w:sz="4" w:space="0" w:color="auto"/>
              <w:bottom w:val="single" w:sz="4" w:space="0" w:color="auto"/>
            </w:tcBorders>
            <w:vAlign w:val="center"/>
          </w:tcPr>
          <w:p w14:paraId="230928F4"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-0.1317</w:t>
            </w:r>
          </w:p>
        </w:tc>
        <w:tc>
          <w:tcPr>
            <w:tcW w:w="1160" w:type="dxa"/>
            <w:tcBorders>
              <w:top w:val="single" w:sz="4" w:space="0" w:color="auto"/>
              <w:bottom w:val="single" w:sz="4" w:space="0" w:color="auto"/>
            </w:tcBorders>
            <w:vAlign w:val="center"/>
          </w:tcPr>
          <w:p w14:paraId="3174DD93"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0.0382</w:t>
            </w:r>
          </w:p>
        </w:tc>
        <w:tc>
          <w:tcPr>
            <w:tcW w:w="923" w:type="dxa"/>
            <w:tcBorders>
              <w:top w:val="single" w:sz="4" w:space="0" w:color="auto"/>
              <w:bottom w:val="single" w:sz="4" w:space="0" w:color="auto"/>
              <w:right w:val="double" w:sz="4" w:space="0" w:color="auto"/>
            </w:tcBorders>
            <w:vAlign w:val="center"/>
          </w:tcPr>
          <w:p w14:paraId="6B652E6F"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23B356F5"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-0.1317</w:t>
            </w:r>
          </w:p>
        </w:tc>
        <w:tc>
          <w:tcPr>
            <w:tcW w:w="1088" w:type="dxa"/>
            <w:vAlign w:val="center"/>
          </w:tcPr>
          <w:p w14:paraId="321BA795"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sz w:val="20"/>
                <w:szCs w:val="20"/>
              </w:rPr>
              <w:t>0.0382</w:t>
            </w:r>
          </w:p>
        </w:tc>
        <w:tc>
          <w:tcPr>
            <w:tcW w:w="917" w:type="dxa"/>
            <w:vAlign w:val="center"/>
          </w:tcPr>
          <w:p w14:paraId="69F8C9E8" w14:textId="77777777" w:rsidR="00CA1F4A" w:rsidRPr="009F378E" w:rsidRDefault="00CA1F4A" w:rsidP="00CA1F4A">
            <w:pPr>
              <w:keepNext/>
              <w:keepLines/>
              <w:spacing w:before="0" w:after="0"/>
              <w:jc w:val="center"/>
              <w:rPr>
                <w:rFonts w:cs="Times New Roman"/>
                <w:color w:val="000000"/>
                <w:sz w:val="20"/>
                <w:szCs w:val="20"/>
              </w:rPr>
            </w:pPr>
            <w:r w:rsidRPr="009F378E">
              <w:rPr>
                <w:rFonts w:cs="Times New Roman"/>
                <w:color w:val="000000"/>
                <w:sz w:val="20"/>
                <w:szCs w:val="20"/>
              </w:rPr>
              <w:t>&lt;0.001</w:t>
            </w:r>
          </w:p>
        </w:tc>
      </w:tr>
      <w:tr w:rsidR="00CA1F4A" w:rsidRPr="009F378E" w14:paraId="38E4A15D" w14:textId="77777777" w:rsidTr="00136A6A">
        <w:trPr>
          <w:trHeight w:val="318"/>
        </w:trPr>
        <w:tc>
          <w:tcPr>
            <w:tcW w:w="3108" w:type="dxa"/>
            <w:tcBorders>
              <w:right w:val="double" w:sz="4" w:space="0" w:color="auto"/>
            </w:tcBorders>
            <w:vAlign w:val="center"/>
          </w:tcPr>
          <w:p w14:paraId="7D7EF8CA" w14:textId="77777777" w:rsidR="00CA1F4A" w:rsidRPr="009F378E" w:rsidRDefault="00CA1F4A" w:rsidP="00CA1F4A">
            <w:pPr>
              <w:keepNext/>
              <w:keepLines/>
              <w:spacing w:before="0" w:after="0"/>
              <w:rPr>
                <w:rFonts w:cs="Times New Roman"/>
                <w:sz w:val="20"/>
                <w:szCs w:val="20"/>
              </w:rPr>
            </w:pPr>
            <w:r w:rsidRPr="009F378E">
              <w:rPr>
                <w:rFonts w:cs="Times New Roman"/>
                <w:sz w:val="20"/>
                <w:szCs w:val="20"/>
              </w:rPr>
              <w:t>Over-dispersion parameter</w:t>
            </w:r>
          </w:p>
        </w:tc>
        <w:tc>
          <w:tcPr>
            <w:tcW w:w="1168" w:type="dxa"/>
            <w:tcBorders>
              <w:top w:val="single" w:sz="4" w:space="0" w:color="auto"/>
              <w:left w:val="double" w:sz="4" w:space="0" w:color="auto"/>
              <w:bottom w:val="single" w:sz="4" w:space="0" w:color="auto"/>
            </w:tcBorders>
            <w:vAlign w:val="center"/>
          </w:tcPr>
          <w:p w14:paraId="0B1B4623"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0.4773</w:t>
            </w:r>
          </w:p>
        </w:tc>
        <w:tc>
          <w:tcPr>
            <w:tcW w:w="1160" w:type="dxa"/>
            <w:tcBorders>
              <w:top w:val="single" w:sz="4" w:space="0" w:color="auto"/>
              <w:bottom w:val="single" w:sz="4" w:space="0" w:color="auto"/>
            </w:tcBorders>
            <w:vAlign w:val="center"/>
          </w:tcPr>
          <w:p w14:paraId="305E5DCB"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0.0262</w:t>
            </w:r>
          </w:p>
        </w:tc>
        <w:tc>
          <w:tcPr>
            <w:tcW w:w="923" w:type="dxa"/>
            <w:tcBorders>
              <w:top w:val="single" w:sz="4" w:space="0" w:color="auto"/>
              <w:bottom w:val="single" w:sz="4" w:space="0" w:color="auto"/>
              <w:right w:val="double" w:sz="4" w:space="0" w:color="auto"/>
            </w:tcBorders>
            <w:vAlign w:val="center"/>
          </w:tcPr>
          <w:p w14:paraId="2F410D9D"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c>
          <w:tcPr>
            <w:tcW w:w="1168" w:type="dxa"/>
            <w:tcBorders>
              <w:left w:val="double" w:sz="4" w:space="0" w:color="auto"/>
            </w:tcBorders>
            <w:vAlign w:val="center"/>
          </w:tcPr>
          <w:p w14:paraId="6DB403D8"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0.4773</w:t>
            </w:r>
          </w:p>
        </w:tc>
        <w:tc>
          <w:tcPr>
            <w:tcW w:w="1088" w:type="dxa"/>
            <w:vAlign w:val="center"/>
          </w:tcPr>
          <w:p w14:paraId="2E045E12"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0.0262</w:t>
            </w:r>
          </w:p>
        </w:tc>
        <w:tc>
          <w:tcPr>
            <w:tcW w:w="917" w:type="dxa"/>
            <w:vAlign w:val="center"/>
          </w:tcPr>
          <w:p w14:paraId="7899A1E4" w14:textId="77777777" w:rsidR="00CA1F4A" w:rsidRPr="009F378E" w:rsidRDefault="00CA1F4A" w:rsidP="00CA1F4A">
            <w:pPr>
              <w:keepNext/>
              <w:keepLines/>
              <w:spacing w:before="0" w:after="0"/>
              <w:jc w:val="center"/>
              <w:rPr>
                <w:rFonts w:cs="Times New Roman"/>
                <w:sz w:val="20"/>
                <w:szCs w:val="20"/>
              </w:rPr>
            </w:pPr>
            <w:r w:rsidRPr="009F378E">
              <w:rPr>
                <w:rFonts w:cs="Times New Roman"/>
                <w:color w:val="000000"/>
                <w:sz w:val="20"/>
                <w:szCs w:val="20"/>
              </w:rPr>
              <w:t>&lt;0.001</w:t>
            </w:r>
          </w:p>
        </w:tc>
      </w:tr>
      <w:tr w:rsidR="00CA1F4A" w:rsidRPr="009F378E" w14:paraId="104A75CC" w14:textId="77777777" w:rsidTr="00136A6A">
        <w:trPr>
          <w:trHeight w:val="318"/>
        </w:trPr>
        <w:tc>
          <w:tcPr>
            <w:tcW w:w="3108" w:type="dxa"/>
            <w:tcBorders>
              <w:right w:val="double" w:sz="4" w:space="0" w:color="auto"/>
            </w:tcBorders>
            <w:vAlign w:val="center"/>
          </w:tcPr>
          <w:p w14:paraId="360F383D" w14:textId="77777777" w:rsidR="00CA1F4A" w:rsidRPr="009F378E" w:rsidRDefault="00CA1F4A" w:rsidP="00CA1F4A">
            <w:pPr>
              <w:keepNext/>
              <w:keepLines/>
              <w:spacing w:before="0" w:after="0"/>
              <w:rPr>
                <w:rFonts w:cs="Times New Roman"/>
                <w:sz w:val="20"/>
                <w:szCs w:val="20"/>
              </w:rPr>
            </w:pPr>
            <w:r w:rsidRPr="009F378E">
              <w:rPr>
                <w:rFonts w:cs="Times New Roman"/>
                <w:sz w:val="20"/>
                <w:szCs w:val="20"/>
              </w:rPr>
              <w:t>AADT threshold</w:t>
            </w:r>
          </w:p>
        </w:tc>
        <w:tc>
          <w:tcPr>
            <w:tcW w:w="3251" w:type="dxa"/>
            <w:gridSpan w:val="3"/>
            <w:tcBorders>
              <w:top w:val="single" w:sz="4" w:space="0" w:color="auto"/>
              <w:left w:val="double" w:sz="4" w:space="0" w:color="auto"/>
              <w:bottom w:val="single" w:sz="4" w:space="0" w:color="auto"/>
              <w:right w:val="double" w:sz="4" w:space="0" w:color="auto"/>
            </w:tcBorders>
            <w:vAlign w:val="center"/>
          </w:tcPr>
          <w:p w14:paraId="00ED52A2"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1900</w:t>
            </w:r>
          </w:p>
        </w:tc>
        <w:tc>
          <w:tcPr>
            <w:tcW w:w="3173" w:type="dxa"/>
            <w:gridSpan w:val="3"/>
            <w:tcBorders>
              <w:left w:val="double" w:sz="4" w:space="0" w:color="auto"/>
            </w:tcBorders>
            <w:vAlign w:val="center"/>
          </w:tcPr>
          <w:p w14:paraId="2B87B57E"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1900</w:t>
            </w:r>
          </w:p>
        </w:tc>
      </w:tr>
      <w:tr w:rsidR="00CA1F4A" w:rsidRPr="009F378E" w14:paraId="5E7CBE88" w14:textId="77777777" w:rsidTr="00136A6A">
        <w:trPr>
          <w:trHeight w:val="318"/>
        </w:trPr>
        <w:tc>
          <w:tcPr>
            <w:tcW w:w="3108" w:type="dxa"/>
            <w:tcBorders>
              <w:right w:val="double" w:sz="4" w:space="0" w:color="auto"/>
            </w:tcBorders>
            <w:vAlign w:val="center"/>
          </w:tcPr>
          <w:p w14:paraId="1395DBFB" w14:textId="77777777" w:rsidR="00CA1F4A" w:rsidRPr="009F378E" w:rsidRDefault="00CA1F4A" w:rsidP="00CA1F4A">
            <w:pPr>
              <w:keepNext/>
              <w:keepLines/>
              <w:spacing w:before="0" w:after="0"/>
              <w:rPr>
                <w:rFonts w:cs="Times New Roman"/>
                <w:sz w:val="20"/>
                <w:szCs w:val="20"/>
              </w:rPr>
            </w:pPr>
            <w:r w:rsidRPr="009F378E">
              <w:rPr>
                <w:rFonts w:cs="Times New Roman"/>
                <w:sz w:val="20"/>
                <w:szCs w:val="20"/>
              </w:rPr>
              <w:t>Log-likelihood at convergence</w:t>
            </w:r>
          </w:p>
        </w:tc>
        <w:tc>
          <w:tcPr>
            <w:tcW w:w="3251" w:type="dxa"/>
            <w:gridSpan w:val="3"/>
            <w:tcBorders>
              <w:top w:val="single" w:sz="4" w:space="0" w:color="auto"/>
              <w:left w:val="double" w:sz="4" w:space="0" w:color="auto"/>
              <w:bottom w:val="double" w:sz="4" w:space="0" w:color="auto"/>
              <w:right w:val="double" w:sz="4" w:space="0" w:color="auto"/>
            </w:tcBorders>
            <w:vAlign w:val="center"/>
          </w:tcPr>
          <w:p w14:paraId="7724E53D"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-19531.932</w:t>
            </w:r>
          </w:p>
        </w:tc>
        <w:tc>
          <w:tcPr>
            <w:tcW w:w="3173" w:type="dxa"/>
            <w:gridSpan w:val="3"/>
            <w:tcBorders>
              <w:left w:val="double" w:sz="4" w:space="0" w:color="auto"/>
            </w:tcBorders>
            <w:vAlign w:val="center"/>
          </w:tcPr>
          <w:p w14:paraId="5D7B4E6E" w14:textId="77777777" w:rsidR="00CA1F4A" w:rsidRPr="009F378E" w:rsidRDefault="00CA1F4A" w:rsidP="00CA1F4A">
            <w:pPr>
              <w:keepNext/>
              <w:keepLines/>
              <w:spacing w:before="0" w:after="0"/>
              <w:jc w:val="center"/>
              <w:rPr>
                <w:rFonts w:cs="Times New Roman"/>
                <w:sz w:val="20"/>
                <w:szCs w:val="20"/>
              </w:rPr>
            </w:pPr>
            <w:r w:rsidRPr="009F378E">
              <w:rPr>
                <w:rFonts w:cs="Times New Roman"/>
                <w:sz w:val="20"/>
                <w:szCs w:val="20"/>
              </w:rPr>
              <w:t>-19531.932</w:t>
            </w:r>
          </w:p>
        </w:tc>
      </w:tr>
    </w:tbl>
    <w:p w14:paraId="4E396444" w14:textId="77777777" w:rsidR="00D57F75" w:rsidRDefault="00D57F75" w:rsidP="00BB2F85"/>
    <w:p w14:paraId="225186BC" w14:textId="474F43A3" w:rsidR="00AC35BE" w:rsidRPr="00D57F75" w:rsidRDefault="004515AE" w:rsidP="00AC35BE">
      <w:pPr>
        <w:rPr>
          <w:b/>
          <w:bCs/>
        </w:rPr>
      </w:pPr>
      <w:r w:rsidRPr="005877D2">
        <w:rPr>
          <w:b/>
          <w:bCs/>
        </w:rPr>
        <w:lastRenderedPageBreak/>
        <w:t>Table 2:</w:t>
      </w:r>
      <w:r>
        <w:t xml:space="preserve"> </w:t>
      </w:r>
      <w:r w:rsidR="00AC35BE">
        <w:t xml:space="preserve">Flexible </w:t>
      </w:r>
      <w:r w:rsidR="00AC35BE" w:rsidRPr="00D57F75">
        <w:t>Model Estimation Results</w:t>
      </w:r>
      <w:r w:rsidR="00AC35BE">
        <w:t xml:space="preserve"> for Multiple Thresholds</w:t>
      </w:r>
    </w:p>
    <w:tbl>
      <w:tblPr>
        <w:tblStyle w:val="TableGrid"/>
        <w:tblW w:w="8183"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040"/>
        <w:gridCol w:w="1158"/>
        <w:gridCol w:w="1078"/>
        <w:gridCol w:w="907"/>
      </w:tblGrid>
      <w:tr w:rsidR="00AC35BE" w:rsidRPr="004515AE" w14:paraId="5DBBC840" w14:textId="77777777" w:rsidTr="00136A6A">
        <w:trPr>
          <w:trHeight w:val="500"/>
          <w:jc w:val="center"/>
        </w:trPr>
        <w:tc>
          <w:tcPr>
            <w:tcW w:w="5040" w:type="dxa"/>
            <w:vMerge w:val="restart"/>
            <w:vAlign w:val="center"/>
          </w:tcPr>
          <w:p w14:paraId="6C5E5806" w14:textId="77777777" w:rsidR="00AC35BE" w:rsidRPr="00DD1AA6" w:rsidRDefault="00AC35BE" w:rsidP="004515AE">
            <w:pPr>
              <w:keepNext/>
              <w:keepLines/>
              <w:spacing w:before="0" w:after="0"/>
              <w:rPr>
                <w:rFonts w:cs="Times New Roman"/>
                <w:b/>
                <w:color w:val="000000"/>
                <w:szCs w:val="24"/>
              </w:rPr>
            </w:pPr>
            <w:r w:rsidRPr="00DD1AA6">
              <w:rPr>
                <w:rFonts w:cs="Times New Roman"/>
                <w:b/>
                <w:color w:val="000000"/>
                <w:szCs w:val="24"/>
              </w:rPr>
              <w:t>Coefficient</w:t>
            </w:r>
          </w:p>
        </w:tc>
        <w:tc>
          <w:tcPr>
            <w:tcW w:w="3143" w:type="dxa"/>
            <w:gridSpan w:val="3"/>
            <w:vAlign w:val="center"/>
          </w:tcPr>
          <w:p w14:paraId="606354DF" w14:textId="77777777" w:rsidR="00AC35BE" w:rsidRPr="00DD1AA6" w:rsidRDefault="00AC35BE" w:rsidP="004515AE">
            <w:pPr>
              <w:keepNext/>
              <w:keepLines/>
              <w:spacing w:before="0" w:after="0"/>
              <w:jc w:val="center"/>
              <w:rPr>
                <w:rFonts w:cs="Times New Roman"/>
                <w:b/>
                <w:color w:val="000000"/>
                <w:szCs w:val="24"/>
              </w:rPr>
            </w:pPr>
            <w:r w:rsidRPr="00DD1AA6">
              <w:rPr>
                <w:rFonts w:cs="Times New Roman"/>
                <w:b/>
                <w:color w:val="000000"/>
                <w:szCs w:val="24"/>
              </w:rPr>
              <w:t>Multiple Thresholds</w:t>
            </w:r>
          </w:p>
        </w:tc>
      </w:tr>
      <w:tr w:rsidR="00AC35BE" w:rsidRPr="004515AE" w14:paraId="260BAAED" w14:textId="77777777" w:rsidTr="00136A6A">
        <w:trPr>
          <w:trHeight w:val="500"/>
          <w:jc w:val="center"/>
        </w:trPr>
        <w:tc>
          <w:tcPr>
            <w:tcW w:w="5040" w:type="dxa"/>
            <w:vMerge/>
            <w:vAlign w:val="bottom"/>
          </w:tcPr>
          <w:p w14:paraId="07FE25E8" w14:textId="77777777" w:rsidR="00AC35BE" w:rsidRPr="004515AE" w:rsidRDefault="00AC35BE" w:rsidP="004515AE">
            <w:pPr>
              <w:keepNext/>
              <w:keepLines/>
              <w:spacing w:before="0" w:after="0"/>
              <w:rPr>
                <w:rFonts w:cs="Times New Roman"/>
                <w:b/>
                <w:color w:val="000000"/>
                <w:sz w:val="20"/>
                <w:szCs w:val="20"/>
              </w:rPr>
            </w:pPr>
          </w:p>
        </w:tc>
        <w:tc>
          <w:tcPr>
            <w:tcW w:w="1158" w:type="dxa"/>
            <w:vAlign w:val="center"/>
          </w:tcPr>
          <w:p w14:paraId="26AEE793" w14:textId="77777777" w:rsidR="00AC35BE" w:rsidRPr="004515AE" w:rsidRDefault="00AC35BE" w:rsidP="005877D2">
            <w:pPr>
              <w:keepNext/>
              <w:keepLines/>
              <w:spacing w:before="0" w:after="0"/>
              <w:jc w:val="center"/>
              <w:rPr>
                <w:rFonts w:cs="Times New Roman"/>
                <w:b/>
                <w:color w:val="000000"/>
                <w:sz w:val="20"/>
                <w:szCs w:val="20"/>
              </w:rPr>
            </w:pPr>
            <w:r w:rsidRPr="004515AE">
              <w:rPr>
                <w:rFonts w:cs="Times New Roman"/>
                <w:b/>
                <w:color w:val="000000"/>
                <w:sz w:val="20"/>
                <w:szCs w:val="20"/>
              </w:rPr>
              <w:t>Coefficient estimate</w:t>
            </w:r>
          </w:p>
        </w:tc>
        <w:tc>
          <w:tcPr>
            <w:tcW w:w="1078" w:type="dxa"/>
            <w:vAlign w:val="center"/>
          </w:tcPr>
          <w:p w14:paraId="1EF6C473" w14:textId="77777777" w:rsidR="00AC35BE" w:rsidRPr="004515AE" w:rsidRDefault="00AC35BE" w:rsidP="005877D2">
            <w:pPr>
              <w:keepNext/>
              <w:keepLines/>
              <w:spacing w:before="0" w:after="0"/>
              <w:jc w:val="center"/>
              <w:rPr>
                <w:rFonts w:cs="Times New Roman"/>
                <w:b/>
                <w:color w:val="000000"/>
                <w:sz w:val="20"/>
                <w:szCs w:val="20"/>
              </w:rPr>
            </w:pPr>
            <w:r w:rsidRPr="004515AE">
              <w:rPr>
                <w:rFonts w:cs="Times New Roman"/>
                <w:b/>
                <w:color w:val="000000"/>
                <w:sz w:val="20"/>
                <w:szCs w:val="20"/>
              </w:rPr>
              <w:t>Std. error</w:t>
            </w:r>
          </w:p>
        </w:tc>
        <w:tc>
          <w:tcPr>
            <w:tcW w:w="907" w:type="dxa"/>
            <w:vAlign w:val="center"/>
          </w:tcPr>
          <w:p w14:paraId="7BDB45A4" w14:textId="77777777" w:rsidR="00AC35BE" w:rsidRPr="004515AE" w:rsidRDefault="00AC35BE" w:rsidP="005877D2">
            <w:pPr>
              <w:keepNext/>
              <w:keepLines/>
              <w:spacing w:before="0" w:after="0"/>
              <w:jc w:val="center"/>
              <w:rPr>
                <w:rFonts w:cs="Times New Roman"/>
                <w:b/>
                <w:color w:val="000000"/>
                <w:sz w:val="20"/>
                <w:szCs w:val="20"/>
              </w:rPr>
            </w:pPr>
            <w:r w:rsidRPr="004515AE">
              <w:rPr>
                <w:rFonts w:cs="Times New Roman"/>
                <w:b/>
                <w:color w:val="000000"/>
                <w:sz w:val="20"/>
                <w:szCs w:val="20"/>
              </w:rPr>
              <w:t>p-value</w:t>
            </w:r>
          </w:p>
        </w:tc>
      </w:tr>
      <w:tr w:rsidR="005877D2" w:rsidRPr="004515AE" w14:paraId="6A10FE9B" w14:textId="77777777" w:rsidTr="00136A6A">
        <w:trPr>
          <w:trHeight w:val="500"/>
          <w:jc w:val="center"/>
        </w:trPr>
        <w:tc>
          <w:tcPr>
            <w:tcW w:w="5040" w:type="dxa"/>
            <w:vAlign w:val="center"/>
          </w:tcPr>
          <w:p w14:paraId="1E91760E" w14:textId="03805ED7" w:rsidR="005877D2" w:rsidRPr="004515AE" w:rsidRDefault="005877D2" w:rsidP="005877D2">
            <w:pPr>
              <w:keepNext/>
              <w:keepLines/>
              <w:spacing w:before="0" w:after="0"/>
              <w:jc w:val="left"/>
              <w:rPr>
                <w:rFonts w:cs="Times New Roman"/>
                <w:color w:val="000000"/>
                <w:sz w:val="20"/>
                <w:szCs w:val="20"/>
              </w:rPr>
            </w:pPr>
            <w:r w:rsidRPr="004515AE">
              <w:rPr>
                <w:rFonts w:cs="Times New Roman"/>
                <w:color w:val="000000"/>
                <w:sz w:val="20"/>
                <w:szCs w:val="20"/>
              </w:rPr>
              <w:t>Constant</w:t>
            </w:r>
          </w:p>
        </w:tc>
        <w:tc>
          <w:tcPr>
            <w:tcW w:w="1158" w:type="dxa"/>
            <w:vAlign w:val="center"/>
          </w:tcPr>
          <w:p w14:paraId="4D6AAFCE" w14:textId="6EC3065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-6.4219</w:t>
            </w:r>
          </w:p>
        </w:tc>
        <w:tc>
          <w:tcPr>
            <w:tcW w:w="1078" w:type="dxa"/>
            <w:vAlign w:val="center"/>
          </w:tcPr>
          <w:p w14:paraId="10E75EEF" w14:textId="4AD72633"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0.2373</w:t>
            </w:r>
          </w:p>
        </w:tc>
        <w:tc>
          <w:tcPr>
            <w:tcW w:w="907" w:type="dxa"/>
            <w:vAlign w:val="center"/>
          </w:tcPr>
          <w:p w14:paraId="1731BC49" w14:textId="3AE15043"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5877D2" w:rsidRPr="004515AE" w14:paraId="50E473B1" w14:textId="77777777" w:rsidTr="00136A6A">
        <w:trPr>
          <w:trHeight w:val="500"/>
          <w:jc w:val="center"/>
        </w:trPr>
        <w:tc>
          <w:tcPr>
            <w:tcW w:w="5040" w:type="dxa"/>
            <w:vAlign w:val="center"/>
          </w:tcPr>
          <w:p w14:paraId="2EB0D23C" w14:textId="2F9B408F" w:rsidR="005877D2" w:rsidRPr="004515AE" w:rsidRDefault="005877D2" w:rsidP="005877D2">
            <w:pPr>
              <w:keepNext/>
              <w:keepLines/>
              <w:spacing w:before="0" w:after="0"/>
              <w:jc w:val="left"/>
              <w:rPr>
                <w:rFonts w:cs="Times New Roman"/>
                <w:color w:val="000000"/>
                <w:sz w:val="20"/>
                <w:szCs w:val="20"/>
              </w:rPr>
            </w:pPr>
            <w:r w:rsidRPr="004515AE">
              <w:rPr>
                <w:rFonts w:cs="Times New Roman"/>
                <w:color w:val="000000"/>
                <w:sz w:val="20"/>
                <w:szCs w:val="20"/>
              </w:rPr>
              <w:t>Natural log of segment length [mi]</w:t>
            </w:r>
          </w:p>
        </w:tc>
        <w:tc>
          <w:tcPr>
            <w:tcW w:w="1158" w:type="dxa"/>
            <w:vAlign w:val="center"/>
          </w:tcPr>
          <w:p w14:paraId="507E248F" w14:textId="72088D7B"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0.7999</w:t>
            </w:r>
          </w:p>
        </w:tc>
        <w:tc>
          <w:tcPr>
            <w:tcW w:w="1078" w:type="dxa"/>
            <w:vAlign w:val="center"/>
          </w:tcPr>
          <w:p w14:paraId="124D56D9" w14:textId="4D28983A"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0.0366</w:t>
            </w:r>
          </w:p>
        </w:tc>
        <w:tc>
          <w:tcPr>
            <w:tcW w:w="907" w:type="dxa"/>
            <w:vAlign w:val="center"/>
          </w:tcPr>
          <w:p w14:paraId="3C096E97" w14:textId="2964BC51"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42724F" w:rsidRPr="004515AE" w14:paraId="5D90B96F" w14:textId="77777777" w:rsidTr="00136A6A">
        <w:trPr>
          <w:trHeight w:val="500"/>
          <w:jc w:val="center"/>
        </w:trPr>
        <w:tc>
          <w:tcPr>
            <w:tcW w:w="5040" w:type="dxa"/>
            <w:vAlign w:val="center"/>
          </w:tcPr>
          <w:p w14:paraId="4C87A4BB" w14:textId="052E9B16" w:rsidR="0042724F" w:rsidRPr="00C2210F" w:rsidRDefault="004123F5" w:rsidP="0042724F">
            <w:pPr>
              <w:keepNext/>
              <w:keepLines/>
              <w:spacing w:before="0" w:after="0"/>
              <w:jc w:val="left"/>
              <w:rPr>
                <w:rFonts w:cs="Times New Roman"/>
                <w:color w:val="000000"/>
                <w:sz w:val="20"/>
                <w:szCs w:val="20"/>
              </w:rPr>
            </w:pPr>
            <m:oMathPara>
              <m:oMathParaPr>
                <m:jc m:val="left"/>
              </m:oMathParaPr>
              <m:oMath>
                <m:func>
                  <m:funcPr>
                    <m:ctrlPr>
                      <w:rPr>
                        <w:rFonts w:ascii="Cambria Math" w:hAnsi="Cambria Math"/>
                        <w:sz w:val="20"/>
                        <w:szCs w:val="20"/>
                        <w:vertAlign w:val="subscript"/>
                        <w:lang w:val="en-CA"/>
                      </w:rPr>
                    </m:ctrlPr>
                  </m:funcPr>
                  <m:fName>
                    <m:r>
                      <m:rPr>
                        <m:sty m:val="p"/>
                      </m:rPr>
                      <w:rPr>
                        <w:rFonts w:ascii="Cambria Math" w:hAnsi="Cambria Math"/>
                        <w:sz w:val="20"/>
                        <w:szCs w:val="20"/>
                        <w:vertAlign w:val="subscript"/>
                      </w:rPr>
                      <m:t>ln</m:t>
                    </m:r>
                    <m:ctrlPr>
                      <w:rPr>
                        <w:rFonts w:ascii="Cambria Math" w:hAnsi="Cambria Math"/>
                        <w:sz w:val="20"/>
                        <w:szCs w:val="20"/>
                        <w:vertAlign w:val="subscript"/>
                      </w:rPr>
                    </m:ctrlPr>
                  </m:fName>
                  <m:e>
                    <m:d>
                      <m:dPr>
                        <m:ctrlPr>
                          <w:rPr>
                            <w:rFonts w:ascii="Cambria Math" w:hAnsi="Cambria Math"/>
                            <w:sz w:val="20"/>
                            <w:szCs w:val="20"/>
                            <w:vertAlign w:val="subscript"/>
                            <w:lang w:val="en-CA"/>
                          </w:rPr>
                        </m:ctrlPr>
                      </m:dPr>
                      <m:e>
                        <m:sSub>
                          <m:sSubPr>
                            <m:ctrlPr>
                              <w:rPr>
                                <w:rFonts w:ascii="Cambria Math" w:hAnsi="Cambria Math"/>
                                <w:i/>
                                <w:sz w:val="20"/>
                                <w:szCs w:val="20"/>
                                <w:vertAlign w:val="subscript"/>
                                <w:lang w:val="en-CA"/>
                              </w:rPr>
                            </m:ctrlPr>
                          </m:sSubPr>
                          <m:e>
                            <m:r>
                              <w:rPr>
                                <w:rFonts w:ascii="Cambria Math" w:hAnsi="Cambria Math"/>
                                <w:sz w:val="20"/>
                                <w:szCs w:val="20"/>
                              </w:rPr>
                              <m:t>AADT</m:t>
                            </m:r>
                            <m:ctrlPr>
                              <w:rPr>
                                <w:rFonts w:ascii="Cambria Math" w:hAnsi="Cambria Math"/>
                                <w:sz w:val="20"/>
                                <w:szCs w:val="20"/>
                                <w:vertAlign w:val="subscript"/>
                                <w:lang w:val="en-CA"/>
                              </w:rPr>
                            </m:ctrlPr>
                          </m:e>
                          <m:sub>
                            <m:r>
                              <w:rPr>
                                <w:rFonts w:ascii="Cambria Math" w:hAnsi="Cambria Math"/>
                                <w:sz w:val="20"/>
                                <w:szCs w:val="20"/>
                                <w:vertAlign w:val="subscript"/>
                              </w:rPr>
                              <m:t>i</m:t>
                            </m:r>
                          </m:sub>
                        </m:sSub>
                      </m:e>
                    </m:d>
                  </m:e>
                </m:func>
              </m:oMath>
            </m:oMathPara>
          </w:p>
        </w:tc>
        <w:tc>
          <w:tcPr>
            <w:tcW w:w="1158" w:type="dxa"/>
            <w:vAlign w:val="center"/>
          </w:tcPr>
          <w:p w14:paraId="7C15FC4A" w14:textId="77777777" w:rsidR="0042724F" w:rsidRPr="004515AE" w:rsidRDefault="0042724F" w:rsidP="0042724F">
            <w:pPr>
              <w:keepNext/>
              <w:keepLines/>
              <w:spacing w:before="0" w:after="0"/>
              <w:jc w:val="center"/>
              <w:rPr>
                <w:rFonts w:cs="Times New Roman"/>
                <w:color w:val="000000"/>
                <w:sz w:val="20"/>
                <w:szCs w:val="20"/>
              </w:rPr>
            </w:pPr>
            <w:r w:rsidRPr="004515AE">
              <w:rPr>
                <w:rFonts w:cs="Times New Roman"/>
                <w:color w:val="000000"/>
                <w:sz w:val="20"/>
                <w:szCs w:val="20"/>
              </w:rPr>
              <w:t>0.7998</w:t>
            </w:r>
          </w:p>
        </w:tc>
        <w:tc>
          <w:tcPr>
            <w:tcW w:w="1078" w:type="dxa"/>
            <w:vAlign w:val="center"/>
          </w:tcPr>
          <w:p w14:paraId="727C9EBD" w14:textId="77777777" w:rsidR="0042724F" w:rsidRPr="004515AE" w:rsidRDefault="0042724F" w:rsidP="0042724F">
            <w:pPr>
              <w:keepNext/>
              <w:keepLines/>
              <w:spacing w:before="0" w:after="0"/>
              <w:jc w:val="center"/>
              <w:rPr>
                <w:rFonts w:cs="Times New Roman"/>
                <w:color w:val="000000"/>
                <w:sz w:val="20"/>
                <w:szCs w:val="20"/>
              </w:rPr>
            </w:pPr>
            <w:r w:rsidRPr="004515AE">
              <w:rPr>
                <w:rFonts w:cs="Times New Roman"/>
                <w:color w:val="000000"/>
                <w:sz w:val="20"/>
                <w:szCs w:val="20"/>
              </w:rPr>
              <w:t>0.0325</w:t>
            </w:r>
          </w:p>
        </w:tc>
        <w:tc>
          <w:tcPr>
            <w:tcW w:w="907" w:type="dxa"/>
            <w:vAlign w:val="center"/>
          </w:tcPr>
          <w:p w14:paraId="31E29C3E" w14:textId="77777777" w:rsidR="0042724F" w:rsidRPr="004515AE" w:rsidRDefault="0042724F" w:rsidP="0042724F">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42724F" w:rsidRPr="004515AE" w14:paraId="0D82E8FC" w14:textId="77777777" w:rsidTr="00136A6A">
        <w:trPr>
          <w:trHeight w:val="500"/>
          <w:jc w:val="center"/>
        </w:trPr>
        <w:tc>
          <w:tcPr>
            <w:tcW w:w="5040" w:type="dxa"/>
            <w:vAlign w:val="center"/>
          </w:tcPr>
          <w:p w14:paraId="1426B909" w14:textId="7F22F036" w:rsidR="0042724F" w:rsidRPr="0042724F" w:rsidRDefault="0042724F" w:rsidP="0042724F">
            <w:pPr>
              <w:keepNext/>
              <w:keepLines/>
              <w:spacing w:before="0" w:after="0"/>
              <w:jc w:val="left"/>
              <w:rPr>
                <w:rFonts w:cs="Times New Roman"/>
                <w:color w:val="000000"/>
                <w:sz w:val="20"/>
                <w:szCs w:val="20"/>
              </w:rPr>
            </w:pPr>
            <m:oMathPara>
              <m:oMathParaPr>
                <m:jc m:val="left"/>
              </m:oMathParaPr>
              <m:oMath>
                <m:r>
                  <w:rPr>
                    <w:rFonts w:ascii="Cambria Math" w:hAnsi="Cambria Math" w:cs="Times New Roman"/>
                    <w:sz w:val="20"/>
                    <w:szCs w:val="20"/>
                  </w:rPr>
                  <m:t>AAD</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i_inc_2000</m:t>
                    </m:r>
                  </m:sub>
                </m:sSub>
              </m:oMath>
            </m:oMathPara>
          </w:p>
        </w:tc>
        <w:tc>
          <w:tcPr>
            <w:tcW w:w="1158" w:type="dxa"/>
            <w:vAlign w:val="center"/>
          </w:tcPr>
          <w:p w14:paraId="076B2DCF" w14:textId="77777777" w:rsidR="0042724F" w:rsidRPr="004515AE" w:rsidRDefault="0042724F" w:rsidP="0042724F">
            <w:pPr>
              <w:keepNext/>
              <w:keepLines/>
              <w:spacing w:before="0" w:after="0"/>
              <w:jc w:val="center"/>
              <w:rPr>
                <w:rFonts w:cs="Times New Roman"/>
                <w:color w:val="000000"/>
                <w:sz w:val="20"/>
                <w:szCs w:val="20"/>
              </w:rPr>
            </w:pPr>
            <w:r w:rsidRPr="004515AE">
              <w:rPr>
                <w:rFonts w:cs="Times New Roman"/>
                <w:color w:val="000000"/>
                <w:sz w:val="20"/>
                <w:szCs w:val="20"/>
              </w:rPr>
              <w:t>-0.3476</w:t>
            </w:r>
          </w:p>
        </w:tc>
        <w:tc>
          <w:tcPr>
            <w:tcW w:w="1078" w:type="dxa"/>
            <w:vAlign w:val="center"/>
          </w:tcPr>
          <w:p w14:paraId="35C921EF" w14:textId="77777777" w:rsidR="0042724F" w:rsidRPr="004515AE" w:rsidRDefault="0042724F" w:rsidP="0042724F">
            <w:pPr>
              <w:keepNext/>
              <w:keepLines/>
              <w:spacing w:before="0" w:after="0"/>
              <w:jc w:val="center"/>
              <w:rPr>
                <w:rFonts w:cs="Times New Roman"/>
                <w:color w:val="000000"/>
                <w:sz w:val="20"/>
                <w:szCs w:val="20"/>
              </w:rPr>
            </w:pPr>
            <w:r w:rsidRPr="004515AE">
              <w:rPr>
                <w:rFonts w:cs="Times New Roman"/>
                <w:color w:val="000000"/>
                <w:sz w:val="20"/>
                <w:szCs w:val="20"/>
              </w:rPr>
              <w:t>0.0626</w:t>
            </w:r>
          </w:p>
        </w:tc>
        <w:tc>
          <w:tcPr>
            <w:tcW w:w="907" w:type="dxa"/>
            <w:vAlign w:val="center"/>
          </w:tcPr>
          <w:p w14:paraId="0027AF76" w14:textId="77777777" w:rsidR="0042724F" w:rsidRPr="004515AE" w:rsidRDefault="0042724F" w:rsidP="0042724F">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5877D2" w:rsidRPr="004515AE" w14:paraId="776BF560" w14:textId="77777777" w:rsidTr="00136A6A">
        <w:trPr>
          <w:trHeight w:val="500"/>
          <w:jc w:val="center"/>
        </w:trPr>
        <w:tc>
          <w:tcPr>
            <w:tcW w:w="5040" w:type="dxa"/>
            <w:vAlign w:val="center"/>
          </w:tcPr>
          <w:p w14:paraId="7230B7FA" w14:textId="3D93DB01" w:rsidR="005877D2" w:rsidRPr="0042724F" w:rsidRDefault="0042724F" w:rsidP="005877D2">
            <w:pPr>
              <w:keepNext/>
              <w:keepLines/>
              <w:spacing w:before="0" w:after="0"/>
              <w:jc w:val="left"/>
              <w:rPr>
                <w:rFonts w:cs="Times New Roman"/>
                <w:color w:val="000000"/>
                <w:sz w:val="20"/>
                <w:szCs w:val="20"/>
              </w:rPr>
            </w:pPr>
            <m:oMathPara>
              <m:oMathParaPr>
                <m:jc m:val="left"/>
              </m:oMathParaPr>
              <m:oMath>
                <m:r>
                  <w:rPr>
                    <w:rFonts w:ascii="Cambria Math" w:hAnsi="Cambria Math" w:cs="Times New Roman"/>
                    <w:sz w:val="20"/>
                    <w:szCs w:val="20"/>
                  </w:rPr>
                  <m:t>AAD</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i_inc_5000</m:t>
                    </m:r>
                  </m:sub>
                </m:sSub>
              </m:oMath>
            </m:oMathPara>
          </w:p>
        </w:tc>
        <w:tc>
          <w:tcPr>
            <w:tcW w:w="1158" w:type="dxa"/>
            <w:vAlign w:val="center"/>
          </w:tcPr>
          <w:p w14:paraId="5DEDAF27"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0.3277</w:t>
            </w:r>
          </w:p>
        </w:tc>
        <w:tc>
          <w:tcPr>
            <w:tcW w:w="1078" w:type="dxa"/>
            <w:vAlign w:val="center"/>
          </w:tcPr>
          <w:p w14:paraId="0265599E"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0.0884</w:t>
            </w:r>
          </w:p>
        </w:tc>
        <w:tc>
          <w:tcPr>
            <w:tcW w:w="907" w:type="dxa"/>
            <w:vAlign w:val="center"/>
          </w:tcPr>
          <w:p w14:paraId="052BABD6"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5877D2" w:rsidRPr="004515AE" w14:paraId="4FA95D19" w14:textId="77777777" w:rsidTr="00136A6A">
        <w:trPr>
          <w:trHeight w:val="500"/>
          <w:jc w:val="center"/>
        </w:trPr>
        <w:tc>
          <w:tcPr>
            <w:tcW w:w="5040" w:type="dxa"/>
            <w:vAlign w:val="center"/>
          </w:tcPr>
          <w:p w14:paraId="03B16366" w14:textId="77777777" w:rsidR="005877D2" w:rsidRPr="004515AE" w:rsidRDefault="005877D2" w:rsidP="005877D2">
            <w:pPr>
              <w:keepNext/>
              <w:keepLines/>
              <w:spacing w:before="0" w:after="0"/>
              <w:jc w:val="left"/>
              <w:rPr>
                <w:rFonts w:cs="Times New Roman"/>
                <w:color w:val="000000"/>
                <w:sz w:val="20"/>
                <w:szCs w:val="20"/>
              </w:rPr>
            </w:pPr>
            <w:r w:rsidRPr="004515AE">
              <w:rPr>
                <w:rFonts w:cs="Times New Roman"/>
                <w:color w:val="000000"/>
                <w:sz w:val="20"/>
                <w:szCs w:val="20"/>
              </w:rPr>
              <w:t>Presence of a passing zone</w:t>
            </w:r>
          </w:p>
          <w:p w14:paraId="473EEA3D" w14:textId="77777777" w:rsidR="005877D2" w:rsidRPr="004515AE" w:rsidRDefault="005877D2" w:rsidP="005877D2">
            <w:pPr>
              <w:keepNext/>
              <w:keepLines/>
              <w:spacing w:before="0" w:after="0"/>
              <w:jc w:val="left"/>
              <w:rPr>
                <w:rFonts w:cs="Times New Roman"/>
                <w:sz w:val="20"/>
                <w:szCs w:val="20"/>
              </w:rPr>
            </w:pPr>
            <w:r w:rsidRPr="004515AE">
              <w:rPr>
                <w:rFonts w:cs="Times New Roman"/>
                <w:color w:val="000000"/>
                <w:sz w:val="20"/>
                <w:szCs w:val="20"/>
              </w:rPr>
              <w:t>[1 if present, 0 otherwise]</w:t>
            </w:r>
          </w:p>
        </w:tc>
        <w:tc>
          <w:tcPr>
            <w:tcW w:w="1158" w:type="dxa"/>
            <w:vAlign w:val="center"/>
          </w:tcPr>
          <w:p w14:paraId="5DCC86F9"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-0.1224</w:t>
            </w:r>
          </w:p>
        </w:tc>
        <w:tc>
          <w:tcPr>
            <w:tcW w:w="1078" w:type="dxa"/>
            <w:vAlign w:val="center"/>
          </w:tcPr>
          <w:p w14:paraId="0A62E184"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0.0244</w:t>
            </w:r>
          </w:p>
        </w:tc>
        <w:tc>
          <w:tcPr>
            <w:tcW w:w="907" w:type="dxa"/>
            <w:vAlign w:val="center"/>
          </w:tcPr>
          <w:p w14:paraId="0E723D61"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5877D2" w:rsidRPr="004515AE" w14:paraId="739CAC3A" w14:textId="77777777" w:rsidTr="00136A6A">
        <w:trPr>
          <w:trHeight w:val="500"/>
          <w:jc w:val="center"/>
        </w:trPr>
        <w:tc>
          <w:tcPr>
            <w:tcW w:w="5040" w:type="dxa"/>
            <w:vAlign w:val="center"/>
          </w:tcPr>
          <w:p w14:paraId="2F655E07" w14:textId="77777777" w:rsidR="005877D2" w:rsidRPr="004515AE" w:rsidRDefault="005877D2" w:rsidP="005877D2">
            <w:pPr>
              <w:keepNext/>
              <w:keepLines/>
              <w:spacing w:before="0" w:after="0"/>
              <w:jc w:val="left"/>
              <w:rPr>
                <w:rFonts w:cs="Times New Roman"/>
                <w:color w:val="000000"/>
                <w:sz w:val="20"/>
                <w:szCs w:val="20"/>
              </w:rPr>
            </w:pPr>
            <w:r w:rsidRPr="004515AE">
              <w:rPr>
                <w:rFonts w:cs="Times New Roman"/>
                <w:color w:val="000000"/>
                <w:sz w:val="20"/>
                <w:szCs w:val="20"/>
              </w:rPr>
              <w:t>Presence of shoulder rumble strips</w:t>
            </w:r>
          </w:p>
          <w:p w14:paraId="5ED4F321" w14:textId="76140EF9" w:rsidR="005877D2" w:rsidRPr="004515AE" w:rsidRDefault="005877D2" w:rsidP="005877D2">
            <w:pPr>
              <w:keepNext/>
              <w:keepLines/>
              <w:spacing w:before="0" w:after="0"/>
              <w:jc w:val="left"/>
              <w:rPr>
                <w:rFonts w:cs="Times New Roman"/>
                <w:sz w:val="20"/>
                <w:szCs w:val="20"/>
              </w:rPr>
            </w:pPr>
            <w:r w:rsidRPr="004515AE">
              <w:rPr>
                <w:rFonts w:cs="Times New Roman"/>
                <w:color w:val="000000"/>
                <w:sz w:val="20"/>
                <w:szCs w:val="20"/>
              </w:rPr>
              <w:t>[1 if present, 0 otherwise]</w:t>
            </w:r>
          </w:p>
        </w:tc>
        <w:tc>
          <w:tcPr>
            <w:tcW w:w="1158" w:type="dxa"/>
            <w:vAlign w:val="center"/>
          </w:tcPr>
          <w:p w14:paraId="77C3555A"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-0.1275</w:t>
            </w:r>
          </w:p>
        </w:tc>
        <w:tc>
          <w:tcPr>
            <w:tcW w:w="1078" w:type="dxa"/>
            <w:vAlign w:val="center"/>
          </w:tcPr>
          <w:p w14:paraId="1BAE5043"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0.0544</w:t>
            </w:r>
          </w:p>
        </w:tc>
        <w:tc>
          <w:tcPr>
            <w:tcW w:w="907" w:type="dxa"/>
            <w:vAlign w:val="center"/>
          </w:tcPr>
          <w:p w14:paraId="0949E9D8"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0.019</w:t>
            </w:r>
          </w:p>
        </w:tc>
      </w:tr>
      <w:tr w:rsidR="005877D2" w:rsidRPr="004515AE" w14:paraId="328A146C" w14:textId="77777777" w:rsidTr="00136A6A">
        <w:trPr>
          <w:trHeight w:val="500"/>
          <w:jc w:val="center"/>
        </w:trPr>
        <w:tc>
          <w:tcPr>
            <w:tcW w:w="5040" w:type="dxa"/>
            <w:vAlign w:val="center"/>
          </w:tcPr>
          <w:p w14:paraId="5C882614" w14:textId="77777777" w:rsidR="005877D2" w:rsidRPr="004515AE" w:rsidRDefault="005877D2" w:rsidP="005877D2">
            <w:pPr>
              <w:keepNext/>
              <w:keepLines/>
              <w:spacing w:before="0" w:after="0"/>
              <w:jc w:val="left"/>
              <w:rPr>
                <w:rFonts w:cs="Times New Roman"/>
                <w:sz w:val="20"/>
                <w:szCs w:val="20"/>
              </w:rPr>
            </w:pPr>
            <w:r w:rsidRPr="004515AE">
              <w:rPr>
                <w:rFonts w:cs="Times New Roman"/>
                <w:color w:val="000000"/>
                <w:sz w:val="20"/>
                <w:szCs w:val="20"/>
              </w:rPr>
              <w:t>Access density [access points/mi]</w:t>
            </w:r>
          </w:p>
        </w:tc>
        <w:tc>
          <w:tcPr>
            <w:tcW w:w="1158" w:type="dxa"/>
            <w:vAlign w:val="center"/>
          </w:tcPr>
          <w:p w14:paraId="5879BB5E"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0.0106</w:t>
            </w:r>
          </w:p>
        </w:tc>
        <w:tc>
          <w:tcPr>
            <w:tcW w:w="1078" w:type="dxa"/>
            <w:vAlign w:val="center"/>
          </w:tcPr>
          <w:p w14:paraId="5115DAF1"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0.0009</w:t>
            </w:r>
          </w:p>
        </w:tc>
        <w:tc>
          <w:tcPr>
            <w:tcW w:w="907" w:type="dxa"/>
            <w:vAlign w:val="center"/>
          </w:tcPr>
          <w:p w14:paraId="4E7D2891"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5877D2" w:rsidRPr="004515AE" w14:paraId="260F642F" w14:textId="77777777" w:rsidTr="00136A6A">
        <w:trPr>
          <w:trHeight w:val="500"/>
          <w:jc w:val="center"/>
        </w:trPr>
        <w:tc>
          <w:tcPr>
            <w:tcW w:w="5040" w:type="dxa"/>
            <w:vAlign w:val="center"/>
          </w:tcPr>
          <w:p w14:paraId="763E5397" w14:textId="77777777" w:rsidR="005877D2" w:rsidRPr="004515AE" w:rsidRDefault="005877D2" w:rsidP="005877D2">
            <w:pPr>
              <w:keepNext/>
              <w:keepLines/>
              <w:spacing w:before="0" w:after="0"/>
              <w:jc w:val="left"/>
              <w:rPr>
                <w:rFonts w:cs="Times New Roman"/>
                <w:sz w:val="20"/>
                <w:szCs w:val="20"/>
              </w:rPr>
            </w:pPr>
            <w:r w:rsidRPr="004515AE">
              <w:rPr>
                <w:rFonts w:cs="Times New Roman"/>
                <w:color w:val="000000"/>
                <w:sz w:val="20"/>
                <w:szCs w:val="20"/>
              </w:rPr>
              <w:t>Curve density [curves/mi]</w:t>
            </w:r>
          </w:p>
        </w:tc>
        <w:tc>
          <w:tcPr>
            <w:tcW w:w="1158" w:type="dxa"/>
            <w:vAlign w:val="center"/>
          </w:tcPr>
          <w:p w14:paraId="5D037B34"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0.0404</w:t>
            </w:r>
          </w:p>
        </w:tc>
        <w:tc>
          <w:tcPr>
            <w:tcW w:w="1078" w:type="dxa"/>
            <w:vAlign w:val="center"/>
          </w:tcPr>
          <w:p w14:paraId="699A50A8"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0.0059</w:t>
            </w:r>
          </w:p>
        </w:tc>
        <w:tc>
          <w:tcPr>
            <w:tcW w:w="907" w:type="dxa"/>
            <w:vAlign w:val="center"/>
          </w:tcPr>
          <w:p w14:paraId="601523E8"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5877D2" w:rsidRPr="004515AE" w14:paraId="473EA206" w14:textId="77777777" w:rsidTr="00136A6A">
        <w:trPr>
          <w:trHeight w:val="500"/>
          <w:jc w:val="center"/>
        </w:trPr>
        <w:tc>
          <w:tcPr>
            <w:tcW w:w="5040" w:type="dxa"/>
            <w:vAlign w:val="center"/>
          </w:tcPr>
          <w:p w14:paraId="37831DF1" w14:textId="77777777" w:rsidR="005877D2" w:rsidRPr="004515AE" w:rsidRDefault="005877D2" w:rsidP="005877D2">
            <w:pPr>
              <w:keepNext/>
              <w:keepLines/>
              <w:spacing w:before="0" w:after="0"/>
              <w:jc w:val="left"/>
              <w:rPr>
                <w:rFonts w:cs="Times New Roman"/>
                <w:sz w:val="20"/>
                <w:szCs w:val="20"/>
              </w:rPr>
            </w:pPr>
            <w:r w:rsidRPr="004515AE">
              <w:rPr>
                <w:rFonts w:cs="Times New Roman"/>
                <w:color w:val="000000"/>
                <w:sz w:val="20"/>
                <w:szCs w:val="20"/>
              </w:rPr>
              <w:t>Total degree of curvature per mile along the segment [deg/100 ft/mile]</w:t>
            </w:r>
          </w:p>
        </w:tc>
        <w:tc>
          <w:tcPr>
            <w:tcW w:w="1158" w:type="dxa"/>
            <w:vAlign w:val="center"/>
          </w:tcPr>
          <w:p w14:paraId="6E6D0EE5"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0.0014</w:t>
            </w:r>
          </w:p>
        </w:tc>
        <w:tc>
          <w:tcPr>
            <w:tcW w:w="1078" w:type="dxa"/>
            <w:vAlign w:val="center"/>
          </w:tcPr>
          <w:p w14:paraId="68E16751"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0.0003</w:t>
            </w:r>
          </w:p>
        </w:tc>
        <w:tc>
          <w:tcPr>
            <w:tcW w:w="907" w:type="dxa"/>
            <w:vAlign w:val="center"/>
          </w:tcPr>
          <w:p w14:paraId="2A457FA5"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5877D2" w:rsidRPr="004515AE" w14:paraId="0DB7D236" w14:textId="77777777" w:rsidTr="00136A6A">
        <w:trPr>
          <w:trHeight w:val="500"/>
          <w:jc w:val="center"/>
        </w:trPr>
        <w:tc>
          <w:tcPr>
            <w:tcW w:w="5040" w:type="dxa"/>
            <w:vAlign w:val="center"/>
          </w:tcPr>
          <w:p w14:paraId="48DAAC27" w14:textId="77777777" w:rsidR="005877D2" w:rsidRPr="004515AE" w:rsidRDefault="005877D2" w:rsidP="005877D2">
            <w:pPr>
              <w:keepNext/>
              <w:keepLines/>
              <w:spacing w:before="0" w:after="0"/>
              <w:jc w:val="left"/>
              <w:rPr>
                <w:rFonts w:cs="Times New Roman"/>
                <w:sz w:val="20"/>
                <w:szCs w:val="20"/>
              </w:rPr>
            </w:pPr>
            <w:r w:rsidRPr="004515AE">
              <w:rPr>
                <w:rFonts w:cs="Times New Roman"/>
                <w:color w:val="000000"/>
                <w:sz w:val="20"/>
                <w:szCs w:val="20"/>
              </w:rPr>
              <w:t>Roadway segment in Bradford county [1 if yes, 0 otherwise]</w:t>
            </w:r>
          </w:p>
        </w:tc>
        <w:tc>
          <w:tcPr>
            <w:tcW w:w="1158" w:type="dxa"/>
            <w:vAlign w:val="center"/>
          </w:tcPr>
          <w:p w14:paraId="0DEFA715"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0.0993</w:t>
            </w:r>
          </w:p>
        </w:tc>
        <w:tc>
          <w:tcPr>
            <w:tcW w:w="1078" w:type="dxa"/>
            <w:vAlign w:val="center"/>
          </w:tcPr>
          <w:p w14:paraId="3DE976FE"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0.0287</w:t>
            </w:r>
          </w:p>
        </w:tc>
        <w:tc>
          <w:tcPr>
            <w:tcW w:w="907" w:type="dxa"/>
            <w:vAlign w:val="center"/>
          </w:tcPr>
          <w:p w14:paraId="4086C81D"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0.001</w:t>
            </w:r>
          </w:p>
        </w:tc>
      </w:tr>
      <w:tr w:rsidR="005877D2" w:rsidRPr="004515AE" w14:paraId="536335EF" w14:textId="77777777" w:rsidTr="00136A6A">
        <w:trPr>
          <w:trHeight w:val="500"/>
          <w:jc w:val="center"/>
        </w:trPr>
        <w:tc>
          <w:tcPr>
            <w:tcW w:w="5040" w:type="dxa"/>
            <w:vAlign w:val="center"/>
          </w:tcPr>
          <w:p w14:paraId="600814A4" w14:textId="7A8F4C95" w:rsidR="005877D2" w:rsidRPr="004515AE" w:rsidRDefault="005877D2" w:rsidP="005877D2">
            <w:pPr>
              <w:keepNext/>
              <w:keepLines/>
              <w:spacing w:before="0" w:after="0"/>
              <w:jc w:val="left"/>
              <w:rPr>
                <w:rFonts w:cs="Times New Roman"/>
                <w:color w:val="000000"/>
                <w:sz w:val="20"/>
                <w:szCs w:val="20"/>
              </w:rPr>
            </w:pPr>
            <w:r w:rsidRPr="004515AE">
              <w:rPr>
                <w:rFonts w:cs="Times New Roman"/>
                <w:color w:val="000000"/>
                <w:sz w:val="20"/>
                <w:szCs w:val="20"/>
              </w:rPr>
              <w:t>Roadway segment in Lycoming or Montour counties</w:t>
            </w:r>
          </w:p>
          <w:p w14:paraId="310CCC2B" w14:textId="77777777" w:rsidR="005877D2" w:rsidRPr="004515AE" w:rsidRDefault="005877D2" w:rsidP="005877D2">
            <w:pPr>
              <w:keepNext/>
              <w:keepLines/>
              <w:spacing w:before="0" w:after="0"/>
              <w:jc w:val="left"/>
              <w:rPr>
                <w:rFonts w:cs="Times New Roman"/>
                <w:sz w:val="20"/>
                <w:szCs w:val="20"/>
              </w:rPr>
            </w:pPr>
            <w:r w:rsidRPr="004515AE">
              <w:rPr>
                <w:rFonts w:cs="Times New Roman"/>
                <w:color w:val="000000"/>
                <w:sz w:val="20"/>
                <w:szCs w:val="20"/>
              </w:rPr>
              <w:t>[1 if yes, 0 otherwise]</w:t>
            </w:r>
          </w:p>
        </w:tc>
        <w:tc>
          <w:tcPr>
            <w:tcW w:w="1158" w:type="dxa"/>
            <w:vAlign w:val="center"/>
          </w:tcPr>
          <w:p w14:paraId="703F8ADB"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0.0910</w:t>
            </w:r>
          </w:p>
        </w:tc>
        <w:tc>
          <w:tcPr>
            <w:tcW w:w="1078" w:type="dxa"/>
            <w:vAlign w:val="center"/>
          </w:tcPr>
          <w:p w14:paraId="50BEF688"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0.0313</w:t>
            </w:r>
          </w:p>
        </w:tc>
        <w:tc>
          <w:tcPr>
            <w:tcW w:w="907" w:type="dxa"/>
            <w:vAlign w:val="center"/>
          </w:tcPr>
          <w:p w14:paraId="4904ACBA"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0.004</w:t>
            </w:r>
          </w:p>
        </w:tc>
      </w:tr>
      <w:tr w:rsidR="005877D2" w:rsidRPr="004515AE" w14:paraId="3D56E740" w14:textId="77777777" w:rsidTr="00136A6A">
        <w:trPr>
          <w:trHeight w:val="500"/>
          <w:jc w:val="center"/>
        </w:trPr>
        <w:tc>
          <w:tcPr>
            <w:tcW w:w="5040" w:type="dxa"/>
            <w:vAlign w:val="center"/>
          </w:tcPr>
          <w:p w14:paraId="2018EDEA" w14:textId="6679E025" w:rsidR="005877D2" w:rsidRPr="004515AE" w:rsidRDefault="005877D2" w:rsidP="005877D2">
            <w:pPr>
              <w:keepNext/>
              <w:keepLines/>
              <w:spacing w:before="0" w:after="0"/>
              <w:jc w:val="left"/>
              <w:rPr>
                <w:rFonts w:cs="Times New Roman"/>
                <w:color w:val="000000"/>
                <w:sz w:val="20"/>
                <w:szCs w:val="20"/>
              </w:rPr>
            </w:pPr>
            <w:r w:rsidRPr="004515AE">
              <w:rPr>
                <w:rFonts w:cs="Times New Roman"/>
                <w:color w:val="000000"/>
                <w:sz w:val="20"/>
                <w:szCs w:val="20"/>
              </w:rPr>
              <w:t>Roadway segment in Sullivan or Union counties</w:t>
            </w:r>
          </w:p>
          <w:p w14:paraId="776BE68C" w14:textId="77777777" w:rsidR="005877D2" w:rsidRPr="004515AE" w:rsidRDefault="005877D2" w:rsidP="005877D2">
            <w:pPr>
              <w:keepNext/>
              <w:keepLines/>
              <w:spacing w:before="0" w:after="0"/>
              <w:jc w:val="left"/>
              <w:rPr>
                <w:rFonts w:cs="Times New Roman"/>
                <w:sz w:val="20"/>
                <w:szCs w:val="20"/>
              </w:rPr>
            </w:pPr>
            <w:r w:rsidRPr="004515AE">
              <w:rPr>
                <w:rFonts w:cs="Times New Roman"/>
                <w:color w:val="000000"/>
                <w:sz w:val="20"/>
                <w:szCs w:val="20"/>
              </w:rPr>
              <w:t>[1 if yes, 0 otherwise]</w:t>
            </w:r>
          </w:p>
        </w:tc>
        <w:tc>
          <w:tcPr>
            <w:tcW w:w="1158" w:type="dxa"/>
            <w:vAlign w:val="center"/>
          </w:tcPr>
          <w:p w14:paraId="234D45FA"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-0.1504</w:t>
            </w:r>
          </w:p>
        </w:tc>
        <w:tc>
          <w:tcPr>
            <w:tcW w:w="1078" w:type="dxa"/>
            <w:vAlign w:val="center"/>
          </w:tcPr>
          <w:p w14:paraId="66823CDE"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0.0386</w:t>
            </w:r>
          </w:p>
        </w:tc>
        <w:tc>
          <w:tcPr>
            <w:tcW w:w="907" w:type="dxa"/>
            <w:vAlign w:val="center"/>
          </w:tcPr>
          <w:p w14:paraId="2D660191" w14:textId="77777777" w:rsidR="005877D2" w:rsidRPr="004515AE" w:rsidRDefault="005877D2" w:rsidP="005877D2">
            <w:pPr>
              <w:keepNext/>
              <w:keepLines/>
              <w:spacing w:before="0" w:after="0"/>
              <w:jc w:val="center"/>
              <w:rPr>
                <w:rFonts w:cs="Times New Roman"/>
                <w:color w:val="000000"/>
                <w:sz w:val="20"/>
                <w:szCs w:val="20"/>
              </w:rPr>
            </w:pPr>
            <w:r w:rsidRPr="004515AE">
              <w:rPr>
                <w:rFonts w:cs="Times New Roman"/>
                <w:color w:val="000000"/>
                <w:sz w:val="20"/>
                <w:szCs w:val="20"/>
              </w:rPr>
              <w:t>&lt;0.001</w:t>
            </w:r>
          </w:p>
        </w:tc>
      </w:tr>
      <w:tr w:rsidR="005877D2" w:rsidRPr="004515AE" w14:paraId="481C6BF0" w14:textId="77777777" w:rsidTr="00136A6A">
        <w:trPr>
          <w:trHeight w:val="500"/>
          <w:jc w:val="center"/>
        </w:trPr>
        <w:tc>
          <w:tcPr>
            <w:tcW w:w="5040" w:type="dxa"/>
            <w:vAlign w:val="center"/>
          </w:tcPr>
          <w:p w14:paraId="55FB16FC" w14:textId="77777777" w:rsidR="005877D2" w:rsidRPr="004515AE" w:rsidRDefault="005877D2" w:rsidP="005877D2">
            <w:pPr>
              <w:keepNext/>
              <w:keepLines/>
              <w:spacing w:before="0" w:after="0"/>
              <w:jc w:val="left"/>
              <w:rPr>
                <w:rFonts w:cs="Times New Roman"/>
                <w:sz w:val="20"/>
                <w:szCs w:val="20"/>
              </w:rPr>
            </w:pPr>
            <w:r w:rsidRPr="004515AE">
              <w:rPr>
                <w:rFonts w:cs="Times New Roman"/>
                <w:sz w:val="20"/>
                <w:szCs w:val="20"/>
              </w:rPr>
              <w:t>Over-dispersion parameter</w:t>
            </w:r>
          </w:p>
        </w:tc>
        <w:tc>
          <w:tcPr>
            <w:tcW w:w="1158" w:type="dxa"/>
            <w:vAlign w:val="center"/>
          </w:tcPr>
          <w:p w14:paraId="51F9B5A8" w14:textId="77777777" w:rsidR="005877D2" w:rsidRPr="004515AE" w:rsidRDefault="005877D2" w:rsidP="005877D2">
            <w:pPr>
              <w:keepNext/>
              <w:keepLines/>
              <w:spacing w:before="0" w:after="0"/>
              <w:jc w:val="center"/>
              <w:rPr>
                <w:rFonts w:cs="Times New Roman"/>
                <w:sz w:val="20"/>
                <w:szCs w:val="20"/>
              </w:rPr>
            </w:pPr>
            <w:r w:rsidRPr="004515AE">
              <w:rPr>
                <w:rFonts w:cs="Times New Roman"/>
                <w:color w:val="000000"/>
                <w:sz w:val="20"/>
                <w:szCs w:val="20"/>
              </w:rPr>
              <w:t>0.4733</w:t>
            </w:r>
          </w:p>
        </w:tc>
        <w:tc>
          <w:tcPr>
            <w:tcW w:w="1078" w:type="dxa"/>
            <w:vAlign w:val="center"/>
          </w:tcPr>
          <w:p w14:paraId="73BADB20" w14:textId="77777777" w:rsidR="005877D2" w:rsidRPr="004515AE" w:rsidRDefault="005877D2" w:rsidP="005877D2">
            <w:pPr>
              <w:keepNext/>
              <w:keepLines/>
              <w:spacing w:before="0" w:after="0"/>
              <w:jc w:val="center"/>
              <w:rPr>
                <w:rFonts w:cs="Times New Roman"/>
                <w:sz w:val="20"/>
                <w:szCs w:val="20"/>
              </w:rPr>
            </w:pPr>
            <w:r w:rsidRPr="004515AE">
              <w:rPr>
                <w:rFonts w:cs="Times New Roman"/>
                <w:color w:val="000000"/>
                <w:sz w:val="20"/>
                <w:szCs w:val="20"/>
              </w:rPr>
              <w:t>0.0262</w:t>
            </w:r>
          </w:p>
        </w:tc>
        <w:tc>
          <w:tcPr>
            <w:tcW w:w="907" w:type="dxa"/>
            <w:vAlign w:val="center"/>
          </w:tcPr>
          <w:p w14:paraId="62754672" w14:textId="77777777" w:rsidR="005877D2" w:rsidRPr="004515AE" w:rsidRDefault="005877D2" w:rsidP="005877D2">
            <w:pPr>
              <w:keepNext/>
              <w:keepLines/>
              <w:spacing w:before="0" w:after="0"/>
              <w:jc w:val="center"/>
              <w:rPr>
                <w:rFonts w:cs="Times New Roman"/>
                <w:sz w:val="20"/>
                <w:szCs w:val="20"/>
              </w:rPr>
            </w:pPr>
            <w:r w:rsidRPr="004515AE">
              <w:rPr>
                <w:rFonts w:cs="Times New Roman"/>
                <w:color w:val="000000"/>
                <w:sz w:val="20"/>
                <w:szCs w:val="20"/>
              </w:rPr>
              <w:t>&lt;0.001</w:t>
            </w:r>
          </w:p>
        </w:tc>
      </w:tr>
      <w:tr w:rsidR="005877D2" w:rsidRPr="004515AE" w14:paraId="284932AE" w14:textId="77777777" w:rsidTr="00136A6A">
        <w:trPr>
          <w:trHeight w:val="500"/>
          <w:jc w:val="center"/>
        </w:trPr>
        <w:tc>
          <w:tcPr>
            <w:tcW w:w="5040" w:type="dxa"/>
            <w:vAlign w:val="center"/>
          </w:tcPr>
          <w:p w14:paraId="45933FD8" w14:textId="77777777" w:rsidR="005877D2" w:rsidRPr="004515AE" w:rsidRDefault="005877D2" w:rsidP="005877D2">
            <w:pPr>
              <w:keepNext/>
              <w:keepLines/>
              <w:spacing w:before="0" w:after="0"/>
              <w:jc w:val="left"/>
              <w:rPr>
                <w:rFonts w:cs="Times New Roman"/>
                <w:sz w:val="20"/>
                <w:szCs w:val="20"/>
              </w:rPr>
            </w:pPr>
            <w:r w:rsidRPr="004515AE">
              <w:rPr>
                <w:rFonts w:cs="Times New Roman"/>
                <w:sz w:val="20"/>
                <w:szCs w:val="20"/>
              </w:rPr>
              <w:t>Log-likelihood at convergence</w:t>
            </w:r>
          </w:p>
        </w:tc>
        <w:tc>
          <w:tcPr>
            <w:tcW w:w="3143" w:type="dxa"/>
            <w:gridSpan w:val="3"/>
            <w:vAlign w:val="center"/>
          </w:tcPr>
          <w:p w14:paraId="068B47AC" w14:textId="77777777" w:rsidR="005877D2" w:rsidRPr="0042724F" w:rsidRDefault="005877D2" w:rsidP="005877D2">
            <w:pPr>
              <w:keepNext/>
              <w:keepLines/>
              <w:spacing w:before="0" w:after="0"/>
              <w:jc w:val="center"/>
              <w:rPr>
                <w:rFonts w:cs="Times New Roman"/>
                <w:b/>
                <w:bCs/>
                <w:sz w:val="20"/>
                <w:szCs w:val="20"/>
              </w:rPr>
            </w:pPr>
            <w:r w:rsidRPr="0042724F">
              <w:rPr>
                <w:rFonts w:cs="Times New Roman"/>
                <w:b/>
                <w:bCs/>
                <w:sz w:val="20"/>
                <w:szCs w:val="20"/>
              </w:rPr>
              <w:t>-</w:t>
            </w:r>
            <w:r w:rsidRPr="00675A2C">
              <w:rPr>
                <w:rFonts w:cs="Times New Roman"/>
                <w:sz w:val="20"/>
                <w:szCs w:val="20"/>
              </w:rPr>
              <w:t>19525.262</w:t>
            </w:r>
          </w:p>
        </w:tc>
      </w:tr>
    </w:tbl>
    <w:p w14:paraId="444D8118" w14:textId="77777777" w:rsidR="004515AE" w:rsidRPr="00CC1C99" w:rsidRDefault="004515AE" w:rsidP="00BB2F85"/>
    <w:sectPr w:rsidR="004515AE" w:rsidRPr="00CC1C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BD83" w14:textId="77777777" w:rsidR="00952624" w:rsidRDefault="00952624" w:rsidP="00EF6876">
      <w:pPr>
        <w:spacing w:before="0" w:after="0" w:line="240" w:lineRule="auto"/>
      </w:pPr>
      <w:r>
        <w:separator/>
      </w:r>
    </w:p>
  </w:endnote>
  <w:endnote w:type="continuationSeparator" w:id="0">
    <w:p w14:paraId="58337B71" w14:textId="77777777" w:rsidR="00952624" w:rsidRDefault="00952624" w:rsidP="00EF68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6254" w14:textId="77777777" w:rsidR="00952624" w:rsidRDefault="00952624" w:rsidP="00EF6876">
      <w:pPr>
        <w:spacing w:before="0" w:after="0" w:line="240" w:lineRule="auto"/>
      </w:pPr>
      <w:r>
        <w:separator/>
      </w:r>
    </w:p>
  </w:footnote>
  <w:footnote w:type="continuationSeparator" w:id="0">
    <w:p w14:paraId="4178E62E" w14:textId="77777777" w:rsidR="00952624" w:rsidRDefault="00952624" w:rsidP="00EF6876">
      <w:pPr>
        <w:spacing w:before="0" w:after="0" w:line="240" w:lineRule="auto"/>
      </w:pPr>
      <w:r>
        <w:continuationSeparator/>
      </w:r>
    </w:p>
  </w:footnote>
  <w:footnote w:id="1">
    <w:p w14:paraId="234E72EE" w14:textId="2CDFAD68" w:rsidR="00EF6876" w:rsidRDefault="00EF6876">
      <w:pPr>
        <w:pStyle w:val="FootnoteText"/>
      </w:pPr>
      <w:r>
        <w:rPr>
          <w:rStyle w:val="FootnoteReference"/>
        </w:rPr>
        <w:footnoteRef/>
      </w:r>
      <w:r>
        <w:t xml:space="preserve"> The reader would note that several alternative approaches</w:t>
      </w:r>
      <w:r w:rsidR="00BD221F">
        <w:t xml:space="preserve"> such as a semi-parametric approach </w:t>
      </w:r>
      <w:r w:rsidR="00160556">
        <w:t xml:space="preserve">or adoption of generalized additive models </w:t>
      </w:r>
      <w:r>
        <w:t xml:space="preserve">have been proposed to allow for </w:t>
      </w:r>
      <w:r w:rsidR="00491F17">
        <w:t>varying impact of AADT in safety literature</w:t>
      </w:r>
      <w:r w:rsidR="00160556">
        <w:t xml:space="preserve"> (</w:t>
      </w:r>
      <w:r w:rsidR="008B326B">
        <w:t xml:space="preserve">for example, </w:t>
      </w:r>
      <w:r w:rsidR="00160556">
        <w:t xml:space="preserve">see </w:t>
      </w:r>
      <w:r w:rsidR="00A34841">
        <w:t xml:space="preserve">Kononov et al., 2011 </w:t>
      </w:r>
      <w:r w:rsidR="00930139">
        <w:t xml:space="preserve">and </w:t>
      </w:r>
      <w:r w:rsidR="00F959EB">
        <w:t>Zhang et al., 2012</w:t>
      </w:r>
      <w:r w:rsidR="00160556">
        <w:t>)</w:t>
      </w:r>
      <w:r w:rsidR="00A34841">
        <w:t>.</w:t>
      </w:r>
    </w:p>
  </w:footnote>
  <w:footnote w:id="2">
    <w:p w14:paraId="5E2770B1" w14:textId="4C86A2C8" w:rsidR="00554067" w:rsidRDefault="00554067">
      <w:pPr>
        <w:pStyle w:val="FootnoteText"/>
      </w:pPr>
      <w:r>
        <w:rPr>
          <w:rStyle w:val="FootnoteReference"/>
        </w:rPr>
        <w:footnoteRef/>
      </w:r>
      <w:r>
        <w:t xml:space="preserve"> The likelihood ratio test statistic is computed as </w:t>
      </w:r>
      <w:r w:rsidR="0098746E">
        <w:t>-</w:t>
      </w:r>
      <w:r w:rsidR="00D016C0">
        <w:t>2 [L</w:t>
      </w:r>
      <w:r w:rsidR="00D016C0" w:rsidRPr="00252126">
        <w:rPr>
          <w:vertAlign w:val="subscript"/>
        </w:rPr>
        <w:t>R</w:t>
      </w:r>
      <w:r w:rsidR="00D016C0">
        <w:t xml:space="preserve"> – L</w:t>
      </w:r>
      <w:r w:rsidR="00D016C0" w:rsidRPr="00252126">
        <w:rPr>
          <w:vertAlign w:val="subscript"/>
        </w:rPr>
        <w:t>UR</w:t>
      </w:r>
      <w:r w:rsidR="00D016C0">
        <w:t>]</w:t>
      </w:r>
      <w:r w:rsidR="0098746E">
        <w:t xml:space="preserve"> where L</w:t>
      </w:r>
      <w:r w:rsidR="0098746E" w:rsidRPr="00252126">
        <w:rPr>
          <w:vertAlign w:val="subscript"/>
        </w:rPr>
        <w:t>R</w:t>
      </w:r>
      <w:r w:rsidR="0098746E">
        <w:t xml:space="preserve"> represents the restricted model and L</w:t>
      </w:r>
      <w:r w:rsidR="0098746E" w:rsidRPr="00252126">
        <w:rPr>
          <w:vertAlign w:val="subscript"/>
        </w:rPr>
        <w:t>UR</w:t>
      </w:r>
      <w:r w:rsidR="0098746E">
        <w:t xml:space="preserve"> represents the unrestricted model (model with higher number of parameters).  The computed statistic is compared to </w:t>
      </w:r>
      <m:oMath>
        <m:sSup>
          <m:sSupPr>
            <m:ctrlPr>
              <w:rPr>
                <w:rFonts w:ascii="Cambria Math" w:hAnsi="Cambria Math"/>
                <w:i/>
              </w:rPr>
            </m:ctrlPr>
          </m:sSupPr>
          <m:e>
            <m:r>
              <w:rPr>
                <w:rFonts w:ascii="Cambria Math" w:hAnsi="Cambria Math"/>
              </w:rPr>
              <m:t>χ</m:t>
            </m:r>
          </m:e>
          <m:sup>
            <m:r>
              <w:rPr>
                <w:rFonts w:ascii="Cambria Math" w:hAnsi="Cambria Math"/>
              </w:rPr>
              <m:t>2</m:t>
            </m:r>
          </m:sup>
        </m:sSup>
      </m:oMath>
      <w:r w:rsidR="002C2913">
        <w:rPr>
          <w:rFonts w:eastAsiaTheme="minorEastAsia"/>
        </w:rPr>
        <w:t xml:space="preserve">distribution with </w:t>
      </w:r>
      <w:r w:rsidR="002C2913" w:rsidRPr="00252126">
        <w:rPr>
          <w:rFonts w:eastAsiaTheme="minorEastAsia"/>
          <w:i/>
          <w:iCs/>
        </w:rPr>
        <w:t>K</w:t>
      </w:r>
      <w:r w:rsidR="002C2913">
        <w:rPr>
          <w:rFonts w:eastAsiaTheme="minorEastAsia"/>
        </w:rPr>
        <w:t xml:space="preserve"> degrees of freedom where </w:t>
      </w:r>
      <w:r w:rsidR="002C2913" w:rsidRPr="00252126">
        <w:rPr>
          <w:rFonts w:eastAsiaTheme="minorEastAsia"/>
          <w:i/>
          <w:iCs/>
        </w:rPr>
        <w:t>K</w:t>
      </w:r>
      <w:r w:rsidR="002C2913">
        <w:rPr>
          <w:rFonts w:eastAsiaTheme="minorEastAsia"/>
        </w:rPr>
        <w:t xml:space="preserve"> is the difference in the number of parameters in the two models</w:t>
      </w:r>
      <w:r w:rsidR="00D9043A">
        <w:rPr>
          <w:rFonts w:eastAsiaTheme="minorEastAsia"/>
        </w:rPr>
        <w:t xml:space="preserve"> (see </w:t>
      </w:r>
      <w:r w:rsidR="00D87005">
        <w:rPr>
          <w:rFonts w:eastAsiaTheme="minorEastAsia"/>
        </w:rPr>
        <w:t>Wilks, 1938</w:t>
      </w:r>
      <w:r w:rsidR="00BF7EB0">
        <w:rPr>
          <w:rFonts w:eastAsiaTheme="minorEastAsia"/>
        </w:rPr>
        <w:t>)</w:t>
      </w:r>
      <w:r w:rsidR="002C2913">
        <w:rPr>
          <w:rFonts w:eastAsiaTheme="minor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57C3"/>
    <w:multiLevelType w:val="hybridMultilevel"/>
    <w:tmpl w:val="87AA1D46"/>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34CF38D2"/>
    <w:multiLevelType w:val="hybridMultilevel"/>
    <w:tmpl w:val="0A8AC782"/>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3A8534D5"/>
    <w:multiLevelType w:val="hybridMultilevel"/>
    <w:tmpl w:val="14E4F438"/>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D831DAA"/>
    <w:multiLevelType w:val="hybridMultilevel"/>
    <w:tmpl w:val="0A8AC782"/>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3E1C7156"/>
    <w:multiLevelType w:val="hybridMultilevel"/>
    <w:tmpl w:val="3776FA26"/>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4B607467"/>
    <w:multiLevelType w:val="hybridMultilevel"/>
    <w:tmpl w:val="625CFD22"/>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4B931A2E"/>
    <w:multiLevelType w:val="hybridMultilevel"/>
    <w:tmpl w:val="BBE84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F2951"/>
    <w:multiLevelType w:val="hybridMultilevel"/>
    <w:tmpl w:val="0A8AC782"/>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52857A29"/>
    <w:multiLevelType w:val="hybridMultilevel"/>
    <w:tmpl w:val="24C85A46"/>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5D816FC9"/>
    <w:multiLevelType w:val="hybridMultilevel"/>
    <w:tmpl w:val="30140072"/>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643633AC"/>
    <w:multiLevelType w:val="hybridMultilevel"/>
    <w:tmpl w:val="6C4400F6"/>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78FD60FD"/>
    <w:multiLevelType w:val="hybridMultilevel"/>
    <w:tmpl w:val="0A8AC782"/>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7A002CB4"/>
    <w:multiLevelType w:val="hybridMultilevel"/>
    <w:tmpl w:val="05EA2CDA"/>
    <w:lvl w:ilvl="0" w:tplc="489AB306">
      <w:start w:val="1"/>
      <w:numFmt w:val="decimal"/>
      <w:lvlText w:val="(%1)"/>
      <w:lvlJc w:val="right"/>
      <w:pPr>
        <w:ind w:left="121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6"/>
  </w:num>
  <w:num w:numId="2">
    <w:abstractNumId w:val="2"/>
  </w:num>
  <w:num w:numId="3">
    <w:abstractNumId w:val="10"/>
  </w:num>
  <w:num w:numId="4">
    <w:abstractNumId w:val="9"/>
  </w:num>
  <w:num w:numId="5">
    <w:abstractNumId w:val="0"/>
  </w:num>
  <w:num w:numId="6">
    <w:abstractNumId w:val="12"/>
  </w:num>
  <w:num w:numId="7">
    <w:abstractNumId w:val="5"/>
  </w:num>
  <w:num w:numId="8">
    <w:abstractNumId w:val="8"/>
  </w:num>
  <w:num w:numId="9">
    <w:abstractNumId w:val="4"/>
  </w:num>
  <w:num w:numId="10">
    <w:abstractNumId w:val="7"/>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21"/>
    <w:rsid w:val="00003FDB"/>
    <w:rsid w:val="000041D0"/>
    <w:rsid w:val="00012DF2"/>
    <w:rsid w:val="000147DB"/>
    <w:rsid w:val="00016CB2"/>
    <w:rsid w:val="000179A0"/>
    <w:rsid w:val="00026D25"/>
    <w:rsid w:val="00030D88"/>
    <w:rsid w:val="0003460E"/>
    <w:rsid w:val="000372E4"/>
    <w:rsid w:val="00037A92"/>
    <w:rsid w:val="00043D7F"/>
    <w:rsid w:val="00045D83"/>
    <w:rsid w:val="00050157"/>
    <w:rsid w:val="00051680"/>
    <w:rsid w:val="00053154"/>
    <w:rsid w:val="00055A0C"/>
    <w:rsid w:val="000720C7"/>
    <w:rsid w:val="0007274C"/>
    <w:rsid w:val="0007280B"/>
    <w:rsid w:val="00074881"/>
    <w:rsid w:val="00082A5B"/>
    <w:rsid w:val="000859A8"/>
    <w:rsid w:val="0009080D"/>
    <w:rsid w:val="00090837"/>
    <w:rsid w:val="00090909"/>
    <w:rsid w:val="0009348C"/>
    <w:rsid w:val="000A0646"/>
    <w:rsid w:val="000A2885"/>
    <w:rsid w:val="000A5A0D"/>
    <w:rsid w:val="000A5F0E"/>
    <w:rsid w:val="000A76BE"/>
    <w:rsid w:val="000B22EA"/>
    <w:rsid w:val="000B70D5"/>
    <w:rsid w:val="000C0DCA"/>
    <w:rsid w:val="000D28FC"/>
    <w:rsid w:val="000D4BB6"/>
    <w:rsid w:val="000F64FA"/>
    <w:rsid w:val="000F73E4"/>
    <w:rsid w:val="001007B8"/>
    <w:rsid w:val="00100B8A"/>
    <w:rsid w:val="00102392"/>
    <w:rsid w:val="0010351D"/>
    <w:rsid w:val="00105C95"/>
    <w:rsid w:val="00106990"/>
    <w:rsid w:val="001077C9"/>
    <w:rsid w:val="00107BB4"/>
    <w:rsid w:val="001142E6"/>
    <w:rsid w:val="00115BEC"/>
    <w:rsid w:val="00117781"/>
    <w:rsid w:val="00117ED9"/>
    <w:rsid w:val="00121406"/>
    <w:rsid w:val="001225E5"/>
    <w:rsid w:val="00125B4F"/>
    <w:rsid w:val="00126FCE"/>
    <w:rsid w:val="001270A3"/>
    <w:rsid w:val="00127D02"/>
    <w:rsid w:val="00132527"/>
    <w:rsid w:val="00133183"/>
    <w:rsid w:val="00136A6A"/>
    <w:rsid w:val="00140DDF"/>
    <w:rsid w:val="00147B43"/>
    <w:rsid w:val="00151651"/>
    <w:rsid w:val="001530B5"/>
    <w:rsid w:val="00155E36"/>
    <w:rsid w:val="00160556"/>
    <w:rsid w:val="001756B9"/>
    <w:rsid w:val="001772DC"/>
    <w:rsid w:val="001828CC"/>
    <w:rsid w:val="001910A3"/>
    <w:rsid w:val="00192BAE"/>
    <w:rsid w:val="001B2674"/>
    <w:rsid w:val="001B5997"/>
    <w:rsid w:val="001C0031"/>
    <w:rsid w:val="001C0254"/>
    <w:rsid w:val="001C04B2"/>
    <w:rsid w:val="001D5245"/>
    <w:rsid w:val="001E1213"/>
    <w:rsid w:val="001E7A65"/>
    <w:rsid w:val="001F37E3"/>
    <w:rsid w:val="001F6BF6"/>
    <w:rsid w:val="00204C04"/>
    <w:rsid w:val="00212417"/>
    <w:rsid w:val="00230A27"/>
    <w:rsid w:val="00232368"/>
    <w:rsid w:val="00233953"/>
    <w:rsid w:val="00233FB5"/>
    <w:rsid w:val="00237A65"/>
    <w:rsid w:val="00242710"/>
    <w:rsid w:val="00252126"/>
    <w:rsid w:val="00262F2B"/>
    <w:rsid w:val="002766D1"/>
    <w:rsid w:val="00280347"/>
    <w:rsid w:val="0029333E"/>
    <w:rsid w:val="00296F4A"/>
    <w:rsid w:val="002A2079"/>
    <w:rsid w:val="002A2A5F"/>
    <w:rsid w:val="002A3582"/>
    <w:rsid w:val="002A3A28"/>
    <w:rsid w:val="002A4790"/>
    <w:rsid w:val="002A6AAC"/>
    <w:rsid w:val="002B3BB7"/>
    <w:rsid w:val="002C2913"/>
    <w:rsid w:val="002C3644"/>
    <w:rsid w:val="002D66B1"/>
    <w:rsid w:val="002E01FB"/>
    <w:rsid w:val="002E50BE"/>
    <w:rsid w:val="002E50FE"/>
    <w:rsid w:val="002E675E"/>
    <w:rsid w:val="002F2307"/>
    <w:rsid w:val="002F5DC0"/>
    <w:rsid w:val="002F62E0"/>
    <w:rsid w:val="003063F5"/>
    <w:rsid w:val="00314801"/>
    <w:rsid w:val="00314D77"/>
    <w:rsid w:val="0031694E"/>
    <w:rsid w:val="0032331A"/>
    <w:rsid w:val="00330640"/>
    <w:rsid w:val="003412D2"/>
    <w:rsid w:val="00361984"/>
    <w:rsid w:val="00392825"/>
    <w:rsid w:val="00396413"/>
    <w:rsid w:val="003A08B5"/>
    <w:rsid w:val="003B0F9C"/>
    <w:rsid w:val="003B4C13"/>
    <w:rsid w:val="003B5F1F"/>
    <w:rsid w:val="003C6D83"/>
    <w:rsid w:val="003D3283"/>
    <w:rsid w:val="003D62A3"/>
    <w:rsid w:val="003D7B0F"/>
    <w:rsid w:val="003E3B4A"/>
    <w:rsid w:val="003E6A4F"/>
    <w:rsid w:val="003F08A2"/>
    <w:rsid w:val="003F3DA8"/>
    <w:rsid w:val="00401B42"/>
    <w:rsid w:val="00407764"/>
    <w:rsid w:val="00407CB8"/>
    <w:rsid w:val="004123F5"/>
    <w:rsid w:val="00412517"/>
    <w:rsid w:val="00414FCA"/>
    <w:rsid w:val="00424685"/>
    <w:rsid w:val="0042724F"/>
    <w:rsid w:val="00433F3B"/>
    <w:rsid w:val="004515AE"/>
    <w:rsid w:val="00451E2F"/>
    <w:rsid w:val="00456151"/>
    <w:rsid w:val="004602F2"/>
    <w:rsid w:val="00491F17"/>
    <w:rsid w:val="00492580"/>
    <w:rsid w:val="004945FE"/>
    <w:rsid w:val="004B02F2"/>
    <w:rsid w:val="004B2A64"/>
    <w:rsid w:val="004B4618"/>
    <w:rsid w:val="004B60C1"/>
    <w:rsid w:val="004C6BD7"/>
    <w:rsid w:val="004D6511"/>
    <w:rsid w:val="004E290F"/>
    <w:rsid w:val="004E58BD"/>
    <w:rsid w:val="004F050E"/>
    <w:rsid w:val="004F0741"/>
    <w:rsid w:val="004F1710"/>
    <w:rsid w:val="004F4DD9"/>
    <w:rsid w:val="004F4E87"/>
    <w:rsid w:val="00505229"/>
    <w:rsid w:val="0050574A"/>
    <w:rsid w:val="005068D6"/>
    <w:rsid w:val="00507F64"/>
    <w:rsid w:val="00514B8F"/>
    <w:rsid w:val="00522AA2"/>
    <w:rsid w:val="00524D90"/>
    <w:rsid w:val="0053182D"/>
    <w:rsid w:val="00534AF4"/>
    <w:rsid w:val="00543927"/>
    <w:rsid w:val="005462A4"/>
    <w:rsid w:val="00551370"/>
    <w:rsid w:val="00551E5E"/>
    <w:rsid w:val="00554067"/>
    <w:rsid w:val="0055714D"/>
    <w:rsid w:val="00586D6C"/>
    <w:rsid w:val="005877D2"/>
    <w:rsid w:val="0059119B"/>
    <w:rsid w:val="005928C7"/>
    <w:rsid w:val="00593468"/>
    <w:rsid w:val="005A01BD"/>
    <w:rsid w:val="005A3ACA"/>
    <w:rsid w:val="005A48A4"/>
    <w:rsid w:val="005A70BB"/>
    <w:rsid w:val="005B10BC"/>
    <w:rsid w:val="005B3241"/>
    <w:rsid w:val="005B6306"/>
    <w:rsid w:val="005B76A9"/>
    <w:rsid w:val="005C5788"/>
    <w:rsid w:val="005D34FD"/>
    <w:rsid w:val="005D4EE9"/>
    <w:rsid w:val="005D5DF9"/>
    <w:rsid w:val="005E06F4"/>
    <w:rsid w:val="005E2585"/>
    <w:rsid w:val="005F2371"/>
    <w:rsid w:val="0060232D"/>
    <w:rsid w:val="00603F2E"/>
    <w:rsid w:val="0061312E"/>
    <w:rsid w:val="006212D8"/>
    <w:rsid w:val="006219C8"/>
    <w:rsid w:val="006228A0"/>
    <w:rsid w:val="006241C6"/>
    <w:rsid w:val="00624CFD"/>
    <w:rsid w:val="006322DC"/>
    <w:rsid w:val="00632D00"/>
    <w:rsid w:val="00636132"/>
    <w:rsid w:val="00640EFB"/>
    <w:rsid w:val="00652DAC"/>
    <w:rsid w:val="00655990"/>
    <w:rsid w:val="006637E5"/>
    <w:rsid w:val="00664DF1"/>
    <w:rsid w:val="00665638"/>
    <w:rsid w:val="0067245C"/>
    <w:rsid w:val="006725DF"/>
    <w:rsid w:val="00672E99"/>
    <w:rsid w:val="00673BD0"/>
    <w:rsid w:val="00675A2C"/>
    <w:rsid w:val="006774F1"/>
    <w:rsid w:val="00685021"/>
    <w:rsid w:val="00687E19"/>
    <w:rsid w:val="00690A4D"/>
    <w:rsid w:val="00690DA1"/>
    <w:rsid w:val="00691ED6"/>
    <w:rsid w:val="00697A99"/>
    <w:rsid w:val="006A38B5"/>
    <w:rsid w:val="006A45AD"/>
    <w:rsid w:val="006B4A7B"/>
    <w:rsid w:val="006C39AF"/>
    <w:rsid w:val="006C3A71"/>
    <w:rsid w:val="006D002A"/>
    <w:rsid w:val="006E0AC2"/>
    <w:rsid w:val="006F19B7"/>
    <w:rsid w:val="006F656F"/>
    <w:rsid w:val="006F7092"/>
    <w:rsid w:val="006F7F1B"/>
    <w:rsid w:val="00702415"/>
    <w:rsid w:val="007032BD"/>
    <w:rsid w:val="007261D8"/>
    <w:rsid w:val="007269E1"/>
    <w:rsid w:val="00737D77"/>
    <w:rsid w:val="00744802"/>
    <w:rsid w:val="00750982"/>
    <w:rsid w:val="00755A8E"/>
    <w:rsid w:val="00757665"/>
    <w:rsid w:val="00765675"/>
    <w:rsid w:val="00785FA7"/>
    <w:rsid w:val="007938AE"/>
    <w:rsid w:val="007A28B2"/>
    <w:rsid w:val="007B1258"/>
    <w:rsid w:val="007B330A"/>
    <w:rsid w:val="007C5E74"/>
    <w:rsid w:val="007D4C08"/>
    <w:rsid w:val="007E3026"/>
    <w:rsid w:val="007E4C87"/>
    <w:rsid w:val="007F1C94"/>
    <w:rsid w:val="007F3865"/>
    <w:rsid w:val="007F49D8"/>
    <w:rsid w:val="007F5ADF"/>
    <w:rsid w:val="007F787F"/>
    <w:rsid w:val="00800B58"/>
    <w:rsid w:val="00800DFC"/>
    <w:rsid w:val="00801B91"/>
    <w:rsid w:val="0080203F"/>
    <w:rsid w:val="0080451C"/>
    <w:rsid w:val="008052DC"/>
    <w:rsid w:val="00805594"/>
    <w:rsid w:val="00807F23"/>
    <w:rsid w:val="0081138B"/>
    <w:rsid w:val="008116C4"/>
    <w:rsid w:val="008214F4"/>
    <w:rsid w:val="00825B2C"/>
    <w:rsid w:val="00827FA4"/>
    <w:rsid w:val="00830913"/>
    <w:rsid w:val="008314CF"/>
    <w:rsid w:val="008349B9"/>
    <w:rsid w:val="00841C6D"/>
    <w:rsid w:val="00855EBA"/>
    <w:rsid w:val="008662E1"/>
    <w:rsid w:val="008718A1"/>
    <w:rsid w:val="008841A8"/>
    <w:rsid w:val="00893B94"/>
    <w:rsid w:val="008B326B"/>
    <w:rsid w:val="008C39E8"/>
    <w:rsid w:val="008D5A7B"/>
    <w:rsid w:val="008D626A"/>
    <w:rsid w:val="008E16E6"/>
    <w:rsid w:val="008F714F"/>
    <w:rsid w:val="009125F8"/>
    <w:rsid w:val="00914679"/>
    <w:rsid w:val="00923E49"/>
    <w:rsid w:val="00930139"/>
    <w:rsid w:val="009321C1"/>
    <w:rsid w:val="00935057"/>
    <w:rsid w:val="00936373"/>
    <w:rsid w:val="00937078"/>
    <w:rsid w:val="00941854"/>
    <w:rsid w:val="00942A42"/>
    <w:rsid w:val="00952624"/>
    <w:rsid w:val="009538C3"/>
    <w:rsid w:val="00975FA8"/>
    <w:rsid w:val="009761F6"/>
    <w:rsid w:val="00976ECB"/>
    <w:rsid w:val="00984A7E"/>
    <w:rsid w:val="0098746E"/>
    <w:rsid w:val="00987576"/>
    <w:rsid w:val="00993D14"/>
    <w:rsid w:val="00996199"/>
    <w:rsid w:val="00996C13"/>
    <w:rsid w:val="009970D5"/>
    <w:rsid w:val="009A0527"/>
    <w:rsid w:val="009A5DC6"/>
    <w:rsid w:val="009A6BBC"/>
    <w:rsid w:val="009A7955"/>
    <w:rsid w:val="009B72A7"/>
    <w:rsid w:val="009C2F48"/>
    <w:rsid w:val="009C44F6"/>
    <w:rsid w:val="009C6F14"/>
    <w:rsid w:val="009D1300"/>
    <w:rsid w:val="009D49F9"/>
    <w:rsid w:val="009E7AEF"/>
    <w:rsid w:val="009F378E"/>
    <w:rsid w:val="009F7749"/>
    <w:rsid w:val="00A018B2"/>
    <w:rsid w:val="00A22BD1"/>
    <w:rsid w:val="00A2695F"/>
    <w:rsid w:val="00A30236"/>
    <w:rsid w:val="00A32070"/>
    <w:rsid w:val="00A34841"/>
    <w:rsid w:val="00A368A1"/>
    <w:rsid w:val="00A53BA9"/>
    <w:rsid w:val="00A57C6D"/>
    <w:rsid w:val="00A60D39"/>
    <w:rsid w:val="00A6338D"/>
    <w:rsid w:val="00A72327"/>
    <w:rsid w:val="00A723B1"/>
    <w:rsid w:val="00A74933"/>
    <w:rsid w:val="00A8092B"/>
    <w:rsid w:val="00A850F1"/>
    <w:rsid w:val="00A9210C"/>
    <w:rsid w:val="00A95354"/>
    <w:rsid w:val="00AA23BD"/>
    <w:rsid w:val="00AA4E5F"/>
    <w:rsid w:val="00AB15A0"/>
    <w:rsid w:val="00AB67AB"/>
    <w:rsid w:val="00AB6C1F"/>
    <w:rsid w:val="00AC35BE"/>
    <w:rsid w:val="00AC3A44"/>
    <w:rsid w:val="00AD15AE"/>
    <w:rsid w:val="00AD7B54"/>
    <w:rsid w:val="00AE2529"/>
    <w:rsid w:val="00AE3345"/>
    <w:rsid w:val="00AF04C4"/>
    <w:rsid w:val="00AF27FA"/>
    <w:rsid w:val="00AF2A12"/>
    <w:rsid w:val="00B07636"/>
    <w:rsid w:val="00B21056"/>
    <w:rsid w:val="00B24715"/>
    <w:rsid w:val="00B27CF3"/>
    <w:rsid w:val="00B30350"/>
    <w:rsid w:val="00B33F9E"/>
    <w:rsid w:val="00B36DA6"/>
    <w:rsid w:val="00B42F13"/>
    <w:rsid w:val="00B43851"/>
    <w:rsid w:val="00B61A07"/>
    <w:rsid w:val="00B62C72"/>
    <w:rsid w:val="00B6488F"/>
    <w:rsid w:val="00B73A4E"/>
    <w:rsid w:val="00B74B06"/>
    <w:rsid w:val="00B96B48"/>
    <w:rsid w:val="00B97DDD"/>
    <w:rsid w:val="00BA23AF"/>
    <w:rsid w:val="00BA5357"/>
    <w:rsid w:val="00BB12BC"/>
    <w:rsid w:val="00BB2F85"/>
    <w:rsid w:val="00BB5D07"/>
    <w:rsid w:val="00BC0168"/>
    <w:rsid w:val="00BC0CA5"/>
    <w:rsid w:val="00BC7B84"/>
    <w:rsid w:val="00BC7D3E"/>
    <w:rsid w:val="00BD221F"/>
    <w:rsid w:val="00BD6013"/>
    <w:rsid w:val="00BD6315"/>
    <w:rsid w:val="00BD6478"/>
    <w:rsid w:val="00BE035B"/>
    <w:rsid w:val="00BE360E"/>
    <w:rsid w:val="00BE4FFD"/>
    <w:rsid w:val="00BF17E1"/>
    <w:rsid w:val="00BF7EB0"/>
    <w:rsid w:val="00C17E1F"/>
    <w:rsid w:val="00C2210F"/>
    <w:rsid w:val="00C2796F"/>
    <w:rsid w:val="00C4502B"/>
    <w:rsid w:val="00C51881"/>
    <w:rsid w:val="00C54E14"/>
    <w:rsid w:val="00C6184E"/>
    <w:rsid w:val="00C70EC8"/>
    <w:rsid w:val="00C72EDB"/>
    <w:rsid w:val="00C73270"/>
    <w:rsid w:val="00C73A26"/>
    <w:rsid w:val="00C75DC0"/>
    <w:rsid w:val="00C84805"/>
    <w:rsid w:val="00C97744"/>
    <w:rsid w:val="00CA1F4A"/>
    <w:rsid w:val="00CA1F54"/>
    <w:rsid w:val="00CA3E02"/>
    <w:rsid w:val="00CA4DF2"/>
    <w:rsid w:val="00CA51F5"/>
    <w:rsid w:val="00CB307D"/>
    <w:rsid w:val="00CB4E27"/>
    <w:rsid w:val="00CB5901"/>
    <w:rsid w:val="00CC1C99"/>
    <w:rsid w:val="00CC7B3B"/>
    <w:rsid w:val="00CC7EAC"/>
    <w:rsid w:val="00CE255E"/>
    <w:rsid w:val="00CE2FA7"/>
    <w:rsid w:val="00CE394B"/>
    <w:rsid w:val="00CE4F13"/>
    <w:rsid w:val="00CE6BA2"/>
    <w:rsid w:val="00CF2E60"/>
    <w:rsid w:val="00CF636A"/>
    <w:rsid w:val="00D016C0"/>
    <w:rsid w:val="00D159A5"/>
    <w:rsid w:val="00D23D47"/>
    <w:rsid w:val="00D27706"/>
    <w:rsid w:val="00D306C8"/>
    <w:rsid w:val="00D349E6"/>
    <w:rsid w:val="00D436A8"/>
    <w:rsid w:val="00D5489D"/>
    <w:rsid w:val="00D55A8D"/>
    <w:rsid w:val="00D56F39"/>
    <w:rsid w:val="00D576A1"/>
    <w:rsid w:val="00D57F75"/>
    <w:rsid w:val="00D671CE"/>
    <w:rsid w:val="00D708AA"/>
    <w:rsid w:val="00D7453A"/>
    <w:rsid w:val="00D80B56"/>
    <w:rsid w:val="00D87005"/>
    <w:rsid w:val="00D9043A"/>
    <w:rsid w:val="00D909C1"/>
    <w:rsid w:val="00D92818"/>
    <w:rsid w:val="00D95D9E"/>
    <w:rsid w:val="00DA0286"/>
    <w:rsid w:val="00DB266D"/>
    <w:rsid w:val="00DB368C"/>
    <w:rsid w:val="00DB387A"/>
    <w:rsid w:val="00DB4150"/>
    <w:rsid w:val="00DC70C5"/>
    <w:rsid w:val="00DC7938"/>
    <w:rsid w:val="00DD1AA6"/>
    <w:rsid w:val="00DD6F50"/>
    <w:rsid w:val="00DE7433"/>
    <w:rsid w:val="00DE7740"/>
    <w:rsid w:val="00DE7DF5"/>
    <w:rsid w:val="00DF7B18"/>
    <w:rsid w:val="00E075ED"/>
    <w:rsid w:val="00E14821"/>
    <w:rsid w:val="00E22CF7"/>
    <w:rsid w:val="00E32E13"/>
    <w:rsid w:val="00E51F28"/>
    <w:rsid w:val="00E559F6"/>
    <w:rsid w:val="00E57F15"/>
    <w:rsid w:val="00E6144B"/>
    <w:rsid w:val="00E626F9"/>
    <w:rsid w:val="00E64112"/>
    <w:rsid w:val="00E76195"/>
    <w:rsid w:val="00E76D1B"/>
    <w:rsid w:val="00E80899"/>
    <w:rsid w:val="00E82089"/>
    <w:rsid w:val="00E97317"/>
    <w:rsid w:val="00EA16FB"/>
    <w:rsid w:val="00EC6F2F"/>
    <w:rsid w:val="00EC787B"/>
    <w:rsid w:val="00ED6C65"/>
    <w:rsid w:val="00EE3F8B"/>
    <w:rsid w:val="00EF62C4"/>
    <w:rsid w:val="00EF6876"/>
    <w:rsid w:val="00EF7630"/>
    <w:rsid w:val="00F00475"/>
    <w:rsid w:val="00F01D3D"/>
    <w:rsid w:val="00F02154"/>
    <w:rsid w:val="00F058EA"/>
    <w:rsid w:val="00F1426B"/>
    <w:rsid w:val="00F14FD6"/>
    <w:rsid w:val="00F265BC"/>
    <w:rsid w:val="00F45F15"/>
    <w:rsid w:val="00F53CAA"/>
    <w:rsid w:val="00F5405E"/>
    <w:rsid w:val="00F54831"/>
    <w:rsid w:val="00F672DF"/>
    <w:rsid w:val="00F73001"/>
    <w:rsid w:val="00F916D1"/>
    <w:rsid w:val="00F92555"/>
    <w:rsid w:val="00F92F8E"/>
    <w:rsid w:val="00F959EB"/>
    <w:rsid w:val="00FA05C4"/>
    <w:rsid w:val="00FA3A28"/>
    <w:rsid w:val="00FA7272"/>
    <w:rsid w:val="00FB1509"/>
    <w:rsid w:val="00FB4B77"/>
    <w:rsid w:val="00FC6BE8"/>
    <w:rsid w:val="00FD013C"/>
    <w:rsid w:val="00FD2D62"/>
    <w:rsid w:val="00FD5ED8"/>
    <w:rsid w:val="00FD69CD"/>
    <w:rsid w:val="00FD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7FC6"/>
  <w15:chartTrackingRefBased/>
  <w15:docId w15:val="{F49DFFA9-C28C-46DF-9AFD-7907ABDE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E5F"/>
    <w:pPr>
      <w:spacing w:before="120" w:after="1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FCA"/>
    <w:pPr>
      <w:ind w:left="720"/>
      <w:contextualSpacing/>
    </w:pPr>
  </w:style>
  <w:style w:type="paragraph" w:styleId="NormalWeb">
    <w:name w:val="Normal (Web)"/>
    <w:basedOn w:val="Normal"/>
    <w:uiPriority w:val="99"/>
    <w:semiHidden/>
    <w:unhideWhenUsed/>
    <w:rsid w:val="003B4C13"/>
    <w:pPr>
      <w:spacing w:before="100" w:beforeAutospacing="1" w:after="100" w:afterAutospacing="1" w:line="240" w:lineRule="auto"/>
      <w:jc w:val="left"/>
    </w:pPr>
    <w:rPr>
      <w:rFonts w:eastAsia="Times New Roman" w:cs="Times New Roman"/>
      <w:szCs w:val="24"/>
    </w:rPr>
  </w:style>
  <w:style w:type="character" w:styleId="PlaceholderText">
    <w:name w:val="Placeholder Text"/>
    <w:basedOn w:val="DefaultParagraphFont"/>
    <w:uiPriority w:val="99"/>
    <w:semiHidden/>
    <w:rsid w:val="003D62A3"/>
    <w:rPr>
      <w:color w:val="808080"/>
    </w:rPr>
  </w:style>
  <w:style w:type="table" w:customStyle="1" w:styleId="TableGrid2">
    <w:name w:val="Table Grid2"/>
    <w:basedOn w:val="TableNormal"/>
    <w:next w:val="TableGrid"/>
    <w:uiPriority w:val="59"/>
    <w:rsid w:val="00433F3B"/>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43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66B1"/>
    <w:rPr>
      <w:sz w:val="16"/>
      <w:szCs w:val="16"/>
    </w:rPr>
  </w:style>
  <w:style w:type="paragraph" w:styleId="CommentText">
    <w:name w:val="annotation text"/>
    <w:basedOn w:val="Normal"/>
    <w:link w:val="CommentTextChar"/>
    <w:uiPriority w:val="99"/>
    <w:semiHidden/>
    <w:unhideWhenUsed/>
    <w:rsid w:val="002D66B1"/>
    <w:pPr>
      <w:spacing w:line="240" w:lineRule="auto"/>
    </w:pPr>
    <w:rPr>
      <w:sz w:val="20"/>
      <w:szCs w:val="20"/>
    </w:rPr>
  </w:style>
  <w:style w:type="character" w:customStyle="1" w:styleId="CommentTextChar">
    <w:name w:val="Comment Text Char"/>
    <w:basedOn w:val="DefaultParagraphFont"/>
    <w:link w:val="CommentText"/>
    <w:uiPriority w:val="99"/>
    <w:semiHidden/>
    <w:rsid w:val="002D66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66B1"/>
    <w:rPr>
      <w:b/>
      <w:bCs/>
    </w:rPr>
  </w:style>
  <w:style w:type="character" w:customStyle="1" w:styleId="CommentSubjectChar">
    <w:name w:val="Comment Subject Char"/>
    <w:basedOn w:val="CommentTextChar"/>
    <w:link w:val="CommentSubject"/>
    <w:uiPriority w:val="99"/>
    <w:semiHidden/>
    <w:rsid w:val="002D66B1"/>
    <w:rPr>
      <w:rFonts w:ascii="Times New Roman" w:hAnsi="Times New Roman"/>
      <w:b/>
      <w:bCs/>
      <w:sz w:val="20"/>
      <w:szCs w:val="20"/>
    </w:rPr>
  </w:style>
  <w:style w:type="character" w:styleId="Hyperlink">
    <w:name w:val="Hyperlink"/>
    <w:basedOn w:val="DefaultParagraphFont"/>
    <w:uiPriority w:val="99"/>
    <w:unhideWhenUsed/>
    <w:rsid w:val="007B1258"/>
    <w:rPr>
      <w:color w:val="0563C1" w:themeColor="hyperlink"/>
      <w:u w:val="single"/>
    </w:rPr>
  </w:style>
  <w:style w:type="character" w:styleId="UnresolvedMention">
    <w:name w:val="Unresolved Mention"/>
    <w:basedOn w:val="DefaultParagraphFont"/>
    <w:uiPriority w:val="99"/>
    <w:semiHidden/>
    <w:unhideWhenUsed/>
    <w:rsid w:val="004C6BD7"/>
    <w:rPr>
      <w:color w:val="605E5C"/>
      <w:shd w:val="clear" w:color="auto" w:fill="E1DFDD"/>
    </w:rPr>
  </w:style>
  <w:style w:type="paragraph" w:styleId="FootnoteText">
    <w:name w:val="footnote text"/>
    <w:basedOn w:val="Normal"/>
    <w:link w:val="FootnoteTextChar"/>
    <w:uiPriority w:val="99"/>
    <w:semiHidden/>
    <w:unhideWhenUsed/>
    <w:rsid w:val="00EF687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F6876"/>
    <w:rPr>
      <w:rFonts w:ascii="Times New Roman" w:hAnsi="Times New Roman"/>
      <w:sz w:val="20"/>
      <w:szCs w:val="20"/>
    </w:rPr>
  </w:style>
  <w:style w:type="character" w:styleId="FootnoteReference">
    <w:name w:val="footnote reference"/>
    <w:basedOn w:val="DefaultParagraphFont"/>
    <w:uiPriority w:val="99"/>
    <w:semiHidden/>
    <w:unhideWhenUsed/>
    <w:rsid w:val="00EF6876"/>
    <w:rPr>
      <w:vertAlign w:val="superscript"/>
    </w:rPr>
  </w:style>
  <w:style w:type="paragraph" w:styleId="Header">
    <w:name w:val="header"/>
    <w:basedOn w:val="Normal"/>
    <w:link w:val="HeaderChar"/>
    <w:uiPriority w:val="99"/>
    <w:unhideWhenUsed/>
    <w:rsid w:val="00DE774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E7740"/>
    <w:rPr>
      <w:rFonts w:ascii="Times New Roman" w:hAnsi="Times New Roman"/>
      <w:sz w:val="24"/>
    </w:rPr>
  </w:style>
  <w:style w:type="paragraph" w:styleId="Footer">
    <w:name w:val="footer"/>
    <w:basedOn w:val="Normal"/>
    <w:link w:val="FooterChar"/>
    <w:uiPriority w:val="99"/>
    <w:unhideWhenUsed/>
    <w:rsid w:val="00DE774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E7740"/>
    <w:rPr>
      <w:rFonts w:ascii="Times New Roman" w:hAnsi="Times New Roman"/>
      <w:sz w:val="24"/>
    </w:rPr>
  </w:style>
  <w:style w:type="paragraph" w:styleId="BalloonText">
    <w:name w:val="Balloon Text"/>
    <w:basedOn w:val="Normal"/>
    <w:link w:val="BalloonTextChar"/>
    <w:uiPriority w:val="99"/>
    <w:semiHidden/>
    <w:unhideWhenUsed/>
    <w:rsid w:val="00A22B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28304">
      <w:bodyDiv w:val="1"/>
      <w:marLeft w:val="0"/>
      <w:marRight w:val="0"/>
      <w:marTop w:val="0"/>
      <w:marBottom w:val="0"/>
      <w:divBdr>
        <w:top w:val="none" w:sz="0" w:space="0" w:color="auto"/>
        <w:left w:val="none" w:sz="0" w:space="0" w:color="auto"/>
        <w:bottom w:val="none" w:sz="0" w:space="0" w:color="auto"/>
        <w:right w:val="none" w:sz="0" w:space="0" w:color="auto"/>
      </w:divBdr>
    </w:div>
    <w:div w:id="709841914">
      <w:bodyDiv w:val="1"/>
      <w:marLeft w:val="0"/>
      <w:marRight w:val="0"/>
      <w:marTop w:val="0"/>
      <w:marBottom w:val="0"/>
      <w:divBdr>
        <w:top w:val="none" w:sz="0" w:space="0" w:color="auto"/>
        <w:left w:val="none" w:sz="0" w:space="0" w:color="auto"/>
        <w:bottom w:val="none" w:sz="0" w:space="0" w:color="auto"/>
        <w:right w:val="none" w:sz="0" w:space="0" w:color="auto"/>
      </w:divBdr>
    </w:div>
    <w:div w:id="713391434">
      <w:bodyDiv w:val="1"/>
      <w:marLeft w:val="0"/>
      <w:marRight w:val="0"/>
      <w:marTop w:val="0"/>
      <w:marBottom w:val="0"/>
      <w:divBdr>
        <w:top w:val="none" w:sz="0" w:space="0" w:color="auto"/>
        <w:left w:val="none" w:sz="0" w:space="0" w:color="auto"/>
        <w:bottom w:val="none" w:sz="0" w:space="0" w:color="auto"/>
        <w:right w:val="none" w:sz="0" w:space="0" w:color="auto"/>
      </w:divBdr>
    </w:div>
    <w:div w:id="1159075840">
      <w:bodyDiv w:val="1"/>
      <w:marLeft w:val="0"/>
      <w:marRight w:val="0"/>
      <w:marTop w:val="0"/>
      <w:marBottom w:val="0"/>
      <w:divBdr>
        <w:top w:val="none" w:sz="0" w:space="0" w:color="auto"/>
        <w:left w:val="none" w:sz="0" w:space="0" w:color="auto"/>
        <w:bottom w:val="none" w:sz="0" w:space="0" w:color="auto"/>
        <w:right w:val="none" w:sz="0" w:space="0" w:color="auto"/>
      </w:divBdr>
    </w:div>
    <w:div w:id="1721052265">
      <w:bodyDiv w:val="1"/>
      <w:marLeft w:val="0"/>
      <w:marRight w:val="0"/>
      <w:marTop w:val="0"/>
      <w:marBottom w:val="0"/>
      <w:divBdr>
        <w:top w:val="none" w:sz="0" w:space="0" w:color="auto"/>
        <w:left w:val="none" w:sz="0" w:space="0" w:color="auto"/>
        <w:bottom w:val="none" w:sz="0" w:space="0" w:color="auto"/>
        <w:right w:val="none" w:sz="0" w:space="0" w:color="auto"/>
      </w:divBdr>
    </w:div>
    <w:div w:id="1814440328">
      <w:bodyDiv w:val="1"/>
      <w:marLeft w:val="0"/>
      <w:marRight w:val="0"/>
      <w:marTop w:val="0"/>
      <w:marBottom w:val="0"/>
      <w:divBdr>
        <w:top w:val="none" w:sz="0" w:space="0" w:color="auto"/>
        <w:left w:val="none" w:sz="0" w:space="0" w:color="auto"/>
        <w:bottom w:val="none" w:sz="0" w:space="0" w:color="auto"/>
        <w:right w:val="none" w:sz="0" w:space="0" w:color="auto"/>
      </w:divBdr>
    </w:div>
    <w:div w:id="18862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eluru@ucf.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ayah@engr.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6C33-94F3-485F-9082-8DE2A886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13</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Eluru</dc:creator>
  <cp:keywords/>
  <dc:description/>
  <cp:lastModifiedBy>Naveen Eluru</cp:lastModifiedBy>
  <cp:revision>530</cp:revision>
  <cp:lastPrinted>2021-08-12T16:05:00Z</cp:lastPrinted>
  <dcterms:created xsi:type="dcterms:W3CDTF">2021-08-09T03:45:00Z</dcterms:created>
  <dcterms:modified xsi:type="dcterms:W3CDTF">2022-01-03T16:27:00Z</dcterms:modified>
</cp:coreProperties>
</file>