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A15F00" w14:textId="328FAE23" w:rsidR="00436542" w:rsidRPr="00E63E96" w:rsidRDefault="001E35D9" w:rsidP="000B4225">
      <w:pPr>
        <w:jc w:val="center"/>
        <w:rPr>
          <w:rFonts w:eastAsia="Calibri" w:cs="Times New Roman"/>
          <w:b/>
          <w:sz w:val="26"/>
          <w:szCs w:val="26"/>
        </w:rPr>
      </w:pPr>
      <w:r>
        <w:rPr>
          <w:rFonts w:eastAsia="Calibri" w:cs="Times New Roman"/>
          <w:b/>
          <w:sz w:val="26"/>
          <w:szCs w:val="26"/>
        </w:rPr>
        <w:t xml:space="preserve">A </w:t>
      </w:r>
      <w:r w:rsidR="008D7BA1">
        <w:rPr>
          <w:rFonts w:eastAsia="Calibri" w:cs="Times New Roman"/>
          <w:b/>
          <w:sz w:val="26"/>
          <w:szCs w:val="26"/>
        </w:rPr>
        <w:t xml:space="preserve">New Econometric Approach </w:t>
      </w:r>
      <w:r w:rsidR="00D1172B">
        <w:rPr>
          <w:rFonts w:eastAsia="Calibri" w:cs="Times New Roman"/>
          <w:b/>
          <w:sz w:val="26"/>
          <w:szCs w:val="26"/>
        </w:rPr>
        <w:t>f</w:t>
      </w:r>
      <w:r w:rsidR="008D7BA1">
        <w:rPr>
          <w:rFonts w:eastAsia="Calibri" w:cs="Times New Roman"/>
          <w:b/>
          <w:sz w:val="26"/>
          <w:szCs w:val="26"/>
        </w:rPr>
        <w:t xml:space="preserve">or Modeling Several Count Variables: </w:t>
      </w:r>
      <w:r>
        <w:rPr>
          <w:rFonts w:eastAsia="Calibri" w:cs="Times New Roman"/>
          <w:b/>
          <w:sz w:val="26"/>
          <w:szCs w:val="26"/>
        </w:rPr>
        <w:t xml:space="preserve">A </w:t>
      </w:r>
      <w:r w:rsidR="008D7BA1">
        <w:rPr>
          <w:rFonts w:eastAsia="Calibri" w:cs="Times New Roman"/>
          <w:b/>
          <w:sz w:val="26"/>
          <w:szCs w:val="26"/>
        </w:rPr>
        <w:t xml:space="preserve">Case Study </w:t>
      </w:r>
      <w:r w:rsidR="00D1172B">
        <w:rPr>
          <w:rFonts w:eastAsia="Calibri" w:cs="Times New Roman"/>
          <w:b/>
          <w:sz w:val="26"/>
          <w:szCs w:val="26"/>
        </w:rPr>
        <w:t>o</w:t>
      </w:r>
      <w:r w:rsidR="008D7BA1">
        <w:rPr>
          <w:rFonts w:eastAsia="Calibri" w:cs="Times New Roman"/>
          <w:b/>
          <w:sz w:val="26"/>
          <w:szCs w:val="26"/>
        </w:rPr>
        <w:t xml:space="preserve">f Crash Frequency Analysis </w:t>
      </w:r>
      <w:r w:rsidR="008928C6">
        <w:rPr>
          <w:rFonts w:eastAsia="Calibri" w:cs="Times New Roman"/>
          <w:b/>
          <w:sz w:val="26"/>
          <w:szCs w:val="26"/>
        </w:rPr>
        <w:t>b</w:t>
      </w:r>
      <w:r w:rsidR="008D7BA1">
        <w:rPr>
          <w:rFonts w:eastAsia="Calibri" w:cs="Times New Roman"/>
          <w:b/>
          <w:sz w:val="26"/>
          <w:szCs w:val="26"/>
        </w:rPr>
        <w:t xml:space="preserve">y Crash Type </w:t>
      </w:r>
      <w:r w:rsidR="00F31668">
        <w:rPr>
          <w:rFonts w:eastAsia="Calibri" w:cs="Times New Roman"/>
          <w:b/>
          <w:sz w:val="26"/>
          <w:szCs w:val="26"/>
        </w:rPr>
        <w:t>a</w:t>
      </w:r>
      <w:r w:rsidR="008D7BA1">
        <w:rPr>
          <w:rFonts w:eastAsia="Calibri" w:cs="Times New Roman"/>
          <w:b/>
          <w:sz w:val="26"/>
          <w:szCs w:val="26"/>
        </w:rPr>
        <w:t>nd Severity</w:t>
      </w:r>
    </w:p>
    <w:p w14:paraId="57C67A36" w14:textId="77777777" w:rsidR="00436542" w:rsidRPr="00591187" w:rsidRDefault="00436542" w:rsidP="000B4225">
      <w:pPr>
        <w:jc w:val="center"/>
        <w:rPr>
          <w:rFonts w:eastAsia="Calibri" w:cs="Times New Roman"/>
          <w:b/>
          <w:szCs w:val="24"/>
          <w:highlight w:val="yellow"/>
        </w:rPr>
      </w:pPr>
    </w:p>
    <w:p w14:paraId="14CB705D" w14:textId="0675E98B" w:rsidR="007E26FD" w:rsidRDefault="007E26FD" w:rsidP="000B4225">
      <w:pPr>
        <w:jc w:val="center"/>
        <w:rPr>
          <w:rFonts w:eastAsia="Calibri" w:cs="Times New Roman"/>
          <w:b/>
        </w:rPr>
      </w:pPr>
    </w:p>
    <w:p w14:paraId="748D3F1A" w14:textId="77777777" w:rsidR="000B4225" w:rsidRDefault="000B4225" w:rsidP="000B4225">
      <w:pPr>
        <w:jc w:val="center"/>
        <w:rPr>
          <w:rFonts w:eastAsia="Calibri" w:cs="Times New Roman"/>
          <w:b/>
        </w:rPr>
      </w:pPr>
    </w:p>
    <w:p w14:paraId="65DAF347" w14:textId="77777777" w:rsidR="007E26FD" w:rsidRDefault="007E26FD" w:rsidP="000B4225">
      <w:pPr>
        <w:jc w:val="center"/>
        <w:rPr>
          <w:rFonts w:eastAsia="Calibri" w:cs="Times New Roman"/>
          <w:b/>
        </w:rPr>
      </w:pPr>
    </w:p>
    <w:p w14:paraId="6D4D43BD" w14:textId="3D0F240A" w:rsidR="00236B4A" w:rsidRDefault="002E32EF" w:rsidP="000B4225">
      <w:pPr>
        <w:jc w:val="center"/>
        <w:rPr>
          <w:rFonts w:eastAsia="Calibri" w:cs="Times New Roman"/>
          <w:b/>
        </w:rPr>
      </w:pPr>
      <w:r>
        <w:rPr>
          <w:rFonts w:eastAsia="Calibri" w:cs="Times New Roman"/>
          <w:b/>
        </w:rPr>
        <w:t>Tanmoy Bhowmik</w:t>
      </w:r>
      <w:r w:rsidR="00A92F0F" w:rsidRPr="003F3AEE">
        <w:rPr>
          <w:rFonts w:eastAsia="Times New Roman" w:cs="Times New Roman"/>
          <w:szCs w:val="24"/>
        </w:rPr>
        <w:t>*</w:t>
      </w:r>
    </w:p>
    <w:p w14:paraId="7A2406CA" w14:textId="526238B1" w:rsidR="001F009A" w:rsidRPr="000A2685" w:rsidRDefault="00D40530" w:rsidP="000B4225">
      <w:pPr>
        <w:jc w:val="center"/>
        <w:rPr>
          <w:rFonts w:eastAsia="Times New Roman" w:cs="Times New Roman"/>
          <w:szCs w:val="24"/>
        </w:rPr>
      </w:pPr>
      <w:r>
        <w:rPr>
          <w:rFonts w:eastAsia="Times New Roman" w:cs="Times New Roman"/>
          <w:szCs w:val="24"/>
        </w:rPr>
        <w:t>Post-doctoral Scholar</w:t>
      </w:r>
    </w:p>
    <w:p w14:paraId="482CA943" w14:textId="77777777" w:rsidR="00236B4A" w:rsidRPr="00494C5F" w:rsidRDefault="00236B4A" w:rsidP="000B4225">
      <w:pPr>
        <w:jc w:val="center"/>
        <w:rPr>
          <w:rFonts w:eastAsia="Calibri" w:cs="Times New Roman"/>
        </w:rPr>
      </w:pPr>
      <w:r w:rsidRPr="00494C5F">
        <w:rPr>
          <w:rFonts w:eastAsia="Calibri" w:cs="Times New Roman"/>
        </w:rPr>
        <w:t>Department of Civil, Environmental &amp; Construction Engineering</w:t>
      </w:r>
    </w:p>
    <w:p w14:paraId="74665610" w14:textId="3D5F3641" w:rsidR="00236B4A" w:rsidRDefault="00236B4A" w:rsidP="000B4225">
      <w:pPr>
        <w:jc w:val="center"/>
        <w:rPr>
          <w:rFonts w:eastAsia="Calibri" w:cs="Times New Roman"/>
        </w:rPr>
      </w:pPr>
      <w:r w:rsidRPr="00494C5F">
        <w:rPr>
          <w:rFonts w:eastAsia="Calibri" w:cs="Times New Roman"/>
        </w:rPr>
        <w:t>University of Central Florida</w:t>
      </w:r>
      <w:r w:rsidR="00884A92">
        <w:rPr>
          <w:rFonts w:eastAsia="Calibri" w:cs="Times New Roman"/>
        </w:rPr>
        <w:t>, USA</w:t>
      </w:r>
    </w:p>
    <w:p w14:paraId="57F6BCF8" w14:textId="73D1C963" w:rsidR="00FC4DFC" w:rsidRPr="00FC4DFC" w:rsidRDefault="00FC4DFC" w:rsidP="000B4225">
      <w:pPr>
        <w:pStyle w:val="Standard"/>
        <w:spacing w:after="0" w:line="240" w:lineRule="auto"/>
        <w:jc w:val="center"/>
        <w:rPr>
          <w:rFonts w:ascii="Times New Roman" w:hAnsi="Times New Roman" w:cs="Times New Roman"/>
          <w:color w:val="000000" w:themeColor="text1"/>
          <w:sz w:val="24"/>
          <w:szCs w:val="24"/>
          <w:lang w:val="es-MX"/>
        </w:rPr>
      </w:pPr>
      <w:r>
        <w:rPr>
          <w:rFonts w:ascii="Times New Roman" w:hAnsi="Times New Roman" w:cs="Times New Roman"/>
          <w:color w:val="000000" w:themeColor="text1"/>
          <w:sz w:val="24"/>
          <w:szCs w:val="24"/>
          <w:lang w:val="es-MX"/>
        </w:rPr>
        <w:t xml:space="preserve">Tel: </w:t>
      </w:r>
      <w:r w:rsidRPr="004F5B16">
        <w:rPr>
          <w:rFonts w:ascii="Times New Roman" w:hAnsi="Times New Roman" w:cs="Times New Roman"/>
          <w:color w:val="000000" w:themeColor="text1"/>
          <w:sz w:val="24"/>
          <w:szCs w:val="24"/>
          <w:lang w:val="es-MX"/>
        </w:rPr>
        <w:t>1-407-</w:t>
      </w:r>
      <w:r>
        <w:rPr>
          <w:rFonts w:ascii="Times New Roman" w:hAnsi="Times New Roman" w:cs="Times New Roman"/>
          <w:color w:val="000000" w:themeColor="text1"/>
          <w:sz w:val="24"/>
          <w:szCs w:val="24"/>
          <w:lang w:val="es-MX"/>
        </w:rPr>
        <w:t>927</w:t>
      </w:r>
      <w:r w:rsidRPr="004F5B16">
        <w:rPr>
          <w:rFonts w:ascii="Times New Roman" w:hAnsi="Times New Roman" w:cs="Times New Roman"/>
          <w:color w:val="000000" w:themeColor="text1"/>
          <w:sz w:val="24"/>
          <w:szCs w:val="24"/>
          <w:lang w:val="es-MX"/>
        </w:rPr>
        <w:t>-</w:t>
      </w:r>
      <w:r>
        <w:rPr>
          <w:rFonts w:ascii="Times New Roman" w:hAnsi="Times New Roman" w:cs="Times New Roman"/>
          <w:color w:val="000000" w:themeColor="text1"/>
          <w:sz w:val="24"/>
          <w:szCs w:val="24"/>
          <w:lang w:val="es-MX"/>
        </w:rPr>
        <w:t>6574</w:t>
      </w:r>
      <w:r w:rsidRPr="004F5B16">
        <w:rPr>
          <w:rFonts w:ascii="Times New Roman" w:hAnsi="Times New Roman" w:cs="Times New Roman"/>
          <w:color w:val="000000" w:themeColor="text1"/>
          <w:sz w:val="24"/>
          <w:szCs w:val="24"/>
          <w:lang w:val="es-MX"/>
        </w:rPr>
        <w:t>; Fax: 1-407-823-3315</w:t>
      </w:r>
    </w:p>
    <w:p w14:paraId="1500A524" w14:textId="243B04FB" w:rsidR="00236B4A" w:rsidRDefault="00236B4A" w:rsidP="000B4225">
      <w:pPr>
        <w:jc w:val="center"/>
        <w:rPr>
          <w:rFonts w:eastAsia="Calibri" w:cs="Times New Roman"/>
          <w:color w:val="0000FF"/>
          <w:u w:val="single"/>
        </w:rPr>
      </w:pPr>
      <w:r w:rsidRPr="00494C5F">
        <w:rPr>
          <w:rFonts w:eastAsia="Calibri" w:cs="Times New Roman"/>
        </w:rPr>
        <w:t xml:space="preserve">Email: </w:t>
      </w:r>
      <w:hyperlink r:id="rId11" w:history="1">
        <w:r w:rsidR="00A374CC" w:rsidRPr="00E331D9">
          <w:rPr>
            <w:rStyle w:val="Hyperlink"/>
            <w:rFonts w:eastAsia="Calibri" w:cs="Times New Roman"/>
          </w:rPr>
          <w:t>tanmoy78@knights.ucf.edu</w:t>
        </w:r>
      </w:hyperlink>
    </w:p>
    <w:p w14:paraId="51E0C970" w14:textId="2621AE3D" w:rsidR="00B3012D" w:rsidRDefault="00884A92" w:rsidP="000B4225">
      <w:pPr>
        <w:jc w:val="center"/>
        <w:rPr>
          <w:rFonts w:ascii="Arial" w:hAnsi="Arial" w:cs="Arial"/>
          <w:color w:val="494A4C"/>
          <w:sz w:val="23"/>
          <w:szCs w:val="23"/>
          <w:shd w:val="clear" w:color="auto" w:fill="FFFFFF"/>
        </w:rPr>
      </w:pPr>
      <w:proofErr w:type="spellStart"/>
      <w:r w:rsidRPr="00724447">
        <w:rPr>
          <w:rFonts w:cs="Times New Roman"/>
        </w:rPr>
        <w:t>ORCiD</w:t>
      </w:r>
      <w:proofErr w:type="spellEnd"/>
      <w:r w:rsidRPr="00724447">
        <w:rPr>
          <w:rFonts w:cs="Times New Roman"/>
        </w:rPr>
        <w:t xml:space="preserve"> number:</w:t>
      </w:r>
      <w:r w:rsidR="00DF246B">
        <w:rPr>
          <w:rFonts w:cs="Times New Roman"/>
        </w:rPr>
        <w:t xml:space="preserve"> </w:t>
      </w:r>
      <w:r w:rsidR="00D9595E" w:rsidRPr="00D9595E">
        <w:rPr>
          <w:rFonts w:cs="Times New Roman"/>
        </w:rPr>
        <w:t>0000-0002-0258-1692</w:t>
      </w:r>
    </w:p>
    <w:p w14:paraId="75260E88" w14:textId="01D6D07B" w:rsidR="00D9595E" w:rsidRDefault="00D9595E" w:rsidP="000B4225">
      <w:pPr>
        <w:jc w:val="center"/>
        <w:rPr>
          <w:rFonts w:eastAsia="Calibri" w:cs="Times New Roman"/>
          <w:b/>
          <w:szCs w:val="24"/>
          <w:highlight w:val="yellow"/>
        </w:rPr>
      </w:pPr>
    </w:p>
    <w:p w14:paraId="2908B6F5" w14:textId="38CC2210" w:rsidR="000B4225" w:rsidRDefault="000B4225" w:rsidP="000B4225">
      <w:pPr>
        <w:jc w:val="center"/>
        <w:rPr>
          <w:rFonts w:eastAsia="Calibri" w:cs="Times New Roman"/>
          <w:b/>
          <w:szCs w:val="24"/>
          <w:highlight w:val="yellow"/>
        </w:rPr>
      </w:pPr>
    </w:p>
    <w:p w14:paraId="0A43A232" w14:textId="77777777" w:rsidR="000B4225" w:rsidRPr="00591187" w:rsidRDefault="000B4225" w:rsidP="000B4225">
      <w:pPr>
        <w:jc w:val="center"/>
        <w:rPr>
          <w:rFonts w:eastAsia="Calibri" w:cs="Times New Roman"/>
          <w:b/>
          <w:szCs w:val="24"/>
          <w:highlight w:val="yellow"/>
        </w:rPr>
      </w:pPr>
    </w:p>
    <w:p w14:paraId="619A00C1" w14:textId="77777777" w:rsidR="00CC48DD" w:rsidRPr="00A85639" w:rsidRDefault="00CC48DD" w:rsidP="00CC48DD">
      <w:pPr>
        <w:jc w:val="center"/>
        <w:rPr>
          <w:rFonts w:eastAsia="Calibri" w:cs="Times New Roman"/>
          <w:b/>
        </w:rPr>
      </w:pPr>
      <w:r w:rsidRPr="00A85639">
        <w:rPr>
          <w:rFonts w:eastAsia="Calibri" w:cs="Times New Roman"/>
          <w:b/>
        </w:rPr>
        <w:t>Shamsunnahar Yasmin</w:t>
      </w:r>
    </w:p>
    <w:p w14:paraId="6C1BCE44" w14:textId="77777777" w:rsidR="00CC48DD" w:rsidRPr="00A85639" w:rsidRDefault="00CC48DD" w:rsidP="00CC48DD">
      <w:pPr>
        <w:jc w:val="center"/>
        <w:rPr>
          <w:rFonts w:eastAsia="Calibri" w:cs="Times New Roman"/>
          <w:bCs/>
        </w:rPr>
      </w:pPr>
      <w:r>
        <w:rPr>
          <w:rFonts w:eastAsia="Calibri" w:cs="Times New Roman"/>
          <w:bCs/>
        </w:rPr>
        <w:t xml:space="preserve">Senior </w:t>
      </w:r>
      <w:r w:rsidRPr="00A85639">
        <w:rPr>
          <w:rFonts w:eastAsia="Calibri" w:cs="Times New Roman"/>
          <w:bCs/>
        </w:rPr>
        <w:t>Lecturer/</w:t>
      </w:r>
      <w:r w:rsidRPr="00923CD9">
        <w:rPr>
          <w:rFonts w:eastAsia="Calibri" w:cs="Times New Roman"/>
          <w:bCs/>
        </w:rPr>
        <w:t xml:space="preserve"> </w:t>
      </w:r>
      <w:r>
        <w:rPr>
          <w:rFonts w:eastAsia="Calibri" w:cs="Times New Roman"/>
          <w:bCs/>
        </w:rPr>
        <w:t xml:space="preserve">Senior </w:t>
      </w:r>
      <w:r w:rsidRPr="00A85639">
        <w:rPr>
          <w:rFonts w:eastAsia="Calibri" w:cs="Times New Roman"/>
          <w:bCs/>
        </w:rPr>
        <w:t xml:space="preserve">Research Fellow </w:t>
      </w:r>
    </w:p>
    <w:p w14:paraId="01C504F6" w14:textId="77777777" w:rsidR="00CC48DD" w:rsidRPr="00A85639" w:rsidRDefault="00CC48DD" w:rsidP="00CC48DD">
      <w:pPr>
        <w:jc w:val="center"/>
        <w:rPr>
          <w:rFonts w:eastAsia="Calibri" w:cs="Times New Roman"/>
          <w:bCs/>
        </w:rPr>
      </w:pPr>
      <w:r w:rsidRPr="00A85639">
        <w:rPr>
          <w:rFonts w:eastAsia="Calibri" w:cs="Times New Roman"/>
          <w:bCs/>
        </w:rPr>
        <w:t>Queensland University of Technology (QUT)</w:t>
      </w:r>
    </w:p>
    <w:p w14:paraId="7E5C0763" w14:textId="77777777" w:rsidR="00CC48DD" w:rsidRPr="00A85639" w:rsidRDefault="00CC48DD" w:rsidP="00CC48DD">
      <w:pPr>
        <w:jc w:val="center"/>
        <w:rPr>
          <w:rFonts w:eastAsia="Calibri" w:cs="Times New Roman"/>
          <w:bCs/>
        </w:rPr>
      </w:pPr>
      <w:r w:rsidRPr="00A85639">
        <w:rPr>
          <w:rFonts w:eastAsia="Calibri" w:cs="Times New Roman"/>
          <w:bCs/>
        </w:rPr>
        <w:t>Centre for Accident Research &amp; Road Safety – Queensland (CARRS-Q)</w:t>
      </w:r>
    </w:p>
    <w:p w14:paraId="2B945FBF" w14:textId="77777777" w:rsidR="00CC48DD" w:rsidRPr="00A85639" w:rsidRDefault="00CC48DD" w:rsidP="00CC48DD">
      <w:pPr>
        <w:jc w:val="center"/>
        <w:rPr>
          <w:rFonts w:eastAsia="Calibri" w:cs="Times New Roman"/>
          <w:bCs/>
        </w:rPr>
      </w:pPr>
      <w:r>
        <w:rPr>
          <w:rFonts w:eastAsia="Calibri" w:cs="Times New Roman"/>
          <w:bCs/>
        </w:rPr>
        <w:t>Brisbane</w:t>
      </w:r>
      <w:r w:rsidRPr="00A85639">
        <w:rPr>
          <w:rFonts w:eastAsia="Calibri" w:cs="Times New Roman"/>
          <w:bCs/>
        </w:rPr>
        <w:t>, Australia</w:t>
      </w:r>
    </w:p>
    <w:p w14:paraId="7629F9D3" w14:textId="77777777" w:rsidR="00CC48DD" w:rsidRDefault="00CC48DD" w:rsidP="00CC48DD">
      <w:pPr>
        <w:pStyle w:val="NormalWeb"/>
        <w:shd w:val="clear" w:color="auto" w:fill="FFFFFF"/>
        <w:spacing w:before="0" w:beforeAutospacing="0" w:after="0" w:afterAutospacing="0"/>
        <w:jc w:val="center"/>
        <w:rPr>
          <w:rFonts w:ascii="Calibri" w:hAnsi="Calibri" w:cs="Calibri"/>
          <w:color w:val="000000"/>
          <w:sz w:val="22"/>
          <w:szCs w:val="22"/>
        </w:rPr>
      </w:pPr>
      <w:r w:rsidRPr="00FF42E8">
        <w:rPr>
          <w:rFonts w:eastAsia="Calibri"/>
          <w:szCs w:val="22"/>
          <w:lang w:val="en-CA"/>
        </w:rPr>
        <w:t>Email:</w:t>
      </w:r>
      <w:r>
        <w:rPr>
          <w:color w:val="000000"/>
          <w:sz w:val="20"/>
          <w:szCs w:val="20"/>
        </w:rPr>
        <w:t> </w:t>
      </w:r>
      <w:hyperlink r:id="rId12" w:tgtFrame="_blank" w:history="1">
        <w:r w:rsidRPr="00FF42E8">
          <w:rPr>
            <w:rStyle w:val="Hyperlink"/>
            <w:rFonts w:eastAsia="Calibri"/>
            <w:szCs w:val="22"/>
            <w:lang w:val="en-CA"/>
          </w:rPr>
          <w:t>shams.yasmin@qut.edu.au</w:t>
        </w:r>
      </w:hyperlink>
    </w:p>
    <w:p w14:paraId="436212E1" w14:textId="77777777" w:rsidR="00CC48DD" w:rsidRPr="00A85639" w:rsidRDefault="00CC48DD" w:rsidP="00CC48DD">
      <w:pPr>
        <w:jc w:val="center"/>
        <w:rPr>
          <w:rFonts w:eastAsia="Calibri" w:cs="Times New Roman"/>
          <w:bCs/>
        </w:rPr>
      </w:pPr>
      <w:r w:rsidRPr="00A85639">
        <w:rPr>
          <w:rFonts w:eastAsia="Calibri" w:cs="Times New Roman"/>
          <w:bCs/>
        </w:rPr>
        <w:t>Telephone: +61731384677</w:t>
      </w:r>
    </w:p>
    <w:p w14:paraId="247B2C10" w14:textId="77777777" w:rsidR="00CC48DD" w:rsidRPr="00A85639" w:rsidRDefault="00CC48DD" w:rsidP="00CC48DD">
      <w:pPr>
        <w:jc w:val="center"/>
        <w:rPr>
          <w:rFonts w:eastAsia="Calibri" w:cs="Times New Roman"/>
          <w:bCs/>
        </w:rPr>
      </w:pPr>
      <w:proofErr w:type="spellStart"/>
      <w:r w:rsidRPr="00A85639">
        <w:rPr>
          <w:rFonts w:eastAsia="Calibri" w:cs="Times New Roman"/>
          <w:bCs/>
        </w:rPr>
        <w:t>ORCiD</w:t>
      </w:r>
      <w:proofErr w:type="spellEnd"/>
      <w:r w:rsidRPr="00A85639">
        <w:rPr>
          <w:rFonts w:eastAsia="Calibri" w:cs="Times New Roman"/>
          <w:bCs/>
        </w:rPr>
        <w:t xml:space="preserve"> number: 0000-0001-7856-5376</w:t>
      </w:r>
    </w:p>
    <w:p w14:paraId="6DB890F1" w14:textId="720929D2" w:rsidR="00B3012D" w:rsidRDefault="00B3012D" w:rsidP="000B4225">
      <w:pPr>
        <w:jc w:val="center"/>
        <w:rPr>
          <w:rFonts w:eastAsia="Calibri" w:cs="Times New Roman"/>
        </w:rPr>
      </w:pPr>
    </w:p>
    <w:p w14:paraId="64964C08" w14:textId="0894A4A4" w:rsidR="000B4225" w:rsidRDefault="000B4225" w:rsidP="000B4225">
      <w:pPr>
        <w:jc w:val="center"/>
        <w:rPr>
          <w:rFonts w:eastAsia="Calibri" w:cs="Times New Roman"/>
        </w:rPr>
      </w:pPr>
    </w:p>
    <w:p w14:paraId="497CC9F8" w14:textId="77777777" w:rsidR="000B4225" w:rsidRPr="00494C5F" w:rsidRDefault="000B4225" w:rsidP="000B4225">
      <w:pPr>
        <w:jc w:val="center"/>
        <w:rPr>
          <w:rFonts w:eastAsia="Calibri" w:cs="Times New Roman"/>
        </w:rPr>
      </w:pPr>
    </w:p>
    <w:p w14:paraId="45DD2DC6" w14:textId="2E34DD00" w:rsidR="00440CCC" w:rsidRPr="00494C5F" w:rsidRDefault="00440CCC" w:rsidP="000B4225">
      <w:pPr>
        <w:jc w:val="center"/>
        <w:rPr>
          <w:rFonts w:eastAsia="Calibri" w:cs="Times New Roman"/>
          <w:b/>
        </w:rPr>
      </w:pPr>
      <w:r w:rsidRPr="00494C5F">
        <w:rPr>
          <w:rFonts w:eastAsia="Calibri" w:cs="Times New Roman"/>
          <w:b/>
        </w:rPr>
        <w:t>Naveen Eluru</w:t>
      </w:r>
    </w:p>
    <w:p w14:paraId="5131D8C6" w14:textId="02C960F4" w:rsidR="00440CCC" w:rsidRPr="00494C5F" w:rsidRDefault="00440CCC" w:rsidP="000B4225">
      <w:pPr>
        <w:jc w:val="center"/>
        <w:rPr>
          <w:rFonts w:eastAsia="Calibri" w:cs="Times New Roman"/>
        </w:rPr>
      </w:pPr>
      <w:r w:rsidRPr="00494C5F">
        <w:rPr>
          <w:rFonts w:eastAsia="Calibri" w:cs="Times New Roman"/>
        </w:rPr>
        <w:t>Professor</w:t>
      </w:r>
    </w:p>
    <w:p w14:paraId="00560797" w14:textId="77777777" w:rsidR="00440CCC" w:rsidRPr="00494C5F" w:rsidRDefault="00440CCC" w:rsidP="000B4225">
      <w:pPr>
        <w:jc w:val="center"/>
        <w:rPr>
          <w:rFonts w:eastAsia="Calibri" w:cs="Times New Roman"/>
        </w:rPr>
      </w:pPr>
      <w:r w:rsidRPr="00494C5F">
        <w:rPr>
          <w:rFonts w:eastAsia="Calibri" w:cs="Times New Roman"/>
        </w:rPr>
        <w:t>Department of Civil, Environmental &amp; Construction Engineering</w:t>
      </w:r>
    </w:p>
    <w:p w14:paraId="7F6DCF4B" w14:textId="4D6B5B3F" w:rsidR="00440CCC" w:rsidRPr="00494C5F" w:rsidRDefault="00440CCC" w:rsidP="000B4225">
      <w:pPr>
        <w:jc w:val="center"/>
        <w:rPr>
          <w:rFonts w:eastAsia="Calibri" w:cs="Times New Roman"/>
        </w:rPr>
      </w:pPr>
      <w:r w:rsidRPr="00494C5F">
        <w:rPr>
          <w:rFonts w:eastAsia="Calibri" w:cs="Times New Roman"/>
        </w:rPr>
        <w:t>University of Central Florida</w:t>
      </w:r>
      <w:r w:rsidR="00884A92">
        <w:rPr>
          <w:rFonts w:eastAsia="Calibri" w:cs="Times New Roman"/>
        </w:rPr>
        <w:t>, USA</w:t>
      </w:r>
    </w:p>
    <w:p w14:paraId="32B66D3B" w14:textId="77777777" w:rsidR="00440CCC" w:rsidRPr="00494C5F" w:rsidRDefault="00440CCC" w:rsidP="000B4225">
      <w:pPr>
        <w:jc w:val="center"/>
        <w:rPr>
          <w:rFonts w:eastAsia="Calibri" w:cs="Times New Roman"/>
        </w:rPr>
      </w:pPr>
      <w:r w:rsidRPr="00494C5F">
        <w:rPr>
          <w:rFonts w:eastAsia="Calibri" w:cs="Times New Roman"/>
        </w:rPr>
        <w:t>Tel: 407-823-4815, Fax: 407-823-3315</w:t>
      </w:r>
    </w:p>
    <w:p w14:paraId="1B893166" w14:textId="77777777" w:rsidR="00440CCC" w:rsidRDefault="00440CCC" w:rsidP="000B4225">
      <w:pPr>
        <w:jc w:val="center"/>
        <w:rPr>
          <w:rFonts w:eastAsia="Calibri" w:cs="Times New Roman"/>
          <w:color w:val="0000FF"/>
          <w:u w:val="single"/>
        </w:rPr>
      </w:pPr>
      <w:r w:rsidRPr="00494C5F">
        <w:rPr>
          <w:rFonts w:eastAsia="Calibri" w:cs="Times New Roman"/>
        </w:rPr>
        <w:t xml:space="preserve">Email: </w:t>
      </w:r>
      <w:hyperlink r:id="rId13" w:history="1">
        <w:r w:rsidRPr="00494C5F">
          <w:rPr>
            <w:rFonts w:eastAsia="Calibri" w:cs="Times New Roman"/>
            <w:color w:val="0000FF"/>
            <w:u w:val="single"/>
          </w:rPr>
          <w:t>naveen.eluru@ucf.edu</w:t>
        </w:r>
      </w:hyperlink>
    </w:p>
    <w:p w14:paraId="7938DC09" w14:textId="77777777" w:rsidR="00440CCC" w:rsidRDefault="00440CCC" w:rsidP="000B4225">
      <w:pPr>
        <w:jc w:val="center"/>
        <w:rPr>
          <w:rStyle w:val="Hyperlink"/>
          <w:szCs w:val="24"/>
        </w:rPr>
      </w:pPr>
      <w:proofErr w:type="spellStart"/>
      <w:r w:rsidRPr="00724447">
        <w:rPr>
          <w:rFonts w:cs="Times New Roman"/>
        </w:rPr>
        <w:t>ORCiD</w:t>
      </w:r>
      <w:proofErr w:type="spellEnd"/>
      <w:r w:rsidRPr="00724447">
        <w:rPr>
          <w:rFonts w:cs="Times New Roman"/>
        </w:rPr>
        <w:t xml:space="preserve"> number: </w:t>
      </w:r>
      <w:r w:rsidRPr="006E7DCE">
        <w:rPr>
          <w:rFonts w:cs="Times New Roman"/>
        </w:rPr>
        <w:t>0000-0003-1221-4113</w:t>
      </w:r>
    </w:p>
    <w:p w14:paraId="164F0568" w14:textId="3D7FAB6C" w:rsidR="00D36C10" w:rsidRDefault="00D36C10" w:rsidP="00DE4A1C">
      <w:pPr>
        <w:rPr>
          <w:rFonts w:eastAsia="Calibri" w:cs="Times New Roman"/>
          <w:b/>
          <w:szCs w:val="24"/>
          <w:highlight w:val="yellow"/>
        </w:rPr>
      </w:pPr>
    </w:p>
    <w:p w14:paraId="530A95A4" w14:textId="77777777" w:rsidR="00FD0053" w:rsidRDefault="00FD0053" w:rsidP="00DE4A1C">
      <w:pPr>
        <w:rPr>
          <w:rFonts w:eastAsia="Calibri" w:cs="Times New Roman"/>
          <w:b/>
          <w:szCs w:val="24"/>
        </w:rPr>
      </w:pPr>
    </w:p>
    <w:p w14:paraId="164F638F" w14:textId="77777777" w:rsidR="00B3012D" w:rsidRPr="003F3AEE" w:rsidRDefault="00B3012D" w:rsidP="00DE4A1C">
      <w:pPr>
        <w:rPr>
          <w:rFonts w:eastAsia="Calibri" w:cs="Times New Roman"/>
          <w:b/>
          <w:szCs w:val="24"/>
        </w:rPr>
      </w:pPr>
    </w:p>
    <w:p w14:paraId="146B57FF" w14:textId="0D884F9D" w:rsidR="000B4225" w:rsidRDefault="000B4225" w:rsidP="009F4BE0">
      <w:pPr>
        <w:jc w:val="left"/>
        <w:rPr>
          <w:rFonts w:eastAsia="Calibri" w:cs="Times New Roman"/>
          <w:color w:val="000000"/>
        </w:rPr>
      </w:pPr>
    </w:p>
    <w:p w14:paraId="4162E4F8" w14:textId="0DDE14EC" w:rsidR="000B4225" w:rsidRDefault="000B4225" w:rsidP="009F4BE0">
      <w:pPr>
        <w:jc w:val="left"/>
        <w:rPr>
          <w:rFonts w:eastAsia="Calibri" w:cs="Times New Roman"/>
          <w:color w:val="000000"/>
        </w:rPr>
      </w:pPr>
    </w:p>
    <w:p w14:paraId="1BD56253" w14:textId="08730A62" w:rsidR="000B4225" w:rsidRDefault="000B4225" w:rsidP="009F4BE0">
      <w:pPr>
        <w:jc w:val="left"/>
        <w:rPr>
          <w:rFonts w:eastAsia="Calibri" w:cs="Times New Roman"/>
          <w:color w:val="000000"/>
        </w:rPr>
      </w:pPr>
    </w:p>
    <w:p w14:paraId="40620201" w14:textId="1A091234" w:rsidR="000B4225" w:rsidRDefault="000B4225" w:rsidP="009F4BE0">
      <w:pPr>
        <w:jc w:val="left"/>
        <w:rPr>
          <w:rFonts w:eastAsia="Calibri" w:cs="Times New Roman"/>
          <w:color w:val="000000"/>
        </w:rPr>
      </w:pPr>
    </w:p>
    <w:p w14:paraId="690C085D" w14:textId="6B81DF1E" w:rsidR="000B4225" w:rsidRDefault="000B4225" w:rsidP="009F4BE0">
      <w:pPr>
        <w:jc w:val="left"/>
        <w:rPr>
          <w:rFonts w:eastAsia="Calibri" w:cs="Times New Roman"/>
          <w:color w:val="000000"/>
        </w:rPr>
      </w:pPr>
    </w:p>
    <w:p w14:paraId="1B7F5010" w14:textId="77777777" w:rsidR="000B4225" w:rsidRDefault="000B4225" w:rsidP="009F4BE0">
      <w:pPr>
        <w:jc w:val="left"/>
        <w:rPr>
          <w:rFonts w:eastAsia="Calibri" w:cs="Times New Roman"/>
          <w:color w:val="000000"/>
        </w:rPr>
      </w:pPr>
    </w:p>
    <w:p w14:paraId="1148104C" w14:textId="77777777" w:rsidR="00455895" w:rsidRPr="003F3AEE" w:rsidRDefault="00455895" w:rsidP="009F4BE0">
      <w:pPr>
        <w:jc w:val="left"/>
        <w:rPr>
          <w:rFonts w:eastAsia="Calibri" w:cs="Times New Roman"/>
          <w:color w:val="000000"/>
        </w:rPr>
      </w:pPr>
    </w:p>
    <w:p w14:paraId="66D19684" w14:textId="174EB6B0" w:rsidR="00B3012D" w:rsidRDefault="009F4BE0" w:rsidP="009F4BE0">
      <w:pPr>
        <w:pBdr>
          <w:top w:val="single" w:sz="4" w:space="1" w:color="auto"/>
        </w:pBdr>
        <w:jc w:val="left"/>
        <w:rPr>
          <w:rFonts w:eastAsia="Times New Roman" w:cs="Times New Roman"/>
          <w:szCs w:val="24"/>
        </w:rPr>
      </w:pPr>
      <w:r w:rsidRPr="003F3AEE">
        <w:rPr>
          <w:rFonts w:eastAsia="Times New Roman" w:cs="Times New Roman"/>
          <w:szCs w:val="24"/>
        </w:rPr>
        <w:t>*Corresponding author</w:t>
      </w:r>
    </w:p>
    <w:p w14:paraId="13C0101A" w14:textId="6FCD8C94" w:rsidR="00D5094D" w:rsidRDefault="002749C6" w:rsidP="00C85D89">
      <w:pPr>
        <w:pStyle w:val="Heading1"/>
        <w:numPr>
          <w:ilvl w:val="0"/>
          <w:numId w:val="0"/>
        </w:numPr>
        <w:ind w:left="432" w:hanging="432"/>
        <w:rPr>
          <w:sz w:val="28"/>
        </w:rPr>
      </w:pPr>
      <w:r w:rsidRPr="006E7487">
        <w:lastRenderedPageBreak/>
        <w:t>ABSTRACT</w:t>
      </w:r>
    </w:p>
    <w:p w14:paraId="41464924" w14:textId="3AFE254B" w:rsidR="00397463" w:rsidRDefault="00843C01" w:rsidP="004219E7">
      <w:r>
        <w:rPr>
          <w:szCs w:val="24"/>
        </w:rPr>
        <w:t>T</w:t>
      </w:r>
      <w:r w:rsidRPr="0062082F">
        <w:rPr>
          <w:szCs w:val="24"/>
        </w:rPr>
        <w:t xml:space="preserve">here is limited adoption of research modeling </w:t>
      </w:r>
      <w:r w:rsidR="00F6575A">
        <w:rPr>
          <w:szCs w:val="24"/>
        </w:rPr>
        <w:t xml:space="preserve">crash </w:t>
      </w:r>
      <w:r w:rsidRPr="0062082F">
        <w:rPr>
          <w:szCs w:val="24"/>
        </w:rPr>
        <w:t>severity frequency considering different crash types</w:t>
      </w:r>
      <w:r>
        <w:t xml:space="preserve"> due to the challenge associated with analy</w:t>
      </w:r>
      <w:r w:rsidR="002938EA">
        <w:t>z</w:t>
      </w:r>
      <w:r>
        <w:t xml:space="preserve">ing large number of dependent variables. </w:t>
      </w:r>
      <w:r w:rsidR="00EF4878">
        <w:t xml:space="preserve">The proposed research contributes to burgeoning econometric and safety literature by developing a joint modeling approach that can accommodate for </w:t>
      </w:r>
      <w:r w:rsidR="00F6575A">
        <w:t>several</w:t>
      </w:r>
      <w:r w:rsidR="00EF4878">
        <w:t xml:space="preserve"> dependent variables within a parsimonious structure. </w:t>
      </w:r>
      <w:r w:rsidR="002D5349">
        <w:rPr>
          <w:szCs w:val="24"/>
        </w:rPr>
        <w:t xml:space="preserve">By </w:t>
      </w:r>
      <w:r w:rsidR="00F6575A">
        <w:rPr>
          <w:szCs w:val="24"/>
        </w:rPr>
        <w:t xml:space="preserve">recasting </w:t>
      </w:r>
      <w:r w:rsidR="002D5349">
        <w:rPr>
          <w:szCs w:val="24"/>
        </w:rPr>
        <w:t xml:space="preserve">the </w:t>
      </w:r>
      <w:r w:rsidR="00F6575A">
        <w:rPr>
          <w:szCs w:val="24"/>
        </w:rPr>
        <w:t xml:space="preserve">analysis levels </w:t>
      </w:r>
      <w:r w:rsidR="00433982">
        <w:rPr>
          <w:szCs w:val="24"/>
        </w:rPr>
        <w:t>for dependent</w:t>
      </w:r>
      <w:r w:rsidR="002D5349">
        <w:rPr>
          <w:szCs w:val="24"/>
        </w:rPr>
        <w:t xml:space="preserve"> variable</w:t>
      </w:r>
      <w:r w:rsidR="00F6575A">
        <w:rPr>
          <w:szCs w:val="24"/>
        </w:rPr>
        <w:t>s</w:t>
      </w:r>
      <w:r w:rsidR="002D5349">
        <w:rPr>
          <w:szCs w:val="24"/>
        </w:rPr>
        <w:t>, the proposed approach allows for flexible consideration of crashes by type and severity within a single framework</w:t>
      </w:r>
      <w:r w:rsidR="003C0F75">
        <w:rPr>
          <w:szCs w:val="24"/>
        </w:rPr>
        <w:t>.</w:t>
      </w:r>
      <w:r w:rsidR="002D5349">
        <w:t xml:space="preserve"> </w:t>
      </w:r>
      <w:r w:rsidR="00AA17E5">
        <w:t xml:space="preserve">Specifically, </w:t>
      </w:r>
      <w:r w:rsidR="00AA17E5" w:rsidRPr="009D0828">
        <w:rPr>
          <w:rFonts w:eastAsia="Calibri" w:cs="Times New Roman"/>
          <w:szCs w:val="24"/>
        </w:rPr>
        <w:t xml:space="preserve">we employ a Panel </w:t>
      </w:r>
      <w:r w:rsidR="00DD3726">
        <w:rPr>
          <w:rFonts w:eastAsia="Calibri" w:cs="Times New Roman"/>
          <w:szCs w:val="24"/>
        </w:rPr>
        <w:t>M</w:t>
      </w:r>
      <w:r w:rsidR="00AA17E5" w:rsidRPr="009D0828">
        <w:rPr>
          <w:rFonts w:eastAsia="Calibri" w:cs="Times New Roman"/>
          <w:szCs w:val="24"/>
        </w:rPr>
        <w:t xml:space="preserve">ixed Negative Binomial- Generalized Ordered </w:t>
      </w:r>
      <w:proofErr w:type="spellStart"/>
      <w:r w:rsidR="00AA17E5" w:rsidRPr="009D0828">
        <w:rPr>
          <w:rFonts w:eastAsia="Calibri" w:cs="Times New Roman"/>
          <w:szCs w:val="24"/>
        </w:rPr>
        <w:t>Probit</w:t>
      </w:r>
      <w:proofErr w:type="spellEnd"/>
      <w:r w:rsidR="00AA17E5" w:rsidRPr="009D0828">
        <w:rPr>
          <w:rFonts w:eastAsia="Calibri" w:cs="Times New Roman"/>
          <w:szCs w:val="24"/>
        </w:rPr>
        <w:t xml:space="preserve"> Fractional Spilt (PMNB-GOPFS) model where the first component (NB) accommodate</w:t>
      </w:r>
      <w:r w:rsidR="00F6575A">
        <w:rPr>
          <w:rFonts w:eastAsia="Calibri" w:cs="Times New Roman"/>
          <w:szCs w:val="24"/>
        </w:rPr>
        <w:t>s</w:t>
      </w:r>
      <w:r w:rsidR="00AA17E5" w:rsidRPr="009D0828">
        <w:rPr>
          <w:rFonts w:eastAsia="Calibri" w:cs="Times New Roman"/>
          <w:szCs w:val="24"/>
        </w:rPr>
        <w:t xml:space="preserve"> for crash frequency by crash type and the later component (GOPFS) </w:t>
      </w:r>
      <w:r w:rsidR="00433982" w:rsidRPr="009D0828">
        <w:rPr>
          <w:rFonts w:eastAsia="Calibri" w:cs="Times New Roman"/>
          <w:szCs w:val="24"/>
        </w:rPr>
        <w:t>stud</w:t>
      </w:r>
      <w:r w:rsidR="00433982">
        <w:rPr>
          <w:rFonts w:eastAsia="Calibri" w:cs="Times New Roman"/>
          <w:szCs w:val="24"/>
        </w:rPr>
        <w:t>ies</w:t>
      </w:r>
      <w:r w:rsidR="00AA17E5" w:rsidRPr="009D0828">
        <w:rPr>
          <w:rFonts w:eastAsia="Calibri" w:cs="Times New Roman"/>
          <w:szCs w:val="24"/>
        </w:rPr>
        <w:t xml:space="preserve"> the fraction of severity outcome for different crash types.</w:t>
      </w:r>
      <w:r w:rsidR="006B7B1C">
        <w:t xml:space="preserve"> </w:t>
      </w:r>
      <w:r w:rsidR="00B23B0F">
        <w:t xml:space="preserve">The proposed model system increases interaction </w:t>
      </w:r>
      <w:r w:rsidR="006519F7">
        <w:t>between dependent</w:t>
      </w:r>
      <w:r w:rsidR="00B23B0F">
        <w:t xml:space="preserve"> variables through observed variables thus reducing the dependency on unobserved interactions across dependent variables. </w:t>
      </w:r>
      <w:r w:rsidR="00AA174A">
        <w:t xml:space="preserve">Thus, the proposed approach allows for the estimation of parsimonious specifications reducing the need for computationally intensive simulation based estimation. The proposed system is also flexible to accommodate for common unobserved effects including: </w:t>
      </w:r>
      <w:r w:rsidR="00AA174A" w:rsidRPr="00BF2789">
        <w:rPr>
          <w:rFonts w:eastAsia="Times New Roman" w:cs="Times New Roman"/>
          <w:szCs w:val="24"/>
          <w:lang w:val="en-US"/>
        </w:rPr>
        <w:t>1) common unobserved factors simultaneously</w:t>
      </w:r>
      <w:r w:rsidR="00AA174A">
        <w:rPr>
          <w:rFonts w:eastAsia="Times New Roman" w:cs="Times New Roman"/>
          <w:szCs w:val="24"/>
          <w:lang w:val="en-US"/>
        </w:rPr>
        <w:t xml:space="preserve"> </w:t>
      </w:r>
      <w:r w:rsidR="00AA174A" w:rsidRPr="00BF2789">
        <w:rPr>
          <w:rFonts w:eastAsia="Times New Roman" w:cs="Times New Roman"/>
          <w:szCs w:val="24"/>
          <w:lang w:val="en-US"/>
        </w:rPr>
        <w:t>affecting crash counts of different crash types; 2) common unobserved factors</w:t>
      </w:r>
      <w:r w:rsidR="00AA174A">
        <w:rPr>
          <w:rFonts w:eastAsia="Times New Roman" w:cs="Times New Roman"/>
          <w:szCs w:val="24"/>
          <w:lang w:val="en-US"/>
        </w:rPr>
        <w:t xml:space="preserve"> </w:t>
      </w:r>
      <w:r w:rsidR="00AA174A" w:rsidRPr="00BF2789">
        <w:rPr>
          <w:rFonts w:eastAsia="Times New Roman" w:cs="Times New Roman"/>
          <w:szCs w:val="24"/>
          <w:lang w:val="en-US"/>
        </w:rPr>
        <w:t>simultaneously affecting crash severity propo</w:t>
      </w:r>
      <w:r w:rsidR="00AA174A">
        <w:rPr>
          <w:rFonts w:eastAsia="Times New Roman" w:cs="Times New Roman"/>
          <w:szCs w:val="24"/>
          <w:lang w:val="en-US"/>
        </w:rPr>
        <w:t>rtions of different crash types</w:t>
      </w:r>
      <w:r w:rsidR="00AA174A" w:rsidRPr="00BF2789">
        <w:rPr>
          <w:rFonts w:eastAsia="Times New Roman" w:cs="Times New Roman"/>
          <w:szCs w:val="24"/>
          <w:lang w:val="en-US"/>
        </w:rPr>
        <w:t>; and 3) common unobserved factors that simultaneously impact crash counts and severity proportions by different crash types.</w:t>
      </w:r>
      <w:r w:rsidR="00AA174A">
        <w:rPr>
          <w:rFonts w:eastAsia="Times New Roman" w:cs="Times New Roman"/>
          <w:szCs w:val="24"/>
          <w:lang w:val="en-US"/>
        </w:rPr>
        <w:t xml:space="preserve"> </w:t>
      </w:r>
      <w:r w:rsidR="002A7C56">
        <w:rPr>
          <w:rFonts w:eastAsia="Times New Roman" w:cs="Times New Roman"/>
          <w:szCs w:val="24"/>
          <w:lang w:val="en-US"/>
        </w:rPr>
        <w:t xml:space="preserve">The model system performance is illustrated using a simulation study. </w:t>
      </w:r>
      <w:r w:rsidR="00AA174A" w:rsidRPr="00A02765">
        <w:rPr>
          <w:rFonts w:eastAsia="Calibri" w:cs="Times New Roman"/>
          <w:szCs w:val="24"/>
        </w:rPr>
        <w:t xml:space="preserve">The empirical analysis </w:t>
      </w:r>
      <w:r w:rsidR="00AA174A">
        <w:rPr>
          <w:rFonts w:eastAsia="Calibri" w:cs="Times New Roman"/>
          <w:szCs w:val="24"/>
        </w:rPr>
        <w:t xml:space="preserve">was conducted using zonal </w:t>
      </w:r>
      <w:r w:rsidR="00AA174A" w:rsidRPr="00A02765">
        <w:rPr>
          <w:rFonts w:eastAsia="Calibri" w:cs="Times New Roman"/>
          <w:szCs w:val="24"/>
        </w:rPr>
        <w:t>level crash count data for the year 2016</w:t>
      </w:r>
      <w:r w:rsidR="00AA174A">
        <w:rPr>
          <w:rFonts w:eastAsia="Calibri" w:cs="Times New Roman"/>
          <w:szCs w:val="24"/>
        </w:rPr>
        <w:t xml:space="preserve"> </w:t>
      </w:r>
      <w:r w:rsidR="00AA174A" w:rsidRPr="00A02765">
        <w:rPr>
          <w:rFonts w:eastAsia="Calibri" w:cs="Times New Roman"/>
          <w:szCs w:val="24"/>
        </w:rPr>
        <w:t xml:space="preserve">from Central Florida </w:t>
      </w:r>
      <w:r w:rsidR="00AA174A">
        <w:rPr>
          <w:rFonts w:eastAsia="Calibri" w:cs="Times New Roman"/>
          <w:szCs w:val="24"/>
        </w:rPr>
        <w:t xml:space="preserve">while considering a comprehensive set of </w:t>
      </w:r>
      <w:r w:rsidR="00AA174A" w:rsidRPr="009D0828">
        <w:rPr>
          <w:rFonts w:eastAsia="Calibri" w:cs="Times New Roman"/>
          <w:szCs w:val="24"/>
        </w:rPr>
        <w:t xml:space="preserve">exogenous variables including roadway, built environment, land-use, </w:t>
      </w:r>
      <w:proofErr w:type="gramStart"/>
      <w:r w:rsidR="00AA174A" w:rsidRPr="009D0828">
        <w:rPr>
          <w:rFonts w:eastAsia="Calibri" w:cs="Times New Roman"/>
          <w:szCs w:val="24"/>
        </w:rPr>
        <w:t>traffic</w:t>
      </w:r>
      <w:proofErr w:type="gramEnd"/>
      <w:r w:rsidR="00AA174A" w:rsidRPr="009D0828">
        <w:rPr>
          <w:rFonts w:eastAsia="Calibri" w:cs="Times New Roman"/>
          <w:szCs w:val="24"/>
        </w:rPr>
        <w:t xml:space="preserve"> and sociodemographic characteristics</w:t>
      </w:r>
      <w:r w:rsidR="00AA174A">
        <w:rPr>
          <w:rFonts w:eastAsia="Calibri" w:cs="Times New Roman"/>
          <w:szCs w:val="24"/>
        </w:rPr>
        <w:t xml:space="preserve">. To </w:t>
      </w:r>
      <w:r w:rsidR="00AA174A">
        <w:rPr>
          <w:rFonts w:eastAsiaTheme="minorEastAsia"/>
          <w:szCs w:val="24"/>
        </w:rPr>
        <w:t xml:space="preserve">illustrate the applicability of our proposed system, we carried out a comparison exercise between our proposed joint PMNB-GOPFS and the traditional multivariate system for predicting crash counts across different crash severities. </w:t>
      </w:r>
      <w:r w:rsidR="00AA174A">
        <w:rPr>
          <w:rFonts w:cs="Times New Roman"/>
        </w:rPr>
        <w:t xml:space="preserve">The resulting goodness of fit measures clearly highlight the superior/equivalent performance of the proposed PMNB-GOPFS model over the traditional RPMNB model with </w:t>
      </w:r>
      <w:r w:rsidR="008F6EDE">
        <w:rPr>
          <w:rFonts w:cs="Times New Roman"/>
        </w:rPr>
        <w:t>less than</w:t>
      </w:r>
      <w:r w:rsidR="00AA174A">
        <w:rPr>
          <w:rFonts w:cs="Times New Roman"/>
        </w:rPr>
        <w:t xml:space="preserve"> half the number of parameters.</w:t>
      </w:r>
      <w:r w:rsidR="00AA174A">
        <w:rPr>
          <w:rFonts w:eastAsiaTheme="minorEastAsia"/>
          <w:szCs w:val="24"/>
        </w:rPr>
        <w:t xml:space="preserve"> </w:t>
      </w:r>
      <w:r w:rsidR="008F6EDE">
        <w:rPr>
          <w:rFonts w:eastAsiaTheme="minorEastAsia"/>
          <w:szCs w:val="24"/>
        </w:rPr>
        <w:t xml:space="preserve">The proposed framework </w:t>
      </w:r>
      <w:r w:rsidR="008F6EDE">
        <w:t xml:space="preserve">can predict several dimensions including total crash counts, total crash counts by crash types, crash counts for each severity level and finally, proportions and counts of crashes for each crash type by severity. </w:t>
      </w:r>
    </w:p>
    <w:p w14:paraId="04B84A89" w14:textId="34F2B25A" w:rsidR="00CA7EED" w:rsidRDefault="00CA7EED" w:rsidP="00464965">
      <w:pPr>
        <w:rPr>
          <w:szCs w:val="24"/>
        </w:rPr>
      </w:pPr>
    </w:p>
    <w:p w14:paraId="32495B66" w14:textId="694FB035" w:rsidR="008150FC" w:rsidRDefault="00B03954">
      <w:r w:rsidRPr="00777C87">
        <w:rPr>
          <w:b/>
          <w:bCs/>
          <w:iCs/>
        </w:rPr>
        <w:t>Keywords:</w:t>
      </w:r>
      <w:r>
        <w:t xml:space="preserve"> </w:t>
      </w:r>
      <w:r w:rsidR="006819C4">
        <w:t>Crash type; Crash severity;</w:t>
      </w:r>
      <w:r w:rsidR="00A22A0E">
        <w:t xml:space="preserve"> </w:t>
      </w:r>
      <w:r w:rsidR="00883F32">
        <w:t>P</w:t>
      </w:r>
      <w:r w:rsidR="00325A35">
        <w:t xml:space="preserve">anel model; </w:t>
      </w:r>
      <w:r w:rsidR="00883F32">
        <w:t>F</w:t>
      </w:r>
      <w:r w:rsidR="00325A35">
        <w:t xml:space="preserve">ractional split model; </w:t>
      </w:r>
      <w:r w:rsidR="002B3FC4">
        <w:t>Unobserved heterogeneity</w:t>
      </w:r>
      <w:r w:rsidR="00883F32">
        <w:t>; Multivariate model</w:t>
      </w:r>
      <w:r w:rsidR="006819C4">
        <w:t xml:space="preserve"> </w:t>
      </w:r>
    </w:p>
    <w:p w14:paraId="3127E2E2" w14:textId="6237B4B7" w:rsidR="005B48A0" w:rsidRDefault="005B48A0"/>
    <w:p w14:paraId="0E1CCEAA" w14:textId="0230FEBE" w:rsidR="005B48A0" w:rsidRDefault="005B48A0"/>
    <w:p w14:paraId="2CA96E3B" w14:textId="7AF6918B" w:rsidR="005B48A0" w:rsidRDefault="005B48A0"/>
    <w:p w14:paraId="603A769B" w14:textId="3DE514EA" w:rsidR="005B48A0" w:rsidRDefault="005B48A0"/>
    <w:p w14:paraId="18603179" w14:textId="3D56A7FA" w:rsidR="005B48A0" w:rsidRDefault="005B48A0"/>
    <w:p w14:paraId="4077046D" w14:textId="54641D33" w:rsidR="005B48A0" w:rsidRDefault="005B48A0"/>
    <w:p w14:paraId="1FC11229" w14:textId="4CE26032" w:rsidR="00B030BC" w:rsidRDefault="00B030BC"/>
    <w:p w14:paraId="23914BF0" w14:textId="77777777" w:rsidR="00B030BC" w:rsidRDefault="00B030BC"/>
    <w:p w14:paraId="41514EC6" w14:textId="549BF453" w:rsidR="005B48A0" w:rsidRDefault="005B48A0"/>
    <w:p w14:paraId="49DB30D8" w14:textId="78EDA083" w:rsidR="005B48A0" w:rsidRDefault="005B48A0"/>
    <w:p w14:paraId="4F33BDD2" w14:textId="0F06016D" w:rsidR="005B48A0" w:rsidRDefault="005B48A0"/>
    <w:p w14:paraId="747167CB" w14:textId="3DA7D59A" w:rsidR="005B48A0" w:rsidRDefault="005B48A0"/>
    <w:p w14:paraId="69CB7E6A" w14:textId="3116C767" w:rsidR="005C2FFF" w:rsidRDefault="005C2FFF" w:rsidP="00C85D89">
      <w:pPr>
        <w:pStyle w:val="Heading1"/>
      </w:pPr>
      <w:r w:rsidRPr="001A3762">
        <w:lastRenderedPageBreak/>
        <w:t>BACKGROUND</w:t>
      </w:r>
    </w:p>
    <w:p w14:paraId="42172EFB" w14:textId="55CD26C2" w:rsidR="00DA0BFC" w:rsidRDefault="0026672F" w:rsidP="00316923">
      <w:r w:rsidRPr="00FF3D9D">
        <w:rPr>
          <w:szCs w:val="24"/>
        </w:rPr>
        <w:t>Road traffic crash related</w:t>
      </w:r>
      <w:r w:rsidR="00BC7C65" w:rsidRPr="00FF3D9D">
        <w:rPr>
          <w:szCs w:val="24"/>
        </w:rPr>
        <w:t xml:space="preserve"> morbidity and mortality is acknowledged to be a global </w:t>
      </w:r>
      <w:r w:rsidRPr="00FF3D9D">
        <w:rPr>
          <w:szCs w:val="24"/>
        </w:rPr>
        <w:t>challenge</w:t>
      </w:r>
      <w:r w:rsidR="00BC7C65" w:rsidRPr="00FF3D9D">
        <w:rPr>
          <w:szCs w:val="24"/>
        </w:rPr>
        <w:t xml:space="preserve">. </w:t>
      </w:r>
      <w:r w:rsidR="00925025" w:rsidRPr="00FF3D9D">
        <w:rPr>
          <w:szCs w:val="24"/>
        </w:rPr>
        <w:t>Annually, i</w:t>
      </w:r>
      <w:r w:rsidRPr="00FF3D9D">
        <w:rPr>
          <w:szCs w:val="24"/>
        </w:rPr>
        <w:t>t is reported that more than one and a quarter million people die in road traffic crash</w:t>
      </w:r>
      <w:r w:rsidR="00925025" w:rsidRPr="00FF3D9D">
        <w:rPr>
          <w:szCs w:val="24"/>
        </w:rPr>
        <w:t>es</w:t>
      </w:r>
      <w:r w:rsidRPr="00FF3D9D">
        <w:rPr>
          <w:szCs w:val="24"/>
        </w:rPr>
        <w:t xml:space="preserve"> with the number</w:t>
      </w:r>
      <w:r w:rsidR="00BC0EAF" w:rsidRPr="00FF3D9D">
        <w:rPr>
          <w:szCs w:val="24"/>
        </w:rPr>
        <w:t xml:space="preserve"> expected to exceed 2 million </w:t>
      </w:r>
      <w:r w:rsidRPr="00FF3D9D">
        <w:rPr>
          <w:szCs w:val="24"/>
        </w:rPr>
        <w:t xml:space="preserve">by </w:t>
      </w:r>
      <w:r w:rsidR="00BC0EAF" w:rsidRPr="00FF3D9D">
        <w:rPr>
          <w:szCs w:val="24"/>
        </w:rPr>
        <w:t>2020</w:t>
      </w:r>
      <w:r w:rsidR="00F72518" w:rsidRPr="00FF3D9D">
        <w:rPr>
          <w:szCs w:val="24"/>
        </w:rPr>
        <w:t xml:space="preserve"> </w:t>
      </w:r>
      <w:r w:rsidR="00F72518" w:rsidRPr="00FF3D9D">
        <w:rPr>
          <w:szCs w:val="24"/>
        </w:rPr>
        <w:fldChar w:fldCharType="begin" w:fldLock="1"/>
      </w:r>
      <w:r w:rsidR="000305C6">
        <w:rPr>
          <w:szCs w:val="24"/>
        </w:rPr>
        <w:instrText>ADDIN CSL_CITATION {"citationItems":[{"id":"ITEM-1","itemData":{"DOI":"10.1136/injuryprev-2013-040775","ISBN":"9789241565066","ISSN":"13538047","PMID":"23513037","abstract":"Road traffic injuries are the eighth leading cause of death globally, and the leading cause of death for young people aged 15–29 (1, 2). More than a million people die each year on the world’s roads, and the cost of dealing with the consequences of these road traffic crashes runs to billions of dollars (3). Current trends suggest that by 2030 road traffic deaths will become the fifth leading cause of death unless urgent action is taken (2). Strategies exist that are proven to reduce road traffic injuries and a number of countries have successfully used these strategies to reduce their road traffic deaths. In 2004, the World Health Organization (WHO) and the World Bank launched the World report on road traffic injury prevention (4). The World report provides extensive information on leading risk factors for road traffic injuries and evidence on effective interventions, and makes recommendations to countries on how to improve national road safety. Progress in implementing the recommendations of the World report wasfirst reported in the Global status report on road safety: time for action (2009) (5).","author":[{"dropping-particle":"","family":"Toroyan","given":"Tami","non-dropping-particle":"","parse-names":false,"suffix":""},{"dropping-particle":"","family":"Peden","given":"Margie M.","non-dropping-particle":"","parse-names":false,"suffix":""},{"dropping-particle":"","family":"Iaych","given":"Kacem","non-dropping-particle":"","parse-names":false,"suffix":""}],"container-title":"Injury Prevention","id":"ITEM-1","issue":"2","issued":{"date-parts":[["2013"]]},"page":"150","publisher":"World Health Organization","title":"WHO launches second global status report on road safety","type":"article-journal","volume":"19"},"uris":["http://www.mendeley.com/documents/?uuid=98abb371-e2b3-4723-bf81-e7e0bac9cb6b"]}],"mendeley":{"formattedCitation":"(Toroyan et al., 2013)","manualFormatting":"(WHO, 2018)","plainTextFormattedCitation":"(Toroyan et al., 2013)","previouslyFormattedCitation":"(Toroyan et al., 2013)"},"properties":{"noteIndex":0},"schema":"https://github.com/citation-style-language/schema/raw/master/csl-citation.json"}</w:instrText>
      </w:r>
      <w:r w:rsidR="00F72518" w:rsidRPr="00FF3D9D">
        <w:rPr>
          <w:szCs w:val="24"/>
        </w:rPr>
        <w:fldChar w:fldCharType="separate"/>
      </w:r>
      <w:r w:rsidR="00097239" w:rsidRPr="00097239">
        <w:rPr>
          <w:noProof/>
          <w:szCs w:val="24"/>
        </w:rPr>
        <w:t>(</w:t>
      </w:r>
      <w:r w:rsidR="00097239">
        <w:rPr>
          <w:noProof/>
          <w:szCs w:val="24"/>
        </w:rPr>
        <w:t>WHO</w:t>
      </w:r>
      <w:r w:rsidR="00097239" w:rsidRPr="00097239">
        <w:rPr>
          <w:noProof/>
          <w:szCs w:val="24"/>
        </w:rPr>
        <w:t>, 2018)</w:t>
      </w:r>
      <w:r w:rsidR="00F72518" w:rsidRPr="00FF3D9D">
        <w:rPr>
          <w:szCs w:val="24"/>
        </w:rPr>
        <w:fldChar w:fldCharType="end"/>
      </w:r>
      <w:r w:rsidR="00BC0EAF" w:rsidRPr="00FF3D9D">
        <w:rPr>
          <w:szCs w:val="24"/>
        </w:rPr>
        <w:t xml:space="preserve">. </w:t>
      </w:r>
      <w:r w:rsidR="00044A2E" w:rsidRPr="00FF3D9D">
        <w:rPr>
          <w:szCs w:val="24"/>
        </w:rPr>
        <w:t xml:space="preserve">While </w:t>
      </w:r>
      <w:r w:rsidR="00B44CBD" w:rsidRPr="00FF3D9D">
        <w:rPr>
          <w:szCs w:val="24"/>
        </w:rPr>
        <w:t>many developed countries (</w:t>
      </w:r>
      <w:r w:rsidRPr="00FF3D9D">
        <w:rPr>
          <w:szCs w:val="24"/>
        </w:rPr>
        <w:t xml:space="preserve">such as </w:t>
      </w:r>
      <w:r w:rsidR="00B44CBD" w:rsidRPr="00FF3D9D">
        <w:rPr>
          <w:szCs w:val="24"/>
        </w:rPr>
        <w:t xml:space="preserve">Canada, </w:t>
      </w:r>
      <w:r w:rsidRPr="00FF3D9D">
        <w:rPr>
          <w:szCs w:val="24"/>
        </w:rPr>
        <w:t xml:space="preserve">and </w:t>
      </w:r>
      <w:r w:rsidR="00B44CBD" w:rsidRPr="00FF3D9D">
        <w:rPr>
          <w:szCs w:val="24"/>
        </w:rPr>
        <w:t xml:space="preserve">Japan) have been able to achieve a reduction in </w:t>
      </w:r>
      <w:r w:rsidR="009421F7" w:rsidRPr="00FF3D9D">
        <w:rPr>
          <w:szCs w:val="24"/>
        </w:rPr>
        <w:t xml:space="preserve">the </w:t>
      </w:r>
      <w:r w:rsidR="00B44CBD" w:rsidRPr="00FF3D9D">
        <w:rPr>
          <w:szCs w:val="24"/>
        </w:rPr>
        <w:t>number of road crash related fatalities</w:t>
      </w:r>
      <w:r w:rsidR="00044A2E" w:rsidRPr="00FF3D9D">
        <w:rPr>
          <w:szCs w:val="24"/>
        </w:rPr>
        <w:t xml:space="preserve">, </w:t>
      </w:r>
      <w:r w:rsidRPr="00FF3D9D">
        <w:rPr>
          <w:szCs w:val="24"/>
        </w:rPr>
        <w:t xml:space="preserve">in the United States, </w:t>
      </w:r>
      <w:r w:rsidR="00044A2E" w:rsidRPr="00FF3D9D">
        <w:rPr>
          <w:szCs w:val="24"/>
        </w:rPr>
        <w:t xml:space="preserve">the reduction rate is much lower </w:t>
      </w:r>
      <w:r w:rsidR="00642A2D" w:rsidRPr="00FF3D9D">
        <w:rPr>
          <w:szCs w:val="24"/>
        </w:rPr>
        <w:t>(</w:t>
      </w:r>
      <w:r w:rsidR="00625440" w:rsidRPr="00FF3D9D">
        <w:rPr>
          <w:szCs w:val="24"/>
        </w:rPr>
        <w:t xml:space="preserve">or worse with </w:t>
      </w:r>
      <w:r w:rsidR="00925025" w:rsidRPr="00FF3D9D">
        <w:rPr>
          <w:szCs w:val="24"/>
        </w:rPr>
        <w:t xml:space="preserve">an </w:t>
      </w:r>
      <w:r w:rsidRPr="00FF3D9D">
        <w:rPr>
          <w:szCs w:val="24"/>
        </w:rPr>
        <w:t xml:space="preserve">occasional </w:t>
      </w:r>
      <w:r w:rsidR="00925025" w:rsidRPr="00FF3D9D">
        <w:rPr>
          <w:szCs w:val="24"/>
        </w:rPr>
        <w:t>increase</w:t>
      </w:r>
      <w:r w:rsidRPr="00FF3D9D">
        <w:rPr>
          <w:szCs w:val="24"/>
        </w:rPr>
        <w:t xml:space="preserve"> as observed in 2014).</w:t>
      </w:r>
      <w:r w:rsidR="00044A2E" w:rsidRPr="00FF3D9D">
        <w:rPr>
          <w:szCs w:val="24"/>
        </w:rPr>
        <w:t xml:space="preserve"> </w:t>
      </w:r>
      <w:r w:rsidR="001F6DAA" w:rsidRPr="00FF3D9D">
        <w:rPr>
          <w:szCs w:val="24"/>
        </w:rPr>
        <w:t xml:space="preserve">In reducing the burden of such unavoidable incidents, </w:t>
      </w:r>
      <w:r w:rsidR="007C77B4" w:rsidRPr="00FF3D9D">
        <w:rPr>
          <w:szCs w:val="24"/>
        </w:rPr>
        <w:t>safety researchers are continually</w:t>
      </w:r>
      <w:r w:rsidR="007C77B4">
        <w:t xml:space="preserve"> investigating approaches for crash occurrence reduction and crash consequence mitigation.</w:t>
      </w:r>
      <w:r w:rsidR="00FC0297">
        <w:t xml:space="preserve"> </w:t>
      </w:r>
      <w:r w:rsidR="004077C5">
        <w:t>A major analytical tool employed for examining the critical factors influencing crash occurrence include the econometric crash frequency models</w:t>
      </w:r>
      <w:r w:rsidR="00AE3B63">
        <w:t xml:space="preserve"> </w:t>
      </w:r>
      <w:r w:rsidR="00AE3B63">
        <w:fldChar w:fldCharType="begin" w:fldLock="1"/>
      </w:r>
      <w:r w:rsidR="00770C22">
        <w:instrText>ADDIN CSL_CITATION {"citationItems":[{"id":"ITEM-1","itemData":{"ISSN":"18245463","abstract":"Rear-end collisions have the second largest crash frequency and result in the third largest number of fatalities among the types of truck-involved crashes. This paper investigates both overall and fatal truck-involved rearend collisions using two national crash databases (2000-2004), General Estimates System (GES) and Fatality Analysis Reporting System (FARS). In this study, two-vehicle rear-end collisions were classified into three groups. The categories were based on the vehicle's striking/struck role: Truck-Car (truck hitting car), Car- Truck (car hitting truck), and Car-Car (car hitting car) crashes. The occurrence conditions of the three rearend crash types were compared to each other to identify potential risk factors, such as road environments, highway designs, and driver characteristics, associated with the truck-involved crashes. The multinomial logistic regression results show that factors including lighting condition, divided/undivided highway, weather condition, interstate, day of week, speed related, alcohol use, driver age, and gender are significantly associated with overall truck-involved rear-end crashes. In addition factors including lighting condition, divided/undivided highway, day of week, alcohol use, driver age, and gender are also significantly associated with fatal truck-involved rear-end collisions. This study provides a better understanding of truck-related rearend crash risks and more information regarding effective crash countermeasures.","author":[{"dropping-particle":"","family":"Yan","given":"X.","non-dropping-particle":"","parse-names":false,"suffix":""},{"dropping-particle":"","family":"Radwan","given":"E.","non-dropping-particle":"","parse-names":false,"suffix":""},{"dropping-particle":"","family":"Mannila","given":"K. K.","non-dropping-particle":"","parse-names":false,"suffix":""}],"container-title":"Advances in Transportation Studies","id":"ITEM-1","issue":"17","issued":{"date-parts":[["2009"]]},"page":"39-52","title":"Analysis of truck-involved rear-end crashes using multinomial logistic regression","type":"article-journal","volume":"17"},"uris":["http://www.mendeley.com/documents/?uuid=a2daf1a2-250e-45b0-9cc4-6a141a560865"]},{"id":"ITEM-2","itemData":{"DOI":"10.3141/2165-02","ISBN":"D758745064105U70","ISSN":"03611981","abstract":"Multinomial logit (MNL) models have been applied extensively in transportation engineering, marketing, and recreational demand modeling. Thus far, this type of model has not been used to estimate the proportion of crashes by collision type. This study investigated the applicability of MNL models to predict the proportion of crashes by collision type and to estimate crash counts by collision type. MNL models were compared with two other methods described in recent publications to estimate crash counts by collision type: (a) fixed proportions of crash counts for all collision types and (b) collision type models. This study employed data collected between 2002 and 2006 on crashes that occurred on rural, two-lane, undivided highway segments in Minnesota. The study results showed that the MNL model could be used to predict the proportion of crashes by collision type, at least for the data set used. Furthermore, the method based on the MNL model was found useful to estimate crash counts by collision type, and it performed better than the method based on the use of fixed proportions. The use of collision type models, however, was still found to be the best way to estimate crash counts by specific collision type. In cases where collision type models are affected by the small sample size and a low sample-mean problem, the method based on the MNL model is recommended.","author":[{"dropping-particle":"","family":"Geedipally","given":"Srinivas Reddy","non-dropping-particle":"","parse-names":false,"suffix":""},{"dropping-particle":"","family":"Patil","given":"Sunil","non-dropping-particle":"","parse-names":false,"suffix":""},{"dropping-particle":"","family":"Lord","given":"Dominique","non-dropping-particle":"","parse-names":false,"suffix":""}],"container-title":"Transportation Research Record","id":"ITEM-2","issue":"2165","issued":{"date-parts":[["2010"]]},"page":"12-20","publisher":"Transportation Research Board of the National Academies","title":"Examination of methods to estimate crash counts by collision type","type":"article-journal","volume":"2165"},"uris":["http://www.mendeley.com/documents/?uuid=aa92b77a-9b4d-4dc3-85eb-7d90f3b856c1"]},{"id":"ITEM-3","itemData":{"DOI":"10.1016/j.aap.2015.11.006","ISBN":"0001-4575","ISSN":"00014575","PMID":"26615494","abstract":"Many studies have proposed the use of a systemic approach to identify sites with promise (SWiPs). Proponents of the systemic approach to road safety management suggest that it is more effective in reducing crash frequency than the traditional hot spot approach. The systemic approach aims to identify SWiPs by crash type(s) and, therefore, effectively connects crashes to their corresponding countermeasures. Nevertheless, a major challenge to implementing this approach is the low precision of crash frequency models, which results from the systemic approach considering subsets (crash types) of total crashes leading to higher variability in modeling outcomes. This study responds to the need for more precise statistical output and proposes a multivariate spatial model for simultaneously modeling crash frequencies for different crash types. The multivariate spatial model not only induces a multivariate correlation structure between crash types at the same site, but also spatial correlation among adjacent sites to enhance model precision. This study utilized crash, traffic, and roadway inventory data on rural two-lane highways in Pennsylvania to construct and test the multivariate spatial model. Four models with and without the multivariate and spatial correlations were tested and compared. The results show that the model that considers both multivariate and spatial correlation has the best fit. Moreover, it was found that the multivariate correlation plays a stronger role than the spatial correlation when modeling crash frequencies in terms of different crash types.","author":[{"dropping-particle":"","family":"Jonathan","given":"Aguero Valverde","non-dropping-particle":"","parse-names":false,"suffix":""},{"dropping-particle":"","family":"Wu","given":"Kun Feng","non-dropping-particle":"","parse-names":false,"suffix":""},{"dropping-particle":"","family":"Donnell","given":"Eric T.","non-dropping-particle":"","parse-names":false,"suffix":""}],"container-title":"Accident Analysis and Prevention","id":"ITEM-3","issued":{"date-parts":[["2016"]]},"note":"From Duplicate 2 (A multivariate spatial crash frequency model for identifying sites with promise based on crash types - Jonathan, Aguero Valverde; Wu, Kun Feng; Donnell, Eric T.)\n\nFrom Duplicate 2 (A multivariate spatial crash frequency model for identifying sites with promise based on crash types - Jonathan, Aguero Valverde; Wu, Kun Feng; Donnell, Eric T.)\n\n(Ken)","page":"8-16","publisher":"Elsevier","title":"A multivariate spatial crash frequency model for identifying sites with promise based on crash types","type":"article-journal","volume":"87"},"uris":["http://www.mendeley.com/documents/?uuid=0ab35056-9be5-49a0-b6b3-8753fb02b30a"]}],"mendeley":{"formattedCitation":"(Geedipally et al., 2010; Jonathan et al., 2016; Yan et al., 2009)","plainTextFormattedCitation":"(Geedipally et al., 2010; Jonathan et al., 2016; Yan et al., 2009)","previouslyFormattedCitation":"(Geedipally et al., 2010; Jonathan et al., 2016; Yan et al., 2009)"},"properties":{"noteIndex":0},"schema":"https://github.com/citation-style-language/schema/raw/master/csl-citation.json"}</w:instrText>
      </w:r>
      <w:r w:rsidR="00AE3B63">
        <w:fldChar w:fldCharType="separate"/>
      </w:r>
      <w:r w:rsidR="00B81912" w:rsidRPr="00B81912">
        <w:rPr>
          <w:noProof/>
        </w:rPr>
        <w:t>(Geedipally et al., 2010; Jonathan et al., 2016; Yan et al., 2009)</w:t>
      </w:r>
      <w:r w:rsidR="00AE3B63">
        <w:fldChar w:fldCharType="end"/>
      </w:r>
      <w:r w:rsidR="004077C5">
        <w:t xml:space="preserve">. </w:t>
      </w:r>
      <w:r w:rsidR="00DA0BFC">
        <w:t xml:space="preserve">The proposed research contributes to </w:t>
      </w:r>
      <w:r w:rsidR="00642A2D">
        <w:t xml:space="preserve">burgeoning </w:t>
      </w:r>
      <w:r w:rsidR="00DA0BFC">
        <w:t xml:space="preserve">econometric and safety literature by developing a joint modeling approach that can accommodate </w:t>
      </w:r>
      <w:r w:rsidR="000204BF">
        <w:t>several</w:t>
      </w:r>
      <w:r w:rsidR="00DA0BFC">
        <w:t xml:space="preserve"> dependent variables within a parsimonious structure. </w:t>
      </w:r>
    </w:p>
    <w:p w14:paraId="72275531" w14:textId="34753304" w:rsidR="00E83CA4" w:rsidRDefault="00DA0BFC" w:rsidP="00553376">
      <w:pPr>
        <w:ind w:firstLine="720"/>
      </w:pPr>
      <w:r>
        <w:t xml:space="preserve">The traditional modeling framework for crash frequency analysis </w:t>
      </w:r>
      <w:r w:rsidR="00C82E4F">
        <w:t>is the</w:t>
      </w:r>
      <w:r>
        <w:t xml:space="preserve"> univariate </w:t>
      </w:r>
      <w:r w:rsidR="00C82E4F">
        <w:t>frequency model such as Poisson, Negative binomial or the Poisson-Lognormal model</w:t>
      </w:r>
      <w:r w:rsidR="000D6E2D">
        <w:t xml:space="preserve"> </w:t>
      </w:r>
      <w:r w:rsidR="00E67AFB">
        <w:t>(see</w:t>
      </w:r>
      <w:r w:rsidR="00C82E4F">
        <w:t xml:space="preserve"> </w:t>
      </w:r>
      <w:r w:rsidR="00E67AFB">
        <w:fldChar w:fldCharType="begin" w:fldLock="1"/>
      </w:r>
      <w:r w:rsidR="00770C22">
        <w:instrText>ADDIN CSL_CITATION {"citationItems":[{"id":"ITEM-1","itemData":{"DOI":"10.1016/j.tra.2010.02.001","ISSN":"09658564","abstract":"Gaining a better understanding of the factors that affect the likelihood of a vehicle crash has been an area of research focus for many decades. However, in the absence of detailed driving data that would help improve the identification of cause and effect relationships with individual vehicle crashes, most researchers have addressed this problem by framing it in terms of understanding the factors that affect the frequency of crashes - the number of crashes occurring in some geographical space (usually a roadway segment or intersection) over some specified time period. This paper provides a detailed review of the key issues associated with crash-frequency data as well as the strengths and weaknesses of the various methodological approaches that researchers have used to address these problems. While the steady march of methodological innovation (including recent applications of random parameter and finite mixture models) has substantially improved our understanding of the factors that affect crash-frequencies, it is the prospect of combining evolving methodologies with far more detailed vehicle crash data that holds the greatest promise for the future. © 2010 Elsevier Ltd.","author":[{"dropping-particle":"","family":"Lord","given":"Dominique","non-dropping-particle":"","parse-names":false,"suffix":""},{"dropping-particle":"","family":"Mannering","given":"Fred","non-dropping-particle":"","parse-names":false,"suffix":""}],"container-title":"Transportation Research Part A: Policy and Practice","id":"ITEM-1","issue":"5","issued":{"date-parts":[["2010"]]},"page":"291-305","publisher":"Elsevier","title":"The statistical analysis of crash-frequency data: A review and assessment of methodological alternatives","type":"article-journal","volume":"44"},"uris":["http://www.mendeley.com/documents/?uuid=9ab3e7e4-aca7-4952-8174-277f89332d63"]},{"id":"ITEM-2","itemData":{"DOI":"10.1016/j.amar.2018.06.001","ISBN":"1133715060","ISSN":"22136657","abstract":"In recent years, there is growing recognition that common unobserved factors that influence crash frequency by one attribute level are also likely to influence crash frequency by other attribute levels. The most common approach employed to address the potential unobserved heterogeneity in safety literature is the development of multivariate crash frequency models. The current study proposes an alternative joint econometric framework to accommodate for the presence of unobserved heterogeneity – referred to as joint negative binomial-multinomial logit fractional split (NB-MNLFS) model. Furthermore, the study undertakes a first of its kind comparison exercise between the most commonly used multivariate model (multivariate random parameter negative binomial model) and the proposed joint approach by generating an equivalent log-likelihood measure. The empirical analysis is based on the zonal level crash count data for different collision types from the state of Florida for the year 2015. The model results highlight the presence of common unobserved effects affecting the two components of the joint model as well as the presence of parameter heterogeneity. The equivalent log-likelihood and goodness of fit measures clearly highlight the comparable performance offered by the proposed joint model relative to the commonly used multivariate approach. Overall, the model interpretations and fit measures clearly highlight the potential complementary role of the proposed approach for crash frequency analyses.","author":[{"dropping-particle":"","family":"Bhowmik","given":"Tanmoy","non-dropping-particle":"","parse-names":false,"suffix":""},{"dropping-particle":"","family":"Yasmin","given":"Shamsunnahar","non-dropping-particle":"","parse-names":false,"suffix":""},{"dropping-particle":"","family":"Eluru","given":"Naveen","non-dropping-particle":"","parse-names":false,"suffix":""}],"container-title":"Analytic Methods in Accident Research","id":"ITEM-2","issue":"3","issued":{"date-parts":[["2018"]]},"page":"16-32","title":"A joint econometric approach for modeling crash counts by collision type","type":"article-journal","volume":"19"},"uris":["http://www.mendeley.com/documents/?uuid=2e823530-c053-4dd9-8697-5f3f0ab9e0b4"]}],"mendeley":{"formattedCitation":"(Bhowmik et al., 2018; Lord and Mannering, 2010)","plainTextFormattedCitation":"(Bhowmik et al., 2018; Lord and Mannering, 2010)","previouslyFormattedCitation":"(Bhowmik et al., 2018; Lord and Mannering, 2010)"},"properties":{"noteIndex":0},"schema":"https://github.com/citation-style-language/schema/raw/master/csl-citation.json"}</w:instrText>
      </w:r>
      <w:r w:rsidR="00E67AFB">
        <w:fldChar w:fldCharType="separate"/>
      </w:r>
      <w:r w:rsidR="00B81912" w:rsidRPr="00B81912">
        <w:rPr>
          <w:noProof/>
        </w:rPr>
        <w:t xml:space="preserve">(Bhowmik et al., 2018; </w:t>
      </w:r>
      <w:r w:rsidR="00D82076">
        <w:rPr>
          <w:noProof/>
        </w:rPr>
        <w:t xml:space="preserve">Bhowmik, 2020; </w:t>
      </w:r>
      <w:r w:rsidR="00B81912" w:rsidRPr="00B81912">
        <w:rPr>
          <w:noProof/>
        </w:rPr>
        <w:t>Lord and Mannering, 2010)</w:t>
      </w:r>
      <w:r w:rsidR="00E67AFB">
        <w:fldChar w:fldCharType="end"/>
      </w:r>
      <w:r w:rsidR="00E67AFB">
        <w:t xml:space="preserve"> for a detailed review of these studies</w:t>
      </w:r>
      <w:r w:rsidR="00E46C95">
        <w:t>)</w:t>
      </w:r>
      <w:r>
        <w:t xml:space="preserve">. </w:t>
      </w:r>
      <w:r w:rsidR="005760AC">
        <w:t xml:space="preserve">In these studies, </w:t>
      </w:r>
      <w:r w:rsidR="00C82E4F">
        <w:t xml:space="preserve">for </w:t>
      </w:r>
      <w:r w:rsidR="00642A2D">
        <w:t>an</w:t>
      </w:r>
      <w:r w:rsidR="00C82E4F">
        <w:t xml:space="preserve"> observation</w:t>
      </w:r>
      <w:r w:rsidR="005D4F72">
        <w:t>al</w:t>
      </w:r>
      <w:r w:rsidR="00C82E4F">
        <w:t xml:space="preserve"> unit, t</w:t>
      </w:r>
      <w:r w:rsidR="005760AC">
        <w:t xml:space="preserve">he modeling variable of interest is typically the </w:t>
      </w:r>
      <w:r w:rsidR="003F0267">
        <w:t xml:space="preserve">total number of crashes. </w:t>
      </w:r>
      <w:r w:rsidR="00E83CA4">
        <w:t xml:space="preserve">The approach of aggregating all crashes </w:t>
      </w:r>
      <w:r w:rsidR="009421F7">
        <w:t xml:space="preserve">into </w:t>
      </w:r>
      <w:r w:rsidR="00E83CA4">
        <w:t>a single dependent variable can result in aggregation bias and a loss of information available in the dataset. For instance, consider two zones with 5 observed crashes in the analysis period. For zone 1, the 5 crashes include 5 head-on crashes while for zone 2, the 5 crashes include 4 rear-end crashes and 1 vehicle pedestrian crash. While the crash distribution</w:t>
      </w:r>
      <w:r w:rsidR="00C82E4F">
        <w:t xml:space="preserve"> by crash type</w:t>
      </w:r>
      <w:r w:rsidR="00E83CA4">
        <w:t xml:space="preserve"> across the two zones is quite distinct, an approach focusing on total crashes will </w:t>
      </w:r>
      <w:r w:rsidR="009421F7">
        <w:t xml:space="preserve">consider </w:t>
      </w:r>
      <w:r w:rsidR="00E83CA4">
        <w:t xml:space="preserve">both zones </w:t>
      </w:r>
      <w:r w:rsidR="005C5B17">
        <w:t>as having</w:t>
      </w:r>
      <w:r w:rsidR="00E83CA4">
        <w:t xml:space="preserve"> identical dependent variables. </w:t>
      </w:r>
      <w:r w:rsidR="005065FF">
        <w:t xml:space="preserve">The aggregation would make it quite cumbersome to accurately estimate the impact of independent variables on total crashes. For example, in zone 1, geometric design inadequacies might be the reason for head-on crashes while in zone 2, the presence of a significant number of signalized urban intersections might be the reason for </w:t>
      </w:r>
      <w:proofErr w:type="gramStart"/>
      <w:r w:rsidR="005065FF">
        <w:t>rear-end</w:t>
      </w:r>
      <w:proofErr w:type="gramEnd"/>
      <w:r w:rsidR="005065FF">
        <w:t xml:space="preserve"> and pedestrian crashes.</w:t>
      </w:r>
      <w:r w:rsidR="005C5B17">
        <w:t xml:space="preserve"> A single </w:t>
      </w:r>
      <w:r w:rsidR="005C5B17" w:rsidRPr="00006FCC">
        <w:rPr>
          <w:i/>
        </w:rPr>
        <w:t>total crash</w:t>
      </w:r>
      <w:r w:rsidR="005C5B17">
        <w:t xml:space="preserve"> model will not be able to parse these distinctions accurately. Hence, it is not surprising that </w:t>
      </w:r>
      <w:r w:rsidR="00E83CA4">
        <w:t xml:space="preserve">in recent years, safety researchers have focused on disaggregating the data by </w:t>
      </w:r>
      <w:r w:rsidR="00C82E4F">
        <w:t xml:space="preserve">various attributes such as </w:t>
      </w:r>
      <w:r w:rsidR="00E83CA4">
        <w:t xml:space="preserve">crash typology (such as head-on or rear-end), injury severity (such as </w:t>
      </w:r>
      <w:r w:rsidR="00625440">
        <w:t xml:space="preserve">crashes by </w:t>
      </w:r>
      <w:r w:rsidR="00E83CA4">
        <w:t xml:space="preserve">no injury or </w:t>
      </w:r>
      <w:r w:rsidR="00625440">
        <w:t xml:space="preserve">crashes by </w:t>
      </w:r>
      <w:r w:rsidR="00E83CA4">
        <w:t xml:space="preserve">severe injury) and crash location (such as intersection versus non-intersection). </w:t>
      </w:r>
    </w:p>
    <w:p w14:paraId="5B770F81" w14:textId="1EC04EAD" w:rsidR="00642A2D" w:rsidRDefault="005C5B17" w:rsidP="00B24BFD">
      <w:pPr>
        <w:ind w:firstLine="720"/>
      </w:pPr>
      <w:r>
        <w:t xml:space="preserve">The proposed disaggregation of the crash frequency variable </w:t>
      </w:r>
      <w:r w:rsidR="00C82E4F">
        <w:t>increases the complexity of the model</w:t>
      </w:r>
      <w:r w:rsidR="00FC5A08">
        <w:t xml:space="preserve">ing </w:t>
      </w:r>
      <w:r w:rsidR="00C82E4F">
        <w:t xml:space="preserve">effort and presents many additional challenges. </w:t>
      </w:r>
      <w:r w:rsidR="00FC5A08">
        <w:t>T</w:t>
      </w:r>
      <w:r w:rsidR="00C82E4F">
        <w:t xml:space="preserve">he number of dependent variables of interest increase based on the attribute levels of interest. </w:t>
      </w:r>
      <w:r w:rsidR="00DA0BFC">
        <w:t xml:space="preserve">For analyzing these multiple dependent variables, </w:t>
      </w:r>
      <w:r w:rsidR="004077C5">
        <w:t>multiple univariate models wit</w:t>
      </w:r>
      <w:r w:rsidR="00DA0BFC">
        <w:t>h frequency by attribute levels</w:t>
      </w:r>
      <w:r w:rsidR="00601C08">
        <w:t xml:space="preserve"> (such as crashes by crash type)</w:t>
      </w:r>
      <w:r w:rsidR="00C82E4F">
        <w:t xml:space="preserve"> will need to be estimated</w:t>
      </w:r>
      <w:r w:rsidR="004077C5">
        <w:t xml:space="preserve">. </w:t>
      </w:r>
      <w:r w:rsidR="00FC5A08">
        <w:t>W</w:t>
      </w:r>
      <w:r w:rsidR="00C82E4F">
        <w:t xml:space="preserve">hile developing multiple univariate crash frequency models </w:t>
      </w:r>
      <w:r w:rsidR="00DA0BFC">
        <w:t>will account for the influence of independent</w:t>
      </w:r>
      <w:r w:rsidR="00C82E4F">
        <w:t xml:space="preserve"> variables</w:t>
      </w:r>
      <w:r w:rsidR="00DA0BFC">
        <w:t>, the</w:t>
      </w:r>
      <w:r w:rsidR="00C82E4F">
        <w:t xml:space="preserve">se models </w:t>
      </w:r>
      <w:r w:rsidR="00DA0BFC">
        <w:t xml:space="preserve">ignore that </w:t>
      </w:r>
      <w:r w:rsidR="004077C5">
        <w:t xml:space="preserve">the multiple crash frequency variables for a </w:t>
      </w:r>
      <w:r w:rsidR="00AA528F">
        <w:t>traffic analysis zone (</w:t>
      </w:r>
      <w:r w:rsidR="004077C5">
        <w:t>TAZ</w:t>
      </w:r>
      <w:r w:rsidR="00AA528F">
        <w:t>)</w:t>
      </w:r>
      <w:r w:rsidR="004077C5">
        <w:t xml:space="preserve"> are potentially correlated. </w:t>
      </w:r>
      <w:r w:rsidR="00AC051A">
        <w:t xml:space="preserve">The different </w:t>
      </w:r>
      <w:r w:rsidR="00AC051A" w:rsidRPr="00AC051A">
        <w:t xml:space="preserve">outcome </w:t>
      </w:r>
      <w:r w:rsidR="00AC051A" w:rsidRPr="00B24BFD">
        <w:rPr>
          <w:rFonts w:cs="Times New Roman"/>
          <w:iCs/>
          <w:szCs w:val="24"/>
        </w:rPr>
        <w:t xml:space="preserve">dimensions (such as crash type and severity outcomes) under consideration are possibly correlated as both of these outcomes (within and across) share the </w:t>
      </w:r>
      <w:r w:rsidR="00AC051A" w:rsidRPr="00B24BFD">
        <w:rPr>
          <w:iCs/>
        </w:rPr>
        <w:t>same travel environment within a spatial planning unit over a specific given period of time</w:t>
      </w:r>
      <w:r w:rsidR="00AC051A">
        <w:rPr>
          <w:iCs/>
        </w:rPr>
        <w:t xml:space="preserve">. </w:t>
      </w:r>
      <w:r w:rsidR="004077C5">
        <w:t xml:space="preserve">For example, for zonal level crash frequency analysis, it is possible that characteristics specific to the zone such as driver behavior, geometric design and build quality (possibly of higher or lower quality relative to the other zones) and traffic signal design objectives might influence different crash counts by </w:t>
      </w:r>
      <w:r w:rsidR="00FC5A08">
        <w:t xml:space="preserve">crash </w:t>
      </w:r>
      <w:r w:rsidR="004077C5">
        <w:t xml:space="preserve">type (such as head-on, rear-end). </w:t>
      </w:r>
      <w:r w:rsidR="003B7E2A" w:rsidRPr="00267561">
        <w:rPr>
          <w:szCs w:val="24"/>
        </w:rPr>
        <w:t xml:space="preserve">For instance, </w:t>
      </w:r>
      <w:r w:rsidR="004B0B03">
        <w:rPr>
          <w:szCs w:val="24"/>
        </w:rPr>
        <w:t xml:space="preserve">a higher presence of </w:t>
      </w:r>
      <w:r w:rsidR="003B7E2A" w:rsidRPr="00267561">
        <w:rPr>
          <w:szCs w:val="24"/>
        </w:rPr>
        <w:t xml:space="preserve">drivers using cell phone while driving </w:t>
      </w:r>
      <w:r w:rsidR="004B0B03">
        <w:rPr>
          <w:szCs w:val="24"/>
        </w:rPr>
        <w:t xml:space="preserve">in a </w:t>
      </w:r>
      <w:r w:rsidR="004B0B03">
        <w:rPr>
          <w:szCs w:val="24"/>
        </w:rPr>
        <w:lastRenderedPageBreak/>
        <w:t xml:space="preserve">zone </w:t>
      </w:r>
      <w:r w:rsidR="003B7E2A" w:rsidRPr="00267561">
        <w:rPr>
          <w:szCs w:val="24"/>
        </w:rPr>
        <w:t>(</w:t>
      </w:r>
      <w:r w:rsidR="004B0B03">
        <w:rPr>
          <w:szCs w:val="24"/>
        </w:rPr>
        <w:t>information usually un</w:t>
      </w:r>
      <w:r w:rsidR="003B7E2A" w:rsidRPr="00267561">
        <w:rPr>
          <w:szCs w:val="24"/>
        </w:rPr>
        <w:t xml:space="preserve">available to </w:t>
      </w:r>
      <w:r w:rsidR="004B0B03">
        <w:rPr>
          <w:szCs w:val="24"/>
        </w:rPr>
        <w:t xml:space="preserve">the </w:t>
      </w:r>
      <w:r w:rsidR="003B7E2A" w:rsidRPr="00267561">
        <w:rPr>
          <w:szCs w:val="24"/>
        </w:rPr>
        <w:t>analyst)</w:t>
      </w:r>
      <w:r w:rsidR="004B0B03">
        <w:rPr>
          <w:szCs w:val="24"/>
        </w:rPr>
        <w:t xml:space="preserve"> </w:t>
      </w:r>
      <w:r w:rsidR="003B7E2A" w:rsidRPr="00267561">
        <w:rPr>
          <w:szCs w:val="24"/>
        </w:rPr>
        <w:t xml:space="preserve">may contribute to </w:t>
      </w:r>
      <w:r w:rsidR="004B0B03">
        <w:rPr>
          <w:szCs w:val="24"/>
        </w:rPr>
        <w:t xml:space="preserve">a </w:t>
      </w:r>
      <w:r w:rsidR="003B7E2A" w:rsidRPr="00267561">
        <w:rPr>
          <w:szCs w:val="24"/>
        </w:rPr>
        <w:t xml:space="preserve">higher </w:t>
      </w:r>
      <w:r w:rsidR="004B0B03">
        <w:rPr>
          <w:szCs w:val="24"/>
        </w:rPr>
        <w:t xml:space="preserve">number of </w:t>
      </w:r>
      <w:r w:rsidR="003B7E2A" w:rsidRPr="00267561">
        <w:rPr>
          <w:szCs w:val="24"/>
        </w:rPr>
        <w:t>head on crashes. At the same time, due to the greater dissipation of kinetic energy associated with a head-on collision, the likelihood of serious injury crashes will be higher for the same unobserved facto</w:t>
      </w:r>
      <w:r w:rsidR="004B0B03">
        <w:rPr>
          <w:szCs w:val="24"/>
        </w:rPr>
        <w:t>r (cell phone distracted driver proportion</w:t>
      </w:r>
      <w:r w:rsidR="003B7E2A" w:rsidRPr="00267561">
        <w:rPr>
          <w:szCs w:val="24"/>
        </w:rPr>
        <w:t>). This is an example of how one unobserved variable can significantly affect the two dimensions simultaneously (crash type and severity). Ignoring the presence of such correlation may result in biased parameter estimates and potentially incorrect model predictions</w:t>
      </w:r>
      <w:r w:rsidR="00AC051A">
        <w:rPr>
          <w:szCs w:val="24"/>
        </w:rPr>
        <w:t xml:space="preserve"> </w:t>
      </w:r>
      <w:r w:rsidR="00AC051A" w:rsidRPr="00AC051A">
        <w:rPr>
          <w:szCs w:val="24"/>
        </w:rPr>
        <w:t>and/or inefficient policy implications</w:t>
      </w:r>
      <w:r w:rsidR="00CE5311">
        <w:rPr>
          <w:szCs w:val="24"/>
        </w:rPr>
        <w:t xml:space="preserve"> </w:t>
      </w:r>
      <w:r w:rsidR="00CE5311">
        <w:t xml:space="preserve">(see </w:t>
      </w:r>
      <w:r w:rsidR="00CE5311">
        <w:fldChar w:fldCharType="begin" w:fldLock="1"/>
      </w:r>
      <w:r w:rsidR="00CE5311">
        <w:instrText>ADDIN CSL_CITATION {"citationItems":[{"id":"ITEM-1","itemData":{"DOI":"10.1080/23249935.2017.1353556","ISSN":"23249943","abstract":"This study develops three temporal multivariate random parameters Tobit models to analyze crash rate by injury severity; these models simultaneously accommodate temporal correlation and unobserved heterogeneity across observations and correlations across injury severity. The three models are estimated and compared in the Bayesian context with a crash dataset collected from Hong Kong’s Traffic Information System, which contains crash, road geometry, traffic, and environmental information on 194 directional road segments over a five-year period (2002–2006). Significant temporal effects are found in all of the temporal models, and the inclusion of temporal correlation considerably improves the goodness of fit of the multivariate random parameters Tobit regression, according to the results of deviance information criteria (DIC) and Bayesian R2, indicating the strength of considering cross-period temporal correlation. Moreover, after accounting for temporal effects, the magnitude of the correlation between the crash rates at various injury degrees decreases, probably because a portion of the correlation may be attributed to unobserved or unobservable factors with time-dependent or autoregressive safety effects. Among the three candidate temporal models, the one with independent temporal effects has lower DIC and R2 values, which suggests better model-fit performance than the two with constant or correlated temporal effects. This finding supports the model with independent temporal effects as a good alternative for traffic safety analysis.","author":[{"dropping-particle":"","family":"Zeng","given":"Qiang","non-dropping-particle":"","parse-names":false,"suffix":""},{"dropping-particle":"","family":"Wen","given":"Huiying","non-dropping-particle":"","parse-names":false,"suffix":""},{"dropping-particle":"","family":"Huang","given":"Helai","non-dropping-particle":"","parse-names":false,"suffix":""},{"dropping-particle":"","family":"Pei","given":"Xin","non-dropping-particle":"","parse-names":false,"suffix":""},{"dropping-particle":"","family":"Wong","given":"S. C.","non-dropping-particle":"","parse-names":false,"suffix":""}],"container-title":"Transportmetrica A: Transport Science","id":"ITEM-1","issue":"3","issued":{"date-parts":[["2018"]]},"page":"177-191","title":"Incorporating temporal correlation into a multivariate random parameters Tobit model for modeling crash rate by injury severity","type":"article-journal","volume":"14"},"uris":["http://www.mendeley.com/documents/?uuid=c8c4489c-04ea-4ad8-81fa-acdddb5d0a97"]},{"id":"ITEM-2","itemData":{"DOI":"10.1016/j.amar.2018.02.001","ISSN":"22136657","abstract":"Unobserved heterogeneity across space, time, and crash type is often non-negligible in crash frequency modeling. When multiple crash types with spatial and temporal features are analyzed, multivariate spatio-temporal models should be considered. For this study, we analyzed the yearly county-level fatal, major injury, and minor injury crashes in Iowa from 2006 to 2015 using a multivariate spatio-temporal Bayesian model. The model adopted a multivariate spatial structure, a multivariate temporal structure, and a multivariate spatio-temporal interaction structure to account for possible correlations across injury severities over space, time, and spatio-temporal interaction, respectively. Income and weather indicators were found to have no significant effects on crash frequencies in the presence of vehicle miles traveled and unemployment rate. Both spatial and temporal effects were found to be important, and they played nearly the same roles for all three crash types in the studied dataset. Counties located in north and southwest Iowa were found to tend to have fewer crashes than the remaining counties. All three crash types generally showed descending trends from 2006 to 2015. They also had significantly positive correlations between each other in space but not in time. The crude crash rates and predicted crash rates were generally consistent for major injury and minor injury crashes but not for low-count fatal crashes. High-risk counties were identified using the posterior expected rank by the predicted crash cost rate, which was more able to truly represent the underlying traffic safety status than the rank by the crude crash cost rate.","author":[{"dropping-particle":"","family":"Liu","given":"Chenhui","non-dropping-particle":"","parse-names":false,"suffix":""},{"dropping-particle":"","family":"Sharma","given":"Anuj","non-dropping-particle":"","parse-names":false,"suffix":""}],"container-title":"Analytic Methods in Accident Research","id":"ITEM-2","issued":{"date-parts":[["2018"]]},"page":"14-31","title":"Using the multivariate spatio-temporal Bayesian model to analyze traffic crashes by severity","type":"article-journal","volume":"17"},"uris":["http://www.mendeley.com/documents/?uuid=dfbaeb5a-d83e-4ef4-b7ec-3bc23b07a9b9"]},{"id":"ITEM-3","itemData":{"DOI":"10.1016/j.amar.2016.04.001","ISSN":"22136657","abstract":"Highway accidents are complex events that involve a variety of human responses to external stimuli, as well as complex interactions between the vehicle, roadway features/condition, traffic-related factors, and environmental conditions. In addition, there are complexities involved in energy dissipation (once an accident has occurred) that relate to vehicle design, impact angles, the physiological characteristics of involved humans, and other factors. With such a complex process, it is impossible to have access to all of the data that could potentially determine the likelihood of a highway accident or its resulting injury severity. The absence of such important data can potentially present serious specification problems for traditional statistical analyses that can lead to biased and inconsistent parameter estimates, erroneous inferences and erroneous accident predictions. This paper presents a detailed discussion of this problem (typically referred to as unobserved heterogeneity) in the context of accident data and analysis. Various statistical approaches available to address this unobserved heterogeneity are presented along with their strengths and weaknesses. The paper concludes with a summary of the fundamental issues and directions for future methodological work that addresses unobserved heterogeneity.","author":[{"dropping-particle":"","family":"Mannering","given":"Fred L.","non-dropping-particle":"","parse-names":false,"suffix":""},{"dropping-particle":"","family":"Shankar","given":"Venky","non-dropping-particle":"","parse-names":false,"suffix":""},{"dropping-particle":"","family":"Bhat","given":"Chandra R.","non-dropping-particle":"","parse-names":false,"suffix":""}],"container-title":"Analytic Methods in Accident Research","id":"ITEM-3","issued":{"date-parts":[["2016"]]},"page":"1-16","publisher":"Elsevier","title":"Unobserved heterogeneity and the statistical analysis of highway accident data","type":"article-journal","volume":"11"},"uris":["http://www.mendeley.com/documents/?uuid=9e0575e9-cff2-4fa1-84e0-12c18b0ae279"]}],"mendeley":{"formattedCitation":"(Liu and Sharma, 2018; Mannering et al., 2016; Zeng et al., 2018)","manualFormatting":"Liu and Sharma, 2018; Mannering et al., 2016; Zeng et al., 2018","plainTextFormattedCitation":"(Liu and Sharma, 2018; Mannering et al., 2016; Zeng et al., 2018)","previouslyFormattedCitation":"(Liu and Sharma, 2018; Mannering et al., 2016; Zeng et al., 2018)"},"properties":{"noteIndex":0},"schema":"https://github.com/citation-style-language/schema/raw/master/csl-citation.json"}</w:instrText>
      </w:r>
      <w:r w:rsidR="00CE5311">
        <w:fldChar w:fldCharType="separate"/>
      </w:r>
      <w:r w:rsidR="00CE5311" w:rsidRPr="00097239">
        <w:rPr>
          <w:noProof/>
        </w:rPr>
        <w:t>Liu and Sharma, 2018; Mannering et al., 2016; Zeng et al., 2018</w:t>
      </w:r>
      <w:r w:rsidR="00CE5311">
        <w:fldChar w:fldCharType="end"/>
      </w:r>
      <w:r w:rsidR="00785B65">
        <w:t>, Wang et al., 2019</w:t>
      </w:r>
      <w:r w:rsidR="00CE5311">
        <w:t xml:space="preserve"> for an extensive discussion).</w:t>
      </w:r>
      <w:r w:rsidR="003B7E2A" w:rsidRPr="00267561">
        <w:rPr>
          <w:szCs w:val="24"/>
        </w:rPr>
        <w:t xml:space="preserve"> </w:t>
      </w:r>
      <w:r w:rsidR="006C695B">
        <w:t>Thus,</w:t>
      </w:r>
      <w:r w:rsidR="00601C08">
        <w:t xml:space="preserve"> any modeling approach to analyze the </w:t>
      </w:r>
      <w:r w:rsidR="00642A2D">
        <w:t xml:space="preserve">multiple </w:t>
      </w:r>
      <w:r w:rsidR="00601C08">
        <w:t>crash frequency variables need</w:t>
      </w:r>
      <w:r w:rsidR="004B0B03">
        <w:t>s</w:t>
      </w:r>
      <w:r w:rsidR="00601C08">
        <w:t xml:space="preserve"> to explicitly account for the presence of these common factors that are most </w:t>
      </w:r>
      <w:r w:rsidR="00C82E4F">
        <w:t>often unobserved</w:t>
      </w:r>
      <w:r w:rsidR="00601C08">
        <w:t xml:space="preserve">. </w:t>
      </w:r>
      <w:r w:rsidR="00816026">
        <w:t xml:space="preserve">The most common approach employed to address the potential unobserved heterogeneity in safety literature is the development of multivariate crash frequency models. </w:t>
      </w:r>
    </w:p>
    <w:p w14:paraId="4D01F0F1" w14:textId="77777777" w:rsidR="00816026" w:rsidRDefault="00816026" w:rsidP="008F40D8">
      <w:pPr>
        <w:ind w:firstLine="720"/>
      </w:pPr>
    </w:p>
    <w:p w14:paraId="7EA0949A" w14:textId="3F349D6D" w:rsidR="00816026" w:rsidRDefault="00574B46" w:rsidP="00574B46">
      <w:pPr>
        <w:pStyle w:val="Heading2"/>
        <w:ind w:left="578" w:hanging="578"/>
      </w:pPr>
      <w:r>
        <w:t>Earlier Work</w:t>
      </w:r>
    </w:p>
    <w:p w14:paraId="37CA813D" w14:textId="7D590447" w:rsidR="00CC74A8" w:rsidRDefault="009421F7" w:rsidP="000453BF">
      <w:pPr>
        <w:sectPr w:rsidR="00CC74A8" w:rsidSect="005B48A0">
          <w:footerReference w:type="default" r:id="rId14"/>
          <w:headerReference w:type="first" r:id="rId15"/>
          <w:footerReference w:type="first" r:id="rId16"/>
          <w:type w:val="continuous"/>
          <w:pgSz w:w="12240" w:h="15840" w:code="1"/>
          <w:pgMar w:top="1440" w:right="1469" w:bottom="1440" w:left="1440" w:header="720" w:footer="720" w:gutter="0"/>
          <w:cols w:space="708"/>
          <w:titlePg/>
          <w:docGrid w:linePitch="360"/>
        </w:sectPr>
      </w:pPr>
      <w:r>
        <w:t xml:space="preserve">A summary of earlier research efforts investigating crash frequencies by </w:t>
      </w:r>
      <w:r w:rsidR="00711E3F">
        <w:t xml:space="preserve">crash type and </w:t>
      </w:r>
      <w:r>
        <w:t xml:space="preserve">severity level are presented in Table 1 with information on the spatial unit (aggregation level), the region (covered area, for example state or city), crash unit (type of crash considered), number of dimensions examined (of the dependent variable), methodological framework employed, and different categories of exogenous variables considered in the analysis. The following observations can be made from Table 1. </w:t>
      </w:r>
      <w:r w:rsidRPr="00B0656A">
        <w:rPr>
          <w:u w:val="single"/>
        </w:rPr>
        <w:t>First,</w:t>
      </w:r>
      <w:r>
        <w:t xml:space="preserve"> the most prevalent mechanism to analyze crash count by different levels are multivariate count regression approaches. </w:t>
      </w:r>
      <w:r>
        <w:rPr>
          <w:u w:val="single"/>
        </w:rPr>
        <w:t>Second</w:t>
      </w:r>
      <w:r w:rsidRPr="00960D4D">
        <w:rPr>
          <w:u w:val="single"/>
        </w:rPr>
        <w:t>,</w:t>
      </w:r>
      <w:r>
        <w:t xml:space="preserve"> several spatial units are considered both at macro and micro level for analyzing the crash </w:t>
      </w:r>
      <w:r w:rsidR="00645BA7">
        <w:t xml:space="preserve">counts by type and </w:t>
      </w:r>
      <w:r>
        <w:t xml:space="preserve">injury severity including segments and intersections (for micro level); and census block and traffic analysis zone (for macro level). </w:t>
      </w:r>
      <w:r>
        <w:rPr>
          <w:u w:val="single"/>
        </w:rPr>
        <w:t>Third</w:t>
      </w:r>
      <w:r>
        <w:t xml:space="preserve">, the methodological frameworks adopted in these studies include </w:t>
      </w:r>
      <w:r w:rsidRPr="003665C5">
        <w:t xml:space="preserve">Negative binomial, Poisson regression, Multivariate Poisson-lognormal, </w:t>
      </w:r>
      <w:r>
        <w:t>M</w:t>
      </w:r>
      <w:r w:rsidRPr="003665C5">
        <w:t xml:space="preserve">ultivariate </w:t>
      </w:r>
      <w:r>
        <w:t>N</w:t>
      </w:r>
      <w:r w:rsidRPr="003665C5">
        <w:t xml:space="preserve">egative </w:t>
      </w:r>
      <w:r>
        <w:t>B</w:t>
      </w:r>
      <w:r w:rsidRPr="003665C5">
        <w:t xml:space="preserve">inomial, Multinomial </w:t>
      </w:r>
      <w:r>
        <w:t>G</w:t>
      </w:r>
      <w:r w:rsidRPr="003665C5">
        <w:t xml:space="preserve">eneralized </w:t>
      </w:r>
      <w:proofErr w:type="gramStart"/>
      <w:r w:rsidRPr="003665C5">
        <w:t>Poisson</w:t>
      </w:r>
      <w:proofErr w:type="gramEnd"/>
      <w:r>
        <w:t xml:space="preserve"> and</w:t>
      </w:r>
      <w:r w:rsidRPr="003665C5">
        <w:t xml:space="preserve"> Integrated Nested Laplace Approximation. </w:t>
      </w:r>
      <w:r>
        <w:rPr>
          <w:u w:val="single"/>
        </w:rPr>
        <w:t>Fourth</w:t>
      </w:r>
      <w:r>
        <w:t xml:space="preserve">, with respect to exogenous variables, the overall findings from earlier research effort are consistent. The various factors identified </w:t>
      </w:r>
      <w:r w:rsidR="001E35D9">
        <w:t xml:space="preserve">that influence </w:t>
      </w:r>
      <w:r>
        <w:t>crash severities include</w:t>
      </w:r>
      <w:r w:rsidR="00532E7C">
        <w:t xml:space="preserve"> </w:t>
      </w:r>
      <w:r>
        <w:t>- (1) roadway characteristics such as shoulder width, arterial road length; (2)</w:t>
      </w:r>
      <w:r w:rsidRPr="00EF679D">
        <w:t xml:space="preserve"> </w:t>
      </w:r>
      <w:r>
        <w:t>land-use characteristics such as urban land use and land use mix; (3) built environment characteristics such as</w:t>
      </w:r>
      <w:r w:rsidRPr="000B6726">
        <w:t xml:space="preserve"> </w:t>
      </w:r>
      <w:r>
        <w:t xml:space="preserve">number of access points (number of restaurant, entertainment center); (4) traffic characteristics such as Average Annual Daily Traffic (AADT) and  truck volume; (5) socio-demographic characteristics such as population density and people by different age group; and (6) weather variables such as precipitation rate. </w:t>
      </w:r>
      <w:r w:rsidR="00BF47C9" w:rsidRPr="0072051C">
        <w:rPr>
          <w:u w:val="single"/>
        </w:rPr>
        <w:t>Fifth</w:t>
      </w:r>
      <w:r w:rsidR="00BF47C9">
        <w:t>, the highest number of dependent variables considered in multivariate models is</w:t>
      </w:r>
      <w:r w:rsidR="007F05B1">
        <w:t xml:space="preserve"> </w:t>
      </w:r>
      <w:r w:rsidR="00016F91">
        <w:t>8</w:t>
      </w:r>
      <w:r w:rsidR="00BF47C9">
        <w:t xml:space="preserve">. </w:t>
      </w:r>
      <w:r w:rsidRPr="004D6696">
        <w:rPr>
          <w:u w:val="single"/>
        </w:rPr>
        <w:t>Finally</w:t>
      </w:r>
      <w:r>
        <w:t>, none of the studies</w:t>
      </w:r>
      <w:r>
        <w:rPr>
          <w:rStyle w:val="FootnoteReference"/>
        </w:rPr>
        <w:footnoteReference w:id="2"/>
      </w:r>
      <w:r>
        <w:t xml:space="preserve"> examined the crash counts of different crash types and their corresponding severity outcomes in an integrated framework at the planning level. </w:t>
      </w:r>
      <w:r w:rsidR="00D42751">
        <w:t xml:space="preserve"> </w:t>
      </w:r>
    </w:p>
    <w:p w14:paraId="7C09B68E" w14:textId="77777777" w:rsidR="00CC74A8" w:rsidRDefault="00CC74A8" w:rsidP="00CC74A8">
      <w:pPr>
        <w:jc w:val="center"/>
        <w:rPr>
          <w:szCs w:val="24"/>
        </w:rPr>
      </w:pPr>
      <w:r w:rsidRPr="000A2685">
        <w:rPr>
          <w:b/>
        </w:rPr>
        <w:lastRenderedPageBreak/>
        <w:t xml:space="preserve">TABLE </w:t>
      </w:r>
      <w:r>
        <w:rPr>
          <w:b/>
        </w:rPr>
        <w:t>1</w:t>
      </w:r>
      <w:r w:rsidRPr="000A2685">
        <w:rPr>
          <w:b/>
        </w:rPr>
        <w:t xml:space="preserve"> </w:t>
      </w:r>
      <w:r>
        <w:rPr>
          <w:b/>
        </w:rPr>
        <w:t>Summary of Existing Aggregate Level Multivariate Crash Type and Severity Studies</w:t>
      </w:r>
    </w:p>
    <w:tbl>
      <w:tblPr>
        <w:tblStyle w:val="TableGrid"/>
        <w:tblW w:w="12913"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729"/>
        <w:gridCol w:w="1238"/>
        <w:gridCol w:w="1416"/>
        <w:gridCol w:w="1089"/>
        <w:gridCol w:w="2061"/>
        <w:gridCol w:w="1998"/>
        <w:gridCol w:w="652"/>
        <w:gridCol w:w="459"/>
        <w:gridCol w:w="604"/>
        <w:gridCol w:w="604"/>
        <w:gridCol w:w="604"/>
        <w:gridCol w:w="459"/>
      </w:tblGrid>
      <w:tr w:rsidR="00A42FCC" w:rsidRPr="00D40F8D" w14:paraId="120AEDBA" w14:textId="77777777" w:rsidTr="004601C9">
        <w:trPr>
          <w:trHeight w:val="360"/>
        </w:trPr>
        <w:tc>
          <w:tcPr>
            <w:tcW w:w="1729" w:type="dxa"/>
            <w:vMerge w:val="restart"/>
            <w:vAlign w:val="center"/>
          </w:tcPr>
          <w:p w14:paraId="1BAD668A" w14:textId="77777777" w:rsidR="00CC74A8" w:rsidRPr="00D40F8D" w:rsidRDefault="00CC74A8" w:rsidP="004601C9">
            <w:pPr>
              <w:jc w:val="center"/>
              <w:rPr>
                <w:b/>
                <w:sz w:val="20"/>
                <w:szCs w:val="20"/>
              </w:rPr>
            </w:pPr>
            <w:r w:rsidRPr="00D40F8D">
              <w:rPr>
                <w:b/>
                <w:sz w:val="20"/>
                <w:szCs w:val="20"/>
              </w:rPr>
              <w:t>Studies</w:t>
            </w:r>
          </w:p>
        </w:tc>
        <w:tc>
          <w:tcPr>
            <w:tcW w:w="1238" w:type="dxa"/>
            <w:vMerge w:val="restart"/>
            <w:vAlign w:val="center"/>
          </w:tcPr>
          <w:p w14:paraId="664386D6" w14:textId="77777777" w:rsidR="00CC74A8" w:rsidRPr="00D40F8D" w:rsidRDefault="00CC74A8" w:rsidP="004601C9">
            <w:pPr>
              <w:jc w:val="center"/>
              <w:rPr>
                <w:b/>
                <w:sz w:val="20"/>
                <w:szCs w:val="20"/>
              </w:rPr>
            </w:pPr>
            <w:r w:rsidRPr="00D40F8D">
              <w:rPr>
                <w:b/>
                <w:sz w:val="20"/>
                <w:szCs w:val="20"/>
              </w:rPr>
              <w:t>Spatial</w:t>
            </w:r>
          </w:p>
          <w:p w14:paraId="47989D41" w14:textId="77777777" w:rsidR="00CC74A8" w:rsidRPr="00D40F8D" w:rsidRDefault="00CC74A8" w:rsidP="004601C9">
            <w:pPr>
              <w:jc w:val="center"/>
              <w:rPr>
                <w:b/>
                <w:sz w:val="20"/>
                <w:szCs w:val="20"/>
              </w:rPr>
            </w:pPr>
            <w:r w:rsidRPr="00D40F8D">
              <w:rPr>
                <w:b/>
                <w:sz w:val="20"/>
                <w:szCs w:val="20"/>
              </w:rPr>
              <w:t>Unit</w:t>
            </w:r>
          </w:p>
        </w:tc>
        <w:tc>
          <w:tcPr>
            <w:tcW w:w="1416" w:type="dxa"/>
            <w:vMerge w:val="restart"/>
            <w:vAlign w:val="center"/>
          </w:tcPr>
          <w:p w14:paraId="44D59477" w14:textId="77777777" w:rsidR="00CC74A8" w:rsidRPr="00D40F8D" w:rsidRDefault="00CC74A8" w:rsidP="004601C9">
            <w:pPr>
              <w:jc w:val="center"/>
              <w:rPr>
                <w:b/>
                <w:sz w:val="20"/>
                <w:szCs w:val="20"/>
              </w:rPr>
            </w:pPr>
            <w:r w:rsidRPr="00D40F8D">
              <w:rPr>
                <w:b/>
                <w:sz w:val="20"/>
                <w:szCs w:val="20"/>
              </w:rPr>
              <w:t>Region</w:t>
            </w:r>
          </w:p>
        </w:tc>
        <w:tc>
          <w:tcPr>
            <w:tcW w:w="1089" w:type="dxa"/>
            <w:vMerge w:val="restart"/>
            <w:vAlign w:val="center"/>
          </w:tcPr>
          <w:p w14:paraId="50AD6881" w14:textId="77777777" w:rsidR="00CC74A8" w:rsidRPr="00D40F8D" w:rsidRDefault="00CC74A8" w:rsidP="004601C9">
            <w:pPr>
              <w:jc w:val="center"/>
              <w:rPr>
                <w:b/>
                <w:sz w:val="20"/>
                <w:szCs w:val="20"/>
              </w:rPr>
            </w:pPr>
            <w:r w:rsidRPr="00D40F8D">
              <w:rPr>
                <w:b/>
                <w:sz w:val="20"/>
                <w:szCs w:val="20"/>
              </w:rPr>
              <w:t>Crash unit</w:t>
            </w:r>
          </w:p>
        </w:tc>
        <w:tc>
          <w:tcPr>
            <w:tcW w:w="2061" w:type="dxa"/>
            <w:vMerge w:val="restart"/>
            <w:vAlign w:val="center"/>
          </w:tcPr>
          <w:p w14:paraId="278EFD73" w14:textId="77777777" w:rsidR="00CC74A8" w:rsidRPr="00D40F8D" w:rsidRDefault="00CC74A8" w:rsidP="004601C9">
            <w:pPr>
              <w:jc w:val="center"/>
              <w:rPr>
                <w:b/>
                <w:sz w:val="20"/>
                <w:szCs w:val="20"/>
              </w:rPr>
            </w:pPr>
            <w:r w:rsidRPr="00D40F8D">
              <w:rPr>
                <w:b/>
                <w:sz w:val="20"/>
                <w:szCs w:val="20"/>
              </w:rPr>
              <w:t xml:space="preserve">Number of </w:t>
            </w:r>
          </w:p>
          <w:p w14:paraId="339DDD6D" w14:textId="77777777" w:rsidR="00CC74A8" w:rsidRPr="00D40F8D" w:rsidRDefault="00CC74A8" w:rsidP="004601C9">
            <w:pPr>
              <w:jc w:val="center"/>
              <w:rPr>
                <w:b/>
                <w:sz w:val="20"/>
                <w:szCs w:val="20"/>
              </w:rPr>
            </w:pPr>
            <w:r w:rsidRPr="00D40F8D">
              <w:rPr>
                <w:b/>
                <w:sz w:val="20"/>
                <w:szCs w:val="20"/>
              </w:rPr>
              <w:t>Levels Explored</w:t>
            </w:r>
          </w:p>
        </w:tc>
        <w:tc>
          <w:tcPr>
            <w:tcW w:w="1998" w:type="dxa"/>
            <w:vMerge w:val="restart"/>
            <w:vAlign w:val="center"/>
          </w:tcPr>
          <w:p w14:paraId="4A445E5D" w14:textId="77777777" w:rsidR="00CC74A8" w:rsidRPr="00D40F8D" w:rsidRDefault="00CC74A8" w:rsidP="004601C9">
            <w:pPr>
              <w:jc w:val="center"/>
              <w:rPr>
                <w:b/>
                <w:sz w:val="20"/>
                <w:szCs w:val="20"/>
              </w:rPr>
            </w:pPr>
            <w:r w:rsidRPr="00D40F8D">
              <w:rPr>
                <w:b/>
                <w:sz w:val="20"/>
                <w:szCs w:val="20"/>
              </w:rPr>
              <w:t xml:space="preserve">Methodological </w:t>
            </w:r>
          </w:p>
          <w:p w14:paraId="3BE4DF5E" w14:textId="77777777" w:rsidR="00CC74A8" w:rsidRPr="00D40F8D" w:rsidRDefault="00CC74A8" w:rsidP="004601C9">
            <w:pPr>
              <w:jc w:val="center"/>
              <w:rPr>
                <w:b/>
                <w:sz w:val="20"/>
                <w:szCs w:val="20"/>
              </w:rPr>
            </w:pPr>
            <w:r w:rsidRPr="00D40F8D">
              <w:rPr>
                <w:b/>
                <w:sz w:val="20"/>
                <w:szCs w:val="20"/>
              </w:rPr>
              <w:t>Approach</w:t>
            </w:r>
          </w:p>
        </w:tc>
        <w:tc>
          <w:tcPr>
            <w:tcW w:w="3382" w:type="dxa"/>
            <w:gridSpan w:val="6"/>
            <w:vAlign w:val="center"/>
          </w:tcPr>
          <w:p w14:paraId="5659DADC" w14:textId="77777777" w:rsidR="00CC74A8" w:rsidRPr="00D40F8D" w:rsidRDefault="00CC74A8" w:rsidP="004601C9">
            <w:pPr>
              <w:jc w:val="center"/>
              <w:rPr>
                <w:b/>
                <w:sz w:val="20"/>
                <w:szCs w:val="20"/>
              </w:rPr>
            </w:pPr>
            <w:r w:rsidRPr="00D40F8D">
              <w:rPr>
                <w:b/>
                <w:sz w:val="20"/>
                <w:szCs w:val="20"/>
              </w:rPr>
              <w:t xml:space="preserve">Independent </w:t>
            </w:r>
          </w:p>
          <w:p w14:paraId="502E0F39" w14:textId="77777777" w:rsidR="00CC74A8" w:rsidRPr="00D40F8D" w:rsidRDefault="00CC74A8" w:rsidP="004601C9">
            <w:pPr>
              <w:jc w:val="center"/>
              <w:rPr>
                <w:b/>
                <w:sz w:val="20"/>
                <w:szCs w:val="20"/>
              </w:rPr>
            </w:pPr>
            <w:r w:rsidRPr="00D40F8D">
              <w:rPr>
                <w:b/>
                <w:sz w:val="20"/>
                <w:szCs w:val="20"/>
              </w:rPr>
              <w:t>Variables Considered</w:t>
            </w:r>
          </w:p>
        </w:tc>
      </w:tr>
      <w:tr w:rsidR="00494D9E" w:rsidRPr="00D40F8D" w14:paraId="5DA32CEF" w14:textId="77777777" w:rsidTr="004601C9">
        <w:trPr>
          <w:cantSplit/>
          <w:trHeight w:val="1385"/>
        </w:trPr>
        <w:tc>
          <w:tcPr>
            <w:tcW w:w="1729" w:type="dxa"/>
            <w:vMerge/>
            <w:tcBorders>
              <w:bottom w:val="double" w:sz="4" w:space="0" w:color="auto"/>
            </w:tcBorders>
            <w:vAlign w:val="center"/>
          </w:tcPr>
          <w:p w14:paraId="484EC140" w14:textId="77777777" w:rsidR="00CC74A8" w:rsidRPr="00D40F8D" w:rsidRDefault="00CC74A8" w:rsidP="004601C9">
            <w:pPr>
              <w:jc w:val="center"/>
              <w:rPr>
                <w:b/>
                <w:sz w:val="20"/>
                <w:szCs w:val="20"/>
              </w:rPr>
            </w:pPr>
          </w:p>
        </w:tc>
        <w:tc>
          <w:tcPr>
            <w:tcW w:w="1238" w:type="dxa"/>
            <w:vMerge/>
            <w:tcBorders>
              <w:bottom w:val="double" w:sz="4" w:space="0" w:color="auto"/>
            </w:tcBorders>
            <w:vAlign w:val="center"/>
          </w:tcPr>
          <w:p w14:paraId="1058956F" w14:textId="77777777" w:rsidR="00CC74A8" w:rsidRPr="00D40F8D" w:rsidRDefault="00CC74A8" w:rsidP="004601C9">
            <w:pPr>
              <w:jc w:val="center"/>
              <w:rPr>
                <w:b/>
                <w:sz w:val="20"/>
                <w:szCs w:val="20"/>
              </w:rPr>
            </w:pPr>
          </w:p>
        </w:tc>
        <w:tc>
          <w:tcPr>
            <w:tcW w:w="1416" w:type="dxa"/>
            <w:vMerge/>
            <w:tcBorders>
              <w:bottom w:val="double" w:sz="4" w:space="0" w:color="auto"/>
            </w:tcBorders>
          </w:tcPr>
          <w:p w14:paraId="31698D5B" w14:textId="77777777" w:rsidR="00CC74A8" w:rsidRPr="00D40F8D" w:rsidRDefault="00CC74A8" w:rsidP="004601C9">
            <w:pPr>
              <w:jc w:val="center"/>
              <w:rPr>
                <w:b/>
                <w:sz w:val="20"/>
                <w:szCs w:val="20"/>
              </w:rPr>
            </w:pPr>
          </w:p>
        </w:tc>
        <w:tc>
          <w:tcPr>
            <w:tcW w:w="1089" w:type="dxa"/>
            <w:vMerge/>
            <w:tcBorders>
              <w:bottom w:val="double" w:sz="4" w:space="0" w:color="auto"/>
            </w:tcBorders>
          </w:tcPr>
          <w:p w14:paraId="3960A138" w14:textId="77777777" w:rsidR="00CC74A8" w:rsidRPr="00D40F8D" w:rsidRDefault="00CC74A8" w:rsidP="004601C9">
            <w:pPr>
              <w:jc w:val="center"/>
              <w:rPr>
                <w:b/>
                <w:sz w:val="20"/>
                <w:szCs w:val="20"/>
              </w:rPr>
            </w:pPr>
          </w:p>
        </w:tc>
        <w:tc>
          <w:tcPr>
            <w:tcW w:w="2061" w:type="dxa"/>
            <w:vMerge/>
            <w:tcBorders>
              <w:bottom w:val="double" w:sz="4" w:space="0" w:color="auto"/>
            </w:tcBorders>
            <w:vAlign w:val="center"/>
          </w:tcPr>
          <w:p w14:paraId="4B15ADEC" w14:textId="77777777" w:rsidR="00CC74A8" w:rsidRPr="00D40F8D" w:rsidRDefault="00CC74A8" w:rsidP="004601C9">
            <w:pPr>
              <w:jc w:val="center"/>
              <w:rPr>
                <w:b/>
                <w:sz w:val="20"/>
                <w:szCs w:val="20"/>
              </w:rPr>
            </w:pPr>
          </w:p>
        </w:tc>
        <w:tc>
          <w:tcPr>
            <w:tcW w:w="1998" w:type="dxa"/>
            <w:vMerge/>
            <w:tcBorders>
              <w:bottom w:val="double" w:sz="4" w:space="0" w:color="auto"/>
            </w:tcBorders>
            <w:vAlign w:val="center"/>
          </w:tcPr>
          <w:p w14:paraId="19BE02A4" w14:textId="77777777" w:rsidR="00CC74A8" w:rsidRPr="00D40F8D" w:rsidRDefault="00CC74A8" w:rsidP="004601C9">
            <w:pPr>
              <w:jc w:val="center"/>
              <w:rPr>
                <w:b/>
                <w:sz w:val="20"/>
                <w:szCs w:val="20"/>
              </w:rPr>
            </w:pPr>
          </w:p>
        </w:tc>
        <w:tc>
          <w:tcPr>
            <w:tcW w:w="652" w:type="dxa"/>
            <w:tcBorders>
              <w:bottom w:val="double" w:sz="4" w:space="0" w:color="auto"/>
            </w:tcBorders>
            <w:textDirection w:val="btLr"/>
            <w:vAlign w:val="center"/>
          </w:tcPr>
          <w:p w14:paraId="29780121" w14:textId="77777777" w:rsidR="00CC74A8" w:rsidRPr="00D40F8D" w:rsidRDefault="00CC74A8" w:rsidP="004601C9">
            <w:pPr>
              <w:jc w:val="center"/>
              <w:rPr>
                <w:b/>
                <w:i/>
                <w:sz w:val="20"/>
                <w:szCs w:val="20"/>
              </w:rPr>
            </w:pPr>
            <w:r w:rsidRPr="00D40F8D">
              <w:rPr>
                <w:b/>
                <w:i/>
                <w:sz w:val="20"/>
                <w:szCs w:val="20"/>
              </w:rPr>
              <w:t>Roadway Infrastructure</w:t>
            </w:r>
          </w:p>
        </w:tc>
        <w:tc>
          <w:tcPr>
            <w:tcW w:w="459" w:type="dxa"/>
            <w:tcBorders>
              <w:bottom w:val="double" w:sz="4" w:space="0" w:color="auto"/>
            </w:tcBorders>
            <w:textDirection w:val="btLr"/>
            <w:vAlign w:val="center"/>
          </w:tcPr>
          <w:p w14:paraId="7BD027A0" w14:textId="77777777" w:rsidR="00CC74A8" w:rsidRPr="00D40F8D" w:rsidRDefault="00CC74A8" w:rsidP="004601C9">
            <w:pPr>
              <w:jc w:val="center"/>
              <w:rPr>
                <w:b/>
                <w:i/>
                <w:sz w:val="20"/>
                <w:szCs w:val="20"/>
              </w:rPr>
            </w:pPr>
            <w:r w:rsidRPr="00D40F8D">
              <w:rPr>
                <w:b/>
                <w:i/>
                <w:sz w:val="20"/>
                <w:szCs w:val="20"/>
              </w:rPr>
              <w:t>Land-use</w:t>
            </w:r>
          </w:p>
        </w:tc>
        <w:tc>
          <w:tcPr>
            <w:tcW w:w="604" w:type="dxa"/>
            <w:tcBorders>
              <w:bottom w:val="double" w:sz="4" w:space="0" w:color="auto"/>
            </w:tcBorders>
            <w:textDirection w:val="btLr"/>
            <w:vAlign w:val="center"/>
          </w:tcPr>
          <w:p w14:paraId="7B8D20C1" w14:textId="77777777" w:rsidR="00CC74A8" w:rsidRPr="00D40F8D" w:rsidRDefault="00CC74A8" w:rsidP="004601C9">
            <w:pPr>
              <w:jc w:val="center"/>
              <w:rPr>
                <w:b/>
                <w:i/>
                <w:sz w:val="20"/>
                <w:szCs w:val="20"/>
              </w:rPr>
            </w:pPr>
            <w:r w:rsidRPr="00D40F8D">
              <w:rPr>
                <w:b/>
                <w:i/>
                <w:sz w:val="20"/>
                <w:szCs w:val="20"/>
              </w:rPr>
              <w:t>Built Environment</w:t>
            </w:r>
          </w:p>
        </w:tc>
        <w:tc>
          <w:tcPr>
            <w:tcW w:w="604" w:type="dxa"/>
            <w:tcBorders>
              <w:bottom w:val="double" w:sz="4" w:space="0" w:color="auto"/>
            </w:tcBorders>
            <w:textDirection w:val="btLr"/>
            <w:vAlign w:val="center"/>
          </w:tcPr>
          <w:p w14:paraId="702E8139" w14:textId="77777777" w:rsidR="00CC74A8" w:rsidRPr="00D40F8D" w:rsidRDefault="00CC74A8" w:rsidP="004601C9">
            <w:pPr>
              <w:jc w:val="center"/>
              <w:rPr>
                <w:b/>
                <w:i/>
                <w:sz w:val="20"/>
                <w:szCs w:val="20"/>
              </w:rPr>
            </w:pPr>
            <w:r w:rsidRPr="00D40F8D">
              <w:rPr>
                <w:b/>
                <w:i/>
                <w:sz w:val="20"/>
                <w:szCs w:val="20"/>
              </w:rPr>
              <w:t>Traffic Characteristics</w:t>
            </w:r>
          </w:p>
        </w:tc>
        <w:tc>
          <w:tcPr>
            <w:tcW w:w="604" w:type="dxa"/>
            <w:tcBorders>
              <w:bottom w:val="double" w:sz="4" w:space="0" w:color="auto"/>
            </w:tcBorders>
            <w:textDirection w:val="btLr"/>
            <w:vAlign w:val="center"/>
          </w:tcPr>
          <w:p w14:paraId="43206450" w14:textId="77777777" w:rsidR="00CC74A8" w:rsidRPr="00D40F8D" w:rsidRDefault="00CC74A8" w:rsidP="004601C9">
            <w:pPr>
              <w:jc w:val="center"/>
              <w:rPr>
                <w:b/>
                <w:i/>
                <w:sz w:val="20"/>
                <w:szCs w:val="20"/>
              </w:rPr>
            </w:pPr>
            <w:r w:rsidRPr="00D40F8D">
              <w:rPr>
                <w:b/>
                <w:i/>
                <w:sz w:val="20"/>
                <w:szCs w:val="20"/>
              </w:rPr>
              <w:t>Socio-demographic</w:t>
            </w:r>
          </w:p>
        </w:tc>
        <w:tc>
          <w:tcPr>
            <w:tcW w:w="459" w:type="dxa"/>
            <w:tcBorders>
              <w:bottom w:val="double" w:sz="4" w:space="0" w:color="auto"/>
            </w:tcBorders>
            <w:textDirection w:val="btLr"/>
            <w:vAlign w:val="center"/>
          </w:tcPr>
          <w:p w14:paraId="4CB52D99" w14:textId="77777777" w:rsidR="00CC74A8" w:rsidRPr="00D40F8D" w:rsidRDefault="00CC74A8" w:rsidP="004601C9">
            <w:pPr>
              <w:jc w:val="center"/>
              <w:rPr>
                <w:b/>
                <w:i/>
                <w:sz w:val="20"/>
                <w:szCs w:val="20"/>
              </w:rPr>
            </w:pPr>
            <w:r w:rsidRPr="00D40F8D">
              <w:rPr>
                <w:b/>
                <w:i/>
                <w:sz w:val="20"/>
                <w:szCs w:val="20"/>
              </w:rPr>
              <w:t>Weather</w:t>
            </w:r>
          </w:p>
        </w:tc>
      </w:tr>
      <w:tr w:rsidR="00CC74A8" w:rsidRPr="00D40F8D" w14:paraId="065BD16A" w14:textId="77777777" w:rsidTr="004601C9">
        <w:trPr>
          <w:trHeight w:val="288"/>
        </w:trPr>
        <w:tc>
          <w:tcPr>
            <w:tcW w:w="12913" w:type="dxa"/>
            <w:gridSpan w:val="12"/>
            <w:tcBorders>
              <w:top w:val="double" w:sz="4" w:space="0" w:color="auto"/>
              <w:bottom w:val="double" w:sz="4" w:space="0" w:color="auto"/>
            </w:tcBorders>
            <w:vAlign w:val="center"/>
          </w:tcPr>
          <w:p w14:paraId="57FFAB4F" w14:textId="77777777" w:rsidR="00CC74A8" w:rsidRPr="00D74EE5" w:rsidRDefault="00CC74A8" w:rsidP="004601C9">
            <w:pPr>
              <w:jc w:val="left"/>
              <w:rPr>
                <w:b/>
                <w:i/>
                <w:sz w:val="20"/>
                <w:szCs w:val="20"/>
              </w:rPr>
            </w:pPr>
            <w:r w:rsidRPr="00D74EE5">
              <w:rPr>
                <w:b/>
                <w:i/>
                <w:sz w:val="20"/>
                <w:szCs w:val="20"/>
              </w:rPr>
              <w:t>Crash Type Studies</w:t>
            </w:r>
          </w:p>
        </w:tc>
      </w:tr>
      <w:tr w:rsidR="00494D9E" w:rsidRPr="00D40F8D" w14:paraId="045D62B8" w14:textId="77777777" w:rsidTr="004601C9">
        <w:trPr>
          <w:trHeight w:val="360"/>
        </w:trPr>
        <w:tc>
          <w:tcPr>
            <w:tcW w:w="1729" w:type="dxa"/>
            <w:tcBorders>
              <w:top w:val="single" w:sz="4" w:space="0" w:color="auto"/>
              <w:bottom w:val="single" w:sz="4" w:space="0" w:color="auto"/>
            </w:tcBorders>
            <w:vAlign w:val="center"/>
          </w:tcPr>
          <w:p w14:paraId="0B7D8F93" w14:textId="4EED9C38" w:rsidR="002B6B7C" w:rsidRPr="0078373E" w:rsidRDefault="002B6B7C" w:rsidP="002B6B7C">
            <w:pPr>
              <w:jc w:val="left"/>
              <w:rPr>
                <w:rFonts w:cs="Times New Roman"/>
                <w:sz w:val="20"/>
                <w:szCs w:val="20"/>
              </w:rPr>
            </w:pPr>
            <w:r>
              <w:rPr>
                <w:rFonts w:cs="Times New Roman"/>
                <w:sz w:val="20"/>
                <w:szCs w:val="20"/>
              </w:rPr>
              <w:fldChar w:fldCharType="begin" w:fldLock="1"/>
            </w:r>
            <w:r w:rsidR="00824888">
              <w:rPr>
                <w:rFonts w:cs="Times New Roman"/>
                <w:sz w:val="20"/>
                <w:szCs w:val="20"/>
              </w:rPr>
              <w:instrText>ADDIN CSL_CITATION {"citationItems":[{"id":"ITEM-1","itemData":{"DOI":"10.3141/2019-12","ISBN":"9780309104463","ISSN":"03611981","abstract":"Accident prediction models are often used to estimate the number of accidents on segments and at intersections in the road network. Most often the models are developed for a total number of crashes for the facility or for crashes by severity. However, the frequency and severity of crashes of different types can be expected to vary according to underlying phenomena that cause them. To account for this variation better, modeling of accidents at intersections on rural four-lane highways in California is described separately for four different collision types: opposite-direction crashes, same-direction crashes, intersecting-direction crashes, and single-vehicle crashes. The findings from this modeling are reported with a special focus on the differences in crash types by (a) severity distribution, (b) dependence on traffic flow, and (c) variables that best explain between-site variations in the occurrence of different crash types. Evident differences exist in severity as well as the relationship of flow between several of the crash types. Intersecting and opposite-direction crashes are more severe than same-direction crashes. Same- and opposite-direction crashes exhibit similar relationships with traffic flow, but there are differences compared with intersecting-direction crashes and single-vehicle crashes. In addition, the variables that turn out to be good predictor variables differ somewhat for each crash type.","author":[{"dropping-particle":"","family":"Jonsson","given":"Thomas","non-dropping-particle":"","parse-names":false,"suffix":""},{"dropping-particle":"","family":"Ivan","given":"John N.","non-dropping-particle":"","parse-names":false,"suffix":""},{"dropping-particle":"","family":"Zhang","given":"Chen","non-dropping-particle":"","parse-names":false,"suffix":""}],"container-title":"Transportation Research Record","id":"ITEM-1","issue":"2019","issued":{"date-parts":[["2007"]]},"page":"91-98","title":"Crash prediction models for intersections on rural multilane highways: Differences by collision type","type":"article-journal"},"uris":["http://www.mendeley.com/documents/?uuid=db628425-89e4-4333-bfe8-7a1371de96de"]}],"mendeley":{"formattedCitation":"(Jonsson et al., 2007)","plainTextFormattedCitation":"(Jonsson et al., 2007)","previouslyFormattedCitation":"(Jonsson et al., 2007)"},"properties":{"noteIndex":0},"schema":"https://github.com/citation-style-language/schema/raw/master/csl-citation.json"}</w:instrText>
            </w:r>
            <w:r>
              <w:rPr>
                <w:rFonts w:cs="Times New Roman"/>
                <w:sz w:val="20"/>
                <w:szCs w:val="20"/>
              </w:rPr>
              <w:fldChar w:fldCharType="separate"/>
            </w:r>
            <w:r w:rsidRPr="008B2020">
              <w:rPr>
                <w:rFonts w:cs="Times New Roman"/>
                <w:noProof/>
                <w:sz w:val="20"/>
                <w:szCs w:val="20"/>
              </w:rPr>
              <w:t>(Jonsson et al., 2007)</w:t>
            </w:r>
            <w:r>
              <w:rPr>
                <w:rFonts w:cs="Times New Roman"/>
                <w:sz w:val="20"/>
                <w:szCs w:val="20"/>
              </w:rPr>
              <w:fldChar w:fldCharType="end"/>
            </w:r>
          </w:p>
        </w:tc>
        <w:tc>
          <w:tcPr>
            <w:tcW w:w="1238" w:type="dxa"/>
            <w:tcBorders>
              <w:top w:val="single" w:sz="4" w:space="0" w:color="auto"/>
              <w:bottom w:val="single" w:sz="4" w:space="0" w:color="auto"/>
            </w:tcBorders>
            <w:vAlign w:val="center"/>
          </w:tcPr>
          <w:p w14:paraId="094DEE5E" w14:textId="42784CCE" w:rsidR="002B6B7C" w:rsidRPr="0078373E" w:rsidRDefault="002B6B7C" w:rsidP="002B6B7C">
            <w:pPr>
              <w:jc w:val="center"/>
              <w:rPr>
                <w:rFonts w:cs="Times New Roman"/>
                <w:sz w:val="20"/>
                <w:szCs w:val="20"/>
                <w:lang w:val="en-US"/>
              </w:rPr>
            </w:pPr>
            <w:r w:rsidRPr="0078373E">
              <w:rPr>
                <w:rFonts w:cs="Times New Roman"/>
                <w:sz w:val="20"/>
                <w:szCs w:val="20"/>
                <w:lang w:val="en-US"/>
              </w:rPr>
              <w:t>Highway segments (Micro)</w:t>
            </w:r>
          </w:p>
        </w:tc>
        <w:tc>
          <w:tcPr>
            <w:tcW w:w="1416" w:type="dxa"/>
            <w:tcBorders>
              <w:top w:val="single" w:sz="4" w:space="0" w:color="auto"/>
              <w:bottom w:val="single" w:sz="4" w:space="0" w:color="auto"/>
            </w:tcBorders>
            <w:vAlign w:val="center"/>
          </w:tcPr>
          <w:p w14:paraId="588FD84B" w14:textId="5F27AD87" w:rsidR="002B6B7C" w:rsidRPr="0078373E" w:rsidRDefault="002B6B7C" w:rsidP="002B6B7C">
            <w:pPr>
              <w:jc w:val="center"/>
              <w:rPr>
                <w:rFonts w:cs="Times New Roman"/>
                <w:sz w:val="20"/>
                <w:szCs w:val="20"/>
                <w:lang w:val="en-US"/>
              </w:rPr>
            </w:pPr>
            <w:r>
              <w:rPr>
                <w:rFonts w:cs="Times New Roman"/>
                <w:sz w:val="20"/>
                <w:szCs w:val="20"/>
                <w:lang w:val="en-US"/>
              </w:rPr>
              <w:t>State (California)</w:t>
            </w:r>
          </w:p>
        </w:tc>
        <w:tc>
          <w:tcPr>
            <w:tcW w:w="1089" w:type="dxa"/>
            <w:tcBorders>
              <w:top w:val="single" w:sz="4" w:space="0" w:color="auto"/>
              <w:bottom w:val="single" w:sz="4" w:space="0" w:color="auto"/>
            </w:tcBorders>
            <w:vAlign w:val="center"/>
          </w:tcPr>
          <w:p w14:paraId="6B57FD01" w14:textId="20561A9E" w:rsidR="002B6B7C" w:rsidRPr="0078373E" w:rsidRDefault="002B6B7C" w:rsidP="002B6B7C">
            <w:pPr>
              <w:jc w:val="center"/>
              <w:rPr>
                <w:rFonts w:cs="Times New Roman"/>
                <w:sz w:val="20"/>
                <w:szCs w:val="20"/>
              </w:rPr>
            </w:pPr>
            <w:r w:rsidRPr="0078373E">
              <w:rPr>
                <w:rFonts w:cs="Times New Roman"/>
                <w:sz w:val="20"/>
                <w:szCs w:val="20"/>
              </w:rPr>
              <w:t>Motorized crash</w:t>
            </w:r>
          </w:p>
        </w:tc>
        <w:tc>
          <w:tcPr>
            <w:tcW w:w="2061" w:type="dxa"/>
            <w:tcBorders>
              <w:top w:val="single" w:sz="4" w:space="0" w:color="auto"/>
              <w:bottom w:val="single" w:sz="4" w:space="0" w:color="auto"/>
            </w:tcBorders>
            <w:vAlign w:val="center"/>
          </w:tcPr>
          <w:p w14:paraId="29920288" w14:textId="63946288" w:rsidR="002B6B7C" w:rsidRPr="0078373E" w:rsidRDefault="002B6B7C" w:rsidP="002B6B7C">
            <w:pPr>
              <w:jc w:val="left"/>
              <w:rPr>
                <w:rFonts w:cs="Times New Roman"/>
                <w:sz w:val="20"/>
                <w:szCs w:val="20"/>
              </w:rPr>
            </w:pPr>
            <w:r w:rsidRPr="0078373E">
              <w:rPr>
                <w:rFonts w:cs="Times New Roman"/>
                <w:sz w:val="20"/>
                <w:szCs w:val="20"/>
              </w:rPr>
              <w:t>4 (same direction, intersecting direction, opposite direction, single vehicle crashes)</w:t>
            </w:r>
          </w:p>
        </w:tc>
        <w:tc>
          <w:tcPr>
            <w:tcW w:w="1998" w:type="dxa"/>
            <w:tcBorders>
              <w:top w:val="single" w:sz="4" w:space="0" w:color="auto"/>
              <w:bottom w:val="single" w:sz="4" w:space="0" w:color="auto"/>
            </w:tcBorders>
            <w:vAlign w:val="center"/>
          </w:tcPr>
          <w:p w14:paraId="6177D5EC" w14:textId="22BB9AB0" w:rsidR="002B6B7C" w:rsidRPr="0078373E" w:rsidRDefault="00237A12" w:rsidP="002B6B7C">
            <w:pPr>
              <w:jc w:val="left"/>
              <w:rPr>
                <w:rFonts w:cs="Times New Roman"/>
                <w:sz w:val="20"/>
                <w:szCs w:val="20"/>
                <w:lang w:val="en-US"/>
              </w:rPr>
            </w:pPr>
            <w:r>
              <w:rPr>
                <w:rFonts w:cs="Times New Roman"/>
                <w:sz w:val="20"/>
                <w:szCs w:val="20"/>
                <w:lang w:val="en-US"/>
              </w:rPr>
              <w:t>Generalized linear model</w:t>
            </w:r>
          </w:p>
        </w:tc>
        <w:tc>
          <w:tcPr>
            <w:tcW w:w="652" w:type="dxa"/>
            <w:tcBorders>
              <w:top w:val="single" w:sz="4" w:space="0" w:color="auto"/>
              <w:bottom w:val="single" w:sz="4" w:space="0" w:color="auto"/>
            </w:tcBorders>
            <w:vAlign w:val="center"/>
          </w:tcPr>
          <w:p w14:paraId="4D56B99E" w14:textId="272C42FA" w:rsidR="002B6B7C" w:rsidRPr="0078373E" w:rsidRDefault="002B6B7C" w:rsidP="002B6B7C">
            <w:pPr>
              <w:jc w:val="center"/>
              <w:rPr>
                <w:rFonts w:cs="Times New Roman"/>
                <w:b/>
                <w:sz w:val="20"/>
                <w:szCs w:val="20"/>
              </w:rPr>
            </w:pPr>
            <w:r w:rsidRPr="0078373E">
              <w:rPr>
                <w:rFonts w:cs="Times New Roman"/>
                <w:b/>
                <w:sz w:val="20"/>
                <w:szCs w:val="20"/>
              </w:rPr>
              <w:t>√</w:t>
            </w:r>
          </w:p>
        </w:tc>
        <w:tc>
          <w:tcPr>
            <w:tcW w:w="459" w:type="dxa"/>
            <w:tcBorders>
              <w:top w:val="single" w:sz="4" w:space="0" w:color="auto"/>
              <w:bottom w:val="single" w:sz="4" w:space="0" w:color="auto"/>
            </w:tcBorders>
            <w:vAlign w:val="center"/>
          </w:tcPr>
          <w:p w14:paraId="131BB80B" w14:textId="0349FAAF" w:rsidR="002B6B7C" w:rsidRPr="0078373E" w:rsidRDefault="007A5D06" w:rsidP="002B6B7C">
            <w:pPr>
              <w:jc w:val="center"/>
              <w:rPr>
                <w:rFonts w:cs="Times New Roman"/>
                <w:b/>
                <w:sz w:val="20"/>
                <w:szCs w:val="20"/>
              </w:rPr>
            </w:pPr>
            <w:r w:rsidRPr="0078373E">
              <w:rPr>
                <w:rFonts w:cs="Times New Roman"/>
                <w:b/>
                <w:sz w:val="20"/>
                <w:szCs w:val="20"/>
              </w:rPr>
              <w:t>√</w:t>
            </w:r>
          </w:p>
        </w:tc>
        <w:tc>
          <w:tcPr>
            <w:tcW w:w="604" w:type="dxa"/>
            <w:tcBorders>
              <w:top w:val="single" w:sz="4" w:space="0" w:color="auto"/>
              <w:bottom w:val="single" w:sz="4" w:space="0" w:color="auto"/>
            </w:tcBorders>
            <w:vAlign w:val="center"/>
          </w:tcPr>
          <w:p w14:paraId="29704913" w14:textId="1B6904E3" w:rsidR="002B6B7C" w:rsidRPr="0078373E" w:rsidRDefault="002B6B7C" w:rsidP="002B6B7C">
            <w:pPr>
              <w:jc w:val="center"/>
              <w:rPr>
                <w:rFonts w:cs="Times New Roman"/>
                <w:b/>
                <w:sz w:val="20"/>
                <w:szCs w:val="20"/>
              </w:rPr>
            </w:pPr>
            <w:r w:rsidRPr="00611D69">
              <w:rPr>
                <w:rFonts w:cs="Times New Roman"/>
                <w:b/>
                <w:sz w:val="20"/>
                <w:szCs w:val="20"/>
              </w:rPr>
              <w:t>--</w:t>
            </w:r>
          </w:p>
        </w:tc>
        <w:tc>
          <w:tcPr>
            <w:tcW w:w="604" w:type="dxa"/>
            <w:tcBorders>
              <w:top w:val="single" w:sz="4" w:space="0" w:color="auto"/>
              <w:bottom w:val="single" w:sz="4" w:space="0" w:color="auto"/>
            </w:tcBorders>
            <w:vAlign w:val="center"/>
          </w:tcPr>
          <w:p w14:paraId="53B037E4" w14:textId="26ED38D5" w:rsidR="002B6B7C" w:rsidRPr="0078373E" w:rsidRDefault="002B6B7C" w:rsidP="002B6B7C">
            <w:pPr>
              <w:jc w:val="center"/>
              <w:rPr>
                <w:rFonts w:cs="Times New Roman"/>
                <w:b/>
                <w:sz w:val="20"/>
                <w:szCs w:val="20"/>
              </w:rPr>
            </w:pPr>
            <w:r w:rsidRPr="0078373E">
              <w:rPr>
                <w:rFonts w:cs="Times New Roman"/>
                <w:b/>
                <w:sz w:val="20"/>
                <w:szCs w:val="20"/>
              </w:rPr>
              <w:t>√</w:t>
            </w:r>
          </w:p>
        </w:tc>
        <w:tc>
          <w:tcPr>
            <w:tcW w:w="604" w:type="dxa"/>
            <w:tcBorders>
              <w:top w:val="single" w:sz="4" w:space="0" w:color="auto"/>
              <w:bottom w:val="single" w:sz="4" w:space="0" w:color="auto"/>
            </w:tcBorders>
            <w:vAlign w:val="center"/>
          </w:tcPr>
          <w:p w14:paraId="2A5D0570" w14:textId="75A9F7FA" w:rsidR="002B6B7C" w:rsidRPr="0078373E" w:rsidRDefault="002B6B7C" w:rsidP="002B6B7C">
            <w:pPr>
              <w:jc w:val="center"/>
              <w:rPr>
                <w:rFonts w:cs="Times New Roman"/>
                <w:b/>
                <w:sz w:val="20"/>
                <w:szCs w:val="20"/>
              </w:rPr>
            </w:pPr>
            <w:r w:rsidRPr="000C126B">
              <w:rPr>
                <w:rFonts w:cs="Times New Roman"/>
                <w:b/>
                <w:sz w:val="20"/>
                <w:szCs w:val="20"/>
              </w:rPr>
              <w:t>--</w:t>
            </w:r>
          </w:p>
        </w:tc>
        <w:tc>
          <w:tcPr>
            <w:tcW w:w="459" w:type="dxa"/>
            <w:tcBorders>
              <w:top w:val="single" w:sz="4" w:space="0" w:color="auto"/>
              <w:bottom w:val="single" w:sz="4" w:space="0" w:color="auto"/>
            </w:tcBorders>
            <w:vAlign w:val="center"/>
          </w:tcPr>
          <w:p w14:paraId="4DA66AD6" w14:textId="149B1F4B" w:rsidR="002B6B7C" w:rsidRPr="0078373E" w:rsidRDefault="002B6B7C" w:rsidP="002B6B7C">
            <w:pPr>
              <w:jc w:val="center"/>
              <w:rPr>
                <w:rFonts w:cs="Times New Roman"/>
                <w:b/>
                <w:sz w:val="20"/>
                <w:szCs w:val="20"/>
              </w:rPr>
            </w:pPr>
            <w:r w:rsidRPr="000C126B">
              <w:rPr>
                <w:rFonts w:cs="Times New Roman"/>
                <w:b/>
                <w:sz w:val="20"/>
                <w:szCs w:val="20"/>
              </w:rPr>
              <w:t>--</w:t>
            </w:r>
          </w:p>
        </w:tc>
      </w:tr>
      <w:tr w:rsidR="00494D9E" w:rsidRPr="00D40F8D" w14:paraId="1EC67256" w14:textId="77777777" w:rsidTr="004601C9">
        <w:trPr>
          <w:trHeight w:val="360"/>
        </w:trPr>
        <w:tc>
          <w:tcPr>
            <w:tcW w:w="1729" w:type="dxa"/>
            <w:tcBorders>
              <w:top w:val="single" w:sz="4" w:space="0" w:color="auto"/>
              <w:bottom w:val="single" w:sz="4" w:space="0" w:color="auto"/>
            </w:tcBorders>
            <w:vAlign w:val="center"/>
          </w:tcPr>
          <w:p w14:paraId="6733789A" w14:textId="2428F9CB" w:rsidR="008B2020" w:rsidRPr="0078373E" w:rsidRDefault="008B2020" w:rsidP="008B2020">
            <w:pPr>
              <w:jc w:val="left"/>
              <w:rPr>
                <w:rFonts w:cs="Times New Roman"/>
                <w:sz w:val="20"/>
                <w:szCs w:val="20"/>
              </w:rPr>
            </w:pPr>
            <w:r w:rsidRPr="0078373E">
              <w:rPr>
                <w:rFonts w:cs="Times New Roman"/>
                <w:sz w:val="20"/>
                <w:szCs w:val="20"/>
              </w:rPr>
              <w:fldChar w:fldCharType="begin" w:fldLock="1"/>
            </w:r>
            <w:r>
              <w:rPr>
                <w:rFonts w:cs="Times New Roman"/>
                <w:sz w:val="20"/>
                <w:szCs w:val="20"/>
              </w:rPr>
              <w:instrText>ADDIN CSL_CITATION {"citationItems":[{"id":"ITEM-1","itemData":{"DOI":"10.1016/j.ssci.2008.06.007","ISSN":"09257535","abstract":"Safety at roadway intersections is of significant interest to transportation professionals due to the large number of intersections in transportation networks, the complexity of traffic movements at these locations that leads to large numbers of conflicts, and the wide variety of geometric and operational features that define them. A variety of collision types including head-on, sideswipe, rear-end, and angle crashes occur at intersections. While intersection crash totals may not reveal a site deficiency, over exposure of a specific crash type may reveal otherwise undetected deficiencies. Thus, there is a need to be able to model the expected frequency of crashes by collision type at intersections to enable the detection of problems and the implementation of effective design strategies and countermeasures. Statistically, it is important to consider modeling collision type frequencies simultaneously to account for the possibility of common unobserved factors affecting crash frequencies across crash types. In this paper, a simultaneous equations model of crash frequencies by collision type is developed and presented using crash data for rural intersections in Georgia. The model estimation results support the notion of the presence of significant common unobserved factors across crash types, although the impact of these factors on parameter estimates is found to be rather modest. © 2008 Elsevier Ltd. All rights reserved.","author":[{"dropping-particle":"","family":"Ye","given":"Xin","non-dropping-particle":"","parse-names":false,"suffix":""},{"dropping-particle":"","family":"Pendyala","given":"Ram M.","non-dropping-particle":"","parse-names":false,"suffix":""},{"dropping-particle":"","family":"Washington","given":"Simon P.","non-dropping-particle":"","parse-names":false,"suffix":""},{"dropping-particle":"","family":"Konduri","given":"Karthik","non-dropping-particle":"","parse-names":false,"suffix":""},{"dropping-particle":"","family":"Oh","given":"Jutaek","non-dropping-particle":"","parse-names":false,"suffix":""}],"container-title":"Safety Science","id":"ITEM-1","issue":"3","issued":{"date-parts":[["2009"]]},"page":"443-452","publisher":"Elsevier","title":"A simultaneous equations model of crash frequency by collision type for rural intersections","type":"article-journal","volume":"47"},"uris":["http://www.mendeley.com/documents/?uuid=c9281f82-296b-4eb6-9a6e-30e35ce22221"]}],"mendeley":{"formattedCitation":"(Ye et al., 2009)","plainTextFormattedCitation":"(Ye et al., 2009)","previouslyFormattedCitation":"(Ye et al., 2009)"},"properties":{"noteIndex":0},"schema":"https://github.com/citation-style-language/schema/raw/master/csl-citation.json"}</w:instrText>
            </w:r>
            <w:r w:rsidRPr="0078373E">
              <w:rPr>
                <w:rFonts w:cs="Times New Roman"/>
                <w:sz w:val="20"/>
                <w:szCs w:val="20"/>
              </w:rPr>
              <w:fldChar w:fldCharType="separate"/>
            </w:r>
            <w:r w:rsidRPr="00097239">
              <w:rPr>
                <w:rFonts w:cs="Times New Roman"/>
                <w:noProof/>
                <w:sz w:val="20"/>
                <w:szCs w:val="20"/>
              </w:rPr>
              <w:t>(Ye et al., 2009)</w:t>
            </w:r>
            <w:r w:rsidRPr="0078373E">
              <w:rPr>
                <w:rFonts w:cs="Times New Roman"/>
                <w:sz w:val="20"/>
                <w:szCs w:val="20"/>
              </w:rPr>
              <w:fldChar w:fldCharType="end"/>
            </w:r>
          </w:p>
        </w:tc>
        <w:tc>
          <w:tcPr>
            <w:tcW w:w="1238" w:type="dxa"/>
            <w:tcBorders>
              <w:top w:val="single" w:sz="4" w:space="0" w:color="auto"/>
              <w:bottom w:val="single" w:sz="4" w:space="0" w:color="auto"/>
            </w:tcBorders>
            <w:vAlign w:val="center"/>
          </w:tcPr>
          <w:p w14:paraId="5303A887" w14:textId="77777777" w:rsidR="008B2020" w:rsidRPr="0078373E" w:rsidRDefault="008B2020" w:rsidP="008B2020">
            <w:pPr>
              <w:jc w:val="center"/>
              <w:rPr>
                <w:rFonts w:cs="Times New Roman"/>
                <w:sz w:val="20"/>
                <w:szCs w:val="20"/>
                <w:lang w:val="en-US"/>
              </w:rPr>
            </w:pPr>
            <w:r w:rsidRPr="0078373E">
              <w:rPr>
                <w:rFonts w:cs="Times New Roman"/>
                <w:sz w:val="20"/>
                <w:szCs w:val="20"/>
                <w:lang w:val="en-US"/>
              </w:rPr>
              <w:t>Intersections</w:t>
            </w:r>
          </w:p>
          <w:p w14:paraId="3CA69E10" w14:textId="4E651D55" w:rsidR="008B2020" w:rsidRPr="0078373E" w:rsidRDefault="008B2020" w:rsidP="008B2020">
            <w:pPr>
              <w:jc w:val="center"/>
              <w:rPr>
                <w:rFonts w:cs="Times New Roman"/>
                <w:sz w:val="20"/>
                <w:szCs w:val="20"/>
                <w:lang w:val="en-US"/>
              </w:rPr>
            </w:pPr>
            <w:r w:rsidRPr="0078373E">
              <w:rPr>
                <w:rFonts w:cs="Times New Roman"/>
                <w:sz w:val="20"/>
                <w:szCs w:val="20"/>
                <w:lang w:val="en-US"/>
              </w:rPr>
              <w:t>(micro)</w:t>
            </w:r>
          </w:p>
        </w:tc>
        <w:tc>
          <w:tcPr>
            <w:tcW w:w="1416" w:type="dxa"/>
            <w:tcBorders>
              <w:top w:val="single" w:sz="4" w:space="0" w:color="auto"/>
              <w:bottom w:val="single" w:sz="4" w:space="0" w:color="auto"/>
            </w:tcBorders>
            <w:vAlign w:val="center"/>
          </w:tcPr>
          <w:p w14:paraId="18231B00" w14:textId="77777777" w:rsidR="008B2020" w:rsidRPr="0078373E" w:rsidRDefault="008B2020" w:rsidP="008B2020">
            <w:pPr>
              <w:jc w:val="center"/>
              <w:rPr>
                <w:rFonts w:cs="Times New Roman"/>
                <w:sz w:val="20"/>
                <w:szCs w:val="20"/>
                <w:lang w:val="en-US"/>
              </w:rPr>
            </w:pPr>
            <w:r w:rsidRPr="0078373E">
              <w:rPr>
                <w:rFonts w:cs="Times New Roman"/>
                <w:sz w:val="20"/>
                <w:szCs w:val="20"/>
                <w:lang w:val="en-US"/>
              </w:rPr>
              <w:t>County</w:t>
            </w:r>
          </w:p>
          <w:p w14:paraId="5F0A97CA" w14:textId="15CF8FAB" w:rsidR="008B2020" w:rsidRPr="0078373E" w:rsidRDefault="008B2020" w:rsidP="008B2020">
            <w:pPr>
              <w:jc w:val="center"/>
              <w:rPr>
                <w:rFonts w:cs="Times New Roman"/>
                <w:sz w:val="20"/>
                <w:szCs w:val="20"/>
                <w:lang w:val="en-US"/>
              </w:rPr>
            </w:pPr>
            <w:r w:rsidRPr="0078373E">
              <w:rPr>
                <w:rFonts w:cs="Times New Roman"/>
                <w:sz w:val="20"/>
                <w:szCs w:val="20"/>
                <w:lang w:val="en-US"/>
              </w:rPr>
              <w:t>(Georgia)</w:t>
            </w:r>
          </w:p>
        </w:tc>
        <w:tc>
          <w:tcPr>
            <w:tcW w:w="1089" w:type="dxa"/>
            <w:tcBorders>
              <w:top w:val="single" w:sz="4" w:space="0" w:color="auto"/>
              <w:bottom w:val="single" w:sz="4" w:space="0" w:color="auto"/>
            </w:tcBorders>
            <w:vAlign w:val="center"/>
          </w:tcPr>
          <w:p w14:paraId="56C73D3B" w14:textId="77777777" w:rsidR="008B2020" w:rsidRDefault="008B2020" w:rsidP="008B2020">
            <w:pPr>
              <w:jc w:val="center"/>
              <w:rPr>
                <w:rFonts w:cs="Times New Roman"/>
                <w:sz w:val="20"/>
                <w:szCs w:val="20"/>
              </w:rPr>
            </w:pPr>
            <w:r w:rsidRPr="0078373E">
              <w:rPr>
                <w:rFonts w:cs="Times New Roman"/>
                <w:sz w:val="20"/>
                <w:szCs w:val="20"/>
              </w:rPr>
              <w:t xml:space="preserve">Any </w:t>
            </w:r>
          </w:p>
          <w:p w14:paraId="346E0144" w14:textId="3484DD6C" w:rsidR="008B2020" w:rsidRPr="0078373E" w:rsidRDefault="008B2020" w:rsidP="008B2020">
            <w:pPr>
              <w:jc w:val="center"/>
              <w:rPr>
                <w:rFonts w:cs="Times New Roman"/>
                <w:sz w:val="20"/>
                <w:szCs w:val="20"/>
              </w:rPr>
            </w:pPr>
            <w:r w:rsidRPr="0078373E">
              <w:rPr>
                <w:rFonts w:cs="Times New Roman"/>
                <w:sz w:val="20"/>
                <w:szCs w:val="20"/>
              </w:rPr>
              <w:t>Crash</w:t>
            </w:r>
          </w:p>
        </w:tc>
        <w:tc>
          <w:tcPr>
            <w:tcW w:w="2061" w:type="dxa"/>
            <w:tcBorders>
              <w:top w:val="single" w:sz="4" w:space="0" w:color="auto"/>
              <w:bottom w:val="single" w:sz="4" w:space="0" w:color="auto"/>
            </w:tcBorders>
            <w:vAlign w:val="center"/>
          </w:tcPr>
          <w:p w14:paraId="7B336238" w14:textId="682F3BAB" w:rsidR="008B2020" w:rsidRPr="0078373E" w:rsidRDefault="008B2020" w:rsidP="008B2020">
            <w:pPr>
              <w:jc w:val="left"/>
              <w:rPr>
                <w:rFonts w:cs="Times New Roman"/>
                <w:sz w:val="20"/>
                <w:szCs w:val="20"/>
              </w:rPr>
            </w:pPr>
            <w:r w:rsidRPr="0078373E">
              <w:rPr>
                <w:rFonts w:cs="Times New Roman"/>
                <w:sz w:val="20"/>
                <w:szCs w:val="20"/>
              </w:rPr>
              <w:t>7 (angle, head-on, rear-end, sideswipe: same and opposite direction, pedestrian)</w:t>
            </w:r>
          </w:p>
        </w:tc>
        <w:tc>
          <w:tcPr>
            <w:tcW w:w="1998" w:type="dxa"/>
            <w:tcBorders>
              <w:top w:val="single" w:sz="4" w:space="0" w:color="auto"/>
              <w:bottom w:val="single" w:sz="4" w:space="0" w:color="auto"/>
            </w:tcBorders>
            <w:vAlign w:val="center"/>
          </w:tcPr>
          <w:p w14:paraId="7D4BFA59" w14:textId="7710FB3D" w:rsidR="008B2020" w:rsidRPr="0078373E" w:rsidRDefault="008B2020" w:rsidP="008B2020">
            <w:pPr>
              <w:jc w:val="left"/>
              <w:rPr>
                <w:rFonts w:cs="Times New Roman"/>
                <w:sz w:val="20"/>
                <w:szCs w:val="20"/>
                <w:lang w:val="en-US"/>
              </w:rPr>
            </w:pPr>
            <w:r w:rsidRPr="0078373E">
              <w:rPr>
                <w:rFonts w:cs="Times New Roman"/>
                <w:sz w:val="20"/>
                <w:szCs w:val="20"/>
                <w:lang w:val="en-US"/>
              </w:rPr>
              <w:t>Multivariate Poisson regression model</w:t>
            </w:r>
          </w:p>
        </w:tc>
        <w:tc>
          <w:tcPr>
            <w:tcW w:w="652" w:type="dxa"/>
            <w:tcBorders>
              <w:top w:val="single" w:sz="4" w:space="0" w:color="auto"/>
              <w:bottom w:val="single" w:sz="4" w:space="0" w:color="auto"/>
            </w:tcBorders>
            <w:vAlign w:val="center"/>
          </w:tcPr>
          <w:p w14:paraId="66D019D9" w14:textId="6183577B" w:rsidR="008B2020" w:rsidRPr="0078373E" w:rsidRDefault="008B2020" w:rsidP="008B2020">
            <w:pPr>
              <w:jc w:val="center"/>
              <w:rPr>
                <w:rFonts w:cs="Times New Roman"/>
                <w:b/>
                <w:sz w:val="20"/>
                <w:szCs w:val="20"/>
              </w:rPr>
            </w:pPr>
            <w:r w:rsidRPr="0078373E">
              <w:rPr>
                <w:rFonts w:cs="Times New Roman"/>
                <w:b/>
                <w:sz w:val="20"/>
                <w:szCs w:val="20"/>
              </w:rPr>
              <w:t>√</w:t>
            </w:r>
          </w:p>
        </w:tc>
        <w:tc>
          <w:tcPr>
            <w:tcW w:w="459" w:type="dxa"/>
            <w:tcBorders>
              <w:top w:val="single" w:sz="4" w:space="0" w:color="auto"/>
              <w:bottom w:val="single" w:sz="4" w:space="0" w:color="auto"/>
            </w:tcBorders>
            <w:vAlign w:val="center"/>
          </w:tcPr>
          <w:p w14:paraId="587C7ADD" w14:textId="06C0017F" w:rsidR="008B2020" w:rsidRPr="0078373E" w:rsidRDefault="008B2020" w:rsidP="008B2020">
            <w:pPr>
              <w:jc w:val="center"/>
              <w:rPr>
                <w:rFonts w:cs="Times New Roman"/>
                <w:b/>
                <w:sz w:val="20"/>
                <w:szCs w:val="20"/>
              </w:rPr>
            </w:pPr>
            <w:r w:rsidRPr="0078373E">
              <w:rPr>
                <w:rFonts w:cs="Times New Roman"/>
                <w:b/>
                <w:sz w:val="20"/>
                <w:szCs w:val="20"/>
              </w:rPr>
              <w:t>--</w:t>
            </w:r>
          </w:p>
        </w:tc>
        <w:tc>
          <w:tcPr>
            <w:tcW w:w="604" w:type="dxa"/>
            <w:tcBorders>
              <w:top w:val="single" w:sz="4" w:space="0" w:color="auto"/>
              <w:bottom w:val="single" w:sz="4" w:space="0" w:color="auto"/>
            </w:tcBorders>
            <w:vAlign w:val="center"/>
          </w:tcPr>
          <w:p w14:paraId="3A8252BE" w14:textId="0F0629A0" w:rsidR="008B2020" w:rsidRPr="0078373E" w:rsidRDefault="008B2020" w:rsidP="008B2020">
            <w:pPr>
              <w:jc w:val="center"/>
              <w:rPr>
                <w:rFonts w:cs="Times New Roman"/>
                <w:b/>
                <w:sz w:val="20"/>
                <w:szCs w:val="20"/>
              </w:rPr>
            </w:pPr>
            <w:r w:rsidRPr="0078373E">
              <w:rPr>
                <w:rFonts w:cs="Times New Roman"/>
                <w:b/>
                <w:sz w:val="20"/>
                <w:szCs w:val="20"/>
              </w:rPr>
              <w:t>--</w:t>
            </w:r>
          </w:p>
        </w:tc>
        <w:tc>
          <w:tcPr>
            <w:tcW w:w="604" w:type="dxa"/>
            <w:tcBorders>
              <w:top w:val="single" w:sz="4" w:space="0" w:color="auto"/>
              <w:bottom w:val="single" w:sz="4" w:space="0" w:color="auto"/>
            </w:tcBorders>
            <w:vAlign w:val="center"/>
          </w:tcPr>
          <w:p w14:paraId="34AD106D" w14:textId="7A779359" w:rsidR="008B2020" w:rsidRPr="0078373E" w:rsidRDefault="008B2020" w:rsidP="008B2020">
            <w:pPr>
              <w:jc w:val="center"/>
              <w:rPr>
                <w:rFonts w:cs="Times New Roman"/>
                <w:b/>
                <w:sz w:val="20"/>
                <w:szCs w:val="20"/>
              </w:rPr>
            </w:pPr>
            <w:r w:rsidRPr="0078373E">
              <w:rPr>
                <w:rFonts w:cs="Times New Roman"/>
                <w:b/>
                <w:sz w:val="20"/>
                <w:szCs w:val="20"/>
              </w:rPr>
              <w:t>√</w:t>
            </w:r>
          </w:p>
        </w:tc>
        <w:tc>
          <w:tcPr>
            <w:tcW w:w="604" w:type="dxa"/>
            <w:tcBorders>
              <w:top w:val="single" w:sz="4" w:space="0" w:color="auto"/>
              <w:bottom w:val="single" w:sz="4" w:space="0" w:color="auto"/>
            </w:tcBorders>
            <w:vAlign w:val="center"/>
          </w:tcPr>
          <w:p w14:paraId="6E5BF16C" w14:textId="585CAE53" w:rsidR="008B2020" w:rsidRPr="0078373E" w:rsidRDefault="008B2020" w:rsidP="008B2020">
            <w:pPr>
              <w:jc w:val="center"/>
              <w:rPr>
                <w:rFonts w:cs="Times New Roman"/>
                <w:b/>
                <w:sz w:val="20"/>
                <w:szCs w:val="20"/>
              </w:rPr>
            </w:pPr>
            <w:r w:rsidRPr="0078373E">
              <w:rPr>
                <w:rFonts w:cs="Times New Roman"/>
                <w:b/>
                <w:sz w:val="20"/>
                <w:szCs w:val="20"/>
              </w:rPr>
              <w:t>--</w:t>
            </w:r>
          </w:p>
        </w:tc>
        <w:tc>
          <w:tcPr>
            <w:tcW w:w="459" w:type="dxa"/>
            <w:tcBorders>
              <w:top w:val="single" w:sz="4" w:space="0" w:color="auto"/>
              <w:bottom w:val="single" w:sz="4" w:space="0" w:color="auto"/>
            </w:tcBorders>
            <w:vAlign w:val="center"/>
          </w:tcPr>
          <w:p w14:paraId="5849B58B" w14:textId="76987CB1" w:rsidR="008B2020" w:rsidRPr="0078373E" w:rsidRDefault="008B2020" w:rsidP="008B2020">
            <w:pPr>
              <w:jc w:val="center"/>
              <w:rPr>
                <w:rFonts w:cs="Times New Roman"/>
                <w:b/>
                <w:sz w:val="20"/>
                <w:szCs w:val="20"/>
              </w:rPr>
            </w:pPr>
            <w:r w:rsidRPr="0078373E">
              <w:rPr>
                <w:rFonts w:cs="Times New Roman"/>
                <w:b/>
                <w:sz w:val="20"/>
                <w:szCs w:val="20"/>
              </w:rPr>
              <w:t>--</w:t>
            </w:r>
          </w:p>
        </w:tc>
      </w:tr>
      <w:tr w:rsidR="00494D9E" w:rsidRPr="00D40F8D" w14:paraId="68F30F37" w14:textId="77777777" w:rsidTr="004601C9">
        <w:trPr>
          <w:trHeight w:val="360"/>
        </w:trPr>
        <w:tc>
          <w:tcPr>
            <w:tcW w:w="1729" w:type="dxa"/>
            <w:tcBorders>
              <w:top w:val="single" w:sz="4" w:space="0" w:color="auto"/>
              <w:bottom w:val="single" w:sz="4" w:space="0" w:color="auto"/>
            </w:tcBorders>
            <w:vAlign w:val="center"/>
          </w:tcPr>
          <w:p w14:paraId="4B4FE918" w14:textId="31288909" w:rsidR="005C2D34" w:rsidRPr="0078373E" w:rsidRDefault="005C2D34" w:rsidP="005C2D34">
            <w:pPr>
              <w:jc w:val="left"/>
              <w:rPr>
                <w:rFonts w:cs="Times New Roman"/>
                <w:sz w:val="20"/>
                <w:szCs w:val="20"/>
              </w:rPr>
            </w:pPr>
            <w:r>
              <w:rPr>
                <w:rFonts w:cs="Times New Roman"/>
                <w:sz w:val="20"/>
                <w:szCs w:val="20"/>
              </w:rPr>
              <w:fldChar w:fldCharType="begin" w:fldLock="1"/>
            </w:r>
            <w:r w:rsidR="000305C6">
              <w:rPr>
                <w:rFonts w:cs="Times New Roman"/>
                <w:sz w:val="20"/>
                <w:szCs w:val="20"/>
              </w:rPr>
              <w:instrText>ADDIN CSL_CITATION {"citationItems":[{"id":"ITEM-1","itemData":{"DOI":"10.1016/j.aap.2014.08.014","ISSN":"00014575","PMID":"25190632","abstract":"Previous research shows that various weather elements have significant effects on crash occurrence and risk; however, little is known about how these elements affect different crash types. Consequently, this study investigates the impact of weather elements and sudden extreme snow or rain weather changes on crash type. Multivariate models were used for seven crash types using five years of daily weather and crash data collected for the entire City of Edmonton. In addition, the yearly trend and random variation of parameters across the years were analyzed by using four different modeling formulations. The proposed models were estimated in a full Bayesian context via Markov Chain Monte Carlo simulation. The multivariate Poisson lognormal model with yearly varying coefficients provided the best fit for the data according to Deviance Information Criteria. Overall, results showed that temperature and snowfall were statistically significant with intuitive signs (crashes decrease with increasing temperature; crashes increase as snowfall intensity increases) for all crash types, while rainfall was mostly insignificant. Previous snow showed mixed results, being statistically significant and positively related to certain crash types, while negatively related or insignificant in other cases. Maximum wind gust speed was found mostly insignificant with a few exceptions that were positively related to crash type. Major snow or rain events following a dry weather condition were highly significant and positively related to three crash types: Follow-Too-Close, Stop-Sign-Violation, and Ran-Off-Road crashes. The day-of-the-week dummy variables were statistically significant, indicating a possible weekly variation in exposure. Transportation authorities might use the above results to improve road safety by providing drivers with information regarding the risk of certain crash types for a particular weather condition. © 2014 Elsevier Ltd.","author":[{"dropping-particle":"","family":"El-Basyouny","given":"Karim","non-dropping-particle":"","parse-names":false,"suffix":""},{"dropping-particle":"","family":"Barua","given":"Sudip","non-dropping-particle":"","parse-names":false,"suffix":""},{"dropping-particle":"","family":"Islam","given":"Md Tazul","non-dropping-particle":"","parse-names":false,"suffix":""}],"container-title":"Accident Analysis and Prevention","id":"ITEM-1","issued":{"date-parts":[["2014"]]},"page":"91-99","title":"Investigation of time and weather effects on crash types using full Bayesian multivariate Poisson lognormal models","type":"article-journal","volume":"73"},"uris":["http://www.mendeley.com/documents/?uuid=66063aa9-0b0c-4ac7-872c-8dc8c1698bac"]}],"mendeley":{"formattedCitation":"(El-Basyouny et al., 2014a)","plainTextFormattedCitation":"(El-Basyouny et al., 2014a)","previouslyFormattedCitation":"(El-Basyouny et al., 2014a)"},"properties":{"noteIndex":0},"schema":"https://github.com/citation-style-language/schema/raw/master/csl-citation.json"}</w:instrText>
            </w:r>
            <w:r>
              <w:rPr>
                <w:rFonts w:cs="Times New Roman"/>
                <w:sz w:val="20"/>
                <w:szCs w:val="20"/>
              </w:rPr>
              <w:fldChar w:fldCharType="separate"/>
            </w:r>
            <w:r w:rsidRPr="008323B7">
              <w:rPr>
                <w:rFonts w:cs="Times New Roman"/>
                <w:noProof/>
                <w:sz w:val="20"/>
                <w:szCs w:val="20"/>
              </w:rPr>
              <w:t>(El-Basyouny et al., 2014a)</w:t>
            </w:r>
            <w:r>
              <w:rPr>
                <w:rFonts w:cs="Times New Roman"/>
                <w:sz w:val="20"/>
                <w:szCs w:val="20"/>
              </w:rPr>
              <w:fldChar w:fldCharType="end"/>
            </w:r>
          </w:p>
        </w:tc>
        <w:tc>
          <w:tcPr>
            <w:tcW w:w="1238" w:type="dxa"/>
            <w:tcBorders>
              <w:top w:val="single" w:sz="4" w:space="0" w:color="auto"/>
              <w:bottom w:val="single" w:sz="4" w:space="0" w:color="auto"/>
            </w:tcBorders>
            <w:vAlign w:val="center"/>
          </w:tcPr>
          <w:p w14:paraId="3DD91386" w14:textId="77777777" w:rsidR="005C2D34" w:rsidRPr="0078373E" w:rsidRDefault="005C2D34" w:rsidP="005C2D34">
            <w:pPr>
              <w:jc w:val="center"/>
              <w:rPr>
                <w:rFonts w:cs="Times New Roman"/>
                <w:sz w:val="20"/>
                <w:szCs w:val="20"/>
                <w:lang w:val="en-US"/>
              </w:rPr>
            </w:pPr>
            <w:r w:rsidRPr="0078373E">
              <w:rPr>
                <w:rFonts w:cs="Times New Roman"/>
                <w:sz w:val="20"/>
                <w:szCs w:val="20"/>
                <w:lang w:val="en-US"/>
              </w:rPr>
              <w:t>Citywide</w:t>
            </w:r>
          </w:p>
          <w:p w14:paraId="53AE0EDD" w14:textId="4BCEBDD7" w:rsidR="005C2D34" w:rsidRPr="0078373E" w:rsidRDefault="005C2D34" w:rsidP="005C2D34">
            <w:pPr>
              <w:jc w:val="center"/>
              <w:rPr>
                <w:rFonts w:cs="Times New Roman"/>
                <w:sz w:val="20"/>
                <w:szCs w:val="20"/>
                <w:lang w:val="en-US"/>
              </w:rPr>
            </w:pPr>
            <w:r w:rsidRPr="0078373E">
              <w:rPr>
                <w:rFonts w:cs="Times New Roman"/>
                <w:sz w:val="20"/>
                <w:szCs w:val="20"/>
                <w:lang w:val="en-US"/>
              </w:rPr>
              <w:t>(Macro)</w:t>
            </w:r>
          </w:p>
        </w:tc>
        <w:tc>
          <w:tcPr>
            <w:tcW w:w="1416" w:type="dxa"/>
            <w:tcBorders>
              <w:top w:val="single" w:sz="4" w:space="0" w:color="auto"/>
              <w:bottom w:val="single" w:sz="4" w:space="0" w:color="auto"/>
            </w:tcBorders>
            <w:vAlign w:val="center"/>
          </w:tcPr>
          <w:p w14:paraId="5555C9DB" w14:textId="77777777" w:rsidR="005C2D34" w:rsidRPr="0078373E" w:rsidRDefault="005C2D34" w:rsidP="005C2D34">
            <w:pPr>
              <w:jc w:val="center"/>
              <w:rPr>
                <w:rFonts w:cs="Times New Roman"/>
                <w:sz w:val="20"/>
                <w:szCs w:val="20"/>
                <w:lang w:val="en-US"/>
              </w:rPr>
            </w:pPr>
            <w:r w:rsidRPr="0078373E">
              <w:rPr>
                <w:rFonts w:cs="Times New Roman"/>
                <w:sz w:val="20"/>
                <w:szCs w:val="20"/>
                <w:lang w:val="en-US"/>
              </w:rPr>
              <w:t>City</w:t>
            </w:r>
          </w:p>
          <w:p w14:paraId="577D299F" w14:textId="572DADD9" w:rsidR="005C2D34" w:rsidRPr="0078373E" w:rsidRDefault="005C2D34" w:rsidP="005C2D34">
            <w:pPr>
              <w:jc w:val="center"/>
              <w:rPr>
                <w:rFonts w:cs="Times New Roman"/>
                <w:sz w:val="20"/>
                <w:szCs w:val="20"/>
                <w:lang w:val="en-US"/>
              </w:rPr>
            </w:pPr>
            <w:r w:rsidRPr="0078373E">
              <w:rPr>
                <w:rFonts w:cs="Times New Roman"/>
                <w:sz w:val="20"/>
                <w:szCs w:val="20"/>
                <w:lang w:val="en-US"/>
              </w:rPr>
              <w:t>(Edmonton)</w:t>
            </w:r>
          </w:p>
        </w:tc>
        <w:tc>
          <w:tcPr>
            <w:tcW w:w="1089" w:type="dxa"/>
            <w:tcBorders>
              <w:top w:val="single" w:sz="4" w:space="0" w:color="auto"/>
              <w:bottom w:val="single" w:sz="4" w:space="0" w:color="auto"/>
            </w:tcBorders>
            <w:vAlign w:val="center"/>
          </w:tcPr>
          <w:p w14:paraId="77B2A3D5" w14:textId="0E734F21" w:rsidR="005C2D34" w:rsidRPr="0078373E" w:rsidRDefault="005C2D34" w:rsidP="005C2D34">
            <w:pPr>
              <w:jc w:val="center"/>
              <w:rPr>
                <w:rFonts w:cs="Times New Roman"/>
                <w:sz w:val="20"/>
                <w:szCs w:val="20"/>
              </w:rPr>
            </w:pPr>
            <w:r w:rsidRPr="0078373E">
              <w:rPr>
                <w:rFonts w:cs="Times New Roman"/>
                <w:sz w:val="20"/>
                <w:szCs w:val="20"/>
              </w:rPr>
              <w:t>Motorized crash</w:t>
            </w:r>
          </w:p>
        </w:tc>
        <w:tc>
          <w:tcPr>
            <w:tcW w:w="2061" w:type="dxa"/>
            <w:tcBorders>
              <w:top w:val="single" w:sz="4" w:space="0" w:color="auto"/>
              <w:bottom w:val="single" w:sz="4" w:space="0" w:color="auto"/>
            </w:tcBorders>
            <w:vAlign w:val="center"/>
          </w:tcPr>
          <w:p w14:paraId="1B4411E0" w14:textId="78AF4AAD" w:rsidR="005C2D34" w:rsidRPr="0078373E" w:rsidRDefault="005C2D34" w:rsidP="005C2D34">
            <w:pPr>
              <w:jc w:val="left"/>
              <w:rPr>
                <w:rFonts w:cs="Times New Roman"/>
                <w:sz w:val="20"/>
                <w:szCs w:val="20"/>
              </w:rPr>
            </w:pPr>
            <w:r w:rsidRPr="0078373E">
              <w:rPr>
                <w:rFonts w:cs="Times New Roman"/>
                <w:sz w:val="20"/>
                <w:szCs w:val="20"/>
              </w:rPr>
              <w:t>7 (FTC*, FOTS</w:t>
            </w:r>
            <w:r w:rsidRPr="00E87C8C">
              <w:rPr>
                <w:sz w:val="20"/>
                <w:szCs w:val="18"/>
              </w:rPr>
              <w:t>**</w:t>
            </w:r>
            <w:r w:rsidRPr="0078373E">
              <w:rPr>
                <w:rFonts w:cs="Times New Roman"/>
                <w:sz w:val="20"/>
                <w:szCs w:val="20"/>
              </w:rPr>
              <w:t>, SSV</w:t>
            </w:r>
            <w:r w:rsidRPr="00E87C8C">
              <w:rPr>
                <w:sz w:val="20"/>
                <w:szCs w:val="18"/>
              </w:rPr>
              <w:t>**</w:t>
            </w:r>
            <w:r>
              <w:rPr>
                <w:sz w:val="20"/>
                <w:szCs w:val="18"/>
              </w:rPr>
              <w:t>*</w:t>
            </w:r>
            <w:r w:rsidRPr="0078373E">
              <w:rPr>
                <w:rFonts w:cs="Times New Roman"/>
                <w:sz w:val="20"/>
                <w:szCs w:val="20"/>
              </w:rPr>
              <w:t>, left turn, ILC</w:t>
            </w:r>
            <w:r w:rsidRPr="00E87C8C">
              <w:rPr>
                <w:sz w:val="20"/>
                <w:szCs w:val="18"/>
              </w:rPr>
              <w:t>**</w:t>
            </w:r>
            <w:r>
              <w:rPr>
                <w:sz w:val="20"/>
                <w:szCs w:val="18"/>
              </w:rPr>
              <w:t>**</w:t>
            </w:r>
            <w:r w:rsidRPr="0078373E">
              <w:rPr>
                <w:rFonts w:cs="Times New Roman"/>
                <w:sz w:val="20"/>
                <w:szCs w:val="20"/>
              </w:rPr>
              <w:t>, parked vehicle and off-road)</w:t>
            </w:r>
          </w:p>
        </w:tc>
        <w:tc>
          <w:tcPr>
            <w:tcW w:w="1998" w:type="dxa"/>
            <w:tcBorders>
              <w:top w:val="single" w:sz="4" w:space="0" w:color="auto"/>
              <w:bottom w:val="single" w:sz="4" w:space="0" w:color="auto"/>
            </w:tcBorders>
            <w:vAlign w:val="center"/>
          </w:tcPr>
          <w:p w14:paraId="1D6E7CA5" w14:textId="77D0B6B2" w:rsidR="005C2D34" w:rsidRPr="0078373E" w:rsidRDefault="005C2D34" w:rsidP="005C2D34">
            <w:pPr>
              <w:jc w:val="left"/>
              <w:rPr>
                <w:rFonts w:cs="Times New Roman"/>
                <w:sz w:val="20"/>
                <w:szCs w:val="20"/>
                <w:lang w:val="en-US"/>
              </w:rPr>
            </w:pPr>
            <w:r w:rsidRPr="0078373E">
              <w:rPr>
                <w:rFonts w:cs="Times New Roman"/>
                <w:sz w:val="20"/>
                <w:szCs w:val="20"/>
                <w:lang w:val="en-US"/>
              </w:rPr>
              <w:t>Multivariate Poisson-lognormal model</w:t>
            </w:r>
          </w:p>
        </w:tc>
        <w:tc>
          <w:tcPr>
            <w:tcW w:w="652" w:type="dxa"/>
            <w:tcBorders>
              <w:top w:val="single" w:sz="4" w:space="0" w:color="auto"/>
              <w:bottom w:val="single" w:sz="4" w:space="0" w:color="auto"/>
            </w:tcBorders>
            <w:vAlign w:val="center"/>
          </w:tcPr>
          <w:p w14:paraId="32B0773F" w14:textId="1CFDC194" w:rsidR="005C2D34" w:rsidRPr="0078373E" w:rsidRDefault="005C2D34" w:rsidP="005C2D34">
            <w:pPr>
              <w:jc w:val="center"/>
              <w:rPr>
                <w:rFonts w:cs="Times New Roman"/>
                <w:b/>
                <w:sz w:val="20"/>
                <w:szCs w:val="20"/>
              </w:rPr>
            </w:pPr>
            <w:r w:rsidRPr="0078373E">
              <w:rPr>
                <w:rFonts w:cs="Times New Roman"/>
                <w:b/>
                <w:sz w:val="20"/>
                <w:szCs w:val="20"/>
              </w:rPr>
              <w:t>--</w:t>
            </w:r>
          </w:p>
        </w:tc>
        <w:tc>
          <w:tcPr>
            <w:tcW w:w="459" w:type="dxa"/>
            <w:tcBorders>
              <w:top w:val="single" w:sz="4" w:space="0" w:color="auto"/>
              <w:bottom w:val="single" w:sz="4" w:space="0" w:color="auto"/>
            </w:tcBorders>
            <w:vAlign w:val="center"/>
          </w:tcPr>
          <w:p w14:paraId="36DB734B" w14:textId="4DF8086E" w:rsidR="005C2D34" w:rsidRPr="0078373E" w:rsidRDefault="005C2D34" w:rsidP="005C2D34">
            <w:pPr>
              <w:jc w:val="center"/>
              <w:rPr>
                <w:rFonts w:cs="Times New Roman"/>
                <w:b/>
                <w:sz w:val="20"/>
                <w:szCs w:val="20"/>
              </w:rPr>
            </w:pPr>
            <w:r w:rsidRPr="0078373E">
              <w:rPr>
                <w:rFonts w:cs="Times New Roman"/>
                <w:b/>
                <w:sz w:val="20"/>
                <w:szCs w:val="20"/>
              </w:rPr>
              <w:t>--</w:t>
            </w:r>
          </w:p>
        </w:tc>
        <w:tc>
          <w:tcPr>
            <w:tcW w:w="604" w:type="dxa"/>
            <w:tcBorders>
              <w:top w:val="single" w:sz="4" w:space="0" w:color="auto"/>
              <w:bottom w:val="single" w:sz="4" w:space="0" w:color="auto"/>
            </w:tcBorders>
            <w:vAlign w:val="center"/>
          </w:tcPr>
          <w:p w14:paraId="1BE2E20F" w14:textId="3F68509B" w:rsidR="005C2D34" w:rsidRPr="0078373E" w:rsidRDefault="005C2D34" w:rsidP="005C2D34">
            <w:pPr>
              <w:jc w:val="center"/>
              <w:rPr>
                <w:rFonts w:cs="Times New Roman"/>
                <w:b/>
                <w:sz w:val="20"/>
                <w:szCs w:val="20"/>
              </w:rPr>
            </w:pPr>
            <w:r w:rsidRPr="0078373E">
              <w:rPr>
                <w:rFonts w:cs="Times New Roman"/>
                <w:b/>
                <w:sz w:val="20"/>
                <w:szCs w:val="20"/>
              </w:rPr>
              <w:t>--</w:t>
            </w:r>
          </w:p>
        </w:tc>
        <w:tc>
          <w:tcPr>
            <w:tcW w:w="604" w:type="dxa"/>
            <w:tcBorders>
              <w:top w:val="single" w:sz="4" w:space="0" w:color="auto"/>
              <w:bottom w:val="single" w:sz="4" w:space="0" w:color="auto"/>
            </w:tcBorders>
            <w:vAlign w:val="center"/>
          </w:tcPr>
          <w:p w14:paraId="6A071CCF" w14:textId="1FE932B0" w:rsidR="005C2D34" w:rsidRPr="0078373E" w:rsidRDefault="005C2D34" w:rsidP="005C2D34">
            <w:pPr>
              <w:jc w:val="center"/>
              <w:rPr>
                <w:rFonts w:cs="Times New Roman"/>
                <w:b/>
                <w:sz w:val="20"/>
                <w:szCs w:val="20"/>
              </w:rPr>
            </w:pPr>
            <w:r w:rsidRPr="0078373E">
              <w:rPr>
                <w:rFonts w:cs="Times New Roman"/>
                <w:b/>
                <w:sz w:val="20"/>
                <w:szCs w:val="20"/>
              </w:rPr>
              <w:t>--</w:t>
            </w:r>
          </w:p>
        </w:tc>
        <w:tc>
          <w:tcPr>
            <w:tcW w:w="604" w:type="dxa"/>
            <w:tcBorders>
              <w:top w:val="single" w:sz="4" w:space="0" w:color="auto"/>
              <w:bottom w:val="single" w:sz="4" w:space="0" w:color="auto"/>
            </w:tcBorders>
            <w:vAlign w:val="center"/>
          </w:tcPr>
          <w:p w14:paraId="2DE9165B" w14:textId="504A3E63" w:rsidR="005C2D34" w:rsidRPr="0078373E" w:rsidRDefault="005C2D34" w:rsidP="005C2D34">
            <w:pPr>
              <w:jc w:val="center"/>
              <w:rPr>
                <w:rFonts w:cs="Times New Roman"/>
                <w:b/>
                <w:sz w:val="20"/>
                <w:szCs w:val="20"/>
              </w:rPr>
            </w:pPr>
            <w:r w:rsidRPr="0078373E">
              <w:rPr>
                <w:rFonts w:cs="Times New Roman"/>
                <w:b/>
                <w:sz w:val="20"/>
                <w:szCs w:val="20"/>
              </w:rPr>
              <w:t>--</w:t>
            </w:r>
          </w:p>
        </w:tc>
        <w:tc>
          <w:tcPr>
            <w:tcW w:w="459" w:type="dxa"/>
            <w:tcBorders>
              <w:top w:val="single" w:sz="4" w:space="0" w:color="auto"/>
              <w:bottom w:val="single" w:sz="4" w:space="0" w:color="auto"/>
            </w:tcBorders>
            <w:vAlign w:val="center"/>
          </w:tcPr>
          <w:p w14:paraId="620B5CC6" w14:textId="4B483B80" w:rsidR="005C2D34" w:rsidRPr="0078373E" w:rsidRDefault="005C2D34" w:rsidP="005C2D34">
            <w:pPr>
              <w:jc w:val="center"/>
              <w:rPr>
                <w:rFonts w:cs="Times New Roman"/>
                <w:b/>
                <w:sz w:val="20"/>
                <w:szCs w:val="20"/>
              </w:rPr>
            </w:pPr>
            <w:r w:rsidRPr="0078373E">
              <w:rPr>
                <w:rFonts w:cs="Times New Roman"/>
                <w:b/>
                <w:sz w:val="20"/>
                <w:szCs w:val="20"/>
              </w:rPr>
              <w:t>√</w:t>
            </w:r>
          </w:p>
        </w:tc>
      </w:tr>
      <w:tr w:rsidR="00494D9E" w:rsidRPr="00D40F8D" w14:paraId="77D506D9" w14:textId="77777777" w:rsidTr="004601C9">
        <w:trPr>
          <w:trHeight w:val="360"/>
        </w:trPr>
        <w:tc>
          <w:tcPr>
            <w:tcW w:w="1729" w:type="dxa"/>
            <w:tcBorders>
              <w:top w:val="single" w:sz="4" w:space="0" w:color="auto"/>
              <w:bottom w:val="single" w:sz="4" w:space="0" w:color="auto"/>
            </w:tcBorders>
            <w:vAlign w:val="center"/>
          </w:tcPr>
          <w:p w14:paraId="0DA0F18E" w14:textId="39E763AD" w:rsidR="00CC74A8" w:rsidRPr="0078373E" w:rsidRDefault="00CC74A8" w:rsidP="004601C9">
            <w:pPr>
              <w:jc w:val="left"/>
              <w:rPr>
                <w:rFonts w:cs="Times New Roman"/>
                <w:sz w:val="20"/>
                <w:szCs w:val="20"/>
              </w:rPr>
            </w:pPr>
            <w:r w:rsidRPr="0078373E">
              <w:rPr>
                <w:rFonts w:cs="Times New Roman"/>
                <w:sz w:val="20"/>
                <w:szCs w:val="20"/>
              </w:rPr>
              <w:fldChar w:fldCharType="begin" w:fldLock="1"/>
            </w:r>
            <w:r w:rsidR="000305C6">
              <w:rPr>
                <w:rFonts w:cs="Times New Roman"/>
                <w:sz w:val="20"/>
                <w:szCs w:val="20"/>
              </w:rPr>
              <w:instrText>ADDIN CSL_CITATION {"citationItems":[{"id":"ITEM-1","itemData":{"DOI":"10.3141/2432-08","ISSN":"0361-1981","abstract":"Rather than investigate the isolated effects of individual weather elements on crash occurrence, this study investigated the aggregated effect of weather states, defined as a combination of various weather elements (e.g., temperature, snow, rain, and wind speed), on crash occurrence. The main argument was that a combination of weather elements might better represent a particular weather condition and subsequent safety outcome. Therefore, to explore the effect of various weather states on crash severity and type, this study defined 12 weather states, based on temperature, snow, rain, and wind speed, and developed multivariate safety models by using 11 years of daily weather and crash data for Edmonton, Alberta, Canada. The proposed models were estimated in a full Bayesian context via a Markov chain Monte Carlo simulation, while a posterior predictive approach assessed the models' goodness of fit. Results suggested that property-damage-only (PDO) crashes increased by 4.5% to 45% because of adverse weather states and showed that PDO crashes were more affected by adverse weather states than were severe (injury and fatal) crashes. For crash type, adverse weather states were associated with an increase of 9% to 73.7% for all crash types, with the highest increase for run-off-the-road crashes. Duration of daylight was found to be significant and negatively related to all crash types and PDO crashes. Sudden weather changes of major snow or rain were statistically significant and positively related to all crash types. Days of the week and seasons of the year were used as dummy variables and were statistically significant in relation to crash occurrence.","author":[{"dropping-particle":"","family":"El-Basyouny","given":"Karim","non-dropping-particle":"","parse-names":false,"suffix":""},{"dropping-particle":"","family":"Barua","given":"Sudip","non-dropping-particle":"","parse-names":false,"suffix":""},{"dropping-particle":"","family":"Islam","given":"M. Tazul","non-dropping-particle":"","parse-names":false,"suffix":""},{"dropping-particle":"","family":"Li","given":"Ran","non-dropping-particle":"","parse-names":false,"suffix":""}],"container-title":"Transportation Research Record: Journal of the Transportation Research Board","id":"ITEM-1","issue":"1","issued":{"date-parts":[["2014"]]},"page":"65-73","title":"Assessing the Effect of Weather States on Crash Severity and Type by Use of Full Bayesian Multivariate Safety Models","type":"article-journal","volume":"2432"},"uris":["http://www.mendeley.com/documents/?uuid=124c9481-2366-4225-8bf3-23dd9f1716a5"]}],"mendeley":{"formattedCitation":"(El-Basyouny et al., 2014b)","plainTextFormattedCitation":"(El-Basyouny et al., 2014b)","previouslyFormattedCitation":"(El-Basyouny et al., 2014b)"},"properties":{"noteIndex":0},"schema":"https://github.com/citation-style-language/schema/raw/master/csl-citation.json"}</w:instrText>
            </w:r>
            <w:r w:rsidRPr="0078373E">
              <w:rPr>
                <w:rFonts w:cs="Times New Roman"/>
                <w:sz w:val="20"/>
                <w:szCs w:val="20"/>
              </w:rPr>
              <w:fldChar w:fldCharType="separate"/>
            </w:r>
            <w:r w:rsidR="008323B7" w:rsidRPr="008323B7">
              <w:rPr>
                <w:rFonts w:cs="Times New Roman"/>
                <w:noProof/>
                <w:sz w:val="20"/>
                <w:szCs w:val="20"/>
              </w:rPr>
              <w:t>(El-Basyouny et al., 2014b)</w:t>
            </w:r>
            <w:r w:rsidRPr="0078373E">
              <w:rPr>
                <w:rFonts w:cs="Times New Roman"/>
                <w:sz w:val="20"/>
                <w:szCs w:val="20"/>
              </w:rPr>
              <w:fldChar w:fldCharType="end"/>
            </w:r>
          </w:p>
        </w:tc>
        <w:tc>
          <w:tcPr>
            <w:tcW w:w="1238" w:type="dxa"/>
            <w:tcBorders>
              <w:top w:val="single" w:sz="4" w:space="0" w:color="auto"/>
              <w:bottom w:val="single" w:sz="4" w:space="0" w:color="auto"/>
            </w:tcBorders>
            <w:vAlign w:val="center"/>
          </w:tcPr>
          <w:p w14:paraId="725F9DB7" w14:textId="77777777" w:rsidR="00CC74A8" w:rsidRPr="0078373E" w:rsidRDefault="00CC74A8" w:rsidP="004601C9">
            <w:pPr>
              <w:jc w:val="center"/>
              <w:rPr>
                <w:rFonts w:cs="Times New Roman"/>
                <w:sz w:val="20"/>
                <w:szCs w:val="20"/>
                <w:lang w:val="en-US"/>
              </w:rPr>
            </w:pPr>
            <w:r w:rsidRPr="0078373E">
              <w:rPr>
                <w:rFonts w:cs="Times New Roman"/>
                <w:sz w:val="20"/>
                <w:szCs w:val="20"/>
                <w:lang w:val="en-US"/>
              </w:rPr>
              <w:t>Citywide</w:t>
            </w:r>
          </w:p>
          <w:p w14:paraId="59325A1C" w14:textId="77777777" w:rsidR="00CC74A8" w:rsidRPr="0078373E" w:rsidRDefault="00CC74A8" w:rsidP="004601C9">
            <w:pPr>
              <w:jc w:val="center"/>
              <w:rPr>
                <w:rFonts w:cs="Times New Roman"/>
                <w:sz w:val="20"/>
                <w:szCs w:val="20"/>
                <w:lang w:val="en-US"/>
              </w:rPr>
            </w:pPr>
            <w:r w:rsidRPr="0078373E">
              <w:rPr>
                <w:rFonts w:cs="Times New Roman"/>
                <w:sz w:val="20"/>
                <w:szCs w:val="20"/>
                <w:lang w:val="en-US"/>
              </w:rPr>
              <w:t>(Macro)</w:t>
            </w:r>
          </w:p>
        </w:tc>
        <w:tc>
          <w:tcPr>
            <w:tcW w:w="1416" w:type="dxa"/>
            <w:tcBorders>
              <w:top w:val="single" w:sz="4" w:space="0" w:color="auto"/>
              <w:bottom w:val="single" w:sz="4" w:space="0" w:color="auto"/>
            </w:tcBorders>
            <w:vAlign w:val="center"/>
          </w:tcPr>
          <w:p w14:paraId="7BB7BBE9" w14:textId="77777777" w:rsidR="00CC74A8" w:rsidRPr="0078373E" w:rsidRDefault="00CC74A8" w:rsidP="004601C9">
            <w:pPr>
              <w:jc w:val="center"/>
              <w:rPr>
                <w:rFonts w:cs="Times New Roman"/>
                <w:sz w:val="20"/>
                <w:szCs w:val="20"/>
                <w:lang w:val="en-US"/>
              </w:rPr>
            </w:pPr>
            <w:r w:rsidRPr="0078373E">
              <w:rPr>
                <w:rFonts w:cs="Times New Roman"/>
                <w:sz w:val="20"/>
                <w:szCs w:val="20"/>
                <w:lang w:val="en-US"/>
              </w:rPr>
              <w:t>City</w:t>
            </w:r>
          </w:p>
          <w:p w14:paraId="52B0CE62" w14:textId="77777777" w:rsidR="00CC74A8" w:rsidRPr="0078373E" w:rsidRDefault="00CC74A8" w:rsidP="004601C9">
            <w:pPr>
              <w:jc w:val="center"/>
              <w:rPr>
                <w:rFonts w:cs="Times New Roman"/>
                <w:sz w:val="20"/>
                <w:szCs w:val="20"/>
                <w:lang w:val="en-US"/>
              </w:rPr>
            </w:pPr>
            <w:r w:rsidRPr="0078373E">
              <w:rPr>
                <w:rFonts w:cs="Times New Roman"/>
                <w:sz w:val="20"/>
                <w:szCs w:val="20"/>
                <w:lang w:val="en-US"/>
              </w:rPr>
              <w:t>(Edmonton)</w:t>
            </w:r>
          </w:p>
        </w:tc>
        <w:tc>
          <w:tcPr>
            <w:tcW w:w="1089" w:type="dxa"/>
            <w:tcBorders>
              <w:top w:val="single" w:sz="4" w:space="0" w:color="auto"/>
              <w:bottom w:val="single" w:sz="4" w:space="0" w:color="auto"/>
            </w:tcBorders>
            <w:vAlign w:val="center"/>
          </w:tcPr>
          <w:p w14:paraId="63EA5F70" w14:textId="77777777" w:rsidR="00CC74A8" w:rsidRPr="0078373E" w:rsidRDefault="00CC74A8" w:rsidP="004601C9">
            <w:pPr>
              <w:jc w:val="center"/>
              <w:rPr>
                <w:rFonts w:cs="Times New Roman"/>
                <w:sz w:val="20"/>
                <w:szCs w:val="20"/>
              </w:rPr>
            </w:pPr>
            <w:r w:rsidRPr="0078373E">
              <w:rPr>
                <w:rFonts w:cs="Times New Roman"/>
                <w:sz w:val="20"/>
                <w:szCs w:val="20"/>
              </w:rPr>
              <w:t>Motorized crash</w:t>
            </w:r>
          </w:p>
        </w:tc>
        <w:tc>
          <w:tcPr>
            <w:tcW w:w="2061" w:type="dxa"/>
            <w:tcBorders>
              <w:top w:val="single" w:sz="4" w:space="0" w:color="auto"/>
              <w:bottom w:val="single" w:sz="4" w:space="0" w:color="auto"/>
            </w:tcBorders>
            <w:vAlign w:val="center"/>
          </w:tcPr>
          <w:p w14:paraId="315C43B9" w14:textId="77777777" w:rsidR="00CC74A8" w:rsidRPr="0078373E" w:rsidRDefault="00CC74A8" w:rsidP="004601C9">
            <w:pPr>
              <w:jc w:val="left"/>
              <w:rPr>
                <w:rFonts w:cs="Times New Roman"/>
                <w:sz w:val="20"/>
                <w:szCs w:val="20"/>
              </w:rPr>
            </w:pPr>
            <w:r w:rsidRPr="0078373E">
              <w:rPr>
                <w:rFonts w:cs="Times New Roman"/>
                <w:sz w:val="20"/>
                <w:szCs w:val="20"/>
              </w:rPr>
              <w:t>7 (FTC*, FOTS</w:t>
            </w:r>
            <w:r w:rsidRPr="00E87C8C">
              <w:rPr>
                <w:sz w:val="20"/>
                <w:szCs w:val="18"/>
              </w:rPr>
              <w:t>**</w:t>
            </w:r>
            <w:r w:rsidRPr="0078373E">
              <w:rPr>
                <w:rFonts w:cs="Times New Roman"/>
                <w:sz w:val="20"/>
                <w:szCs w:val="20"/>
              </w:rPr>
              <w:t>, SSV</w:t>
            </w:r>
            <w:r w:rsidRPr="00E87C8C">
              <w:rPr>
                <w:sz w:val="20"/>
                <w:szCs w:val="18"/>
              </w:rPr>
              <w:t>**</w:t>
            </w:r>
            <w:r>
              <w:rPr>
                <w:sz w:val="20"/>
                <w:szCs w:val="18"/>
              </w:rPr>
              <w:t>*</w:t>
            </w:r>
            <w:r w:rsidRPr="0078373E">
              <w:rPr>
                <w:rFonts w:cs="Times New Roman"/>
                <w:sz w:val="20"/>
                <w:szCs w:val="20"/>
              </w:rPr>
              <w:t>, left turn, ILC</w:t>
            </w:r>
            <w:r w:rsidRPr="00E87C8C">
              <w:rPr>
                <w:sz w:val="20"/>
                <w:szCs w:val="18"/>
              </w:rPr>
              <w:t>**</w:t>
            </w:r>
            <w:r>
              <w:rPr>
                <w:sz w:val="20"/>
                <w:szCs w:val="18"/>
              </w:rPr>
              <w:t>**</w:t>
            </w:r>
            <w:r w:rsidRPr="0078373E">
              <w:rPr>
                <w:rFonts w:cs="Times New Roman"/>
                <w:sz w:val="20"/>
                <w:szCs w:val="20"/>
              </w:rPr>
              <w:t>, parked vehicle and off-road)</w:t>
            </w:r>
          </w:p>
        </w:tc>
        <w:tc>
          <w:tcPr>
            <w:tcW w:w="1998" w:type="dxa"/>
            <w:tcBorders>
              <w:top w:val="single" w:sz="4" w:space="0" w:color="auto"/>
              <w:bottom w:val="single" w:sz="4" w:space="0" w:color="auto"/>
            </w:tcBorders>
            <w:vAlign w:val="center"/>
          </w:tcPr>
          <w:p w14:paraId="3B9EE999" w14:textId="77777777" w:rsidR="00CC74A8" w:rsidRPr="0078373E" w:rsidRDefault="00CC74A8" w:rsidP="004601C9">
            <w:pPr>
              <w:jc w:val="left"/>
              <w:rPr>
                <w:rFonts w:cs="Times New Roman"/>
                <w:sz w:val="20"/>
                <w:szCs w:val="20"/>
                <w:lang w:val="en-US"/>
              </w:rPr>
            </w:pPr>
            <w:r w:rsidRPr="0078373E">
              <w:rPr>
                <w:rFonts w:cs="Times New Roman"/>
                <w:sz w:val="20"/>
                <w:szCs w:val="20"/>
                <w:lang w:val="en-US"/>
              </w:rPr>
              <w:t>Multivariate Poisson-lognormal model</w:t>
            </w:r>
          </w:p>
        </w:tc>
        <w:tc>
          <w:tcPr>
            <w:tcW w:w="652" w:type="dxa"/>
            <w:tcBorders>
              <w:top w:val="single" w:sz="4" w:space="0" w:color="auto"/>
              <w:bottom w:val="single" w:sz="4" w:space="0" w:color="auto"/>
            </w:tcBorders>
            <w:vAlign w:val="center"/>
          </w:tcPr>
          <w:p w14:paraId="5A7460CE" w14:textId="77777777" w:rsidR="00CC74A8" w:rsidRPr="0078373E" w:rsidRDefault="00CC74A8" w:rsidP="004601C9">
            <w:pPr>
              <w:jc w:val="center"/>
              <w:rPr>
                <w:rFonts w:cs="Times New Roman"/>
                <w:b/>
                <w:sz w:val="20"/>
                <w:szCs w:val="20"/>
              </w:rPr>
            </w:pPr>
            <w:r w:rsidRPr="0078373E">
              <w:rPr>
                <w:rFonts w:cs="Times New Roman"/>
                <w:b/>
                <w:sz w:val="20"/>
                <w:szCs w:val="20"/>
              </w:rPr>
              <w:t>--</w:t>
            </w:r>
          </w:p>
        </w:tc>
        <w:tc>
          <w:tcPr>
            <w:tcW w:w="459" w:type="dxa"/>
            <w:tcBorders>
              <w:top w:val="single" w:sz="4" w:space="0" w:color="auto"/>
              <w:bottom w:val="single" w:sz="4" w:space="0" w:color="auto"/>
            </w:tcBorders>
            <w:vAlign w:val="center"/>
          </w:tcPr>
          <w:p w14:paraId="3DB2B0F4" w14:textId="77777777" w:rsidR="00CC74A8" w:rsidRPr="0078373E" w:rsidRDefault="00CC74A8" w:rsidP="004601C9">
            <w:pPr>
              <w:jc w:val="center"/>
              <w:rPr>
                <w:rFonts w:cs="Times New Roman"/>
                <w:b/>
                <w:sz w:val="20"/>
                <w:szCs w:val="20"/>
              </w:rPr>
            </w:pPr>
            <w:r w:rsidRPr="0078373E">
              <w:rPr>
                <w:rFonts w:cs="Times New Roman"/>
                <w:b/>
                <w:sz w:val="20"/>
                <w:szCs w:val="20"/>
              </w:rPr>
              <w:t>--</w:t>
            </w:r>
          </w:p>
        </w:tc>
        <w:tc>
          <w:tcPr>
            <w:tcW w:w="604" w:type="dxa"/>
            <w:tcBorders>
              <w:top w:val="single" w:sz="4" w:space="0" w:color="auto"/>
              <w:bottom w:val="single" w:sz="4" w:space="0" w:color="auto"/>
            </w:tcBorders>
            <w:vAlign w:val="center"/>
          </w:tcPr>
          <w:p w14:paraId="0B3B4C9F" w14:textId="77777777" w:rsidR="00CC74A8" w:rsidRPr="0078373E" w:rsidRDefault="00CC74A8" w:rsidP="004601C9">
            <w:pPr>
              <w:jc w:val="center"/>
              <w:rPr>
                <w:rFonts w:cs="Times New Roman"/>
                <w:b/>
                <w:sz w:val="20"/>
                <w:szCs w:val="20"/>
              </w:rPr>
            </w:pPr>
            <w:r w:rsidRPr="0078373E">
              <w:rPr>
                <w:rFonts w:cs="Times New Roman"/>
                <w:b/>
                <w:sz w:val="20"/>
                <w:szCs w:val="20"/>
              </w:rPr>
              <w:t>--</w:t>
            </w:r>
          </w:p>
        </w:tc>
        <w:tc>
          <w:tcPr>
            <w:tcW w:w="604" w:type="dxa"/>
            <w:tcBorders>
              <w:top w:val="single" w:sz="4" w:space="0" w:color="auto"/>
              <w:bottom w:val="single" w:sz="4" w:space="0" w:color="auto"/>
            </w:tcBorders>
            <w:vAlign w:val="center"/>
          </w:tcPr>
          <w:p w14:paraId="7CF72A47" w14:textId="77777777" w:rsidR="00CC74A8" w:rsidRPr="0078373E" w:rsidRDefault="00CC74A8" w:rsidP="004601C9">
            <w:pPr>
              <w:jc w:val="center"/>
              <w:rPr>
                <w:rFonts w:cs="Times New Roman"/>
                <w:b/>
                <w:sz w:val="20"/>
                <w:szCs w:val="20"/>
              </w:rPr>
            </w:pPr>
            <w:r w:rsidRPr="0078373E">
              <w:rPr>
                <w:rFonts w:cs="Times New Roman"/>
                <w:b/>
                <w:sz w:val="20"/>
                <w:szCs w:val="20"/>
              </w:rPr>
              <w:t>--</w:t>
            </w:r>
          </w:p>
        </w:tc>
        <w:tc>
          <w:tcPr>
            <w:tcW w:w="604" w:type="dxa"/>
            <w:tcBorders>
              <w:top w:val="single" w:sz="4" w:space="0" w:color="auto"/>
              <w:bottom w:val="single" w:sz="4" w:space="0" w:color="auto"/>
            </w:tcBorders>
            <w:vAlign w:val="center"/>
          </w:tcPr>
          <w:p w14:paraId="311DE0AD" w14:textId="77777777" w:rsidR="00CC74A8" w:rsidRPr="0078373E" w:rsidRDefault="00CC74A8" w:rsidP="004601C9">
            <w:pPr>
              <w:jc w:val="center"/>
              <w:rPr>
                <w:rFonts w:cs="Times New Roman"/>
                <w:b/>
                <w:sz w:val="20"/>
                <w:szCs w:val="20"/>
              </w:rPr>
            </w:pPr>
            <w:r w:rsidRPr="0078373E">
              <w:rPr>
                <w:rFonts w:cs="Times New Roman"/>
                <w:b/>
                <w:sz w:val="20"/>
                <w:szCs w:val="20"/>
              </w:rPr>
              <w:t>--</w:t>
            </w:r>
          </w:p>
        </w:tc>
        <w:tc>
          <w:tcPr>
            <w:tcW w:w="459" w:type="dxa"/>
            <w:tcBorders>
              <w:top w:val="single" w:sz="4" w:space="0" w:color="auto"/>
              <w:bottom w:val="single" w:sz="4" w:space="0" w:color="auto"/>
            </w:tcBorders>
            <w:vAlign w:val="center"/>
          </w:tcPr>
          <w:p w14:paraId="6241227D" w14:textId="77777777" w:rsidR="00CC74A8" w:rsidRPr="0078373E" w:rsidRDefault="00CC74A8" w:rsidP="004601C9">
            <w:pPr>
              <w:jc w:val="center"/>
              <w:rPr>
                <w:rFonts w:cs="Times New Roman"/>
                <w:b/>
                <w:sz w:val="20"/>
                <w:szCs w:val="20"/>
              </w:rPr>
            </w:pPr>
            <w:r w:rsidRPr="0078373E">
              <w:rPr>
                <w:rFonts w:cs="Times New Roman"/>
                <w:b/>
                <w:sz w:val="20"/>
                <w:szCs w:val="20"/>
              </w:rPr>
              <w:t>√</w:t>
            </w:r>
          </w:p>
        </w:tc>
      </w:tr>
      <w:tr w:rsidR="00494D9E" w:rsidRPr="00D40F8D" w14:paraId="6B82685C" w14:textId="77777777" w:rsidTr="000C638E">
        <w:trPr>
          <w:trHeight w:val="360"/>
        </w:trPr>
        <w:tc>
          <w:tcPr>
            <w:tcW w:w="1729" w:type="dxa"/>
            <w:tcBorders>
              <w:top w:val="single" w:sz="4" w:space="0" w:color="auto"/>
              <w:bottom w:val="single" w:sz="4" w:space="0" w:color="auto"/>
            </w:tcBorders>
            <w:vAlign w:val="center"/>
          </w:tcPr>
          <w:p w14:paraId="67A4DA99" w14:textId="1AAA2F8A" w:rsidR="000C638E" w:rsidRPr="0078373E" w:rsidRDefault="000C638E" w:rsidP="000C638E">
            <w:pPr>
              <w:jc w:val="left"/>
              <w:rPr>
                <w:rFonts w:cs="Times New Roman"/>
                <w:sz w:val="20"/>
                <w:szCs w:val="20"/>
              </w:rPr>
            </w:pPr>
            <w:r>
              <w:rPr>
                <w:rFonts w:cs="Times New Roman"/>
                <w:sz w:val="20"/>
                <w:szCs w:val="20"/>
              </w:rPr>
              <w:fldChar w:fldCharType="begin" w:fldLock="1"/>
            </w:r>
            <w:r w:rsidR="00770C22">
              <w:rPr>
                <w:rFonts w:cs="Times New Roman"/>
                <w:sz w:val="20"/>
                <w:szCs w:val="20"/>
              </w:rPr>
              <w:instrText>ADDIN CSL_CITATION {"citationItems":[{"id":"ITEM-1","itemData":{"DOI":"10.1061/(ASCE)TE.1943-5436.0000757","ISSN":"0733947X","abstract":"Crashes present different collision types at freeway diverge areas. The research reported in this paper applies the multivariate modeling technique to evaluate the crash risks by collision type. Three years crash data are obtained from 282 freeway exit ramps. Three types of crashes are considered [i.e., (1) rear-end, (2) sideswipe, and (3) angle collisions]. A multivariate Poisson-lognormal (MVPLN) model is estimated to jointly evaluate the impacts of explanatory variables on different collision risks. For comparison purpose, univariate negative binomial (NB) models are also estimated based on the same dataset. The results show that the MVPLN model successfully captures the correlation of latent effects among the crash counts of different collision types. Thus, the MNPLN model estimates the impacts of variables more accurately than the NB model. The MVPLN model is found outperform the NB models in predicting the crash count of each collision type. Findings of this paper can help better understand how variables affect the risks of different collisions and propose accurate crash prediction models at freeway diverge areas.","author":[{"dropping-particle":"","family":"Li","given":"Zhibin","non-dropping-particle":"","parse-names":false,"suffix":""},{"dropping-particle":"","family":"Wang","given":"Wei","non-dropping-particle":"","parse-names":false,"suffix":""},{"dropping-particle":"","family":"Liu","given":"Pan","non-dropping-particle":"","parse-names":false,"suffix":""},{"dropping-particle":"","family":"Bai","given":"Lu","non-dropping-particle":"","parse-names":false,"suffix":""},{"dropping-particle":"","family":"Du","given":"Muqing","non-dropping-particle":"","parse-names":false,"suffix":""}],"container-title":"Journal of Transportation Engineering","id":"ITEM-1","issue":"6","issued":{"date-parts":[["2015"]]},"title":"Analysis of crash risks by collision type at freeway diverge area using multivariate modeling technique","type":"article-journal","volume":"141"},"uris":["http://www.mendeley.com/documents/?uuid=f1ceabe0-7806-41b9-a4d2-fd94d962a34a"]}],"mendeley":{"formattedCitation":"(Li et al., 2015)","plainTextFormattedCitation":"(Li et al., 2015)","previouslyFormattedCitation":"(Li et al., 2015)"},"properties":{"noteIndex":0},"schema":"https://github.com/citation-style-language/schema/raw/master/csl-citation.json"}</w:instrText>
            </w:r>
            <w:r>
              <w:rPr>
                <w:rFonts w:cs="Times New Roman"/>
                <w:sz w:val="20"/>
                <w:szCs w:val="20"/>
              </w:rPr>
              <w:fldChar w:fldCharType="separate"/>
            </w:r>
            <w:r w:rsidRPr="00B81912">
              <w:rPr>
                <w:rFonts w:cs="Times New Roman"/>
                <w:noProof/>
                <w:sz w:val="20"/>
                <w:szCs w:val="20"/>
              </w:rPr>
              <w:t>(Li et al., 2015)</w:t>
            </w:r>
            <w:r>
              <w:rPr>
                <w:rFonts w:cs="Times New Roman"/>
                <w:sz w:val="20"/>
                <w:szCs w:val="20"/>
              </w:rPr>
              <w:fldChar w:fldCharType="end"/>
            </w:r>
          </w:p>
        </w:tc>
        <w:tc>
          <w:tcPr>
            <w:tcW w:w="1238" w:type="dxa"/>
            <w:tcBorders>
              <w:top w:val="single" w:sz="4" w:space="0" w:color="auto"/>
              <w:bottom w:val="single" w:sz="4" w:space="0" w:color="auto"/>
            </w:tcBorders>
            <w:vAlign w:val="center"/>
          </w:tcPr>
          <w:p w14:paraId="3A63106D" w14:textId="197A4198" w:rsidR="000C638E" w:rsidRPr="0078373E" w:rsidRDefault="000C638E" w:rsidP="000C638E">
            <w:pPr>
              <w:jc w:val="center"/>
              <w:rPr>
                <w:rFonts w:cs="Times New Roman"/>
                <w:sz w:val="20"/>
                <w:szCs w:val="20"/>
                <w:lang w:val="en-US"/>
              </w:rPr>
            </w:pPr>
            <w:r>
              <w:rPr>
                <w:rFonts w:cs="Times New Roman"/>
                <w:sz w:val="20"/>
                <w:szCs w:val="20"/>
                <w:lang w:val="en-US"/>
              </w:rPr>
              <w:t>Freeway (micro)</w:t>
            </w:r>
          </w:p>
        </w:tc>
        <w:tc>
          <w:tcPr>
            <w:tcW w:w="1416" w:type="dxa"/>
            <w:tcBorders>
              <w:top w:val="single" w:sz="4" w:space="0" w:color="auto"/>
              <w:bottom w:val="single" w:sz="4" w:space="0" w:color="auto"/>
            </w:tcBorders>
            <w:vAlign w:val="center"/>
          </w:tcPr>
          <w:p w14:paraId="203E15B2" w14:textId="77777777" w:rsidR="000C638E" w:rsidRDefault="000C638E" w:rsidP="000C638E">
            <w:pPr>
              <w:jc w:val="center"/>
              <w:rPr>
                <w:rFonts w:cs="Times New Roman"/>
                <w:sz w:val="20"/>
                <w:szCs w:val="20"/>
                <w:lang w:val="en-US"/>
              </w:rPr>
            </w:pPr>
            <w:r>
              <w:rPr>
                <w:rFonts w:cs="Times New Roman"/>
                <w:sz w:val="20"/>
                <w:szCs w:val="20"/>
                <w:lang w:val="en-US"/>
              </w:rPr>
              <w:t xml:space="preserve">State </w:t>
            </w:r>
          </w:p>
          <w:p w14:paraId="0579EE35" w14:textId="12D56987" w:rsidR="000C638E" w:rsidRPr="0078373E" w:rsidRDefault="000C638E" w:rsidP="000C638E">
            <w:pPr>
              <w:jc w:val="center"/>
              <w:rPr>
                <w:rFonts w:cs="Times New Roman"/>
                <w:sz w:val="20"/>
                <w:szCs w:val="20"/>
                <w:lang w:val="en-US"/>
              </w:rPr>
            </w:pPr>
            <w:r>
              <w:rPr>
                <w:rFonts w:cs="Times New Roman"/>
                <w:sz w:val="20"/>
                <w:szCs w:val="20"/>
                <w:lang w:val="en-US"/>
              </w:rPr>
              <w:t>(Florida)</w:t>
            </w:r>
          </w:p>
        </w:tc>
        <w:tc>
          <w:tcPr>
            <w:tcW w:w="1089" w:type="dxa"/>
            <w:tcBorders>
              <w:top w:val="single" w:sz="4" w:space="0" w:color="auto"/>
              <w:bottom w:val="single" w:sz="4" w:space="0" w:color="auto"/>
            </w:tcBorders>
            <w:vAlign w:val="center"/>
          </w:tcPr>
          <w:p w14:paraId="31B41B1B" w14:textId="6D6F5077" w:rsidR="000C638E" w:rsidRPr="0078373E" w:rsidRDefault="000C638E" w:rsidP="000C638E">
            <w:pPr>
              <w:jc w:val="center"/>
              <w:rPr>
                <w:rFonts w:cs="Times New Roman"/>
                <w:sz w:val="20"/>
                <w:szCs w:val="20"/>
              </w:rPr>
            </w:pPr>
            <w:r w:rsidRPr="0078373E">
              <w:rPr>
                <w:rFonts w:cs="Times New Roman"/>
                <w:sz w:val="20"/>
                <w:szCs w:val="20"/>
              </w:rPr>
              <w:t>Motorized crash</w:t>
            </w:r>
          </w:p>
        </w:tc>
        <w:tc>
          <w:tcPr>
            <w:tcW w:w="2061" w:type="dxa"/>
            <w:tcBorders>
              <w:top w:val="single" w:sz="4" w:space="0" w:color="auto"/>
              <w:bottom w:val="single" w:sz="4" w:space="0" w:color="auto"/>
            </w:tcBorders>
            <w:vAlign w:val="center"/>
          </w:tcPr>
          <w:p w14:paraId="6580A8F5" w14:textId="377110D2" w:rsidR="000C638E" w:rsidRPr="0078373E" w:rsidRDefault="000C638E" w:rsidP="000C638E">
            <w:pPr>
              <w:jc w:val="left"/>
              <w:rPr>
                <w:rFonts w:cs="Times New Roman"/>
                <w:sz w:val="20"/>
                <w:szCs w:val="20"/>
              </w:rPr>
            </w:pPr>
            <w:r>
              <w:rPr>
                <w:rFonts w:cs="Times New Roman"/>
                <w:sz w:val="20"/>
                <w:szCs w:val="20"/>
              </w:rPr>
              <w:t>3 (rear-end, sideswipe and angle)</w:t>
            </w:r>
          </w:p>
        </w:tc>
        <w:tc>
          <w:tcPr>
            <w:tcW w:w="1998" w:type="dxa"/>
            <w:tcBorders>
              <w:top w:val="single" w:sz="4" w:space="0" w:color="auto"/>
              <w:bottom w:val="single" w:sz="4" w:space="0" w:color="auto"/>
            </w:tcBorders>
            <w:vAlign w:val="center"/>
          </w:tcPr>
          <w:p w14:paraId="13DEAA28" w14:textId="63EAD90A" w:rsidR="000C638E" w:rsidRPr="0078373E" w:rsidRDefault="000C638E" w:rsidP="000C638E">
            <w:pPr>
              <w:jc w:val="left"/>
              <w:rPr>
                <w:rFonts w:cs="Times New Roman"/>
                <w:sz w:val="20"/>
                <w:szCs w:val="20"/>
                <w:lang w:val="en-US"/>
              </w:rPr>
            </w:pPr>
            <w:r w:rsidRPr="0078373E">
              <w:rPr>
                <w:rFonts w:cs="Times New Roman"/>
                <w:sz w:val="20"/>
                <w:szCs w:val="20"/>
                <w:lang w:val="en-US"/>
              </w:rPr>
              <w:t>Multivariate Poisson-lognormal model</w:t>
            </w:r>
          </w:p>
        </w:tc>
        <w:tc>
          <w:tcPr>
            <w:tcW w:w="652" w:type="dxa"/>
            <w:tcBorders>
              <w:top w:val="single" w:sz="4" w:space="0" w:color="auto"/>
              <w:bottom w:val="single" w:sz="4" w:space="0" w:color="auto"/>
            </w:tcBorders>
            <w:vAlign w:val="center"/>
          </w:tcPr>
          <w:p w14:paraId="60326A44" w14:textId="28E79B14" w:rsidR="000C638E" w:rsidRPr="0078373E" w:rsidRDefault="000C638E" w:rsidP="000C638E">
            <w:pPr>
              <w:jc w:val="center"/>
              <w:rPr>
                <w:rFonts w:cs="Times New Roman"/>
                <w:b/>
                <w:sz w:val="20"/>
                <w:szCs w:val="20"/>
              </w:rPr>
            </w:pPr>
            <w:r w:rsidRPr="0078373E">
              <w:rPr>
                <w:rFonts w:cs="Times New Roman"/>
                <w:b/>
                <w:sz w:val="20"/>
                <w:szCs w:val="20"/>
              </w:rPr>
              <w:t>√</w:t>
            </w:r>
          </w:p>
        </w:tc>
        <w:tc>
          <w:tcPr>
            <w:tcW w:w="459" w:type="dxa"/>
            <w:tcBorders>
              <w:top w:val="single" w:sz="4" w:space="0" w:color="auto"/>
              <w:bottom w:val="single" w:sz="4" w:space="0" w:color="auto"/>
            </w:tcBorders>
            <w:vAlign w:val="center"/>
          </w:tcPr>
          <w:p w14:paraId="09239337" w14:textId="0A0E6711" w:rsidR="000C638E" w:rsidRPr="0078373E" w:rsidRDefault="000C638E" w:rsidP="000C638E">
            <w:pPr>
              <w:jc w:val="center"/>
              <w:rPr>
                <w:rFonts w:cs="Times New Roman"/>
                <w:b/>
                <w:sz w:val="20"/>
                <w:szCs w:val="20"/>
              </w:rPr>
            </w:pPr>
            <w:r w:rsidRPr="00611D69">
              <w:rPr>
                <w:rFonts w:cs="Times New Roman"/>
                <w:b/>
                <w:sz w:val="20"/>
                <w:szCs w:val="20"/>
              </w:rPr>
              <w:t>--</w:t>
            </w:r>
          </w:p>
        </w:tc>
        <w:tc>
          <w:tcPr>
            <w:tcW w:w="604" w:type="dxa"/>
            <w:tcBorders>
              <w:top w:val="single" w:sz="4" w:space="0" w:color="auto"/>
              <w:bottom w:val="single" w:sz="4" w:space="0" w:color="auto"/>
            </w:tcBorders>
            <w:vAlign w:val="center"/>
          </w:tcPr>
          <w:p w14:paraId="34D356A9" w14:textId="6594BA3C" w:rsidR="000C638E" w:rsidRPr="0078373E" w:rsidRDefault="000C638E" w:rsidP="000C638E">
            <w:pPr>
              <w:jc w:val="center"/>
              <w:rPr>
                <w:rFonts w:cs="Times New Roman"/>
                <w:b/>
                <w:sz w:val="20"/>
                <w:szCs w:val="20"/>
              </w:rPr>
            </w:pPr>
            <w:r w:rsidRPr="00611D69">
              <w:rPr>
                <w:rFonts w:cs="Times New Roman"/>
                <w:b/>
                <w:sz w:val="20"/>
                <w:szCs w:val="20"/>
              </w:rPr>
              <w:t>--</w:t>
            </w:r>
          </w:p>
        </w:tc>
        <w:tc>
          <w:tcPr>
            <w:tcW w:w="604" w:type="dxa"/>
            <w:tcBorders>
              <w:top w:val="single" w:sz="4" w:space="0" w:color="auto"/>
              <w:bottom w:val="single" w:sz="4" w:space="0" w:color="auto"/>
            </w:tcBorders>
            <w:vAlign w:val="center"/>
          </w:tcPr>
          <w:p w14:paraId="2AB05548" w14:textId="583526FB" w:rsidR="000C638E" w:rsidRPr="0078373E" w:rsidRDefault="000C638E" w:rsidP="000C638E">
            <w:pPr>
              <w:jc w:val="center"/>
              <w:rPr>
                <w:rFonts w:cs="Times New Roman"/>
                <w:b/>
                <w:sz w:val="20"/>
                <w:szCs w:val="20"/>
              </w:rPr>
            </w:pPr>
            <w:r w:rsidRPr="0078373E">
              <w:rPr>
                <w:rFonts w:cs="Times New Roman"/>
                <w:b/>
                <w:sz w:val="20"/>
                <w:szCs w:val="20"/>
              </w:rPr>
              <w:t>√</w:t>
            </w:r>
          </w:p>
        </w:tc>
        <w:tc>
          <w:tcPr>
            <w:tcW w:w="604" w:type="dxa"/>
            <w:tcBorders>
              <w:top w:val="single" w:sz="4" w:space="0" w:color="auto"/>
              <w:bottom w:val="single" w:sz="4" w:space="0" w:color="auto"/>
            </w:tcBorders>
            <w:vAlign w:val="center"/>
          </w:tcPr>
          <w:p w14:paraId="49C4745C" w14:textId="3AAAE0E6" w:rsidR="000C638E" w:rsidRPr="0078373E" w:rsidRDefault="000C638E" w:rsidP="000C638E">
            <w:pPr>
              <w:jc w:val="center"/>
              <w:rPr>
                <w:rFonts w:cs="Times New Roman"/>
                <w:b/>
                <w:sz w:val="20"/>
                <w:szCs w:val="20"/>
              </w:rPr>
            </w:pPr>
            <w:r w:rsidRPr="000C126B">
              <w:rPr>
                <w:rFonts w:cs="Times New Roman"/>
                <w:b/>
                <w:sz w:val="20"/>
                <w:szCs w:val="20"/>
              </w:rPr>
              <w:t>--</w:t>
            </w:r>
          </w:p>
        </w:tc>
        <w:tc>
          <w:tcPr>
            <w:tcW w:w="459" w:type="dxa"/>
            <w:tcBorders>
              <w:top w:val="single" w:sz="4" w:space="0" w:color="auto"/>
              <w:bottom w:val="single" w:sz="4" w:space="0" w:color="auto"/>
            </w:tcBorders>
            <w:vAlign w:val="center"/>
          </w:tcPr>
          <w:p w14:paraId="10B0D906" w14:textId="4882B8BD" w:rsidR="000C638E" w:rsidRPr="0078373E" w:rsidRDefault="000C638E" w:rsidP="000C638E">
            <w:pPr>
              <w:jc w:val="center"/>
              <w:rPr>
                <w:rFonts w:cs="Times New Roman"/>
                <w:b/>
                <w:sz w:val="20"/>
                <w:szCs w:val="20"/>
              </w:rPr>
            </w:pPr>
            <w:r w:rsidRPr="000C126B">
              <w:rPr>
                <w:rFonts w:cs="Times New Roman"/>
                <w:b/>
                <w:sz w:val="20"/>
                <w:szCs w:val="20"/>
              </w:rPr>
              <w:t>--</w:t>
            </w:r>
          </w:p>
        </w:tc>
      </w:tr>
      <w:tr w:rsidR="00494D9E" w:rsidRPr="00D40F8D" w14:paraId="4DC0BD21" w14:textId="77777777" w:rsidTr="004601C9">
        <w:trPr>
          <w:trHeight w:val="360"/>
        </w:trPr>
        <w:tc>
          <w:tcPr>
            <w:tcW w:w="1729" w:type="dxa"/>
            <w:tcBorders>
              <w:top w:val="single" w:sz="4" w:space="0" w:color="auto"/>
              <w:bottom w:val="single" w:sz="4" w:space="0" w:color="auto"/>
            </w:tcBorders>
            <w:vAlign w:val="center"/>
          </w:tcPr>
          <w:p w14:paraId="4274B32F" w14:textId="7E321764" w:rsidR="00CC74A8" w:rsidRPr="0078373E" w:rsidRDefault="00CC74A8" w:rsidP="004601C9">
            <w:pPr>
              <w:jc w:val="left"/>
              <w:rPr>
                <w:rFonts w:cs="Times New Roman"/>
                <w:sz w:val="20"/>
                <w:szCs w:val="20"/>
              </w:rPr>
            </w:pPr>
            <w:r w:rsidRPr="0078373E">
              <w:rPr>
                <w:rFonts w:cs="Times New Roman"/>
                <w:sz w:val="20"/>
                <w:szCs w:val="20"/>
              </w:rPr>
              <w:fldChar w:fldCharType="begin" w:fldLock="1"/>
            </w:r>
            <w:r w:rsidR="00B81912">
              <w:rPr>
                <w:rFonts w:cs="Times New Roman"/>
                <w:sz w:val="20"/>
                <w:szCs w:val="20"/>
              </w:rPr>
              <w:instrText>ADDIN CSL_CITATION {"citationItems":[{"id":"ITEM-1","itemData":{"DOI":"10.1016/j.amar.2015.11.001","ISSN":"22136657","abstract":"This paper investigates the correlations and covariances among the rear end, sideswipe, fixed object and other crash types on freeway sections using three-year crash data for 274 multilane freeway segments in the State of Washington, U.S.A. A multivariate Poisson gamma mixture count model (MVPGM) is developed assuming positive correlation among crash types. The model parameters are estimated using a maximum likelihood approach. Based on the empirical results, the proposed model shows significant unobserved correlations among different types of crash frequencies. In addition to evaluating crash type correlations and covariances by crash type, the model also allows for evaluation of roadway geometric marginal effects and how they compare with crash type-specific effects. The results show that the MVPGM covariances of crash types are in better agreement with observed covariances than those from univariate crash type models. These findings are in spite of our observation that the individual crash type models provide for statistically better fits due to their unconstrained dispersion parameters, which are constrained to be the same in the multivariate model we have proposed here. This outcome underscores the need to explore the behavior of dispersion in multivariate crash type contexts.","author":[{"dropping-particle":"","family":"Mothafer","given":"Ghasak I.M.A.","non-dropping-particle":"","parse-names":false,"suffix":""},{"dropping-particle":"","family":"Yamamoto","given":"Toshiyuki","non-dropping-particle":"","parse-names":false,"suffix":""},{"dropping-particle":"","family":"Shankar","given":"Venkataraman N.","non-dropping-particle":"","parse-names":false,"suffix":""}],"container-title":"Analytic Methods in Accident Research","id":"ITEM-1","issued":{"date-parts":[["2016"]]},"page":"16-26","publisher":"Elsevier","title":"Evaluating crash type covariances and roadway geometric marginal effects using the multivariate Poisson gamma mixture model","type":"article-journal","volume":"9"},"uris":["http://www.mendeley.com/documents/?uuid=b2b5c915-d748-4fa8-8e62-a7b8896184da"]}],"mendeley":{"formattedCitation":"(Mothafer et al., 2016)","plainTextFormattedCitation":"(Mothafer et al., 2016)","previouslyFormattedCitation":"(Mothafer et al., 2016)"},"properties":{"noteIndex":0},"schema":"https://github.com/citation-style-language/schema/raw/master/csl-citation.json"}</w:instrText>
            </w:r>
            <w:r w:rsidRPr="0078373E">
              <w:rPr>
                <w:rFonts w:cs="Times New Roman"/>
                <w:sz w:val="20"/>
                <w:szCs w:val="20"/>
              </w:rPr>
              <w:fldChar w:fldCharType="separate"/>
            </w:r>
            <w:r w:rsidRPr="00097239">
              <w:rPr>
                <w:rFonts w:cs="Times New Roman"/>
                <w:noProof/>
                <w:sz w:val="20"/>
                <w:szCs w:val="20"/>
              </w:rPr>
              <w:t>(Mothafer et al., 2016)</w:t>
            </w:r>
            <w:r w:rsidRPr="0078373E">
              <w:rPr>
                <w:rFonts w:cs="Times New Roman"/>
                <w:sz w:val="20"/>
                <w:szCs w:val="20"/>
              </w:rPr>
              <w:fldChar w:fldCharType="end"/>
            </w:r>
            <w:r w:rsidRPr="0078373E">
              <w:rPr>
                <w:rFonts w:cs="Times New Roman"/>
                <w:sz w:val="20"/>
                <w:szCs w:val="20"/>
              </w:rPr>
              <w:t xml:space="preserve"> </w:t>
            </w:r>
          </w:p>
        </w:tc>
        <w:tc>
          <w:tcPr>
            <w:tcW w:w="1238" w:type="dxa"/>
            <w:tcBorders>
              <w:top w:val="single" w:sz="4" w:space="0" w:color="auto"/>
              <w:bottom w:val="single" w:sz="4" w:space="0" w:color="auto"/>
            </w:tcBorders>
            <w:vAlign w:val="center"/>
          </w:tcPr>
          <w:p w14:paraId="120AF1C3" w14:textId="77777777" w:rsidR="00CC74A8" w:rsidRPr="0078373E" w:rsidRDefault="00CC74A8" w:rsidP="004601C9">
            <w:pPr>
              <w:jc w:val="center"/>
              <w:rPr>
                <w:rFonts w:cs="Times New Roman"/>
                <w:sz w:val="20"/>
                <w:szCs w:val="20"/>
                <w:lang w:val="en-US"/>
              </w:rPr>
            </w:pPr>
            <w:r w:rsidRPr="0078373E">
              <w:rPr>
                <w:rFonts w:cs="Times New Roman"/>
                <w:sz w:val="20"/>
                <w:szCs w:val="20"/>
                <w:lang w:val="en-US"/>
              </w:rPr>
              <w:t>Highway segments (Micro)</w:t>
            </w:r>
          </w:p>
        </w:tc>
        <w:tc>
          <w:tcPr>
            <w:tcW w:w="1416" w:type="dxa"/>
            <w:tcBorders>
              <w:top w:val="single" w:sz="4" w:space="0" w:color="auto"/>
              <w:bottom w:val="single" w:sz="4" w:space="0" w:color="auto"/>
            </w:tcBorders>
            <w:vAlign w:val="center"/>
          </w:tcPr>
          <w:p w14:paraId="48E97798" w14:textId="77777777" w:rsidR="00CC74A8" w:rsidRPr="0078373E" w:rsidRDefault="00CC74A8" w:rsidP="004601C9">
            <w:pPr>
              <w:jc w:val="center"/>
              <w:rPr>
                <w:rFonts w:cs="Times New Roman"/>
                <w:sz w:val="20"/>
                <w:szCs w:val="20"/>
                <w:lang w:val="en-US"/>
              </w:rPr>
            </w:pPr>
            <w:r w:rsidRPr="0078373E">
              <w:rPr>
                <w:rFonts w:cs="Times New Roman"/>
                <w:sz w:val="20"/>
                <w:szCs w:val="20"/>
              </w:rPr>
              <w:t>State (Washington)</w:t>
            </w:r>
          </w:p>
        </w:tc>
        <w:tc>
          <w:tcPr>
            <w:tcW w:w="1089" w:type="dxa"/>
            <w:tcBorders>
              <w:top w:val="single" w:sz="4" w:space="0" w:color="auto"/>
              <w:bottom w:val="single" w:sz="4" w:space="0" w:color="auto"/>
            </w:tcBorders>
            <w:vAlign w:val="center"/>
          </w:tcPr>
          <w:p w14:paraId="3F9DCD13" w14:textId="77777777" w:rsidR="00CC74A8" w:rsidRPr="0078373E" w:rsidRDefault="00CC74A8" w:rsidP="004601C9">
            <w:pPr>
              <w:jc w:val="center"/>
              <w:rPr>
                <w:rFonts w:cs="Times New Roman"/>
                <w:sz w:val="20"/>
                <w:szCs w:val="20"/>
              </w:rPr>
            </w:pPr>
            <w:r w:rsidRPr="0078373E">
              <w:rPr>
                <w:rFonts w:cs="Times New Roman"/>
                <w:sz w:val="20"/>
                <w:szCs w:val="20"/>
              </w:rPr>
              <w:t>Motorized crash</w:t>
            </w:r>
          </w:p>
        </w:tc>
        <w:tc>
          <w:tcPr>
            <w:tcW w:w="2061" w:type="dxa"/>
            <w:tcBorders>
              <w:top w:val="single" w:sz="4" w:space="0" w:color="auto"/>
              <w:bottom w:val="single" w:sz="4" w:space="0" w:color="auto"/>
            </w:tcBorders>
            <w:vAlign w:val="center"/>
          </w:tcPr>
          <w:p w14:paraId="23D116FD" w14:textId="77777777" w:rsidR="00CC74A8" w:rsidRPr="0078373E" w:rsidRDefault="00CC74A8" w:rsidP="004601C9">
            <w:pPr>
              <w:jc w:val="left"/>
              <w:rPr>
                <w:rFonts w:cs="Times New Roman"/>
                <w:sz w:val="20"/>
                <w:szCs w:val="20"/>
              </w:rPr>
            </w:pPr>
            <w:r w:rsidRPr="0078373E">
              <w:rPr>
                <w:rFonts w:cs="Times New Roman"/>
                <w:sz w:val="20"/>
                <w:szCs w:val="20"/>
              </w:rPr>
              <w:t xml:space="preserve">4 (rear-end, sideswipe, fixed </w:t>
            </w:r>
            <w:proofErr w:type="gramStart"/>
            <w:r w:rsidRPr="0078373E">
              <w:rPr>
                <w:rFonts w:cs="Times New Roman"/>
                <w:sz w:val="20"/>
                <w:szCs w:val="20"/>
              </w:rPr>
              <w:t>object</w:t>
            </w:r>
            <w:proofErr w:type="gramEnd"/>
            <w:r w:rsidRPr="0078373E">
              <w:rPr>
                <w:rFonts w:cs="Times New Roman"/>
                <w:sz w:val="20"/>
                <w:szCs w:val="20"/>
              </w:rPr>
              <w:t xml:space="preserve"> and others)</w:t>
            </w:r>
          </w:p>
        </w:tc>
        <w:tc>
          <w:tcPr>
            <w:tcW w:w="1998" w:type="dxa"/>
            <w:tcBorders>
              <w:top w:val="single" w:sz="4" w:space="0" w:color="auto"/>
              <w:bottom w:val="single" w:sz="4" w:space="0" w:color="auto"/>
            </w:tcBorders>
            <w:vAlign w:val="center"/>
          </w:tcPr>
          <w:p w14:paraId="276BAD85" w14:textId="77777777" w:rsidR="00CC74A8" w:rsidRPr="0078373E" w:rsidRDefault="00CC74A8" w:rsidP="004601C9">
            <w:pPr>
              <w:jc w:val="left"/>
              <w:rPr>
                <w:rFonts w:cs="Times New Roman"/>
                <w:sz w:val="20"/>
                <w:szCs w:val="20"/>
                <w:lang w:val="en-US"/>
              </w:rPr>
            </w:pPr>
            <w:r w:rsidRPr="0078373E">
              <w:rPr>
                <w:rFonts w:cs="Times New Roman"/>
                <w:sz w:val="20"/>
                <w:szCs w:val="20"/>
                <w:lang w:val="en-US"/>
              </w:rPr>
              <w:t>Multivariate Poisson gamma mixture count model</w:t>
            </w:r>
          </w:p>
        </w:tc>
        <w:tc>
          <w:tcPr>
            <w:tcW w:w="652" w:type="dxa"/>
            <w:tcBorders>
              <w:top w:val="single" w:sz="4" w:space="0" w:color="auto"/>
              <w:bottom w:val="single" w:sz="4" w:space="0" w:color="auto"/>
            </w:tcBorders>
            <w:vAlign w:val="center"/>
          </w:tcPr>
          <w:p w14:paraId="68EC9756" w14:textId="77777777" w:rsidR="00CC74A8" w:rsidRPr="0078373E" w:rsidRDefault="00CC74A8" w:rsidP="004601C9">
            <w:pPr>
              <w:jc w:val="center"/>
              <w:rPr>
                <w:rFonts w:cs="Times New Roman"/>
                <w:b/>
                <w:sz w:val="20"/>
                <w:szCs w:val="20"/>
              </w:rPr>
            </w:pPr>
            <w:r w:rsidRPr="0078373E">
              <w:rPr>
                <w:rFonts w:cs="Times New Roman"/>
                <w:b/>
                <w:sz w:val="20"/>
                <w:szCs w:val="20"/>
              </w:rPr>
              <w:t>√</w:t>
            </w:r>
          </w:p>
        </w:tc>
        <w:tc>
          <w:tcPr>
            <w:tcW w:w="459" w:type="dxa"/>
            <w:tcBorders>
              <w:top w:val="single" w:sz="4" w:space="0" w:color="auto"/>
              <w:bottom w:val="single" w:sz="4" w:space="0" w:color="auto"/>
            </w:tcBorders>
            <w:vAlign w:val="center"/>
          </w:tcPr>
          <w:p w14:paraId="5776BE25" w14:textId="77777777" w:rsidR="00CC74A8" w:rsidRPr="0078373E" w:rsidRDefault="00CC74A8" w:rsidP="004601C9">
            <w:pPr>
              <w:jc w:val="center"/>
              <w:rPr>
                <w:rFonts w:cs="Times New Roman"/>
                <w:b/>
                <w:sz w:val="20"/>
                <w:szCs w:val="20"/>
              </w:rPr>
            </w:pPr>
            <w:r w:rsidRPr="0078373E">
              <w:rPr>
                <w:rFonts w:cs="Times New Roman"/>
                <w:b/>
                <w:sz w:val="20"/>
                <w:szCs w:val="20"/>
              </w:rPr>
              <w:t>--</w:t>
            </w:r>
          </w:p>
        </w:tc>
        <w:tc>
          <w:tcPr>
            <w:tcW w:w="604" w:type="dxa"/>
            <w:tcBorders>
              <w:top w:val="single" w:sz="4" w:space="0" w:color="auto"/>
              <w:bottom w:val="single" w:sz="4" w:space="0" w:color="auto"/>
            </w:tcBorders>
            <w:vAlign w:val="center"/>
          </w:tcPr>
          <w:p w14:paraId="01696D9B" w14:textId="77777777" w:rsidR="00CC74A8" w:rsidRPr="0078373E" w:rsidRDefault="00CC74A8" w:rsidP="004601C9">
            <w:pPr>
              <w:jc w:val="center"/>
              <w:rPr>
                <w:rFonts w:cs="Times New Roman"/>
                <w:b/>
                <w:sz w:val="20"/>
                <w:szCs w:val="20"/>
              </w:rPr>
            </w:pPr>
            <w:r w:rsidRPr="0078373E">
              <w:rPr>
                <w:rFonts w:cs="Times New Roman"/>
                <w:b/>
                <w:sz w:val="20"/>
                <w:szCs w:val="20"/>
              </w:rPr>
              <w:t>--</w:t>
            </w:r>
          </w:p>
        </w:tc>
        <w:tc>
          <w:tcPr>
            <w:tcW w:w="604" w:type="dxa"/>
            <w:tcBorders>
              <w:top w:val="single" w:sz="4" w:space="0" w:color="auto"/>
              <w:bottom w:val="single" w:sz="4" w:space="0" w:color="auto"/>
            </w:tcBorders>
            <w:vAlign w:val="center"/>
          </w:tcPr>
          <w:p w14:paraId="449E96D2" w14:textId="77777777" w:rsidR="00CC74A8" w:rsidRPr="0078373E" w:rsidRDefault="00CC74A8" w:rsidP="004601C9">
            <w:pPr>
              <w:jc w:val="center"/>
              <w:rPr>
                <w:rFonts w:cs="Times New Roman"/>
                <w:b/>
                <w:sz w:val="20"/>
                <w:szCs w:val="20"/>
              </w:rPr>
            </w:pPr>
            <w:r w:rsidRPr="0078373E">
              <w:rPr>
                <w:rFonts w:cs="Times New Roman"/>
                <w:b/>
                <w:sz w:val="20"/>
                <w:szCs w:val="20"/>
              </w:rPr>
              <w:t>√</w:t>
            </w:r>
          </w:p>
        </w:tc>
        <w:tc>
          <w:tcPr>
            <w:tcW w:w="604" w:type="dxa"/>
            <w:tcBorders>
              <w:top w:val="single" w:sz="4" w:space="0" w:color="auto"/>
              <w:bottom w:val="single" w:sz="4" w:space="0" w:color="auto"/>
            </w:tcBorders>
            <w:vAlign w:val="center"/>
          </w:tcPr>
          <w:p w14:paraId="130CC305" w14:textId="77777777" w:rsidR="00CC74A8" w:rsidRPr="0078373E" w:rsidRDefault="00CC74A8" w:rsidP="004601C9">
            <w:pPr>
              <w:jc w:val="center"/>
              <w:rPr>
                <w:rFonts w:cs="Times New Roman"/>
                <w:b/>
                <w:sz w:val="20"/>
                <w:szCs w:val="20"/>
              </w:rPr>
            </w:pPr>
            <w:r w:rsidRPr="0078373E">
              <w:rPr>
                <w:rFonts w:cs="Times New Roman"/>
                <w:b/>
                <w:sz w:val="20"/>
                <w:szCs w:val="20"/>
              </w:rPr>
              <w:t>--</w:t>
            </w:r>
          </w:p>
        </w:tc>
        <w:tc>
          <w:tcPr>
            <w:tcW w:w="459" w:type="dxa"/>
            <w:tcBorders>
              <w:top w:val="single" w:sz="4" w:space="0" w:color="auto"/>
              <w:bottom w:val="single" w:sz="4" w:space="0" w:color="auto"/>
            </w:tcBorders>
            <w:vAlign w:val="center"/>
          </w:tcPr>
          <w:p w14:paraId="6BA255C1" w14:textId="77777777" w:rsidR="00CC74A8" w:rsidRPr="0078373E" w:rsidRDefault="00CC74A8" w:rsidP="004601C9">
            <w:pPr>
              <w:jc w:val="center"/>
              <w:rPr>
                <w:rFonts w:cs="Times New Roman"/>
                <w:b/>
                <w:sz w:val="20"/>
                <w:szCs w:val="20"/>
              </w:rPr>
            </w:pPr>
            <w:r w:rsidRPr="0078373E">
              <w:rPr>
                <w:rFonts w:cs="Times New Roman"/>
                <w:b/>
                <w:sz w:val="20"/>
                <w:szCs w:val="20"/>
              </w:rPr>
              <w:t>--</w:t>
            </w:r>
          </w:p>
        </w:tc>
      </w:tr>
      <w:tr w:rsidR="00494D9E" w:rsidRPr="00D40F8D" w14:paraId="4FEC0E4B" w14:textId="77777777" w:rsidTr="004601C9">
        <w:trPr>
          <w:trHeight w:val="360"/>
        </w:trPr>
        <w:tc>
          <w:tcPr>
            <w:tcW w:w="1729" w:type="dxa"/>
            <w:tcBorders>
              <w:top w:val="single" w:sz="4" w:space="0" w:color="auto"/>
              <w:bottom w:val="single" w:sz="4" w:space="0" w:color="auto"/>
            </w:tcBorders>
            <w:vAlign w:val="center"/>
          </w:tcPr>
          <w:p w14:paraId="76248A1B" w14:textId="024C7C2D" w:rsidR="00CC74A8" w:rsidRPr="0078373E" w:rsidRDefault="00CC74A8" w:rsidP="004601C9">
            <w:pPr>
              <w:jc w:val="left"/>
              <w:rPr>
                <w:rFonts w:cs="Times New Roman"/>
                <w:sz w:val="20"/>
                <w:szCs w:val="20"/>
              </w:rPr>
            </w:pPr>
            <w:r w:rsidRPr="0078373E">
              <w:rPr>
                <w:rFonts w:cs="Times New Roman"/>
                <w:sz w:val="20"/>
                <w:szCs w:val="20"/>
              </w:rPr>
              <w:fldChar w:fldCharType="begin" w:fldLock="1"/>
            </w:r>
            <w:r w:rsidR="00770C22">
              <w:rPr>
                <w:rFonts w:cs="Times New Roman"/>
                <w:sz w:val="20"/>
                <w:szCs w:val="20"/>
              </w:rPr>
              <w:instrText>ADDIN CSL_CITATION {"citationItems":[{"id":"ITEM-1","itemData":{"DOI":"10.1016/j.aap.2015.11.006","ISBN":"0001-4575","ISSN":"00014575","PMID":"26615494","abstract":"Many studies have proposed the use of a systemic approach to identify sites with promise (SWiPs). Proponents of the systemic approach to road safety management suggest that it is more effective in reducing crash frequency than the traditional hot spot approach. The systemic approach aims to identify SWiPs by crash type(s) and, therefore, effectively connects crashes to their corresponding countermeasures. Nevertheless, a major challenge to implementing this approach is the low precision of crash frequency models, which results from the systemic approach considering subsets (crash types) of total crashes leading to higher variability in modeling outcomes. This study responds to the need for more precise statistical output and proposes a multivariate spatial model for simultaneously modeling crash frequencies for different crash types. The multivariate spatial model not only induces a multivariate correlation structure between crash types at the same site, but also spatial correlation among adjacent sites to enhance model precision. This study utilized crash, traffic, and roadway inventory data on rural two-lane highways in Pennsylvania to construct and test the multivariate spatial model. Four models with and without the multivariate and spatial correlations were tested and compared. The results show that the model that considers both multivariate and spatial correlation has the best fit. Moreover, it was found that the multivariate correlation plays a stronger role than the spatial correlation when modeling crash frequencies in terms of different crash types.","author":[{"dropping-particle":"","family":"Jonathan","given":"Aguero Valverde","non-dropping-particle":"","parse-names":false,"suffix":""},{"dropping-particle":"","family":"Wu","given":"Kun Feng","non-dropping-particle":"","parse-names":false,"suffix":""},{"dropping-particle":"","family":"Donnell","given":"Eric T.","non-dropping-particle":"","parse-names":false,"suffix":""}],"container-title":"Accident Analysis and Prevention","id":"ITEM-1","issued":{"date-parts":[["2016"]]},"note":"From Duplicate 2 (A multivariate spatial crash frequency model for identifying sites with promise based on crash types - Jonathan, Aguero Valverde; Wu, Kun Feng; Donnell, Eric T.)\n\nFrom Duplicate 2 (A multivariate spatial crash frequency model for identifying sites with promise based on crash types - Jonathan, Aguero Valverde; Wu, Kun Feng; Donnell, Eric T.)\n\n(Ken)","page":"8-16","publisher":"Elsevier","title":"A multivariate spatial crash frequency model for identifying sites with promise based on crash types","type":"article-journal","volume":"87"},"uris":["http://www.mendeley.com/documents/?uuid=0ab35056-9be5-49a0-b6b3-8753fb02b30a"]}],"mendeley":{"formattedCitation":"(Jonathan et al., 2016)","plainTextFormattedCitation":"(Jonathan et al., 2016)","previouslyFormattedCitation":"(Jonathan et al., 2016)"},"properties":{"noteIndex":0},"schema":"https://github.com/citation-style-language/schema/raw/master/csl-citation.json"}</w:instrText>
            </w:r>
            <w:r w:rsidRPr="0078373E">
              <w:rPr>
                <w:rFonts w:cs="Times New Roman"/>
                <w:sz w:val="20"/>
                <w:szCs w:val="20"/>
              </w:rPr>
              <w:fldChar w:fldCharType="separate"/>
            </w:r>
            <w:r w:rsidR="00B81912" w:rsidRPr="00B81912">
              <w:rPr>
                <w:rFonts w:cs="Times New Roman"/>
                <w:noProof/>
                <w:sz w:val="20"/>
                <w:szCs w:val="20"/>
              </w:rPr>
              <w:t>(Jonathan et al., 2016)</w:t>
            </w:r>
            <w:r w:rsidRPr="0078373E">
              <w:rPr>
                <w:rFonts w:cs="Times New Roman"/>
                <w:sz w:val="20"/>
                <w:szCs w:val="20"/>
              </w:rPr>
              <w:fldChar w:fldCharType="end"/>
            </w:r>
          </w:p>
        </w:tc>
        <w:tc>
          <w:tcPr>
            <w:tcW w:w="1238" w:type="dxa"/>
            <w:tcBorders>
              <w:top w:val="single" w:sz="4" w:space="0" w:color="auto"/>
              <w:bottom w:val="single" w:sz="4" w:space="0" w:color="auto"/>
            </w:tcBorders>
            <w:vAlign w:val="center"/>
          </w:tcPr>
          <w:p w14:paraId="72D315F5" w14:textId="77777777" w:rsidR="00CC74A8" w:rsidRPr="0078373E" w:rsidRDefault="00CC74A8" w:rsidP="004601C9">
            <w:pPr>
              <w:jc w:val="center"/>
              <w:rPr>
                <w:rFonts w:cs="Times New Roman"/>
                <w:sz w:val="20"/>
                <w:szCs w:val="20"/>
                <w:lang w:val="en-US"/>
              </w:rPr>
            </w:pPr>
            <w:r w:rsidRPr="0078373E">
              <w:rPr>
                <w:rFonts w:cs="Times New Roman"/>
                <w:sz w:val="20"/>
                <w:szCs w:val="20"/>
                <w:lang w:val="en-US"/>
              </w:rPr>
              <w:t>Road segments</w:t>
            </w:r>
          </w:p>
          <w:p w14:paraId="26FE446D" w14:textId="77777777" w:rsidR="00CC74A8" w:rsidRPr="0078373E" w:rsidRDefault="00CC74A8" w:rsidP="004601C9">
            <w:pPr>
              <w:jc w:val="center"/>
              <w:rPr>
                <w:rFonts w:cs="Times New Roman"/>
                <w:sz w:val="20"/>
                <w:szCs w:val="20"/>
                <w:lang w:val="en-US"/>
              </w:rPr>
            </w:pPr>
            <w:r w:rsidRPr="0078373E">
              <w:rPr>
                <w:rFonts w:cs="Times New Roman"/>
                <w:sz w:val="20"/>
                <w:szCs w:val="20"/>
                <w:lang w:val="en-US"/>
              </w:rPr>
              <w:t>(Micro)</w:t>
            </w:r>
          </w:p>
        </w:tc>
        <w:tc>
          <w:tcPr>
            <w:tcW w:w="1416" w:type="dxa"/>
            <w:tcBorders>
              <w:top w:val="single" w:sz="4" w:space="0" w:color="auto"/>
              <w:bottom w:val="single" w:sz="4" w:space="0" w:color="auto"/>
            </w:tcBorders>
            <w:vAlign w:val="center"/>
          </w:tcPr>
          <w:p w14:paraId="0393DD26" w14:textId="77777777" w:rsidR="00CC74A8" w:rsidRPr="0078373E" w:rsidRDefault="00CC74A8" w:rsidP="004601C9">
            <w:pPr>
              <w:jc w:val="center"/>
              <w:rPr>
                <w:rFonts w:cs="Times New Roman"/>
                <w:sz w:val="20"/>
                <w:szCs w:val="20"/>
                <w:lang w:val="en-US"/>
              </w:rPr>
            </w:pPr>
            <w:r w:rsidRPr="0078373E">
              <w:rPr>
                <w:rFonts w:cs="Times New Roman"/>
                <w:sz w:val="20"/>
                <w:szCs w:val="20"/>
                <w:lang w:val="en-US"/>
              </w:rPr>
              <w:t>County</w:t>
            </w:r>
          </w:p>
          <w:p w14:paraId="5A979C39" w14:textId="77777777" w:rsidR="00CC74A8" w:rsidRPr="0078373E" w:rsidRDefault="00CC74A8" w:rsidP="004601C9">
            <w:pPr>
              <w:jc w:val="center"/>
              <w:rPr>
                <w:rFonts w:cs="Times New Roman"/>
                <w:sz w:val="20"/>
                <w:szCs w:val="20"/>
                <w:lang w:val="en-US"/>
              </w:rPr>
            </w:pPr>
            <w:r w:rsidRPr="0078373E">
              <w:rPr>
                <w:rFonts w:cs="Times New Roman"/>
                <w:sz w:val="20"/>
                <w:szCs w:val="20"/>
                <w:lang w:val="en-US"/>
              </w:rPr>
              <w:t>(Pennsylvania)</w:t>
            </w:r>
          </w:p>
        </w:tc>
        <w:tc>
          <w:tcPr>
            <w:tcW w:w="1089" w:type="dxa"/>
            <w:tcBorders>
              <w:top w:val="single" w:sz="4" w:space="0" w:color="auto"/>
              <w:bottom w:val="single" w:sz="4" w:space="0" w:color="auto"/>
            </w:tcBorders>
            <w:vAlign w:val="center"/>
          </w:tcPr>
          <w:p w14:paraId="05511100" w14:textId="77777777" w:rsidR="00CC74A8" w:rsidRDefault="00CC74A8" w:rsidP="004601C9">
            <w:pPr>
              <w:jc w:val="center"/>
              <w:rPr>
                <w:rFonts w:cs="Times New Roman"/>
                <w:sz w:val="20"/>
                <w:szCs w:val="20"/>
              </w:rPr>
            </w:pPr>
            <w:r w:rsidRPr="0078373E">
              <w:rPr>
                <w:rFonts w:cs="Times New Roman"/>
                <w:sz w:val="20"/>
                <w:szCs w:val="20"/>
              </w:rPr>
              <w:t xml:space="preserve">Any </w:t>
            </w:r>
          </w:p>
          <w:p w14:paraId="1205DBC2" w14:textId="77777777" w:rsidR="00CC74A8" w:rsidRPr="0078373E" w:rsidRDefault="00CC74A8" w:rsidP="004601C9">
            <w:pPr>
              <w:jc w:val="center"/>
              <w:rPr>
                <w:rFonts w:cs="Times New Roman"/>
                <w:sz w:val="20"/>
                <w:szCs w:val="20"/>
              </w:rPr>
            </w:pPr>
            <w:r w:rsidRPr="0078373E">
              <w:rPr>
                <w:rFonts w:cs="Times New Roman"/>
                <w:sz w:val="20"/>
                <w:szCs w:val="20"/>
              </w:rPr>
              <w:t>Crash</w:t>
            </w:r>
          </w:p>
        </w:tc>
        <w:tc>
          <w:tcPr>
            <w:tcW w:w="2061" w:type="dxa"/>
            <w:tcBorders>
              <w:top w:val="single" w:sz="4" w:space="0" w:color="auto"/>
              <w:bottom w:val="single" w:sz="4" w:space="0" w:color="auto"/>
            </w:tcBorders>
            <w:vAlign w:val="center"/>
          </w:tcPr>
          <w:p w14:paraId="05CC6225" w14:textId="77777777" w:rsidR="00CC74A8" w:rsidRPr="0078373E" w:rsidRDefault="00CC74A8" w:rsidP="004601C9">
            <w:pPr>
              <w:jc w:val="left"/>
              <w:rPr>
                <w:rFonts w:cs="Times New Roman"/>
                <w:sz w:val="20"/>
                <w:szCs w:val="20"/>
              </w:rPr>
            </w:pPr>
            <w:r w:rsidRPr="0078373E">
              <w:rPr>
                <w:rFonts w:cs="Times New Roman"/>
                <w:sz w:val="20"/>
                <w:szCs w:val="20"/>
              </w:rPr>
              <w:t>4 (same direction, opposite direction, angular, fixed object)</w:t>
            </w:r>
          </w:p>
        </w:tc>
        <w:tc>
          <w:tcPr>
            <w:tcW w:w="1998" w:type="dxa"/>
            <w:tcBorders>
              <w:top w:val="single" w:sz="4" w:space="0" w:color="auto"/>
              <w:bottom w:val="single" w:sz="4" w:space="0" w:color="auto"/>
            </w:tcBorders>
            <w:vAlign w:val="center"/>
          </w:tcPr>
          <w:p w14:paraId="0CDDCF8E" w14:textId="77777777" w:rsidR="00CC74A8" w:rsidRPr="0078373E" w:rsidRDefault="00CC74A8" w:rsidP="004601C9">
            <w:pPr>
              <w:jc w:val="left"/>
              <w:rPr>
                <w:rFonts w:cs="Times New Roman"/>
                <w:sz w:val="20"/>
                <w:szCs w:val="20"/>
                <w:lang w:val="en-US"/>
              </w:rPr>
            </w:pPr>
            <w:r w:rsidRPr="0078373E">
              <w:rPr>
                <w:rFonts w:cs="Times New Roman"/>
                <w:sz w:val="20"/>
                <w:szCs w:val="20"/>
                <w:lang w:val="en-US"/>
              </w:rPr>
              <w:t>Multivariate Poisson-lognormal spatial model</w:t>
            </w:r>
          </w:p>
        </w:tc>
        <w:tc>
          <w:tcPr>
            <w:tcW w:w="652" w:type="dxa"/>
            <w:tcBorders>
              <w:top w:val="single" w:sz="4" w:space="0" w:color="auto"/>
              <w:bottom w:val="single" w:sz="4" w:space="0" w:color="auto"/>
            </w:tcBorders>
            <w:vAlign w:val="center"/>
          </w:tcPr>
          <w:p w14:paraId="34703136" w14:textId="77777777" w:rsidR="00CC74A8" w:rsidRPr="0078373E" w:rsidRDefault="00CC74A8" w:rsidP="004601C9">
            <w:pPr>
              <w:jc w:val="center"/>
              <w:rPr>
                <w:rFonts w:cs="Times New Roman"/>
                <w:b/>
                <w:sz w:val="20"/>
                <w:szCs w:val="20"/>
              </w:rPr>
            </w:pPr>
            <w:r w:rsidRPr="0078373E">
              <w:rPr>
                <w:rFonts w:cs="Times New Roman"/>
                <w:b/>
                <w:sz w:val="20"/>
                <w:szCs w:val="20"/>
              </w:rPr>
              <w:t>√</w:t>
            </w:r>
          </w:p>
        </w:tc>
        <w:tc>
          <w:tcPr>
            <w:tcW w:w="459" w:type="dxa"/>
            <w:tcBorders>
              <w:top w:val="single" w:sz="4" w:space="0" w:color="auto"/>
              <w:bottom w:val="single" w:sz="4" w:space="0" w:color="auto"/>
            </w:tcBorders>
            <w:vAlign w:val="center"/>
          </w:tcPr>
          <w:p w14:paraId="4F1CA80D" w14:textId="77777777" w:rsidR="00CC74A8" w:rsidRPr="0078373E" w:rsidRDefault="00CC74A8" w:rsidP="004601C9">
            <w:pPr>
              <w:jc w:val="center"/>
              <w:rPr>
                <w:rFonts w:cs="Times New Roman"/>
                <w:b/>
                <w:sz w:val="20"/>
                <w:szCs w:val="20"/>
              </w:rPr>
            </w:pPr>
            <w:r w:rsidRPr="0078373E">
              <w:rPr>
                <w:rFonts w:cs="Times New Roman"/>
                <w:b/>
                <w:sz w:val="20"/>
                <w:szCs w:val="20"/>
              </w:rPr>
              <w:t>--</w:t>
            </w:r>
          </w:p>
        </w:tc>
        <w:tc>
          <w:tcPr>
            <w:tcW w:w="604" w:type="dxa"/>
            <w:tcBorders>
              <w:top w:val="single" w:sz="4" w:space="0" w:color="auto"/>
              <w:bottom w:val="single" w:sz="4" w:space="0" w:color="auto"/>
            </w:tcBorders>
            <w:vAlign w:val="center"/>
          </w:tcPr>
          <w:p w14:paraId="1967E6D9" w14:textId="77777777" w:rsidR="00CC74A8" w:rsidRPr="0078373E" w:rsidRDefault="00CC74A8" w:rsidP="004601C9">
            <w:pPr>
              <w:jc w:val="center"/>
              <w:rPr>
                <w:rFonts w:cs="Times New Roman"/>
                <w:b/>
                <w:sz w:val="20"/>
                <w:szCs w:val="20"/>
              </w:rPr>
            </w:pPr>
            <w:r w:rsidRPr="0078373E">
              <w:rPr>
                <w:rFonts w:cs="Times New Roman"/>
                <w:b/>
                <w:sz w:val="20"/>
                <w:szCs w:val="20"/>
              </w:rPr>
              <w:t>--</w:t>
            </w:r>
          </w:p>
        </w:tc>
        <w:tc>
          <w:tcPr>
            <w:tcW w:w="604" w:type="dxa"/>
            <w:tcBorders>
              <w:top w:val="single" w:sz="4" w:space="0" w:color="auto"/>
              <w:bottom w:val="single" w:sz="4" w:space="0" w:color="auto"/>
            </w:tcBorders>
            <w:vAlign w:val="center"/>
          </w:tcPr>
          <w:p w14:paraId="420FCA6E" w14:textId="77777777" w:rsidR="00CC74A8" w:rsidRPr="0078373E" w:rsidRDefault="00CC74A8" w:rsidP="004601C9">
            <w:pPr>
              <w:jc w:val="center"/>
              <w:rPr>
                <w:rFonts w:cs="Times New Roman"/>
                <w:b/>
                <w:sz w:val="20"/>
                <w:szCs w:val="20"/>
              </w:rPr>
            </w:pPr>
            <w:r w:rsidRPr="0078373E">
              <w:rPr>
                <w:rFonts w:cs="Times New Roman"/>
                <w:b/>
                <w:sz w:val="20"/>
                <w:szCs w:val="20"/>
              </w:rPr>
              <w:t>√</w:t>
            </w:r>
          </w:p>
        </w:tc>
        <w:tc>
          <w:tcPr>
            <w:tcW w:w="604" w:type="dxa"/>
            <w:tcBorders>
              <w:top w:val="single" w:sz="4" w:space="0" w:color="auto"/>
              <w:bottom w:val="single" w:sz="4" w:space="0" w:color="auto"/>
            </w:tcBorders>
            <w:vAlign w:val="center"/>
          </w:tcPr>
          <w:p w14:paraId="72D5AF41" w14:textId="77777777" w:rsidR="00CC74A8" w:rsidRPr="0078373E" w:rsidRDefault="00CC74A8" w:rsidP="004601C9">
            <w:pPr>
              <w:jc w:val="center"/>
              <w:rPr>
                <w:rFonts w:cs="Times New Roman"/>
                <w:b/>
                <w:sz w:val="20"/>
                <w:szCs w:val="20"/>
              </w:rPr>
            </w:pPr>
            <w:r w:rsidRPr="0078373E">
              <w:rPr>
                <w:rFonts w:cs="Times New Roman"/>
                <w:b/>
                <w:sz w:val="20"/>
                <w:szCs w:val="20"/>
              </w:rPr>
              <w:t>--</w:t>
            </w:r>
          </w:p>
        </w:tc>
        <w:tc>
          <w:tcPr>
            <w:tcW w:w="459" w:type="dxa"/>
            <w:tcBorders>
              <w:top w:val="single" w:sz="4" w:space="0" w:color="auto"/>
              <w:bottom w:val="single" w:sz="4" w:space="0" w:color="auto"/>
            </w:tcBorders>
            <w:vAlign w:val="center"/>
          </w:tcPr>
          <w:p w14:paraId="0AB153E4" w14:textId="77777777" w:rsidR="00CC74A8" w:rsidRPr="0078373E" w:rsidRDefault="00CC74A8" w:rsidP="004601C9">
            <w:pPr>
              <w:jc w:val="center"/>
              <w:rPr>
                <w:rFonts w:cs="Times New Roman"/>
                <w:b/>
                <w:sz w:val="20"/>
                <w:szCs w:val="20"/>
              </w:rPr>
            </w:pPr>
            <w:r w:rsidRPr="0078373E">
              <w:rPr>
                <w:rFonts w:cs="Times New Roman"/>
                <w:b/>
                <w:sz w:val="20"/>
                <w:szCs w:val="20"/>
              </w:rPr>
              <w:t>--</w:t>
            </w:r>
          </w:p>
        </w:tc>
      </w:tr>
      <w:tr w:rsidR="00494D9E" w:rsidRPr="00D40F8D" w14:paraId="6FE91967" w14:textId="77777777" w:rsidTr="004601C9">
        <w:trPr>
          <w:trHeight w:val="360"/>
        </w:trPr>
        <w:tc>
          <w:tcPr>
            <w:tcW w:w="1729" w:type="dxa"/>
            <w:tcBorders>
              <w:top w:val="single" w:sz="4" w:space="0" w:color="auto"/>
              <w:bottom w:val="single" w:sz="4" w:space="0" w:color="auto"/>
            </w:tcBorders>
            <w:vAlign w:val="center"/>
          </w:tcPr>
          <w:p w14:paraId="2DED437D" w14:textId="173A4B1C" w:rsidR="00CC74A8" w:rsidRPr="0078373E" w:rsidRDefault="00CC74A8" w:rsidP="004601C9">
            <w:pPr>
              <w:jc w:val="left"/>
              <w:rPr>
                <w:rFonts w:cs="Times New Roman"/>
                <w:noProof/>
                <w:sz w:val="20"/>
                <w:szCs w:val="20"/>
              </w:rPr>
            </w:pPr>
            <w:r w:rsidRPr="0078373E">
              <w:rPr>
                <w:rFonts w:cs="Times New Roman"/>
                <w:noProof/>
                <w:sz w:val="20"/>
                <w:szCs w:val="20"/>
              </w:rPr>
              <w:fldChar w:fldCharType="begin" w:fldLock="1"/>
            </w:r>
            <w:r w:rsidR="00B81912">
              <w:rPr>
                <w:rFonts w:cs="Times New Roman"/>
                <w:noProof/>
                <w:sz w:val="20"/>
                <w:szCs w:val="20"/>
              </w:rPr>
              <w:instrText>ADDIN CSL_CITATION {"citationItems":[{"id":"ITEM-1","itemData":{"DOI":"10.1016/j.amar.2016.02.002","ISSN":"22136657","abstract":"This paper investigates the multivariate Poisson Lognormal modeling of counts for different types of crashes. This multivariate model can account for the overdispersion as well as positive and/or negative association between counts. Approximate Bayesian inference via the Integrated Nested Laplace Approximations significantly decreases computational time which makes it attractive for researchers. The models are developed for single vehicle, same direction and opposite direction crash types using three years (2009-2011) of crash data on Connecticut divided limited access highway segments. Annual average daily traffic, segment length, and road specific covariates (median type, shoulder width, area type, and on-ramp indicator) are used as predictor variables. The results from the multivariate Poisson Lognormal model suggest that an increase in the annual average daily traffic, segment length, and shoulder width together with urban area type and presence of an on-ramp are associated with in an increase in crashes. The median type covariate has a mixed effect for different median types on different type of crashes. The multivariate Poisson Lognormal model results are compared with the results obtained from two univariate regression models, univariate Poisson Lognormal and univariate negative binomial, with respect to model implications and precision on analysis of crash counts. The results show that the coefficient estimates of predictors have almost similar effects across all three crash type count models; however, standard errors in the multivariate Poisson Lognormal model are smaller than standard errors from other two univariate models in most cases. Results on posterior means for the correlation coefficients between crash types indicate that there are significant correlations exist between the crash count vectors, which indicate that ignoring such a correlation could possibly lead to incorrect variance estimation for the parameters. Results on predicted mean absolute error (PMAE) indicate that Bayesian multivariate Poisson Lognormal model provides up to 33% less prediction error compared to the univariate negative binomial model, although there are no significant difference of PMAE values between multivariate and univariate Poisson Lognormal models results. The analysis results demonstrated that the Bayesian multivariate Poisson Lognormal model provides correct estimates for parameters in predicting crash counts by accounting for correlations in the mult…","author":[{"dropping-particle":"","family":"Serhiyenko","given":"Volodymyr","non-dropping-particle":"","parse-names":false,"suffix":""},{"dropping-particle":"","family":"Mamun","given":"Sha A.","non-dropping-particle":"","parse-names":false,"suffix":""},{"dropping-particle":"","family":"Ivan","given":"John N.","non-dropping-particle":"","parse-names":false,"suffix":""},{"dropping-particle":"","family":"Ravishanker","given":"Nalini","non-dropping-particle":"","parse-names":false,"suffix":""}],"container-title":"Analytic Methods in Accident Research","id":"ITEM-1","issued":{"date-parts":[["2016"]]},"page":"44-53","publisher":"Elsevier","title":"Fast Bayesian inference for modeling multivariate crash counts","type":"article-journal","volume":"9"},"uris":["http://www.mendeley.com/documents/?uuid=38267262-4c01-4f52-a880-ca895f616ab1"]}],"mendeley":{"formattedCitation":"(Serhiyenko et al., 2016)","plainTextFormattedCitation":"(Serhiyenko et al., 2016)","previouslyFormattedCitation":"(Serhiyenko et al., 2016)"},"properties":{"noteIndex":0},"schema":"https://github.com/citation-style-language/schema/raw/master/csl-citation.json"}</w:instrText>
            </w:r>
            <w:r w:rsidRPr="0078373E">
              <w:rPr>
                <w:rFonts w:cs="Times New Roman"/>
                <w:noProof/>
                <w:sz w:val="20"/>
                <w:szCs w:val="20"/>
              </w:rPr>
              <w:fldChar w:fldCharType="separate"/>
            </w:r>
            <w:r w:rsidRPr="00097239">
              <w:rPr>
                <w:rFonts w:cs="Times New Roman"/>
                <w:noProof/>
                <w:sz w:val="20"/>
                <w:szCs w:val="20"/>
              </w:rPr>
              <w:t>(Serhiyenko et al., 2016)</w:t>
            </w:r>
            <w:r w:rsidRPr="0078373E">
              <w:rPr>
                <w:rFonts w:cs="Times New Roman"/>
                <w:noProof/>
                <w:sz w:val="20"/>
                <w:szCs w:val="20"/>
              </w:rPr>
              <w:fldChar w:fldCharType="end"/>
            </w:r>
          </w:p>
        </w:tc>
        <w:tc>
          <w:tcPr>
            <w:tcW w:w="1238" w:type="dxa"/>
            <w:tcBorders>
              <w:top w:val="single" w:sz="4" w:space="0" w:color="auto"/>
              <w:bottom w:val="single" w:sz="4" w:space="0" w:color="auto"/>
            </w:tcBorders>
            <w:vAlign w:val="center"/>
          </w:tcPr>
          <w:p w14:paraId="0242F000" w14:textId="3F267C38" w:rsidR="00CC74A8" w:rsidRPr="0078373E" w:rsidRDefault="008B2020" w:rsidP="004601C9">
            <w:pPr>
              <w:jc w:val="center"/>
              <w:rPr>
                <w:rFonts w:cs="Times New Roman"/>
                <w:sz w:val="20"/>
                <w:szCs w:val="20"/>
                <w:lang w:val="en-US"/>
              </w:rPr>
            </w:pPr>
            <w:r w:rsidRPr="0078373E">
              <w:rPr>
                <w:rFonts w:cs="Times New Roman"/>
                <w:sz w:val="20"/>
                <w:szCs w:val="20"/>
                <w:lang w:val="en-US"/>
              </w:rPr>
              <w:t>Highway segments (Micro)</w:t>
            </w:r>
          </w:p>
        </w:tc>
        <w:tc>
          <w:tcPr>
            <w:tcW w:w="1416" w:type="dxa"/>
            <w:tcBorders>
              <w:top w:val="single" w:sz="4" w:space="0" w:color="auto"/>
              <w:bottom w:val="single" w:sz="4" w:space="0" w:color="auto"/>
            </w:tcBorders>
            <w:vAlign w:val="center"/>
          </w:tcPr>
          <w:p w14:paraId="5CFDDE74" w14:textId="77777777" w:rsidR="00CC74A8" w:rsidRPr="0078373E" w:rsidRDefault="00CC74A8" w:rsidP="004601C9">
            <w:pPr>
              <w:jc w:val="center"/>
              <w:rPr>
                <w:rFonts w:cs="Times New Roman"/>
                <w:sz w:val="20"/>
                <w:szCs w:val="20"/>
                <w:lang w:val="en-US"/>
              </w:rPr>
            </w:pPr>
            <w:r w:rsidRPr="0078373E">
              <w:rPr>
                <w:rFonts w:cs="Times New Roman"/>
                <w:sz w:val="20"/>
                <w:szCs w:val="20"/>
              </w:rPr>
              <w:t>State (Connecticut)</w:t>
            </w:r>
          </w:p>
        </w:tc>
        <w:tc>
          <w:tcPr>
            <w:tcW w:w="1089" w:type="dxa"/>
            <w:tcBorders>
              <w:top w:val="single" w:sz="4" w:space="0" w:color="auto"/>
              <w:bottom w:val="single" w:sz="4" w:space="0" w:color="auto"/>
            </w:tcBorders>
            <w:vAlign w:val="center"/>
          </w:tcPr>
          <w:p w14:paraId="124BF9AA" w14:textId="77777777" w:rsidR="00CC74A8" w:rsidRPr="0078373E" w:rsidRDefault="00CC74A8" w:rsidP="004601C9">
            <w:pPr>
              <w:jc w:val="center"/>
              <w:rPr>
                <w:rFonts w:cs="Times New Roman"/>
                <w:sz w:val="20"/>
                <w:szCs w:val="20"/>
              </w:rPr>
            </w:pPr>
            <w:r w:rsidRPr="0078373E">
              <w:rPr>
                <w:rFonts w:cs="Times New Roman"/>
                <w:sz w:val="20"/>
                <w:szCs w:val="20"/>
              </w:rPr>
              <w:t>Motorized crash</w:t>
            </w:r>
          </w:p>
        </w:tc>
        <w:tc>
          <w:tcPr>
            <w:tcW w:w="2061" w:type="dxa"/>
            <w:tcBorders>
              <w:top w:val="single" w:sz="4" w:space="0" w:color="auto"/>
              <w:bottom w:val="single" w:sz="4" w:space="0" w:color="auto"/>
            </w:tcBorders>
            <w:vAlign w:val="center"/>
          </w:tcPr>
          <w:p w14:paraId="07B599FF" w14:textId="77777777" w:rsidR="00CC74A8" w:rsidRPr="0078373E" w:rsidRDefault="00CC74A8" w:rsidP="004601C9">
            <w:pPr>
              <w:jc w:val="left"/>
              <w:rPr>
                <w:rFonts w:cs="Times New Roman"/>
                <w:sz w:val="20"/>
                <w:szCs w:val="20"/>
              </w:rPr>
            </w:pPr>
            <w:r w:rsidRPr="0078373E">
              <w:rPr>
                <w:rFonts w:cs="Times New Roman"/>
                <w:sz w:val="20"/>
                <w:szCs w:val="20"/>
              </w:rPr>
              <w:t>3 (same direction, opposite direction, single vehicle crash)</w:t>
            </w:r>
          </w:p>
        </w:tc>
        <w:tc>
          <w:tcPr>
            <w:tcW w:w="1998" w:type="dxa"/>
            <w:tcBorders>
              <w:top w:val="single" w:sz="4" w:space="0" w:color="auto"/>
              <w:bottom w:val="single" w:sz="4" w:space="0" w:color="auto"/>
            </w:tcBorders>
            <w:vAlign w:val="center"/>
          </w:tcPr>
          <w:p w14:paraId="5CE177B1" w14:textId="77777777" w:rsidR="00CC74A8" w:rsidRPr="0078373E" w:rsidRDefault="00CC74A8" w:rsidP="004601C9">
            <w:pPr>
              <w:jc w:val="left"/>
              <w:rPr>
                <w:rFonts w:cs="Times New Roman"/>
                <w:sz w:val="20"/>
                <w:szCs w:val="20"/>
                <w:lang w:val="en-US"/>
              </w:rPr>
            </w:pPr>
            <w:r w:rsidRPr="0078373E">
              <w:rPr>
                <w:rFonts w:cs="Times New Roman"/>
                <w:sz w:val="20"/>
                <w:szCs w:val="20"/>
                <w:lang w:val="en-US"/>
              </w:rPr>
              <w:t>Multivariate Poisson-lognormal model</w:t>
            </w:r>
          </w:p>
        </w:tc>
        <w:tc>
          <w:tcPr>
            <w:tcW w:w="652" w:type="dxa"/>
            <w:tcBorders>
              <w:top w:val="single" w:sz="4" w:space="0" w:color="auto"/>
              <w:bottom w:val="single" w:sz="4" w:space="0" w:color="auto"/>
            </w:tcBorders>
            <w:vAlign w:val="center"/>
          </w:tcPr>
          <w:p w14:paraId="50B9BA02" w14:textId="77777777" w:rsidR="00CC74A8" w:rsidRPr="0078373E" w:rsidRDefault="00CC74A8" w:rsidP="004601C9">
            <w:pPr>
              <w:jc w:val="center"/>
              <w:rPr>
                <w:rFonts w:cs="Times New Roman"/>
                <w:b/>
                <w:sz w:val="20"/>
                <w:szCs w:val="20"/>
              </w:rPr>
            </w:pPr>
            <w:r w:rsidRPr="0078373E">
              <w:rPr>
                <w:rFonts w:cs="Times New Roman"/>
                <w:b/>
                <w:sz w:val="20"/>
                <w:szCs w:val="20"/>
              </w:rPr>
              <w:t>√</w:t>
            </w:r>
          </w:p>
        </w:tc>
        <w:tc>
          <w:tcPr>
            <w:tcW w:w="459" w:type="dxa"/>
            <w:tcBorders>
              <w:top w:val="single" w:sz="4" w:space="0" w:color="auto"/>
              <w:bottom w:val="single" w:sz="4" w:space="0" w:color="auto"/>
            </w:tcBorders>
            <w:vAlign w:val="center"/>
          </w:tcPr>
          <w:p w14:paraId="0021D079" w14:textId="77777777" w:rsidR="00CC74A8" w:rsidRPr="0078373E" w:rsidRDefault="00CC74A8" w:rsidP="004601C9">
            <w:pPr>
              <w:jc w:val="center"/>
              <w:rPr>
                <w:rFonts w:cs="Times New Roman"/>
                <w:b/>
                <w:sz w:val="20"/>
                <w:szCs w:val="20"/>
              </w:rPr>
            </w:pPr>
            <w:r w:rsidRPr="0078373E">
              <w:rPr>
                <w:rFonts w:cs="Times New Roman"/>
                <w:b/>
                <w:sz w:val="20"/>
                <w:szCs w:val="20"/>
              </w:rPr>
              <w:t>√</w:t>
            </w:r>
          </w:p>
        </w:tc>
        <w:tc>
          <w:tcPr>
            <w:tcW w:w="604" w:type="dxa"/>
            <w:tcBorders>
              <w:top w:val="single" w:sz="4" w:space="0" w:color="auto"/>
              <w:bottom w:val="single" w:sz="4" w:space="0" w:color="auto"/>
            </w:tcBorders>
            <w:vAlign w:val="center"/>
          </w:tcPr>
          <w:p w14:paraId="2C475B18" w14:textId="77777777" w:rsidR="00CC74A8" w:rsidRPr="0078373E" w:rsidRDefault="00CC74A8" w:rsidP="004601C9">
            <w:pPr>
              <w:jc w:val="center"/>
              <w:rPr>
                <w:rFonts w:cs="Times New Roman"/>
                <w:b/>
                <w:sz w:val="20"/>
                <w:szCs w:val="20"/>
              </w:rPr>
            </w:pPr>
            <w:r w:rsidRPr="0078373E">
              <w:rPr>
                <w:rFonts w:cs="Times New Roman"/>
                <w:b/>
                <w:sz w:val="20"/>
                <w:szCs w:val="20"/>
              </w:rPr>
              <w:t>--</w:t>
            </w:r>
          </w:p>
        </w:tc>
        <w:tc>
          <w:tcPr>
            <w:tcW w:w="604" w:type="dxa"/>
            <w:tcBorders>
              <w:top w:val="single" w:sz="4" w:space="0" w:color="auto"/>
              <w:bottom w:val="single" w:sz="4" w:space="0" w:color="auto"/>
            </w:tcBorders>
            <w:vAlign w:val="center"/>
          </w:tcPr>
          <w:p w14:paraId="487E76D8" w14:textId="77777777" w:rsidR="00CC74A8" w:rsidRPr="0078373E" w:rsidRDefault="00CC74A8" w:rsidP="004601C9">
            <w:pPr>
              <w:jc w:val="center"/>
              <w:rPr>
                <w:rFonts w:cs="Times New Roman"/>
                <w:b/>
                <w:sz w:val="20"/>
                <w:szCs w:val="20"/>
              </w:rPr>
            </w:pPr>
            <w:r w:rsidRPr="0078373E">
              <w:rPr>
                <w:rFonts w:cs="Times New Roman"/>
                <w:b/>
                <w:sz w:val="20"/>
                <w:szCs w:val="20"/>
              </w:rPr>
              <w:t>√</w:t>
            </w:r>
          </w:p>
        </w:tc>
        <w:tc>
          <w:tcPr>
            <w:tcW w:w="604" w:type="dxa"/>
            <w:tcBorders>
              <w:top w:val="single" w:sz="4" w:space="0" w:color="auto"/>
              <w:bottom w:val="single" w:sz="4" w:space="0" w:color="auto"/>
            </w:tcBorders>
            <w:vAlign w:val="center"/>
          </w:tcPr>
          <w:p w14:paraId="36A21D80" w14:textId="77777777" w:rsidR="00CC74A8" w:rsidRPr="0078373E" w:rsidRDefault="00CC74A8" w:rsidP="004601C9">
            <w:pPr>
              <w:jc w:val="center"/>
              <w:rPr>
                <w:rFonts w:cs="Times New Roman"/>
                <w:b/>
                <w:sz w:val="20"/>
                <w:szCs w:val="20"/>
              </w:rPr>
            </w:pPr>
            <w:r w:rsidRPr="0078373E">
              <w:rPr>
                <w:rFonts w:cs="Times New Roman"/>
                <w:b/>
                <w:sz w:val="20"/>
                <w:szCs w:val="20"/>
              </w:rPr>
              <w:t>--</w:t>
            </w:r>
          </w:p>
        </w:tc>
        <w:tc>
          <w:tcPr>
            <w:tcW w:w="459" w:type="dxa"/>
            <w:tcBorders>
              <w:top w:val="single" w:sz="4" w:space="0" w:color="auto"/>
              <w:bottom w:val="single" w:sz="4" w:space="0" w:color="auto"/>
            </w:tcBorders>
            <w:vAlign w:val="center"/>
          </w:tcPr>
          <w:p w14:paraId="045299F6" w14:textId="77777777" w:rsidR="00CC74A8" w:rsidRPr="0078373E" w:rsidRDefault="00CC74A8" w:rsidP="004601C9">
            <w:pPr>
              <w:jc w:val="center"/>
              <w:rPr>
                <w:rFonts w:cs="Times New Roman"/>
                <w:b/>
                <w:sz w:val="20"/>
                <w:szCs w:val="20"/>
              </w:rPr>
            </w:pPr>
            <w:r w:rsidRPr="0078373E">
              <w:rPr>
                <w:rFonts w:cs="Times New Roman"/>
                <w:b/>
                <w:sz w:val="20"/>
                <w:szCs w:val="20"/>
              </w:rPr>
              <w:t>--</w:t>
            </w:r>
          </w:p>
        </w:tc>
      </w:tr>
      <w:tr w:rsidR="00494D9E" w:rsidRPr="00D40F8D" w14:paraId="58B69800" w14:textId="77777777" w:rsidTr="004601C9">
        <w:trPr>
          <w:trHeight w:val="360"/>
        </w:trPr>
        <w:tc>
          <w:tcPr>
            <w:tcW w:w="1729" w:type="dxa"/>
            <w:tcBorders>
              <w:top w:val="single" w:sz="4" w:space="0" w:color="auto"/>
              <w:bottom w:val="single" w:sz="4" w:space="0" w:color="auto"/>
            </w:tcBorders>
            <w:vAlign w:val="center"/>
          </w:tcPr>
          <w:p w14:paraId="5C80769B" w14:textId="2912B2B6" w:rsidR="00CC74A8" w:rsidRPr="0078373E" w:rsidRDefault="00CC74A8" w:rsidP="004601C9">
            <w:pPr>
              <w:jc w:val="left"/>
              <w:rPr>
                <w:rFonts w:cs="Times New Roman"/>
                <w:sz w:val="20"/>
                <w:szCs w:val="20"/>
              </w:rPr>
            </w:pPr>
            <w:r w:rsidRPr="0078373E">
              <w:rPr>
                <w:rFonts w:cs="Times New Roman"/>
                <w:sz w:val="20"/>
                <w:szCs w:val="20"/>
              </w:rPr>
              <w:fldChar w:fldCharType="begin" w:fldLock="1"/>
            </w:r>
            <w:r w:rsidR="008323B7">
              <w:rPr>
                <w:rFonts w:cs="Times New Roman"/>
                <w:sz w:val="20"/>
                <w:szCs w:val="20"/>
              </w:rPr>
              <w:instrText>ADDIN CSL_CITATION {"citationItems":[{"id":"ITEM-1","itemData":{"DOI":"10.1016/j.aap.2016.11.022","ISSN":"00014575","PMID":"28043069","abstract":"Most of the studies are focused on the general crashes or total crash counts with considerably less research dedicated to different crash types. This study employs the Systemic approach for detection of hotspots and comprehensively cross-validates five multivariate models of crash type-based HSID methods which incorporate spatial and temporal random effects. It is anticipated that comparison of the crash estimation results of the five models would identify the impact of varied random effects on the HSID. The data over a ten year time period (2003–2012) were selected for analysis of a total 137 intersections in the City of Corona, California. The crash types collected in this study include: Rear-end, Head-on, Side-swipe, Broad-side, Hit object, and Others. Statistically significant correlations among crash outcomes for the heterogeneity error term were observed which clearly demonstrated their multivariate nature. Additionally, the spatial random effects revealed the correlations among neighboring intersections across crash types. Five cross-validation criteria which contains, Residual Sum of Squares, Kappa, Mean Absolute Deviation, Method Consistency Test, and Total Rank Difference, were applied to assess the performance of the five HSID methods at crash estimation. In terms of accumulated results which combined all crash types, the model with spatial random effects consistently outperformed the other competing models with a significant margin. However, the inclusion of spatial random effect in temporal models fell short of attaining the expected results. The overall observation from the model fitness and validation results failed to highlight any correlation among better model fitness and superior crash estimation.","author":[{"dropping-particle":"","family":"Cheng","given":"Wen","non-dropping-particle":"","parse-names":false,"suffix":""},{"dropping-particle":"","family":"Gill","given":"Gurdiljot Singh","non-dropping-particle":"","parse-names":false,"suffix":""},{"dropping-particle":"","family":"Dasu","given":"Ravi","non-dropping-particle":"","parse-names":false,"suffix":""},{"dropping-particle":"","family":"Xie","given":"Meiquan","non-dropping-particle":"","parse-names":false,"suffix":""},{"dropping-particle":"","family":"Jia","given":"Xudong","non-dropping-particle":"","parse-names":false,"suffix":""},{"dropping-particle":"","family":"Zhou","given":"Jiao","non-dropping-particle":"","parse-names":false,"suffix":""}],"container-title":"Accident Analysis and Prevention","id":"ITEM-1","issued":{"date-parts":[["2017"]]},"page":"330-341","publisher":"Elsevier","title":"Comparison of Multivariate Poisson lognormal spatial and temporal crash models to identify hot spots of intersections based on crash types","type":"article-journal","volume":"99"},"uris":["http://www.mendeley.com/documents/?uuid=afb5b0b8-af0d-4166-ad40-e42cc0ec59fc"]}],"mendeley":{"formattedCitation":"(Cheng et al., 2017)","plainTextFormattedCitation":"(Cheng et al., 2017)","previouslyFormattedCitation":"(Cheng et al., 2017)"},"properties":{"noteIndex":0},"schema":"https://github.com/citation-style-language/schema/raw/master/csl-citation.json"}</w:instrText>
            </w:r>
            <w:r w:rsidRPr="0078373E">
              <w:rPr>
                <w:rFonts w:cs="Times New Roman"/>
                <w:sz w:val="20"/>
                <w:szCs w:val="20"/>
              </w:rPr>
              <w:fldChar w:fldCharType="separate"/>
            </w:r>
            <w:r w:rsidRPr="00097239">
              <w:rPr>
                <w:rFonts w:cs="Times New Roman"/>
                <w:noProof/>
                <w:sz w:val="20"/>
                <w:szCs w:val="20"/>
              </w:rPr>
              <w:t>(Cheng et al., 2017)</w:t>
            </w:r>
            <w:r w:rsidRPr="0078373E">
              <w:rPr>
                <w:rFonts w:cs="Times New Roman"/>
                <w:sz w:val="20"/>
                <w:szCs w:val="20"/>
              </w:rPr>
              <w:fldChar w:fldCharType="end"/>
            </w:r>
          </w:p>
        </w:tc>
        <w:tc>
          <w:tcPr>
            <w:tcW w:w="1238" w:type="dxa"/>
            <w:tcBorders>
              <w:top w:val="single" w:sz="4" w:space="0" w:color="auto"/>
              <w:bottom w:val="single" w:sz="4" w:space="0" w:color="auto"/>
            </w:tcBorders>
            <w:vAlign w:val="center"/>
          </w:tcPr>
          <w:p w14:paraId="4753119E" w14:textId="77777777" w:rsidR="00CC74A8" w:rsidRPr="0078373E" w:rsidRDefault="00CC74A8" w:rsidP="004601C9">
            <w:pPr>
              <w:jc w:val="center"/>
              <w:rPr>
                <w:rFonts w:cs="Times New Roman"/>
                <w:sz w:val="20"/>
                <w:szCs w:val="20"/>
                <w:lang w:val="en-US"/>
              </w:rPr>
            </w:pPr>
            <w:r w:rsidRPr="0078373E">
              <w:rPr>
                <w:rFonts w:cs="Times New Roman"/>
                <w:sz w:val="20"/>
                <w:szCs w:val="20"/>
                <w:lang w:val="en-US"/>
              </w:rPr>
              <w:t>Intersections</w:t>
            </w:r>
          </w:p>
          <w:p w14:paraId="58D7B729" w14:textId="77777777" w:rsidR="00CC74A8" w:rsidRPr="0078373E" w:rsidRDefault="00CC74A8" w:rsidP="004601C9">
            <w:pPr>
              <w:jc w:val="center"/>
              <w:rPr>
                <w:rFonts w:cs="Times New Roman"/>
                <w:sz w:val="20"/>
                <w:szCs w:val="20"/>
                <w:lang w:val="en-US"/>
              </w:rPr>
            </w:pPr>
            <w:r w:rsidRPr="0078373E">
              <w:rPr>
                <w:rFonts w:cs="Times New Roman"/>
                <w:sz w:val="20"/>
                <w:szCs w:val="20"/>
                <w:lang w:val="en-US"/>
              </w:rPr>
              <w:t>(micro)</w:t>
            </w:r>
          </w:p>
        </w:tc>
        <w:tc>
          <w:tcPr>
            <w:tcW w:w="1416" w:type="dxa"/>
            <w:tcBorders>
              <w:top w:val="single" w:sz="4" w:space="0" w:color="auto"/>
              <w:bottom w:val="single" w:sz="4" w:space="0" w:color="auto"/>
            </w:tcBorders>
            <w:vAlign w:val="center"/>
          </w:tcPr>
          <w:p w14:paraId="669A74C9" w14:textId="77777777" w:rsidR="00CC74A8" w:rsidRPr="0078373E" w:rsidRDefault="00CC74A8" w:rsidP="004601C9">
            <w:pPr>
              <w:jc w:val="center"/>
              <w:rPr>
                <w:rFonts w:cs="Times New Roman"/>
                <w:sz w:val="20"/>
                <w:szCs w:val="20"/>
                <w:lang w:val="en-US"/>
              </w:rPr>
            </w:pPr>
            <w:r w:rsidRPr="0078373E">
              <w:rPr>
                <w:rFonts w:cs="Times New Roman"/>
                <w:sz w:val="20"/>
                <w:szCs w:val="20"/>
                <w:lang w:val="en-US"/>
              </w:rPr>
              <w:t>City</w:t>
            </w:r>
          </w:p>
          <w:p w14:paraId="4E7F3B81" w14:textId="77777777" w:rsidR="00CC74A8" w:rsidRPr="0078373E" w:rsidRDefault="00CC74A8" w:rsidP="004601C9">
            <w:pPr>
              <w:jc w:val="center"/>
              <w:rPr>
                <w:rFonts w:cs="Times New Roman"/>
                <w:sz w:val="20"/>
                <w:szCs w:val="20"/>
                <w:lang w:val="en-US"/>
              </w:rPr>
            </w:pPr>
            <w:r w:rsidRPr="0078373E">
              <w:rPr>
                <w:rFonts w:cs="Times New Roman"/>
                <w:sz w:val="20"/>
                <w:szCs w:val="20"/>
                <w:lang w:val="en-US"/>
              </w:rPr>
              <w:t>(California)</w:t>
            </w:r>
          </w:p>
        </w:tc>
        <w:tc>
          <w:tcPr>
            <w:tcW w:w="1089" w:type="dxa"/>
            <w:tcBorders>
              <w:top w:val="single" w:sz="4" w:space="0" w:color="auto"/>
              <w:bottom w:val="single" w:sz="4" w:space="0" w:color="auto"/>
            </w:tcBorders>
            <w:vAlign w:val="center"/>
          </w:tcPr>
          <w:p w14:paraId="021AA0B4" w14:textId="77777777" w:rsidR="00CC74A8" w:rsidRPr="0078373E" w:rsidRDefault="00CC74A8" w:rsidP="004601C9">
            <w:pPr>
              <w:jc w:val="center"/>
              <w:rPr>
                <w:rFonts w:cs="Times New Roman"/>
                <w:sz w:val="20"/>
                <w:szCs w:val="20"/>
              </w:rPr>
            </w:pPr>
            <w:r w:rsidRPr="0078373E">
              <w:rPr>
                <w:rFonts w:cs="Times New Roman"/>
                <w:sz w:val="20"/>
                <w:szCs w:val="20"/>
              </w:rPr>
              <w:t>Motorized crash</w:t>
            </w:r>
          </w:p>
        </w:tc>
        <w:tc>
          <w:tcPr>
            <w:tcW w:w="2061" w:type="dxa"/>
            <w:tcBorders>
              <w:top w:val="single" w:sz="4" w:space="0" w:color="auto"/>
              <w:bottom w:val="single" w:sz="4" w:space="0" w:color="auto"/>
            </w:tcBorders>
            <w:vAlign w:val="center"/>
          </w:tcPr>
          <w:p w14:paraId="5293CEE3" w14:textId="77777777" w:rsidR="00CC74A8" w:rsidRPr="0078373E" w:rsidRDefault="00CC74A8" w:rsidP="004601C9">
            <w:pPr>
              <w:jc w:val="left"/>
              <w:rPr>
                <w:rFonts w:cs="Times New Roman"/>
                <w:sz w:val="20"/>
                <w:szCs w:val="20"/>
              </w:rPr>
            </w:pPr>
            <w:r w:rsidRPr="0078373E">
              <w:rPr>
                <w:rFonts w:cs="Times New Roman"/>
                <w:sz w:val="20"/>
                <w:szCs w:val="20"/>
              </w:rPr>
              <w:t xml:space="preserve">6 (rear-end, head-on, sideswipe, broad side, </w:t>
            </w:r>
            <w:r w:rsidRPr="0078373E">
              <w:rPr>
                <w:rFonts w:cs="Times New Roman"/>
                <w:sz w:val="20"/>
                <w:szCs w:val="20"/>
              </w:rPr>
              <w:lastRenderedPageBreak/>
              <w:t>hit object crash, others)</w:t>
            </w:r>
          </w:p>
        </w:tc>
        <w:tc>
          <w:tcPr>
            <w:tcW w:w="1998" w:type="dxa"/>
            <w:tcBorders>
              <w:top w:val="single" w:sz="4" w:space="0" w:color="auto"/>
              <w:bottom w:val="single" w:sz="4" w:space="0" w:color="auto"/>
            </w:tcBorders>
            <w:vAlign w:val="center"/>
          </w:tcPr>
          <w:p w14:paraId="0B74CED6" w14:textId="77777777" w:rsidR="00CC74A8" w:rsidRPr="0078373E" w:rsidRDefault="00CC74A8" w:rsidP="004601C9">
            <w:pPr>
              <w:jc w:val="left"/>
              <w:rPr>
                <w:rFonts w:cs="Times New Roman"/>
                <w:sz w:val="20"/>
                <w:szCs w:val="20"/>
                <w:lang w:val="en-US"/>
              </w:rPr>
            </w:pPr>
            <w:r w:rsidRPr="0078373E">
              <w:rPr>
                <w:rFonts w:cs="Times New Roman"/>
                <w:sz w:val="20"/>
                <w:szCs w:val="20"/>
                <w:lang w:val="en-US"/>
              </w:rPr>
              <w:lastRenderedPageBreak/>
              <w:t>Multivariate Poisson-lognormal model</w:t>
            </w:r>
          </w:p>
        </w:tc>
        <w:tc>
          <w:tcPr>
            <w:tcW w:w="652" w:type="dxa"/>
            <w:tcBorders>
              <w:top w:val="single" w:sz="4" w:space="0" w:color="auto"/>
              <w:bottom w:val="single" w:sz="4" w:space="0" w:color="auto"/>
            </w:tcBorders>
            <w:vAlign w:val="center"/>
          </w:tcPr>
          <w:p w14:paraId="1B2F8F3B" w14:textId="77777777" w:rsidR="00CC74A8" w:rsidRPr="0078373E" w:rsidRDefault="00CC74A8" w:rsidP="004601C9">
            <w:pPr>
              <w:jc w:val="center"/>
              <w:rPr>
                <w:rFonts w:cs="Times New Roman"/>
                <w:b/>
                <w:sz w:val="20"/>
                <w:szCs w:val="20"/>
              </w:rPr>
            </w:pPr>
            <w:r w:rsidRPr="0078373E">
              <w:rPr>
                <w:rFonts w:cs="Times New Roman"/>
                <w:b/>
                <w:sz w:val="20"/>
                <w:szCs w:val="20"/>
              </w:rPr>
              <w:t>√</w:t>
            </w:r>
          </w:p>
        </w:tc>
        <w:tc>
          <w:tcPr>
            <w:tcW w:w="459" w:type="dxa"/>
            <w:tcBorders>
              <w:top w:val="single" w:sz="4" w:space="0" w:color="auto"/>
              <w:bottom w:val="single" w:sz="4" w:space="0" w:color="auto"/>
            </w:tcBorders>
            <w:vAlign w:val="center"/>
          </w:tcPr>
          <w:p w14:paraId="0A9699B6" w14:textId="77777777" w:rsidR="00CC74A8" w:rsidRPr="0078373E" w:rsidRDefault="00CC74A8" w:rsidP="004601C9">
            <w:pPr>
              <w:jc w:val="center"/>
              <w:rPr>
                <w:rFonts w:cs="Times New Roman"/>
                <w:b/>
                <w:sz w:val="20"/>
                <w:szCs w:val="20"/>
              </w:rPr>
            </w:pPr>
            <w:r w:rsidRPr="0078373E">
              <w:rPr>
                <w:rFonts w:cs="Times New Roman"/>
                <w:b/>
                <w:sz w:val="20"/>
                <w:szCs w:val="20"/>
              </w:rPr>
              <w:t>--</w:t>
            </w:r>
          </w:p>
        </w:tc>
        <w:tc>
          <w:tcPr>
            <w:tcW w:w="604" w:type="dxa"/>
            <w:tcBorders>
              <w:top w:val="single" w:sz="4" w:space="0" w:color="auto"/>
              <w:bottom w:val="single" w:sz="4" w:space="0" w:color="auto"/>
            </w:tcBorders>
            <w:vAlign w:val="center"/>
          </w:tcPr>
          <w:p w14:paraId="4E939556" w14:textId="77777777" w:rsidR="00CC74A8" w:rsidRPr="0078373E" w:rsidRDefault="00CC74A8" w:rsidP="004601C9">
            <w:pPr>
              <w:jc w:val="center"/>
              <w:rPr>
                <w:rFonts w:cs="Times New Roman"/>
                <w:b/>
                <w:sz w:val="20"/>
                <w:szCs w:val="20"/>
              </w:rPr>
            </w:pPr>
            <w:r w:rsidRPr="0078373E">
              <w:rPr>
                <w:rFonts w:cs="Times New Roman"/>
                <w:b/>
                <w:sz w:val="20"/>
                <w:szCs w:val="20"/>
              </w:rPr>
              <w:t>--</w:t>
            </w:r>
          </w:p>
        </w:tc>
        <w:tc>
          <w:tcPr>
            <w:tcW w:w="604" w:type="dxa"/>
            <w:tcBorders>
              <w:top w:val="single" w:sz="4" w:space="0" w:color="auto"/>
              <w:bottom w:val="single" w:sz="4" w:space="0" w:color="auto"/>
            </w:tcBorders>
            <w:vAlign w:val="center"/>
          </w:tcPr>
          <w:p w14:paraId="0ED4E341" w14:textId="77777777" w:rsidR="00CC74A8" w:rsidRPr="0078373E" w:rsidRDefault="00CC74A8" w:rsidP="004601C9">
            <w:pPr>
              <w:jc w:val="center"/>
              <w:rPr>
                <w:rFonts w:cs="Times New Roman"/>
                <w:b/>
                <w:sz w:val="20"/>
                <w:szCs w:val="20"/>
              </w:rPr>
            </w:pPr>
            <w:r w:rsidRPr="0078373E">
              <w:rPr>
                <w:rFonts w:cs="Times New Roman"/>
                <w:b/>
                <w:sz w:val="20"/>
                <w:szCs w:val="20"/>
              </w:rPr>
              <w:t>√</w:t>
            </w:r>
          </w:p>
        </w:tc>
        <w:tc>
          <w:tcPr>
            <w:tcW w:w="604" w:type="dxa"/>
            <w:tcBorders>
              <w:top w:val="single" w:sz="4" w:space="0" w:color="auto"/>
              <w:bottom w:val="single" w:sz="4" w:space="0" w:color="auto"/>
            </w:tcBorders>
            <w:vAlign w:val="center"/>
          </w:tcPr>
          <w:p w14:paraId="181EF461" w14:textId="77777777" w:rsidR="00CC74A8" w:rsidRPr="0078373E" w:rsidRDefault="00CC74A8" w:rsidP="004601C9">
            <w:pPr>
              <w:jc w:val="center"/>
              <w:rPr>
                <w:rFonts w:cs="Times New Roman"/>
                <w:b/>
                <w:sz w:val="20"/>
                <w:szCs w:val="20"/>
              </w:rPr>
            </w:pPr>
            <w:r w:rsidRPr="0078373E">
              <w:rPr>
                <w:rFonts w:cs="Times New Roman"/>
                <w:b/>
                <w:sz w:val="20"/>
                <w:szCs w:val="20"/>
              </w:rPr>
              <w:t>--</w:t>
            </w:r>
          </w:p>
        </w:tc>
        <w:tc>
          <w:tcPr>
            <w:tcW w:w="459" w:type="dxa"/>
            <w:tcBorders>
              <w:top w:val="single" w:sz="4" w:space="0" w:color="auto"/>
              <w:bottom w:val="single" w:sz="4" w:space="0" w:color="auto"/>
            </w:tcBorders>
            <w:vAlign w:val="center"/>
          </w:tcPr>
          <w:p w14:paraId="7691F6D1" w14:textId="77777777" w:rsidR="00CC74A8" w:rsidRPr="0078373E" w:rsidRDefault="00CC74A8" w:rsidP="004601C9">
            <w:pPr>
              <w:jc w:val="center"/>
              <w:rPr>
                <w:rFonts w:cs="Times New Roman"/>
                <w:b/>
                <w:sz w:val="20"/>
                <w:szCs w:val="20"/>
              </w:rPr>
            </w:pPr>
            <w:r w:rsidRPr="0078373E">
              <w:rPr>
                <w:rFonts w:cs="Times New Roman"/>
                <w:b/>
                <w:sz w:val="20"/>
                <w:szCs w:val="20"/>
              </w:rPr>
              <w:t>--</w:t>
            </w:r>
          </w:p>
        </w:tc>
      </w:tr>
      <w:tr w:rsidR="00494D9E" w:rsidRPr="00D40F8D" w14:paraId="3DA9A65E" w14:textId="77777777" w:rsidTr="004601C9">
        <w:trPr>
          <w:trHeight w:val="360"/>
        </w:trPr>
        <w:tc>
          <w:tcPr>
            <w:tcW w:w="1729" w:type="dxa"/>
            <w:tcBorders>
              <w:top w:val="single" w:sz="4" w:space="0" w:color="auto"/>
              <w:bottom w:val="single" w:sz="4" w:space="0" w:color="auto"/>
            </w:tcBorders>
            <w:vAlign w:val="center"/>
          </w:tcPr>
          <w:p w14:paraId="6FF21D60" w14:textId="2467B9E3" w:rsidR="00CC74A8" w:rsidRPr="0078373E" w:rsidRDefault="00CC74A8" w:rsidP="004601C9">
            <w:pPr>
              <w:jc w:val="left"/>
              <w:rPr>
                <w:rFonts w:cs="Times New Roman"/>
                <w:sz w:val="20"/>
                <w:szCs w:val="20"/>
              </w:rPr>
            </w:pPr>
            <w:r w:rsidRPr="0078373E">
              <w:rPr>
                <w:rFonts w:cs="Times New Roman"/>
                <w:sz w:val="20"/>
                <w:szCs w:val="20"/>
              </w:rPr>
              <w:fldChar w:fldCharType="begin" w:fldLock="1"/>
            </w:r>
            <w:r w:rsidR="00B81912">
              <w:rPr>
                <w:rFonts w:cs="Times New Roman"/>
                <w:sz w:val="20"/>
                <w:szCs w:val="20"/>
              </w:rPr>
              <w:instrText>ADDIN CSL_CITATION {"citationItems":[{"id":"ITEM-1","itemData":{"DOI":"10.1016/j.aap.2016.11.006","ISSN":"00014575","PMID":"27846421","abstract":"In an effort to improve traffic safety, there has been considerable interest in estimating crash prediction models and identifying factors contributing to crashes. To account for crash frequency variations among crash types and severities, crash prediction models have been estimated by type and severity. The univariate crash count models have been used by researchers to estimate crashes by crash type or severity, in which the crash counts by type or severity are assumed to be independent of one another and modelled separately. When considering crash types and severities simultaneously, this may neglect the potential correlations between crash counts due to the presence of shared unobserved factors across crash types or severities for a specific roadway intersection or segment, and might lead to biased parameter estimation and reduce model accuracy. The focus on this study is to estimate crashes by both crash type and crash severity using the Integrated Nested Laplace Approximation (INLA) Multivariate Poisson Lognormal (MVPLN) model, and identify the different effects of contributing factors on different crash type and severity counts on rural two-lane highways. The INLA MVPLN model can simultaneously model crash counts by crash type and crash severity by accounting for the potential correlations among them and significantly decreases the computational time compared with a fully Bayesian fitting of the MVPLN model using Markov Chain Monte Carlo (MCMC) method. This paper describes estimation of MVPLN models for three-way stop controlled (3ST) intersections, four-way stop controlled (4ST) intersections, four-way signalized (4SG) intersections, and roadway segments on rural two-lane highways. Annual Average Daily traffic (AADT) and variables describing roadway conditions (including presence of lighting, presence of left-turn/right-turn lane, lane width and shoulder width) were used as predictors. A Univariate Poisson Lognormal (UPLN) was estimated by crash type and severity for each highway facility, and their prediction results are compared with the MVPLN model based on the Average Predicted Mean Absolute Error (APMAE) statistic. A UPLN model for total crashes was also estimated to compare the coefficients of contributing factors with the models that estimate crashes by crash type and severity. The model coefficient estimates show that the signs of coefficients for presence of left-turn lane, presence of right-turn lane, land width and speed limit are diff…","author":[{"dropping-particle":"","family":"Wang","given":"Kai","non-dropping-particle":"","parse-names":false,"suffix":""},{"dropping-particle":"","family":"Ivan","given":"John N.","non-dropping-particle":"","parse-names":false,"suffix":""},{"dropping-particle":"","family":"Ravishanker","given":"Nalini","non-dropping-particle":"","parse-names":false,"suffix":""},{"dropping-particle":"","family":"Jackson","given":"Eric","non-dropping-particle":"","parse-names":false,"suffix":""}],"container-title":"Accident Analysis and Prevention","id":"ITEM-1","issued":{"date-parts":[["2017"]]},"page":"6-19","publisher":"Elsevier","title":"Multivariate poisson lognormal modeling of crashes by type and severity on rural two lane highways","type":"article-journal","volume":"99"},"uris":["http://www.mendeley.com/documents/?uuid=cd4363d3-bec3-4ad7-999f-eebed37cb49b"]}],"mendeley":{"formattedCitation":"(Wang et al., 2017)","plainTextFormattedCitation":"(Wang et al., 2017)","previouslyFormattedCitation":"(Wang et al., 2017)"},"properties":{"noteIndex":0},"schema":"https://github.com/citation-style-language/schema/raw/master/csl-citation.json"}</w:instrText>
            </w:r>
            <w:r w:rsidRPr="0078373E">
              <w:rPr>
                <w:rFonts w:cs="Times New Roman"/>
                <w:sz w:val="20"/>
                <w:szCs w:val="20"/>
              </w:rPr>
              <w:fldChar w:fldCharType="separate"/>
            </w:r>
            <w:r w:rsidRPr="00097239">
              <w:rPr>
                <w:rFonts w:cs="Times New Roman"/>
                <w:noProof/>
                <w:sz w:val="20"/>
                <w:szCs w:val="20"/>
              </w:rPr>
              <w:t>(Wang et al., 2017)</w:t>
            </w:r>
            <w:r w:rsidRPr="0078373E">
              <w:rPr>
                <w:rFonts w:cs="Times New Roman"/>
                <w:sz w:val="20"/>
                <w:szCs w:val="20"/>
              </w:rPr>
              <w:fldChar w:fldCharType="end"/>
            </w:r>
          </w:p>
        </w:tc>
        <w:tc>
          <w:tcPr>
            <w:tcW w:w="1238" w:type="dxa"/>
            <w:tcBorders>
              <w:top w:val="single" w:sz="4" w:space="0" w:color="auto"/>
              <w:bottom w:val="single" w:sz="4" w:space="0" w:color="auto"/>
            </w:tcBorders>
            <w:vAlign w:val="center"/>
          </w:tcPr>
          <w:p w14:paraId="365DE2DD" w14:textId="77777777" w:rsidR="00CC74A8" w:rsidRPr="0078373E" w:rsidRDefault="00CC74A8" w:rsidP="004601C9">
            <w:pPr>
              <w:jc w:val="center"/>
              <w:rPr>
                <w:rFonts w:cs="Times New Roman"/>
                <w:sz w:val="20"/>
                <w:szCs w:val="20"/>
                <w:lang w:val="en-US"/>
              </w:rPr>
            </w:pPr>
            <w:r w:rsidRPr="0078373E">
              <w:rPr>
                <w:rFonts w:cs="Times New Roman"/>
                <w:sz w:val="20"/>
                <w:szCs w:val="20"/>
                <w:lang w:val="en-US"/>
              </w:rPr>
              <w:t>Road segments, intersections (Micro)</w:t>
            </w:r>
          </w:p>
        </w:tc>
        <w:tc>
          <w:tcPr>
            <w:tcW w:w="1416" w:type="dxa"/>
            <w:tcBorders>
              <w:top w:val="single" w:sz="4" w:space="0" w:color="auto"/>
              <w:bottom w:val="single" w:sz="4" w:space="0" w:color="auto"/>
            </w:tcBorders>
            <w:vAlign w:val="center"/>
          </w:tcPr>
          <w:p w14:paraId="4AD4FCD8" w14:textId="77777777" w:rsidR="00CC74A8" w:rsidRPr="0078373E" w:rsidRDefault="00CC74A8" w:rsidP="004601C9">
            <w:pPr>
              <w:jc w:val="center"/>
              <w:rPr>
                <w:rFonts w:cs="Times New Roman"/>
                <w:sz w:val="20"/>
                <w:szCs w:val="20"/>
                <w:lang w:val="en-US"/>
              </w:rPr>
            </w:pPr>
            <w:r w:rsidRPr="0078373E">
              <w:rPr>
                <w:rFonts w:cs="Times New Roman"/>
                <w:sz w:val="20"/>
                <w:szCs w:val="20"/>
                <w:lang w:val="en-US"/>
              </w:rPr>
              <w:t>State</w:t>
            </w:r>
          </w:p>
          <w:p w14:paraId="67F4CC06" w14:textId="77777777" w:rsidR="00CC74A8" w:rsidRPr="0078373E" w:rsidRDefault="00CC74A8" w:rsidP="004601C9">
            <w:pPr>
              <w:jc w:val="center"/>
              <w:rPr>
                <w:rFonts w:cs="Times New Roman"/>
                <w:sz w:val="20"/>
                <w:szCs w:val="20"/>
                <w:lang w:val="en-US"/>
              </w:rPr>
            </w:pPr>
            <w:r w:rsidRPr="0078373E">
              <w:rPr>
                <w:rFonts w:cs="Times New Roman"/>
                <w:sz w:val="20"/>
                <w:szCs w:val="20"/>
                <w:lang w:val="en-US"/>
              </w:rPr>
              <w:t xml:space="preserve">(Minnesota, </w:t>
            </w:r>
            <w:r w:rsidRPr="0078373E">
              <w:rPr>
                <w:rFonts w:cs="Times New Roman"/>
                <w:sz w:val="20"/>
                <w:szCs w:val="20"/>
              </w:rPr>
              <w:t>Washington</w:t>
            </w:r>
            <w:r w:rsidRPr="0078373E">
              <w:rPr>
                <w:rFonts w:cs="Times New Roman"/>
                <w:sz w:val="20"/>
                <w:szCs w:val="20"/>
                <w:lang w:val="en-US"/>
              </w:rPr>
              <w:t>)</w:t>
            </w:r>
          </w:p>
        </w:tc>
        <w:tc>
          <w:tcPr>
            <w:tcW w:w="1089" w:type="dxa"/>
            <w:tcBorders>
              <w:top w:val="single" w:sz="4" w:space="0" w:color="auto"/>
              <w:bottom w:val="single" w:sz="4" w:space="0" w:color="auto"/>
            </w:tcBorders>
            <w:vAlign w:val="center"/>
          </w:tcPr>
          <w:p w14:paraId="3543EF0D" w14:textId="77777777" w:rsidR="00CC74A8" w:rsidRDefault="00CC74A8" w:rsidP="004601C9">
            <w:pPr>
              <w:jc w:val="center"/>
              <w:rPr>
                <w:rFonts w:cs="Times New Roman"/>
                <w:sz w:val="20"/>
                <w:szCs w:val="20"/>
              </w:rPr>
            </w:pPr>
            <w:r w:rsidRPr="0078373E">
              <w:rPr>
                <w:rFonts w:cs="Times New Roman"/>
                <w:sz w:val="20"/>
                <w:szCs w:val="20"/>
              </w:rPr>
              <w:t xml:space="preserve">Any </w:t>
            </w:r>
          </w:p>
          <w:p w14:paraId="0A369CA5" w14:textId="77777777" w:rsidR="00CC74A8" w:rsidRPr="0078373E" w:rsidRDefault="00CC74A8" w:rsidP="004601C9">
            <w:pPr>
              <w:jc w:val="center"/>
              <w:rPr>
                <w:rFonts w:cs="Times New Roman"/>
                <w:sz w:val="20"/>
                <w:szCs w:val="20"/>
              </w:rPr>
            </w:pPr>
            <w:r w:rsidRPr="0078373E">
              <w:rPr>
                <w:rFonts w:cs="Times New Roman"/>
                <w:sz w:val="20"/>
                <w:szCs w:val="20"/>
              </w:rPr>
              <w:t>Crash</w:t>
            </w:r>
          </w:p>
        </w:tc>
        <w:tc>
          <w:tcPr>
            <w:tcW w:w="2061" w:type="dxa"/>
            <w:tcBorders>
              <w:top w:val="single" w:sz="4" w:space="0" w:color="auto"/>
              <w:bottom w:val="single" w:sz="4" w:space="0" w:color="auto"/>
            </w:tcBorders>
            <w:vAlign w:val="center"/>
          </w:tcPr>
          <w:p w14:paraId="6C240E07" w14:textId="77777777" w:rsidR="00CC74A8" w:rsidRPr="0078373E" w:rsidRDefault="00CC74A8" w:rsidP="004601C9">
            <w:pPr>
              <w:jc w:val="left"/>
              <w:rPr>
                <w:rFonts w:cs="Times New Roman"/>
                <w:sz w:val="20"/>
                <w:szCs w:val="20"/>
              </w:rPr>
            </w:pPr>
            <w:r w:rsidRPr="0078373E">
              <w:rPr>
                <w:rFonts w:cs="Times New Roman"/>
                <w:sz w:val="20"/>
                <w:szCs w:val="20"/>
              </w:rPr>
              <w:t>4 (same direction, intersecting direction, opposite direction, single vehicle crashes)</w:t>
            </w:r>
          </w:p>
        </w:tc>
        <w:tc>
          <w:tcPr>
            <w:tcW w:w="1998" w:type="dxa"/>
            <w:tcBorders>
              <w:top w:val="single" w:sz="4" w:space="0" w:color="auto"/>
              <w:bottom w:val="single" w:sz="4" w:space="0" w:color="auto"/>
            </w:tcBorders>
            <w:vAlign w:val="center"/>
          </w:tcPr>
          <w:p w14:paraId="3E3B0333" w14:textId="77777777" w:rsidR="00CC74A8" w:rsidRPr="0078373E" w:rsidRDefault="00CC74A8" w:rsidP="004601C9">
            <w:pPr>
              <w:jc w:val="left"/>
              <w:rPr>
                <w:rFonts w:cs="Times New Roman"/>
                <w:sz w:val="20"/>
                <w:szCs w:val="20"/>
                <w:lang w:val="en-US"/>
              </w:rPr>
            </w:pPr>
            <w:r w:rsidRPr="0078373E">
              <w:rPr>
                <w:rFonts w:cs="Times New Roman"/>
                <w:sz w:val="20"/>
                <w:szCs w:val="20"/>
                <w:lang w:val="en-US"/>
              </w:rPr>
              <w:t>Multivariate Poisson-lognormal model</w:t>
            </w:r>
          </w:p>
        </w:tc>
        <w:tc>
          <w:tcPr>
            <w:tcW w:w="652" w:type="dxa"/>
            <w:tcBorders>
              <w:top w:val="single" w:sz="4" w:space="0" w:color="auto"/>
              <w:bottom w:val="single" w:sz="4" w:space="0" w:color="auto"/>
            </w:tcBorders>
            <w:vAlign w:val="center"/>
          </w:tcPr>
          <w:p w14:paraId="78F6A1A7" w14:textId="77777777" w:rsidR="00CC74A8" w:rsidRPr="0078373E" w:rsidRDefault="00CC74A8" w:rsidP="004601C9">
            <w:pPr>
              <w:jc w:val="center"/>
              <w:rPr>
                <w:rFonts w:cs="Times New Roman"/>
                <w:b/>
                <w:sz w:val="20"/>
                <w:szCs w:val="20"/>
              </w:rPr>
            </w:pPr>
            <w:r w:rsidRPr="0078373E">
              <w:rPr>
                <w:rFonts w:cs="Times New Roman"/>
                <w:b/>
                <w:sz w:val="20"/>
                <w:szCs w:val="20"/>
              </w:rPr>
              <w:t>√</w:t>
            </w:r>
          </w:p>
        </w:tc>
        <w:tc>
          <w:tcPr>
            <w:tcW w:w="459" w:type="dxa"/>
            <w:tcBorders>
              <w:top w:val="single" w:sz="4" w:space="0" w:color="auto"/>
              <w:bottom w:val="single" w:sz="4" w:space="0" w:color="auto"/>
            </w:tcBorders>
            <w:vAlign w:val="center"/>
          </w:tcPr>
          <w:p w14:paraId="28A4739D" w14:textId="77777777" w:rsidR="00CC74A8" w:rsidRPr="0078373E" w:rsidRDefault="00CC74A8" w:rsidP="004601C9">
            <w:pPr>
              <w:jc w:val="center"/>
              <w:rPr>
                <w:rFonts w:cs="Times New Roman"/>
                <w:b/>
                <w:sz w:val="20"/>
                <w:szCs w:val="20"/>
              </w:rPr>
            </w:pPr>
            <w:r w:rsidRPr="0078373E">
              <w:rPr>
                <w:rFonts w:cs="Times New Roman"/>
                <w:b/>
                <w:sz w:val="20"/>
                <w:szCs w:val="20"/>
              </w:rPr>
              <w:t>--</w:t>
            </w:r>
          </w:p>
        </w:tc>
        <w:tc>
          <w:tcPr>
            <w:tcW w:w="604" w:type="dxa"/>
            <w:tcBorders>
              <w:top w:val="single" w:sz="4" w:space="0" w:color="auto"/>
              <w:bottom w:val="single" w:sz="4" w:space="0" w:color="auto"/>
            </w:tcBorders>
            <w:vAlign w:val="center"/>
          </w:tcPr>
          <w:p w14:paraId="47F40FE6" w14:textId="77777777" w:rsidR="00CC74A8" w:rsidRPr="0078373E" w:rsidRDefault="00CC74A8" w:rsidP="004601C9">
            <w:pPr>
              <w:jc w:val="center"/>
              <w:rPr>
                <w:rFonts w:cs="Times New Roman"/>
                <w:b/>
                <w:sz w:val="20"/>
                <w:szCs w:val="20"/>
              </w:rPr>
            </w:pPr>
            <w:r w:rsidRPr="0078373E">
              <w:rPr>
                <w:rFonts w:cs="Times New Roman"/>
                <w:b/>
                <w:sz w:val="20"/>
                <w:szCs w:val="20"/>
              </w:rPr>
              <w:t>--</w:t>
            </w:r>
          </w:p>
        </w:tc>
        <w:tc>
          <w:tcPr>
            <w:tcW w:w="604" w:type="dxa"/>
            <w:tcBorders>
              <w:top w:val="single" w:sz="4" w:space="0" w:color="auto"/>
              <w:bottom w:val="single" w:sz="4" w:space="0" w:color="auto"/>
            </w:tcBorders>
            <w:vAlign w:val="center"/>
          </w:tcPr>
          <w:p w14:paraId="7912B76E" w14:textId="77777777" w:rsidR="00CC74A8" w:rsidRPr="0078373E" w:rsidRDefault="00CC74A8" w:rsidP="004601C9">
            <w:pPr>
              <w:jc w:val="center"/>
              <w:rPr>
                <w:rFonts w:cs="Times New Roman"/>
                <w:b/>
                <w:sz w:val="20"/>
                <w:szCs w:val="20"/>
              </w:rPr>
            </w:pPr>
            <w:r w:rsidRPr="0078373E">
              <w:rPr>
                <w:rFonts w:cs="Times New Roman"/>
                <w:b/>
                <w:sz w:val="20"/>
                <w:szCs w:val="20"/>
              </w:rPr>
              <w:t>√</w:t>
            </w:r>
          </w:p>
        </w:tc>
        <w:tc>
          <w:tcPr>
            <w:tcW w:w="604" w:type="dxa"/>
            <w:tcBorders>
              <w:top w:val="single" w:sz="4" w:space="0" w:color="auto"/>
              <w:bottom w:val="single" w:sz="4" w:space="0" w:color="auto"/>
            </w:tcBorders>
            <w:vAlign w:val="center"/>
          </w:tcPr>
          <w:p w14:paraId="5E13DEBC" w14:textId="77777777" w:rsidR="00CC74A8" w:rsidRPr="0078373E" w:rsidRDefault="00CC74A8" w:rsidP="004601C9">
            <w:pPr>
              <w:jc w:val="center"/>
              <w:rPr>
                <w:rFonts w:cs="Times New Roman"/>
                <w:b/>
                <w:sz w:val="20"/>
                <w:szCs w:val="20"/>
              </w:rPr>
            </w:pPr>
            <w:r w:rsidRPr="0078373E">
              <w:rPr>
                <w:rFonts w:cs="Times New Roman"/>
                <w:b/>
                <w:sz w:val="20"/>
                <w:szCs w:val="20"/>
              </w:rPr>
              <w:t>--</w:t>
            </w:r>
          </w:p>
        </w:tc>
        <w:tc>
          <w:tcPr>
            <w:tcW w:w="459" w:type="dxa"/>
            <w:tcBorders>
              <w:top w:val="single" w:sz="4" w:space="0" w:color="auto"/>
              <w:bottom w:val="single" w:sz="4" w:space="0" w:color="auto"/>
            </w:tcBorders>
            <w:vAlign w:val="center"/>
          </w:tcPr>
          <w:p w14:paraId="3B54C22A" w14:textId="77777777" w:rsidR="00CC74A8" w:rsidRPr="0078373E" w:rsidRDefault="00CC74A8" w:rsidP="004601C9">
            <w:pPr>
              <w:jc w:val="center"/>
              <w:rPr>
                <w:rFonts w:cs="Times New Roman"/>
                <w:b/>
                <w:sz w:val="20"/>
                <w:szCs w:val="20"/>
              </w:rPr>
            </w:pPr>
            <w:r w:rsidRPr="0078373E">
              <w:rPr>
                <w:rFonts w:cs="Times New Roman"/>
                <w:b/>
                <w:sz w:val="20"/>
                <w:szCs w:val="20"/>
              </w:rPr>
              <w:t>--</w:t>
            </w:r>
          </w:p>
        </w:tc>
      </w:tr>
      <w:tr w:rsidR="00494D9E" w:rsidRPr="00D40F8D" w14:paraId="40C71488" w14:textId="77777777" w:rsidTr="004601C9">
        <w:trPr>
          <w:trHeight w:val="360"/>
        </w:trPr>
        <w:tc>
          <w:tcPr>
            <w:tcW w:w="1729" w:type="dxa"/>
            <w:tcBorders>
              <w:top w:val="single" w:sz="4" w:space="0" w:color="auto"/>
              <w:bottom w:val="single" w:sz="4" w:space="0" w:color="auto"/>
            </w:tcBorders>
            <w:vAlign w:val="center"/>
          </w:tcPr>
          <w:p w14:paraId="30602736" w14:textId="799FCA57" w:rsidR="00FA39E5" w:rsidRPr="0078373E" w:rsidRDefault="00FA39E5" w:rsidP="00FA39E5">
            <w:pPr>
              <w:jc w:val="left"/>
              <w:rPr>
                <w:rFonts w:cs="Times New Roman"/>
                <w:sz w:val="20"/>
                <w:szCs w:val="20"/>
              </w:rPr>
            </w:pPr>
            <w:r w:rsidRPr="0078373E">
              <w:rPr>
                <w:rFonts w:cs="Times New Roman"/>
                <w:sz w:val="20"/>
                <w:szCs w:val="20"/>
              </w:rPr>
              <w:fldChar w:fldCharType="begin" w:fldLock="1"/>
            </w:r>
            <w:r>
              <w:rPr>
                <w:rFonts w:cs="Times New Roman"/>
                <w:sz w:val="20"/>
                <w:szCs w:val="20"/>
              </w:rPr>
              <w:instrText>ADDIN CSL_CITATION {"citationItems":[{"id":"ITEM-1","itemData":{"DOI":"10.1016/j.aap.2018.07.026","ISSN":"00014575","abstract":"The safety and operational improvements of corridors have been the focus of many studies since they carry most traffic on the road network. Estimating a crash prediction model for total crash counts identifies the crash risk factors that are associated with crash counts at a specific type of road entity. However, this may not reveal useful information to detect the road problems and implement effective countermeasures. Therefore, investigating the contributing factors for crash counts by different types is of great importance. This study aims to provide a good understanding of the contributing factors to crash counts by different types at intersections and roadway segments along corridors. Data from 255 signalized intersections and 220 roadway segments along 20 corridors have been used for this study. The investigated crash types include same direction, angle and turning, opposite direction, non-motorized, single vehicle, and other multi-vehicle crashes. Two models have been estimated, which are multivariate hierarchical Poisson-lognormal (HPLN) spatial joint model and univariate HPLN spatial joint model. The significant variables include exposure measures and some geometric design variables at intersection, roadway segment, and corridor levels. The results revealed that the multivariate HPLN spatial joint model outperforms the univariate HPLN spatial joint model. Also, the correlations among crash counts of most types exist at individual road entity and between adjacent entities. Additionally, the significant explanatory variables are different across crash types, and the magnitude of the parameter estimates for the same independent variable is different across crash types. The results emphasize the need for estimating crash counts by type in a multivariate form to better detect the problems and provide appropriate countermeasures.","author":[{"dropping-particle":"","family":"Alarifi","given":"Saif A.","non-dropping-particle":"","parse-names":false,"suffix":""},{"dropping-particle":"","family":"Abdel-Aty","given":"Mohamed","non-dropping-particle":"","parse-names":false,"suffix":""},{"dropping-particle":"","family":"Lee","given":"Jaeyoung","non-dropping-particle":"","parse-names":false,"suffix":""}],"container-title":"Accident Analysis and Prevention","id":"ITEM-1","issued":{"date-parts":[["2018"]]},"page":"263-273","title":"A Bayesian multivariate hierarchical spatial joint model for predicting crash counts by crash type at intersections and segments along corridors","type":"article-journal","volume":"119"},"uris":["http://www.mendeley.com/documents/?uuid=2e6c07a4-58cb-4aaf-a22a-a775014a49ba"]}],"mendeley":{"formattedCitation":"(Alarifi et al., 2018)","plainTextFormattedCitation":"(Alarifi et al., 2018)","previouslyFormattedCitation":"(Alarifi et al., 2018)"},"properties":{"noteIndex":0},"schema":"https://github.com/citation-style-language/schema/raw/master/csl-citation.json"}</w:instrText>
            </w:r>
            <w:r w:rsidRPr="0078373E">
              <w:rPr>
                <w:rFonts w:cs="Times New Roman"/>
                <w:sz w:val="20"/>
                <w:szCs w:val="20"/>
              </w:rPr>
              <w:fldChar w:fldCharType="separate"/>
            </w:r>
            <w:r w:rsidRPr="00097239">
              <w:rPr>
                <w:rFonts w:cs="Times New Roman"/>
                <w:noProof/>
                <w:sz w:val="20"/>
                <w:szCs w:val="20"/>
              </w:rPr>
              <w:t>(Alarifi et al., 2018)</w:t>
            </w:r>
            <w:r w:rsidRPr="0078373E">
              <w:rPr>
                <w:rFonts w:cs="Times New Roman"/>
                <w:sz w:val="20"/>
                <w:szCs w:val="20"/>
              </w:rPr>
              <w:fldChar w:fldCharType="end"/>
            </w:r>
          </w:p>
        </w:tc>
        <w:tc>
          <w:tcPr>
            <w:tcW w:w="1238" w:type="dxa"/>
            <w:tcBorders>
              <w:top w:val="single" w:sz="4" w:space="0" w:color="auto"/>
              <w:bottom w:val="single" w:sz="4" w:space="0" w:color="auto"/>
            </w:tcBorders>
            <w:vAlign w:val="center"/>
          </w:tcPr>
          <w:p w14:paraId="73CD0BE5" w14:textId="022270D5" w:rsidR="00FA39E5" w:rsidRPr="0078373E" w:rsidRDefault="00FA39E5" w:rsidP="00FA39E5">
            <w:pPr>
              <w:jc w:val="center"/>
              <w:rPr>
                <w:rFonts w:cs="Times New Roman"/>
                <w:sz w:val="20"/>
                <w:szCs w:val="20"/>
                <w:lang w:val="en-US"/>
              </w:rPr>
            </w:pPr>
            <w:r w:rsidRPr="0078373E">
              <w:rPr>
                <w:rFonts w:cs="Times New Roman"/>
                <w:sz w:val="20"/>
                <w:szCs w:val="20"/>
                <w:lang w:val="en-US"/>
              </w:rPr>
              <w:t>Road segments, intersections (Micro)</w:t>
            </w:r>
          </w:p>
        </w:tc>
        <w:tc>
          <w:tcPr>
            <w:tcW w:w="1416" w:type="dxa"/>
            <w:tcBorders>
              <w:top w:val="single" w:sz="4" w:space="0" w:color="auto"/>
              <w:bottom w:val="single" w:sz="4" w:space="0" w:color="auto"/>
            </w:tcBorders>
            <w:vAlign w:val="center"/>
          </w:tcPr>
          <w:p w14:paraId="7E4F4D5A" w14:textId="77777777" w:rsidR="00FA39E5" w:rsidRPr="0078373E" w:rsidRDefault="00FA39E5" w:rsidP="00FA39E5">
            <w:pPr>
              <w:jc w:val="center"/>
              <w:rPr>
                <w:rFonts w:cs="Times New Roman"/>
                <w:sz w:val="20"/>
                <w:szCs w:val="20"/>
                <w:lang w:val="en-US"/>
              </w:rPr>
            </w:pPr>
            <w:r w:rsidRPr="0078373E">
              <w:rPr>
                <w:rFonts w:cs="Times New Roman"/>
                <w:sz w:val="20"/>
                <w:szCs w:val="20"/>
                <w:lang w:val="en-US"/>
              </w:rPr>
              <w:t>County</w:t>
            </w:r>
          </w:p>
          <w:p w14:paraId="0163DBFB" w14:textId="43577BD2" w:rsidR="00FA39E5" w:rsidRPr="0078373E" w:rsidRDefault="00FA39E5" w:rsidP="00FA39E5">
            <w:pPr>
              <w:jc w:val="center"/>
              <w:rPr>
                <w:rFonts w:cs="Times New Roman"/>
                <w:sz w:val="20"/>
                <w:szCs w:val="20"/>
                <w:lang w:val="en-US"/>
              </w:rPr>
            </w:pPr>
            <w:r w:rsidRPr="0078373E">
              <w:rPr>
                <w:rFonts w:cs="Times New Roman"/>
                <w:sz w:val="20"/>
                <w:szCs w:val="20"/>
                <w:lang w:val="en-US"/>
              </w:rPr>
              <w:t>(Florida)</w:t>
            </w:r>
          </w:p>
        </w:tc>
        <w:tc>
          <w:tcPr>
            <w:tcW w:w="1089" w:type="dxa"/>
            <w:tcBorders>
              <w:top w:val="single" w:sz="4" w:space="0" w:color="auto"/>
              <w:bottom w:val="single" w:sz="4" w:space="0" w:color="auto"/>
            </w:tcBorders>
            <w:vAlign w:val="center"/>
          </w:tcPr>
          <w:p w14:paraId="0E35F717" w14:textId="77777777" w:rsidR="00FA39E5" w:rsidRDefault="00FA39E5" w:rsidP="00FA39E5">
            <w:pPr>
              <w:jc w:val="center"/>
              <w:rPr>
                <w:rFonts w:cs="Times New Roman"/>
                <w:sz w:val="20"/>
                <w:szCs w:val="20"/>
              </w:rPr>
            </w:pPr>
            <w:r w:rsidRPr="0078373E">
              <w:rPr>
                <w:rFonts w:cs="Times New Roman"/>
                <w:sz w:val="20"/>
                <w:szCs w:val="20"/>
              </w:rPr>
              <w:t xml:space="preserve">Any </w:t>
            </w:r>
          </w:p>
          <w:p w14:paraId="6EFAD4F1" w14:textId="4754F1FD" w:rsidR="00FA39E5" w:rsidRPr="0078373E" w:rsidRDefault="00FA39E5" w:rsidP="00FA39E5">
            <w:pPr>
              <w:jc w:val="center"/>
              <w:rPr>
                <w:rFonts w:cs="Times New Roman"/>
                <w:sz w:val="20"/>
                <w:szCs w:val="20"/>
              </w:rPr>
            </w:pPr>
            <w:r w:rsidRPr="0078373E">
              <w:rPr>
                <w:rFonts w:cs="Times New Roman"/>
                <w:sz w:val="20"/>
                <w:szCs w:val="20"/>
              </w:rPr>
              <w:t>Crash</w:t>
            </w:r>
          </w:p>
        </w:tc>
        <w:tc>
          <w:tcPr>
            <w:tcW w:w="2061" w:type="dxa"/>
            <w:tcBorders>
              <w:top w:val="single" w:sz="4" w:space="0" w:color="auto"/>
              <w:bottom w:val="single" w:sz="4" w:space="0" w:color="auto"/>
            </w:tcBorders>
            <w:vAlign w:val="center"/>
          </w:tcPr>
          <w:p w14:paraId="27C81A90" w14:textId="20D45F70" w:rsidR="00FA39E5" w:rsidRPr="0078373E" w:rsidRDefault="00FA39E5" w:rsidP="00FA39E5">
            <w:pPr>
              <w:jc w:val="left"/>
              <w:rPr>
                <w:rFonts w:cs="Times New Roman"/>
                <w:sz w:val="20"/>
                <w:szCs w:val="20"/>
              </w:rPr>
            </w:pPr>
            <w:r>
              <w:rPr>
                <w:rFonts w:cs="Times New Roman"/>
                <w:sz w:val="20"/>
                <w:szCs w:val="20"/>
              </w:rPr>
              <w:t>6</w:t>
            </w:r>
            <w:r w:rsidRPr="0078373E">
              <w:rPr>
                <w:rFonts w:cs="Times New Roman"/>
                <w:sz w:val="20"/>
                <w:szCs w:val="20"/>
              </w:rPr>
              <w:t xml:space="preserve"> (same direction, angular, opposite direction, non-motorized, single </w:t>
            </w:r>
            <w:proofErr w:type="gramStart"/>
            <w:r w:rsidRPr="0078373E">
              <w:rPr>
                <w:rFonts w:cs="Times New Roman"/>
                <w:sz w:val="20"/>
                <w:szCs w:val="20"/>
              </w:rPr>
              <w:t>vehicle</w:t>
            </w:r>
            <w:proofErr w:type="gramEnd"/>
            <w:r w:rsidRPr="0078373E">
              <w:rPr>
                <w:rFonts w:cs="Times New Roman"/>
                <w:sz w:val="20"/>
                <w:szCs w:val="20"/>
              </w:rPr>
              <w:t xml:space="preserve"> </w:t>
            </w:r>
            <w:r>
              <w:rPr>
                <w:rFonts w:cs="Times New Roman"/>
                <w:sz w:val="20"/>
                <w:szCs w:val="20"/>
              </w:rPr>
              <w:t xml:space="preserve">and </w:t>
            </w:r>
            <w:r w:rsidRPr="0078373E">
              <w:rPr>
                <w:rFonts w:cs="Times New Roman"/>
                <w:sz w:val="20"/>
                <w:szCs w:val="20"/>
              </w:rPr>
              <w:t>others</w:t>
            </w:r>
            <w:r>
              <w:rPr>
                <w:rFonts w:cs="Times New Roman"/>
                <w:sz w:val="20"/>
                <w:szCs w:val="20"/>
              </w:rPr>
              <w:t>)</w:t>
            </w:r>
            <w:r w:rsidRPr="0078373E">
              <w:rPr>
                <w:rFonts w:cs="Times New Roman"/>
                <w:sz w:val="20"/>
                <w:szCs w:val="20"/>
              </w:rPr>
              <w:t xml:space="preserve"> </w:t>
            </w:r>
          </w:p>
        </w:tc>
        <w:tc>
          <w:tcPr>
            <w:tcW w:w="1998" w:type="dxa"/>
            <w:tcBorders>
              <w:top w:val="single" w:sz="4" w:space="0" w:color="auto"/>
              <w:bottom w:val="single" w:sz="4" w:space="0" w:color="auto"/>
            </w:tcBorders>
            <w:vAlign w:val="center"/>
          </w:tcPr>
          <w:p w14:paraId="42AFD2D0" w14:textId="0E5E0E14" w:rsidR="00FA39E5" w:rsidRPr="0078373E" w:rsidRDefault="00FA39E5" w:rsidP="00FA39E5">
            <w:pPr>
              <w:jc w:val="left"/>
              <w:rPr>
                <w:rFonts w:cs="Times New Roman"/>
                <w:sz w:val="20"/>
                <w:szCs w:val="20"/>
                <w:lang w:val="en-US"/>
              </w:rPr>
            </w:pPr>
            <w:r w:rsidRPr="0078373E">
              <w:rPr>
                <w:rFonts w:cs="Times New Roman"/>
                <w:sz w:val="20"/>
                <w:szCs w:val="20"/>
                <w:lang w:val="en-US"/>
              </w:rPr>
              <w:t>Bayesian multivariate hierarchical spatial joint model</w:t>
            </w:r>
          </w:p>
        </w:tc>
        <w:tc>
          <w:tcPr>
            <w:tcW w:w="652" w:type="dxa"/>
            <w:tcBorders>
              <w:top w:val="single" w:sz="4" w:space="0" w:color="auto"/>
              <w:bottom w:val="single" w:sz="4" w:space="0" w:color="auto"/>
            </w:tcBorders>
            <w:vAlign w:val="center"/>
          </w:tcPr>
          <w:p w14:paraId="6E3760DB" w14:textId="494EC632" w:rsidR="00FA39E5" w:rsidRPr="0078373E" w:rsidRDefault="00FA39E5" w:rsidP="00FA39E5">
            <w:pPr>
              <w:jc w:val="center"/>
              <w:rPr>
                <w:rFonts w:cs="Times New Roman"/>
                <w:b/>
                <w:sz w:val="20"/>
                <w:szCs w:val="20"/>
              </w:rPr>
            </w:pPr>
            <w:r w:rsidRPr="0078373E">
              <w:rPr>
                <w:rFonts w:cs="Times New Roman"/>
                <w:b/>
                <w:sz w:val="20"/>
                <w:szCs w:val="20"/>
              </w:rPr>
              <w:t>√</w:t>
            </w:r>
          </w:p>
        </w:tc>
        <w:tc>
          <w:tcPr>
            <w:tcW w:w="459" w:type="dxa"/>
            <w:tcBorders>
              <w:top w:val="single" w:sz="4" w:space="0" w:color="auto"/>
              <w:bottom w:val="single" w:sz="4" w:space="0" w:color="auto"/>
            </w:tcBorders>
            <w:vAlign w:val="center"/>
          </w:tcPr>
          <w:p w14:paraId="5D8BB5F5" w14:textId="6E163717" w:rsidR="00FA39E5" w:rsidRPr="0078373E" w:rsidRDefault="00FA39E5" w:rsidP="00FA39E5">
            <w:pPr>
              <w:jc w:val="center"/>
              <w:rPr>
                <w:rFonts w:cs="Times New Roman"/>
                <w:b/>
                <w:sz w:val="20"/>
                <w:szCs w:val="20"/>
              </w:rPr>
            </w:pPr>
            <w:r w:rsidRPr="0078373E">
              <w:rPr>
                <w:rFonts w:cs="Times New Roman"/>
                <w:b/>
                <w:sz w:val="20"/>
                <w:szCs w:val="20"/>
              </w:rPr>
              <w:t>--</w:t>
            </w:r>
          </w:p>
        </w:tc>
        <w:tc>
          <w:tcPr>
            <w:tcW w:w="604" w:type="dxa"/>
            <w:tcBorders>
              <w:top w:val="single" w:sz="4" w:space="0" w:color="auto"/>
              <w:bottom w:val="single" w:sz="4" w:space="0" w:color="auto"/>
            </w:tcBorders>
            <w:vAlign w:val="center"/>
          </w:tcPr>
          <w:p w14:paraId="53D05058" w14:textId="654C5FC5" w:rsidR="00FA39E5" w:rsidRPr="0078373E" w:rsidRDefault="00FA39E5" w:rsidP="00FA39E5">
            <w:pPr>
              <w:jc w:val="center"/>
              <w:rPr>
                <w:rFonts w:cs="Times New Roman"/>
                <w:b/>
                <w:sz w:val="20"/>
                <w:szCs w:val="20"/>
              </w:rPr>
            </w:pPr>
            <w:r w:rsidRPr="0078373E">
              <w:rPr>
                <w:rFonts w:cs="Times New Roman"/>
                <w:b/>
                <w:sz w:val="20"/>
                <w:szCs w:val="20"/>
              </w:rPr>
              <w:t>--</w:t>
            </w:r>
          </w:p>
        </w:tc>
        <w:tc>
          <w:tcPr>
            <w:tcW w:w="604" w:type="dxa"/>
            <w:tcBorders>
              <w:top w:val="single" w:sz="4" w:space="0" w:color="auto"/>
              <w:bottom w:val="single" w:sz="4" w:space="0" w:color="auto"/>
            </w:tcBorders>
            <w:vAlign w:val="center"/>
          </w:tcPr>
          <w:p w14:paraId="79A71FB9" w14:textId="3E02F07E" w:rsidR="00FA39E5" w:rsidRPr="0078373E" w:rsidRDefault="00FA39E5" w:rsidP="00FA39E5">
            <w:pPr>
              <w:jc w:val="center"/>
              <w:rPr>
                <w:rFonts w:cs="Times New Roman"/>
                <w:b/>
                <w:sz w:val="20"/>
                <w:szCs w:val="20"/>
              </w:rPr>
            </w:pPr>
            <w:r w:rsidRPr="0078373E">
              <w:rPr>
                <w:rFonts w:cs="Times New Roman"/>
                <w:b/>
                <w:sz w:val="20"/>
                <w:szCs w:val="20"/>
              </w:rPr>
              <w:t>√</w:t>
            </w:r>
          </w:p>
        </w:tc>
        <w:tc>
          <w:tcPr>
            <w:tcW w:w="604" w:type="dxa"/>
            <w:tcBorders>
              <w:top w:val="single" w:sz="4" w:space="0" w:color="auto"/>
              <w:bottom w:val="single" w:sz="4" w:space="0" w:color="auto"/>
            </w:tcBorders>
            <w:vAlign w:val="center"/>
          </w:tcPr>
          <w:p w14:paraId="1B7901A8" w14:textId="11D0E925" w:rsidR="00FA39E5" w:rsidRPr="0078373E" w:rsidRDefault="00FA39E5" w:rsidP="00FA39E5">
            <w:pPr>
              <w:jc w:val="center"/>
              <w:rPr>
                <w:rFonts w:cs="Times New Roman"/>
                <w:b/>
                <w:sz w:val="20"/>
                <w:szCs w:val="20"/>
              </w:rPr>
            </w:pPr>
            <w:r w:rsidRPr="0078373E">
              <w:rPr>
                <w:rFonts w:cs="Times New Roman"/>
                <w:b/>
                <w:sz w:val="20"/>
                <w:szCs w:val="20"/>
              </w:rPr>
              <w:t>--</w:t>
            </w:r>
          </w:p>
        </w:tc>
        <w:tc>
          <w:tcPr>
            <w:tcW w:w="459" w:type="dxa"/>
            <w:tcBorders>
              <w:top w:val="single" w:sz="4" w:space="0" w:color="auto"/>
              <w:bottom w:val="single" w:sz="4" w:space="0" w:color="auto"/>
            </w:tcBorders>
            <w:vAlign w:val="center"/>
          </w:tcPr>
          <w:p w14:paraId="0C4150D8" w14:textId="168CDBFA" w:rsidR="00FA39E5" w:rsidRPr="0078373E" w:rsidRDefault="00FA39E5" w:rsidP="00FA39E5">
            <w:pPr>
              <w:jc w:val="center"/>
              <w:rPr>
                <w:rFonts w:cs="Times New Roman"/>
                <w:b/>
                <w:sz w:val="20"/>
                <w:szCs w:val="20"/>
              </w:rPr>
            </w:pPr>
            <w:r w:rsidRPr="0078373E">
              <w:rPr>
                <w:rFonts w:cs="Times New Roman"/>
                <w:b/>
                <w:sz w:val="20"/>
                <w:szCs w:val="20"/>
              </w:rPr>
              <w:t>--</w:t>
            </w:r>
          </w:p>
        </w:tc>
      </w:tr>
      <w:tr w:rsidR="00494D9E" w:rsidRPr="00D40F8D" w14:paraId="3ECE7169" w14:textId="77777777" w:rsidTr="004601C9">
        <w:trPr>
          <w:trHeight w:val="360"/>
        </w:trPr>
        <w:tc>
          <w:tcPr>
            <w:tcW w:w="1729" w:type="dxa"/>
            <w:tcBorders>
              <w:top w:val="single" w:sz="4" w:space="0" w:color="auto"/>
              <w:bottom w:val="single" w:sz="4" w:space="0" w:color="auto"/>
            </w:tcBorders>
            <w:vAlign w:val="center"/>
          </w:tcPr>
          <w:p w14:paraId="6077C05C" w14:textId="769663D3" w:rsidR="00FA39E5" w:rsidRPr="0078373E" w:rsidRDefault="00FA39E5" w:rsidP="00FA39E5">
            <w:pPr>
              <w:jc w:val="left"/>
              <w:rPr>
                <w:rFonts w:cs="Times New Roman"/>
                <w:sz w:val="20"/>
                <w:szCs w:val="20"/>
              </w:rPr>
            </w:pPr>
            <w:r w:rsidRPr="0078373E">
              <w:rPr>
                <w:rFonts w:cs="Times New Roman"/>
                <w:sz w:val="20"/>
                <w:szCs w:val="20"/>
              </w:rPr>
              <w:fldChar w:fldCharType="begin" w:fldLock="1"/>
            </w:r>
            <w:r>
              <w:rPr>
                <w:rFonts w:cs="Times New Roman"/>
                <w:sz w:val="20"/>
                <w:szCs w:val="20"/>
              </w:rPr>
              <w:instrText>ADDIN CSL_CITATION {"citationItems":[{"id":"ITEM-1","itemData":{"DOI":"10.1016/j.amar.2018.06.001","ISBN":"1133715060","ISSN":"22136657","abstract":"In recent years, there is growing recognition that common unobserved factors that influence crash frequency by one attribute level are also likely to influence crash frequency by other attribute levels. The most common approach employed to address the potential unobserved heterogeneity in safety literature is the development of multivariate crash frequency models. The current study proposes an alternative joint econometric framework to accommodate for the presence of unobserved heterogeneity – referred to as joint negative binomial-multinomial logit fractional split (NB-MNLFS) model. Furthermore, the study undertakes a first of its kind comparison exercise between the most commonly used multivariate model (multivariate random parameter negative binomial model) and the proposed joint approach by generating an equivalent log-likelihood measure. The empirical analysis is based on the zonal level crash count data for different collision types from the state of Florida for the year 2015. The model results highlight the presence of common unobserved effects affecting the two components of the joint model as well as the presence of parameter heterogeneity. The equivalent log-likelihood and goodness of fit measures clearly highlight the comparable performance offered by the proposed joint model relative to the commonly used multivariate approach. Overall, the model interpretations and fit measures clearly highlight the potential complementary role of the proposed approach for crash frequency analyses.","author":[{"dropping-particle":"","family":"Bhowmik","given":"Tanmoy","non-dropping-particle":"","parse-names":false,"suffix":""},{"dropping-particle":"","family":"Yasmin","given":"Shamsunnahar","non-dropping-particle":"","parse-names":false,"suffix":""},{"dropping-particle":"","family":"Eluru","given":"Naveen","non-dropping-particle":"","parse-names":false,"suffix":""}],"container-title":"Analytic Methods in Accident Research","id":"ITEM-1","issue":"3","issued":{"date-parts":[["2018"]]},"page":"16-32","title":"A joint econometric approach for modeling crash counts by collision type","type":"article-journal","volume":"19"},"uris":["http://www.mendeley.com/documents/?uuid=2e823530-c053-4dd9-8697-5f3f0ab9e0b4"]}],"mendeley":{"formattedCitation":"(Bhowmik et al., 2018)","plainTextFormattedCitation":"(Bhowmik et al., 2018)","previouslyFormattedCitation":"(Bhowmik et al., 2018)"},"properties":{"noteIndex":0},"schema":"https://github.com/citation-style-language/schema/raw/master/csl-citation.json"}</w:instrText>
            </w:r>
            <w:r w:rsidRPr="0078373E">
              <w:rPr>
                <w:rFonts w:cs="Times New Roman"/>
                <w:sz w:val="20"/>
                <w:szCs w:val="20"/>
              </w:rPr>
              <w:fldChar w:fldCharType="separate"/>
            </w:r>
            <w:r w:rsidRPr="006454BB">
              <w:rPr>
                <w:rFonts w:cs="Times New Roman"/>
                <w:noProof/>
                <w:sz w:val="20"/>
                <w:szCs w:val="20"/>
              </w:rPr>
              <w:t>(Bhowmik et al., 2018)</w:t>
            </w:r>
            <w:r w:rsidRPr="0078373E">
              <w:rPr>
                <w:rFonts w:cs="Times New Roman"/>
                <w:sz w:val="20"/>
                <w:szCs w:val="20"/>
              </w:rPr>
              <w:fldChar w:fldCharType="end"/>
            </w:r>
          </w:p>
        </w:tc>
        <w:tc>
          <w:tcPr>
            <w:tcW w:w="1238" w:type="dxa"/>
            <w:tcBorders>
              <w:top w:val="single" w:sz="4" w:space="0" w:color="auto"/>
              <w:bottom w:val="single" w:sz="4" w:space="0" w:color="auto"/>
            </w:tcBorders>
            <w:vAlign w:val="center"/>
          </w:tcPr>
          <w:p w14:paraId="6D1B6655" w14:textId="02809FD3" w:rsidR="00FA39E5" w:rsidRPr="0078373E" w:rsidRDefault="00FA39E5" w:rsidP="00FA39E5">
            <w:pPr>
              <w:jc w:val="center"/>
              <w:rPr>
                <w:rFonts w:cs="Times New Roman"/>
                <w:sz w:val="20"/>
                <w:szCs w:val="20"/>
                <w:lang w:val="en-US"/>
              </w:rPr>
            </w:pPr>
            <w:r w:rsidRPr="0078373E">
              <w:rPr>
                <w:rFonts w:cs="Times New Roman"/>
                <w:sz w:val="20"/>
                <w:szCs w:val="20"/>
                <w:lang w:val="en-US"/>
              </w:rPr>
              <w:t>STAZ (Macro)</w:t>
            </w:r>
          </w:p>
        </w:tc>
        <w:tc>
          <w:tcPr>
            <w:tcW w:w="1416" w:type="dxa"/>
            <w:tcBorders>
              <w:top w:val="single" w:sz="4" w:space="0" w:color="auto"/>
              <w:bottom w:val="single" w:sz="4" w:space="0" w:color="auto"/>
            </w:tcBorders>
            <w:vAlign w:val="center"/>
          </w:tcPr>
          <w:p w14:paraId="1B801308" w14:textId="77777777" w:rsidR="00FA39E5" w:rsidRPr="0078373E" w:rsidRDefault="00FA39E5" w:rsidP="00FA39E5">
            <w:pPr>
              <w:jc w:val="center"/>
              <w:rPr>
                <w:rFonts w:cs="Times New Roman"/>
                <w:sz w:val="20"/>
                <w:szCs w:val="20"/>
                <w:lang w:val="en-US"/>
              </w:rPr>
            </w:pPr>
            <w:r w:rsidRPr="0078373E">
              <w:rPr>
                <w:rFonts w:cs="Times New Roman"/>
                <w:sz w:val="20"/>
                <w:szCs w:val="20"/>
                <w:lang w:val="en-US"/>
              </w:rPr>
              <w:t>State</w:t>
            </w:r>
          </w:p>
          <w:p w14:paraId="4F31ADB5" w14:textId="1B66E849" w:rsidR="00FA39E5" w:rsidRPr="0078373E" w:rsidRDefault="00FA39E5" w:rsidP="00FA39E5">
            <w:pPr>
              <w:jc w:val="center"/>
              <w:rPr>
                <w:rFonts w:cs="Times New Roman"/>
                <w:sz w:val="20"/>
                <w:szCs w:val="20"/>
                <w:lang w:val="en-US"/>
              </w:rPr>
            </w:pPr>
            <w:r w:rsidRPr="0078373E">
              <w:rPr>
                <w:rFonts w:cs="Times New Roman"/>
                <w:sz w:val="20"/>
                <w:szCs w:val="20"/>
                <w:lang w:val="en-US"/>
              </w:rPr>
              <w:t>(Florida)</w:t>
            </w:r>
          </w:p>
        </w:tc>
        <w:tc>
          <w:tcPr>
            <w:tcW w:w="1089" w:type="dxa"/>
            <w:tcBorders>
              <w:top w:val="single" w:sz="4" w:space="0" w:color="auto"/>
              <w:bottom w:val="single" w:sz="4" w:space="0" w:color="auto"/>
            </w:tcBorders>
            <w:vAlign w:val="center"/>
          </w:tcPr>
          <w:p w14:paraId="3FE1E912" w14:textId="55EA02D9" w:rsidR="00FA39E5" w:rsidRPr="0078373E" w:rsidRDefault="00FA39E5" w:rsidP="00FA39E5">
            <w:pPr>
              <w:jc w:val="center"/>
              <w:rPr>
                <w:rFonts w:cs="Times New Roman"/>
                <w:sz w:val="20"/>
                <w:szCs w:val="20"/>
              </w:rPr>
            </w:pPr>
            <w:r w:rsidRPr="0078373E">
              <w:rPr>
                <w:rFonts w:cs="Times New Roman"/>
                <w:sz w:val="20"/>
                <w:szCs w:val="20"/>
              </w:rPr>
              <w:t>Motorized crash</w:t>
            </w:r>
          </w:p>
        </w:tc>
        <w:tc>
          <w:tcPr>
            <w:tcW w:w="2061" w:type="dxa"/>
            <w:tcBorders>
              <w:top w:val="single" w:sz="4" w:space="0" w:color="auto"/>
              <w:bottom w:val="single" w:sz="4" w:space="0" w:color="auto"/>
            </w:tcBorders>
            <w:vAlign w:val="center"/>
          </w:tcPr>
          <w:p w14:paraId="58B73C17" w14:textId="0D7C1FDE" w:rsidR="00FA39E5" w:rsidRPr="0078373E" w:rsidRDefault="00FA39E5" w:rsidP="00FA39E5">
            <w:pPr>
              <w:jc w:val="left"/>
              <w:rPr>
                <w:rFonts w:cs="Times New Roman"/>
                <w:sz w:val="20"/>
                <w:szCs w:val="20"/>
              </w:rPr>
            </w:pPr>
            <w:r w:rsidRPr="0078373E">
              <w:rPr>
                <w:rFonts w:cs="Times New Roman"/>
                <w:sz w:val="20"/>
                <w:szCs w:val="20"/>
              </w:rPr>
              <w:t>8 (rear-end, angular, sideswipe, head-on, single vehicle, off-road, rollover and others)</w:t>
            </w:r>
          </w:p>
        </w:tc>
        <w:tc>
          <w:tcPr>
            <w:tcW w:w="1998" w:type="dxa"/>
            <w:tcBorders>
              <w:top w:val="single" w:sz="4" w:space="0" w:color="auto"/>
              <w:bottom w:val="single" w:sz="4" w:space="0" w:color="auto"/>
            </w:tcBorders>
            <w:vAlign w:val="center"/>
          </w:tcPr>
          <w:p w14:paraId="0889356C" w14:textId="6DDF43BD" w:rsidR="00FA39E5" w:rsidRPr="0078373E" w:rsidRDefault="00FA39E5" w:rsidP="00FA39E5">
            <w:pPr>
              <w:jc w:val="left"/>
              <w:rPr>
                <w:rFonts w:cs="Times New Roman"/>
                <w:sz w:val="20"/>
                <w:szCs w:val="20"/>
                <w:lang w:val="en-US"/>
              </w:rPr>
            </w:pPr>
            <w:r w:rsidRPr="0078373E">
              <w:rPr>
                <w:rFonts w:cs="Times New Roman"/>
                <w:sz w:val="20"/>
                <w:szCs w:val="20"/>
                <w:lang w:val="en-US"/>
              </w:rPr>
              <w:t>Multivariate negative binomial model, multinomial fractional split model</w:t>
            </w:r>
          </w:p>
        </w:tc>
        <w:tc>
          <w:tcPr>
            <w:tcW w:w="652" w:type="dxa"/>
            <w:tcBorders>
              <w:top w:val="single" w:sz="4" w:space="0" w:color="auto"/>
              <w:bottom w:val="single" w:sz="4" w:space="0" w:color="auto"/>
            </w:tcBorders>
            <w:vAlign w:val="center"/>
          </w:tcPr>
          <w:p w14:paraId="12D31567" w14:textId="29369D6D" w:rsidR="00FA39E5" w:rsidRPr="0078373E" w:rsidRDefault="00FA39E5" w:rsidP="00FA39E5">
            <w:pPr>
              <w:jc w:val="center"/>
              <w:rPr>
                <w:rFonts w:cs="Times New Roman"/>
                <w:b/>
                <w:sz w:val="20"/>
                <w:szCs w:val="20"/>
              </w:rPr>
            </w:pPr>
            <w:r w:rsidRPr="0078373E">
              <w:rPr>
                <w:rFonts w:cs="Times New Roman"/>
                <w:b/>
                <w:sz w:val="20"/>
                <w:szCs w:val="20"/>
              </w:rPr>
              <w:t>√</w:t>
            </w:r>
          </w:p>
        </w:tc>
        <w:tc>
          <w:tcPr>
            <w:tcW w:w="459" w:type="dxa"/>
            <w:tcBorders>
              <w:top w:val="single" w:sz="4" w:space="0" w:color="auto"/>
              <w:bottom w:val="single" w:sz="4" w:space="0" w:color="auto"/>
            </w:tcBorders>
            <w:vAlign w:val="center"/>
          </w:tcPr>
          <w:p w14:paraId="46E8C77D" w14:textId="2F422A80" w:rsidR="00FA39E5" w:rsidRPr="0078373E" w:rsidRDefault="00FA39E5" w:rsidP="00FA39E5">
            <w:pPr>
              <w:jc w:val="center"/>
              <w:rPr>
                <w:rFonts w:cs="Times New Roman"/>
                <w:b/>
                <w:sz w:val="20"/>
                <w:szCs w:val="20"/>
              </w:rPr>
            </w:pPr>
            <w:r w:rsidRPr="0078373E">
              <w:rPr>
                <w:rFonts w:cs="Times New Roman"/>
                <w:b/>
                <w:sz w:val="20"/>
                <w:szCs w:val="20"/>
              </w:rPr>
              <w:t>√</w:t>
            </w:r>
          </w:p>
        </w:tc>
        <w:tc>
          <w:tcPr>
            <w:tcW w:w="604" w:type="dxa"/>
            <w:tcBorders>
              <w:top w:val="single" w:sz="4" w:space="0" w:color="auto"/>
              <w:bottom w:val="single" w:sz="4" w:space="0" w:color="auto"/>
            </w:tcBorders>
            <w:vAlign w:val="center"/>
          </w:tcPr>
          <w:p w14:paraId="6B39F3A7" w14:textId="18654A6B" w:rsidR="00FA39E5" w:rsidRPr="0078373E" w:rsidRDefault="00FA39E5" w:rsidP="00FA39E5">
            <w:pPr>
              <w:jc w:val="center"/>
              <w:rPr>
                <w:rFonts w:cs="Times New Roman"/>
                <w:b/>
                <w:sz w:val="20"/>
                <w:szCs w:val="20"/>
              </w:rPr>
            </w:pPr>
            <w:r w:rsidRPr="0078373E">
              <w:rPr>
                <w:rFonts w:cs="Times New Roman"/>
                <w:b/>
                <w:sz w:val="20"/>
                <w:szCs w:val="20"/>
              </w:rPr>
              <w:t>√</w:t>
            </w:r>
          </w:p>
        </w:tc>
        <w:tc>
          <w:tcPr>
            <w:tcW w:w="604" w:type="dxa"/>
            <w:tcBorders>
              <w:top w:val="single" w:sz="4" w:space="0" w:color="auto"/>
              <w:bottom w:val="single" w:sz="4" w:space="0" w:color="auto"/>
            </w:tcBorders>
            <w:vAlign w:val="center"/>
          </w:tcPr>
          <w:p w14:paraId="2945476E" w14:textId="00E49D27" w:rsidR="00FA39E5" w:rsidRPr="0078373E" w:rsidRDefault="00FA39E5" w:rsidP="00FA39E5">
            <w:pPr>
              <w:jc w:val="center"/>
              <w:rPr>
                <w:rFonts w:cs="Times New Roman"/>
                <w:b/>
                <w:sz w:val="20"/>
                <w:szCs w:val="20"/>
              </w:rPr>
            </w:pPr>
            <w:r w:rsidRPr="0078373E">
              <w:rPr>
                <w:rFonts w:cs="Times New Roman"/>
                <w:b/>
                <w:sz w:val="20"/>
                <w:szCs w:val="20"/>
              </w:rPr>
              <w:t>√</w:t>
            </w:r>
          </w:p>
        </w:tc>
        <w:tc>
          <w:tcPr>
            <w:tcW w:w="604" w:type="dxa"/>
            <w:tcBorders>
              <w:top w:val="single" w:sz="4" w:space="0" w:color="auto"/>
              <w:bottom w:val="single" w:sz="4" w:space="0" w:color="auto"/>
            </w:tcBorders>
            <w:vAlign w:val="center"/>
          </w:tcPr>
          <w:p w14:paraId="61D200E1" w14:textId="5D6D9012" w:rsidR="00FA39E5" w:rsidRPr="0078373E" w:rsidRDefault="00FA39E5" w:rsidP="00FA39E5">
            <w:pPr>
              <w:jc w:val="center"/>
              <w:rPr>
                <w:rFonts w:cs="Times New Roman"/>
                <w:b/>
                <w:sz w:val="20"/>
                <w:szCs w:val="20"/>
              </w:rPr>
            </w:pPr>
            <w:r w:rsidRPr="0078373E">
              <w:rPr>
                <w:rFonts w:cs="Times New Roman"/>
                <w:b/>
                <w:sz w:val="20"/>
                <w:szCs w:val="20"/>
              </w:rPr>
              <w:t>--</w:t>
            </w:r>
          </w:p>
        </w:tc>
        <w:tc>
          <w:tcPr>
            <w:tcW w:w="459" w:type="dxa"/>
            <w:tcBorders>
              <w:top w:val="single" w:sz="4" w:space="0" w:color="auto"/>
              <w:bottom w:val="single" w:sz="4" w:space="0" w:color="auto"/>
            </w:tcBorders>
            <w:vAlign w:val="center"/>
          </w:tcPr>
          <w:p w14:paraId="5078A13D" w14:textId="4F3CF781" w:rsidR="00FA39E5" w:rsidRPr="0078373E" w:rsidRDefault="00FA39E5" w:rsidP="00FA39E5">
            <w:pPr>
              <w:jc w:val="center"/>
              <w:rPr>
                <w:rFonts w:cs="Times New Roman"/>
                <w:b/>
                <w:sz w:val="20"/>
                <w:szCs w:val="20"/>
              </w:rPr>
            </w:pPr>
            <w:r w:rsidRPr="0078373E">
              <w:rPr>
                <w:rFonts w:cs="Times New Roman"/>
                <w:b/>
                <w:sz w:val="20"/>
                <w:szCs w:val="20"/>
              </w:rPr>
              <w:t>--</w:t>
            </w:r>
          </w:p>
        </w:tc>
      </w:tr>
      <w:tr w:rsidR="00494D9E" w:rsidRPr="00D40F8D" w14:paraId="5EC4C005" w14:textId="77777777" w:rsidTr="004601C9">
        <w:trPr>
          <w:trHeight w:val="360"/>
        </w:trPr>
        <w:tc>
          <w:tcPr>
            <w:tcW w:w="1729" w:type="dxa"/>
            <w:tcBorders>
              <w:top w:val="single" w:sz="4" w:space="0" w:color="auto"/>
              <w:bottom w:val="single" w:sz="4" w:space="0" w:color="auto"/>
            </w:tcBorders>
            <w:vAlign w:val="center"/>
          </w:tcPr>
          <w:p w14:paraId="306B89BD" w14:textId="74B3274E" w:rsidR="00184FB6" w:rsidRPr="0078373E" w:rsidRDefault="00184FB6" w:rsidP="00184FB6">
            <w:pPr>
              <w:jc w:val="left"/>
              <w:rPr>
                <w:rFonts w:cs="Times New Roman"/>
                <w:sz w:val="20"/>
                <w:szCs w:val="20"/>
              </w:rPr>
            </w:pPr>
            <w:r>
              <w:rPr>
                <w:rFonts w:cs="Times New Roman"/>
                <w:sz w:val="20"/>
                <w:szCs w:val="20"/>
              </w:rPr>
              <w:fldChar w:fldCharType="begin" w:fldLock="1"/>
            </w:r>
            <w:r w:rsidR="008323B7">
              <w:rPr>
                <w:rFonts w:cs="Times New Roman"/>
                <w:sz w:val="20"/>
                <w:szCs w:val="20"/>
              </w:rPr>
              <w:instrText>ADDIN CSL_CITATION {"citationItems":[{"id":"ITEM-1","itemData":{"DOI":"10.1016/j.aap.2018.05.003","ISSN":"00014575","PMID":"29861069","abstract":"According to crash configuration and pre-crash conditions, traffic crashes are classified into different collision types. Based on the literature, multi-vehicle crashes, such as head-on, rear-end, and angle crashes, are more frequent than single-vehicle crashes, and most often result in serious consequences. From a methodological point of view, the majority of prior studies focused on multivehicle collisions have employed univariate count models to estimate crash counts separately by collision type. However, univariate models fail to account for correlations which may exist between different collision types. Among others, multivariate Poisson lognormal (MVPLN) model with spatial correlation is a promising multivariate specification because it not only allows for unobserved heterogeneity (extra-Poisson variation) and dependencies between collision types, but also spatial correlation between adjacent sites. However, the MVPLN spatial model has rarely been applied in previous research for simultaneously modelling crash counts by collision type. Therefore, this study aims at utilizing a MVPLN spatial model to estimate crash counts for four different multi-vehicle collision types, including head-on, rear-end, angle, and sideswipe collisions. To investigate the performance of the MVPLN spatial model, a two-stage model and a univariate Poisson lognormal model (UNPLN) spatial model were also developed in this study. Detailed information on roadway characteristics, traffic volume, and crash history were collected on 407 homogeneous segments from Malaysian federal roads. The results indicate that the MVPLN spatial model outperforms the other comparing models in terms of goodness-of-fit measures. The results also show that the inclusion of spatial heterogeneity in the multivariate model significantly improves the model fit, as indicated by the Deviance Information Criterion (DIC). The correlation between crash types is high and positive, implying that the occurrence of a specific collision type is highly associated with the occurrence of other crash types on the same road segment. These results support the utilization of the MVPLN spatial model when predicting crash counts by collision manner. In terms of contributing factors, the results show that distinct crash types are attributed to different subsets of explanatory variables.","author":[{"dropping-particle":"","family":"Hosseinpour","given":"Mehdi","non-dropping-particle":"","parse-names":false,"suffix":""},{"dropping-particle":"","family":"Sahebi","given":"Sina","non-dropping-particle":"","parse-names":false,"suffix":""},{"dropping-particle":"","family":"Zamzuri","given":"Zamira Hasanah","non-dropping-particle":"","parse-names":false,"suffix":""},{"dropping-particle":"","family":"Yahaya","given":"Ahmad Shukri","non-dropping-particle":"","parse-names":false,"suffix":""},{"dropping-particle":"","family":"Ismail","given":"Noriszura","non-dropping-particle":"","parse-names":false,"suffix":""}],"container-title":"Accident Analysis and Prevention","id":"ITEM-1","issued":{"date-parts":[["2018"]]},"page":"277-288","title":"Predicting crash frequency for multi-vehicle collision types using multivariate Poisson-lognormal spatial model: A comparative analysis","type":"article-journal","volume":"118"},"uris":["http://www.mendeley.com/documents/?uuid=516321a7-f1cb-4ead-b94d-f152b4e08160"]}],"mendeley":{"formattedCitation":"(Hosseinpour et al., 2018)","plainTextFormattedCitation":"(Hosseinpour et al., 2018)","previouslyFormattedCitation":"(Hosseinpour et al., 2018)"},"properties":{"noteIndex":0},"schema":"https://github.com/citation-style-language/schema/raw/master/csl-citation.json"}</w:instrText>
            </w:r>
            <w:r>
              <w:rPr>
                <w:rFonts w:cs="Times New Roman"/>
                <w:sz w:val="20"/>
                <w:szCs w:val="20"/>
              </w:rPr>
              <w:fldChar w:fldCharType="separate"/>
            </w:r>
            <w:r w:rsidRPr="00824888">
              <w:rPr>
                <w:rFonts w:cs="Times New Roman"/>
                <w:noProof/>
                <w:sz w:val="20"/>
                <w:szCs w:val="20"/>
              </w:rPr>
              <w:t>(Hosseinpour et al., 2018)</w:t>
            </w:r>
            <w:r>
              <w:rPr>
                <w:rFonts w:cs="Times New Roman"/>
                <w:sz w:val="20"/>
                <w:szCs w:val="20"/>
              </w:rPr>
              <w:fldChar w:fldCharType="end"/>
            </w:r>
          </w:p>
        </w:tc>
        <w:tc>
          <w:tcPr>
            <w:tcW w:w="1238" w:type="dxa"/>
            <w:tcBorders>
              <w:top w:val="single" w:sz="4" w:space="0" w:color="auto"/>
              <w:bottom w:val="single" w:sz="4" w:space="0" w:color="auto"/>
            </w:tcBorders>
            <w:vAlign w:val="center"/>
          </w:tcPr>
          <w:p w14:paraId="288FD374" w14:textId="04902974" w:rsidR="00184FB6" w:rsidRPr="0078373E" w:rsidRDefault="0060151A" w:rsidP="00184FB6">
            <w:pPr>
              <w:jc w:val="center"/>
              <w:rPr>
                <w:rFonts w:cs="Times New Roman"/>
                <w:sz w:val="20"/>
                <w:szCs w:val="20"/>
                <w:lang w:val="en-US"/>
              </w:rPr>
            </w:pPr>
            <w:r>
              <w:rPr>
                <w:rFonts w:cs="Times New Roman"/>
                <w:sz w:val="20"/>
                <w:szCs w:val="20"/>
                <w:lang w:val="en-US"/>
              </w:rPr>
              <w:t>Road segments (micro)</w:t>
            </w:r>
          </w:p>
        </w:tc>
        <w:tc>
          <w:tcPr>
            <w:tcW w:w="1416" w:type="dxa"/>
            <w:tcBorders>
              <w:top w:val="single" w:sz="4" w:space="0" w:color="auto"/>
              <w:bottom w:val="single" w:sz="4" w:space="0" w:color="auto"/>
            </w:tcBorders>
            <w:vAlign w:val="center"/>
          </w:tcPr>
          <w:p w14:paraId="6658CC37" w14:textId="273E6A8C" w:rsidR="00184FB6" w:rsidRPr="0078373E" w:rsidRDefault="0060151A" w:rsidP="00184FB6">
            <w:pPr>
              <w:jc w:val="center"/>
              <w:rPr>
                <w:rFonts w:cs="Times New Roman"/>
                <w:sz w:val="20"/>
                <w:szCs w:val="20"/>
                <w:lang w:val="en-US"/>
              </w:rPr>
            </w:pPr>
            <w:r>
              <w:rPr>
                <w:rFonts w:cs="Times New Roman"/>
                <w:sz w:val="20"/>
                <w:szCs w:val="20"/>
                <w:lang w:val="en-US"/>
              </w:rPr>
              <w:t>Nation (Malaysia)</w:t>
            </w:r>
          </w:p>
        </w:tc>
        <w:tc>
          <w:tcPr>
            <w:tcW w:w="1089" w:type="dxa"/>
            <w:tcBorders>
              <w:top w:val="single" w:sz="4" w:space="0" w:color="auto"/>
              <w:bottom w:val="single" w:sz="4" w:space="0" w:color="auto"/>
            </w:tcBorders>
            <w:vAlign w:val="center"/>
          </w:tcPr>
          <w:p w14:paraId="36119D3B" w14:textId="745C0D0B" w:rsidR="00184FB6" w:rsidRPr="0078373E" w:rsidRDefault="00FA4D39" w:rsidP="00184FB6">
            <w:pPr>
              <w:jc w:val="center"/>
              <w:rPr>
                <w:rFonts w:cs="Times New Roman"/>
                <w:sz w:val="20"/>
                <w:szCs w:val="20"/>
              </w:rPr>
            </w:pPr>
            <w:r w:rsidRPr="0078373E">
              <w:rPr>
                <w:rFonts w:cs="Times New Roman"/>
                <w:sz w:val="20"/>
                <w:szCs w:val="20"/>
              </w:rPr>
              <w:t>Motorized crash</w:t>
            </w:r>
          </w:p>
        </w:tc>
        <w:tc>
          <w:tcPr>
            <w:tcW w:w="2061" w:type="dxa"/>
            <w:tcBorders>
              <w:top w:val="single" w:sz="4" w:space="0" w:color="auto"/>
              <w:bottom w:val="single" w:sz="4" w:space="0" w:color="auto"/>
            </w:tcBorders>
            <w:vAlign w:val="center"/>
          </w:tcPr>
          <w:p w14:paraId="5CC9BB2C" w14:textId="5DD6940B" w:rsidR="00184FB6" w:rsidRPr="0078373E" w:rsidRDefault="00184FB6" w:rsidP="00184FB6">
            <w:pPr>
              <w:jc w:val="left"/>
              <w:rPr>
                <w:rFonts w:cs="Times New Roman"/>
                <w:sz w:val="20"/>
                <w:szCs w:val="20"/>
              </w:rPr>
            </w:pPr>
            <w:r>
              <w:rPr>
                <w:rFonts w:cs="Times New Roman"/>
                <w:sz w:val="20"/>
                <w:szCs w:val="20"/>
              </w:rPr>
              <w:t>4 (</w:t>
            </w:r>
            <w:r w:rsidRPr="00184FB6">
              <w:rPr>
                <w:rFonts w:cs="Times New Roman"/>
                <w:sz w:val="20"/>
                <w:szCs w:val="20"/>
              </w:rPr>
              <w:t>head-on, rear-end, angle, and sideswipe</w:t>
            </w:r>
            <w:r>
              <w:rPr>
                <w:rFonts w:cs="Times New Roman"/>
                <w:sz w:val="20"/>
                <w:szCs w:val="20"/>
              </w:rPr>
              <w:t>)</w:t>
            </w:r>
          </w:p>
        </w:tc>
        <w:tc>
          <w:tcPr>
            <w:tcW w:w="1998" w:type="dxa"/>
            <w:tcBorders>
              <w:top w:val="single" w:sz="4" w:space="0" w:color="auto"/>
              <w:bottom w:val="single" w:sz="4" w:space="0" w:color="auto"/>
            </w:tcBorders>
            <w:vAlign w:val="center"/>
          </w:tcPr>
          <w:p w14:paraId="421E5F8D" w14:textId="4F890EE0" w:rsidR="00184FB6" w:rsidRPr="0078373E" w:rsidRDefault="00184FB6" w:rsidP="00184FB6">
            <w:pPr>
              <w:jc w:val="left"/>
              <w:rPr>
                <w:rFonts w:cs="Times New Roman"/>
                <w:sz w:val="20"/>
                <w:szCs w:val="20"/>
                <w:lang w:val="en-US"/>
              </w:rPr>
            </w:pPr>
            <w:r w:rsidRPr="0078373E">
              <w:rPr>
                <w:rFonts w:cs="Times New Roman"/>
                <w:sz w:val="20"/>
                <w:szCs w:val="20"/>
                <w:lang w:val="en-US"/>
              </w:rPr>
              <w:t>Multivariate Poisson regression model</w:t>
            </w:r>
          </w:p>
        </w:tc>
        <w:tc>
          <w:tcPr>
            <w:tcW w:w="652" w:type="dxa"/>
            <w:tcBorders>
              <w:top w:val="single" w:sz="4" w:space="0" w:color="auto"/>
              <w:bottom w:val="single" w:sz="4" w:space="0" w:color="auto"/>
            </w:tcBorders>
            <w:vAlign w:val="center"/>
          </w:tcPr>
          <w:p w14:paraId="22447286" w14:textId="6AF7F99A" w:rsidR="00184FB6" w:rsidRPr="0078373E" w:rsidRDefault="00184FB6" w:rsidP="00184FB6">
            <w:pPr>
              <w:jc w:val="center"/>
              <w:rPr>
                <w:rFonts w:cs="Times New Roman"/>
                <w:b/>
                <w:sz w:val="20"/>
                <w:szCs w:val="20"/>
              </w:rPr>
            </w:pPr>
            <w:r w:rsidRPr="0078373E">
              <w:rPr>
                <w:rFonts w:cs="Times New Roman"/>
                <w:b/>
                <w:sz w:val="20"/>
                <w:szCs w:val="20"/>
              </w:rPr>
              <w:t>√</w:t>
            </w:r>
          </w:p>
        </w:tc>
        <w:tc>
          <w:tcPr>
            <w:tcW w:w="459" w:type="dxa"/>
            <w:tcBorders>
              <w:top w:val="single" w:sz="4" w:space="0" w:color="auto"/>
              <w:bottom w:val="single" w:sz="4" w:space="0" w:color="auto"/>
            </w:tcBorders>
            <w:vAlign w:val="center"/>
          </w:tcPr>
          <w:p w14:paraId="36EA5167" w14:textId="462F8759" w:rsidR="00184FB6" w:rsidRPr="0078373E" w:rsidRDefault="00184FB6" w:rsidP="00184FB6">
            <w:pPr>
              <w:jc w:val="center"/>
              <w:rPr>
                <w:rFonts w:cs="Times New Roman"/>
                <w:b/>
                <w:sz w:val="20"/>
                <w:szCs w:val="20"/>
              </w:rPr>
            </w:pPr>
            <w:r w:rsidRPr="00611D69">
              <w:rPr>
                <w:rFonts w:cs="Times New Roman"/>
                <w:b/>
                <w:sz w:val="20"/>
                <w:szCs w:val="20"/>
              </w:rPr>
              <w:t>--</w:t>
            </w:r>
          </w:p>
        </w:tc>
        <w:tc>
          <w:tcPr>
            <w:tcW w:w="604" w:type="dxa"/>
            <w:tcBorders>
              <w:top w:val="single" w:sz="4" w:space="0" w:color="auto"/>
              <w:bottom w:val="single" w:sz="4" w:space="0" w:color="auto"/>
            </w:tcBorders>
            <w:vAlign w:val="center"/>
          </w:tcPr>
          <w:p w14:paraId="5641A446" w14:textId="28684BA8" w:rsidR="00184FB6" w:rsidRPr="0078373E" w:rsidRDefault="00184FB6" w:rsidP="00184FB6">
            <w:pPr>
              <w:jc w:val="center"/>
              <w:rPr>
                <w:rFonts w:cs="Times New Roman"/>
                <w:b/>
                <w:sz w:val="20"/>
                <w:szCs w:val="20"/>
              </w:rPr>
            </w:pPr>
            <w:r w:rsidRPr="00611D69">
              <w:rPr>
                <w:rFonts w:cs="Times New Roman"/>
                <w:b/>
                <w:sz w:val="20"/>
                <w:szCs w:val="20"/>
              </w:rPr>
              <w:t>--</w:t>
            </w:r>
          </w:p>
        </w:tc>
        <w:tc>
          <w:tcPr>
            <w:tcW w:w="604" w:type="dxa"/>
            <w:tcBorders>
              <w:top w:val="single" w:sz="4" w:space="0" w:color="auto"/>
              <w:bottom w:val="single" w:sz="4" w:space="0" w:color="auto"/>
            </w:tcBorders>
            <w:vAlign w:val="center"/>
          </w:tcPr>
          <w:p w14:paraId="2F47F2B0" w14:textId="442B3C34" w:rsidR="00184FB6" w:rsidRPr="0078373E" w:rsidRDefault="00184FB6" w:rsidP="00184FB6">
            <w:pPr>
              <w:jc w:val="center"/>
              <w:rPr>
                <w:rFonts w:cs="Times New Roman"/>
                <w:b/>
                <w:sz w:val="20"/>
                <w:szCs w:val="20"/>
              </w:rPr>
            </w:pPr>
            <w:r w:rsidRPr="0078373E">
              <w:rPr>
                <w:rFonts w:cs="Times New Roman"/>
                <w:b/>
                <w:sz w:val="20"/>
                <w:szCs w:val="20"/>
              </w:rPr>
              <w:t>√</w:t>
            </w:r>
          </w:p>
        </w:tc>
        <w:tc>
          <w:tcPr>
            <w:tcW w:w="604" w:type="dxa"/>
            <w:tcBorders>
              <w:top w:val="single" w:sz="4" w:space="0" w:color="auto"/>
              <w:bottom w:val="single" w:sz="4" w:space="0" w:color="auto"/>
            </w:tcBorders>
            <w:vAlign w:val="center"/>
          </w:tcPr>
          <w:p w14:paraId="76361AEF" w14:textId="49B17E5E" w:rsidR="00184FB6" w:rsidRPr="0078373E" w:rsidRDefault="00184FB6" w:rsidP="00184FB6">
            <w:pPr>
              <w:jc w:val="center"/>
              <w:rPr>
                <w:rFonts w:cs="Times New Roman"/>
                <w:b/>
                <w:sz w:val="20"/>
                <w:szCs w:val="20"/>
              </w:rPr>
            </w:pPr>
            <w:r w:rsidRPr="000C126B">
              <w:rPr>
                <w:rFonts w:cs="Times New Roman"/>
                <w:b/>
                <w:sz w:val="20"/>
                <w:szCs w:val="20"/>
              </w:rPr>
              <w:t>--</w:t>
            </w:r>
          </w:p>
        </w:tc>
        <w:tc>
          <w:tcPr>
            <w:tcW w:w="459" w:type="dxa"/>
            <w:tcBorders>
              <w:top w:val="single" w:sz="4" w:space="0" w:color="auto"/>
              <w:bottom w:val="single" w:sz="4" w:space="0" w:color="auto"/>
            </w:tcBorders>
            <w:vAlign w:val="center"/>
          </w:tcPr>
          <w:p w14:paraId="14B42A3A" w14:textId="3949B012" w:rsidR="00184FB6" w:rsidRPr="0078373E" w:rsidRDefault="00184FB6" w:rsidP="00184FB6">
            <w:pPr>
              <w:jc w:val="center"/>
              <w:rPr>
                <w:rFonts w:cs="Times New Roman"/>
                <w:b/>
                <w:sz w:val="20"/>
                <w:szCs w:val="20"/>
              </w:rPr>
            </w:pPr>
            <w:r w:rsidRPr="000C126B">
              <w:rPr>
                <w:rFonts w:cs="Times New Roman"/>
                <w:b/>
                <w:sz w:val="20"/>
                <w:szCs w:val="20"/>
              </w:rPr>
              <w:t>--</w:t>
            </w:r>
          </w:p>
        </w:tc>
      </w:tr>
      <w:tr w:rsidR="00494D9E" w:rsidRPr="00D40F8D" w14:paraId="36AE91D5" w14:textId="77777777" w:rsidTr="009C21FC">
        <w:trPr>
          <w:trHeight w:val="360"/>
        </w:trPr>
        <w:tc>
          <w:tcPr>
            <w:tcW w:w="1729" w:type="dxa"/>
            <w:tcBorders>
              <w:top w:val="single" w:sz="4" w:space="0" w:color="auto"/>
              <w:bottom w:val="single" w:sz="4" w:space="0" w:color="auto"/>
            </w:tcBorders>
            <w:vAlign w:val="center"/>
          </w:tcPr>
          <w:p w14:paraId="1946D030" w14:textId="45D95361" w:rsidR="009C21FC" w:rsidRDefault="009C21FC" w:rsidP="009C21FC">
            <w:pPr>
              <w:jc w:val="left"/>
              <w:rPr>
                <w:rFonts w:cs="Times New Roman"/>
                <w:sz w:val="20"/>
                <w:szCs w:val="20"/>
              </w:rPr>
            </w:pPr>
            <w:r>
              <w:rPr>
                <w:rFonts w:cs="Times New Roman"/>
                <w:sz w:val="20"/>
                <w:szCs w:val="20"/>
              </w:rPr>
              <w:fldChar w:fldCharType="begin" w:fldLock="1"/>
            </w:r>
            <w:r w:rsidR="002F3C91">
              <w:rPr>
                <w:rFonts w:cs="Times New Roman"/>
                <w:sz w:val="20"/>
                <w:szCs w:val="20"/>
              </w:rPr>
              <w:instrText>ADDIN CSL_CITATION {"citationItems":[{"id":"ITEM-1","itemData":{"DOI":"10.1177/0361198118801348","ISSN":"21694052","abstract":"The current study contributes to safety literature both methodologically and empirically by developing a macro-level multivariate copula-based crash frequency model for crash counts. The multivariate model accommodates for the impact of observed and unobserved effects on zonal level crash counts of different road user groups including car, light truck, van, other motorized vehicle (including truck, bus and other vehicles), and non-motorists (including pedestrians and cyclists). The proposed model is estimated using Statewide Traffic Analysis Zone (STAZ) level road traffic crash data for the state of Florida. A host of variable groups including land-use characteristics, roadway attributes, traffic characteristics, socio-economic characteristics and demographic characteristics are considered. The model estimation results illustrate the applicability of the proposed framework for multivariate crash counts. Model estimation results are further augmented by evaluation of predictive performance and policy analysis.","author":[{"dropping-particle":"","family":"Yasmin","given":"Shamsunnahar","non-dropping-particle":"","parse-names":false,"suffix":""},{"dropping-particle":"","family":"Momtaz","given":"Salah Uddin","non-dropping-particle":"","parse-names":false,"suffix":""},{"dropping-particle":"","family":"Nashad","given":"Tammam","non-dropping-particle":"","parse-names":false,"suffix":""},{"dropping-particle":"","family":"Eluru","given":"Naveen","non-dropping-particle":"","parse-names":false,"suffix":""}],"container-title":"Transportation Research Record","id":"ITEM-1","issue":"30","issued":{"date-parts":[["2018"]]},"page":"64-75","title":"A multivariate copula-based macro-level crash count model","type":"article-journal","volume":"2672"},"uris":["http://www.mendeley.com/documents/?uuid=6196fb6b-03d7-40a3-9245-88e54e0b0d5d"]}],"mendeley":{"formattedCitation":"(Yasmin et al., 2018)","manualFormatting":"(Yasmin et al., 2018a)","plainTextFormattedCitation":"(Yasmin et al., 2018)","previouslyFormattedCitation":"(Yasmin et al., 2018)"},"properties":{"noteIndex":0},"schema":"https://github.com/citation-style-language/schema/raw/master/csl-citation.json"}</w:instrText>
            </w:r>
            <w:r>
              <w:rPr>
                <w:rFonts w:cs="Times New Roman"/>
                <w:sz w:val="20"/>
                <w:szCs w:val="20"/>
              </w:rPr>
              <w:fldChar w:fldCharType="separate"/>
            </w:r>
            <w:r w:rsidRPr="00850766">
              <w:rPr>
                <w:rFonts w:cs="Times New Roman"/>
                <w:noProof/>
                <w:sz w:val="20"/>
                <w:szCs w:val="20"/>
              </w:rPr>
              <w:t>(Yasmin et al., 2018)</w:t>
            </w:r>
            <w:r>
              <w:rPr>
                <w:rFonts w:cs="Times New Roman"/>
                <w:sz w:val="20"/>
                <w:szCs w:val="20"/>
              </w:rPr>
              <w:fldChar w:fldCharType="end"/>
            </w:r>
          </w:p>
        </w:tc>
        <w:tc>
          <w:tcPr>
            <w:tcW w:w="1238" w:type="dxa"/>
            <w:tcBorders>
              <w:top w:val="single" w:sz="4" w:space="0" w:color="auto"/>
              <w:bottom w:val="single" w:sz="4" w:space="0" w:color="auto"/>
            </w:tcBorders>
            <w:vAlign w:val="center"/>
          </w:tcPr>
          <w:p w14:paraId="4CAD8506" w14:textId="1A197293" w:rsidR="009C21FC" w:rsidRDefault="009C21FC" w:rsidP="009C21FC">
            <w:pPr>
              <w:jc w:val="center"/>
              <w:rPr>
                <w:rFonts w:cs="Times New Roman"/>
                <w:sz w:val="20"/>
                <w:szCs w:val="20"/>
                <w:lang w:val="en-US"/>
              </w:rPr>
            </w:pPr>
            <w:r w:rsidRPr="0078373E">
              <w:rPr>
                <w:rFonts w:cs="Times New Roman"/>
                <w:sz w:val="20"/>
                <w:szCs w:val="20"/>
                <w:lang w:val="en-US"/>
              </w:rPr>
              <w:t>STAZ (Macro)</w:t>
            </w:r>
          </w:p>
        </w:tc>
        <w:tc>
          <w:tcPr>
            <w:tcW w:w="1416" w:type="dxa"/>
            <w:tcBorders>
              <w:top w:val="single" w:sz="4" w:space="0" w:color="auto"/>
              <w:bottom w:val="single" w:sz="4" w:space="0" w:color="auto"/>
            </w:tcBorders>
            <w:vAlign w:val="center"/>
          </w:tcPr>
          <w:p w14:paraId="4A4341BD" w14:textId="77777777" w:rsidR="009C21FC" w:rsidRDefault="009C21FC" w:rsidP="009C21FC">
            <w:pPr>
              <w:jc w:val="center"/>
              <w:rPr>
                <w:rFonts w:cs="Times New Roman"/>
                <w:sz w:val="20"/>
                <w:szCs w:val="20"/>
                <w:lang w:val="en-US"/>
              </w:rPr>
            </w:pPr>
            <w:r>
              <w:rPr>
                <w:rFonts w:cs="Times New Roman"/>
                <w:sz w:val="20"/>
                <w:szCs w:val="20"/>
                <w:lang w:val="en-US"/>
              </w:rPr>
              <w:t xml:space="preserve">State </w:t>
            </w:r>
          </w:p>
          <w:p w14:paraId="37D50AE0" w14:textId="113DCB9A" w:rsidR="009C21FC" w:rsidRDefault="009C21FC" w:rsidP="009C21FC">
            <w:pPr>
              <w:jc w:val="center"/>
              <w:rPr>
                <w:rFonts w:cs="Times New Roman"/>
                <w:sz w:val="20"/>
                <w:szCs w:val="20"/>
                <w:lang w:val="en-US"/>
              </w:rPr>
            </w:pPr>
            <w:r>
              <w:rPr>
                <w:rFonts w:cs="Times New Roman"/>
                <w:sz w:val="20"/>
                <w:szCs w:val="20"/>
                <w:lang w:val="en-US"/>
              </w:rPr>
              <w:t>(Florida)</w:t>
            </w:r>
          </w:p>
        </w:tc>
        <w:tc>
          <w:tcPr>
            <w:tcW w:w="1089" w:type="dxa"/>
            <w:tcBorders>
              <w:top w:val="single" w:sz="4" w:space="0" w:color="auto"/>
              <w:bottom w:val="single" w:sz="4" w:space="0" w:color="auto"/>
            </w:tcBorders>
            <w:vAlign w:val="center"/>
          </w:tcPr>
          <w:p w14:paraId="030F0919" w14:textId="0AB8818E" w:rsidR="009C21FC" w:rsidRPr="0078373E" w:rsidRDefault="009C21FC" w:rsidP="009C21FC">
            <w:pPr>
              <w:jc w:val="center"/>
              <w:rPr>
                <w:rFonts w:cs="Times New Roman"/>
                <w:sz w:val="20"/>
                <w:szCs w:val="20"/>
              </w:rPr>
            </w:pPr>
            <w:r w:rsidRPr="0078373E">
              <w:rPr>
                <w:rFonts w:cs="Times New Roman"/>
                <w:sz w:val="20"/>
                <w:szCs w:val="20"/>
              </w:rPr>
              <w:t>Motorized crash</w:t>
            </w:r>
          </w:p>
        </w:tc>
        <w:tc>
          <w:tcPr>
            <w:tcW w:w="2061" w:type="dxa"/>
            <w:tcBorders>
              <w:top w:val="single" w:sz="4" w:space="0" w:color="auto"/>
              <w:bottom w:val="single" w:sz="4" w:space="0" w:color="auto"/>
            </w:tcBorders>
            <w:vAlign w:val="center"/>
          </w:tcPr>
          <w:p w14:paraId="72DCAFC3" w14:textId="726C6251" w:rsidR="009C21FC" w:rsidRDefault="00B55D20" w:rsidP="009C21FC">
            <w:pPr>
              <w:jc w:val="left"/>
              <w:rPr>
                <w:rFonts w:cs="Times New Roman"/>
                <w:sz w:val="20"/>
                <w:szCs w:val="20"/>
              </w:rPr>
            </w:pPr>
            <w:r>
              <w:rPr>
                <w:rFonts w:cs="Times New Roman"/>
                <w:sz w:val="20"/>
                <w:szCs w:val="20"/>
              </w:rPr>
              <w:t xml:space="preserve">4 (light truck, van, </w:t>
            </w:r>
            <w:proofErr w:type="gramStart"/>
            <w:r>
              <w:rPr>
                <w:rFonts w:cs="Times New Roman"/>
                <w:sz w:val="20"/>
                <w:szCs w:val="20"/>
              </w:rPr>
              <w:t>other</w:t>
            </w:r>
            <w:proofErr w:type="gramEnd"/>
            <w:r>
              <w:rPr>
                <w:rFonts w:cs="Times New Roman"/>
                <w:sz w:val="20"/>
                <w:szCs w:val="20"/>
              </w:rPr>
              <w:t xml:space="preserve"> vehicle and non-motorized)</w:t>
            </w:r>
          </w:p>
        </w:tc>
        <w:tc>
          <w:tcPr>
            <w:tcW w:w="1998" w:type="dxa"/>
            <w:tcBorders>
              <w:top w:val="single" w:sz="4" w:space="0" w:color="auto"/>
              <w:bottom w:val="single" w:sz="4" w:space="0" w:color="auto"/>
            </w:tcBorders>
            <w:vAlign w:val="center"/>
          </w:tcPr>
          <w:p w14:paraId="174FC813" w14:textId="3F9CB7B4" w:rsidR="009C21FC" w:rsidRPr="0078373E" w:rsidRDefault="00136706" w:rsidP="009C21FC">
            <w:pPr>
              <w:jc w:val="left"/>
              <w:rPr>
                <w:rFonts w:cs="Times New Roman"/>
                <w:sz w:val="20"/>
                <w:szCs w:val="20"/>
                <w:lang w:val="en-US"/>
              </w:rPr>
            </w:pPr>
            <w:r>
              <w:rPr>
                <w:rFonts w:cs="Times New Roman"/>
                <w:sz w:val="20"/>
                <w:szCs w:val="20"/>
                <w:lang w:val="en-US"/>
              </w:rPr>
              <w:t>C</w:t>
            </w:r>
            <w:r w:rsidRPr="00136706">
              <w:rPr>
                <w:rFonts w:cs="Times New Roman"/>
                <w:sz w:val="20"/>
                <w:szCs w:val="20"/>
                <w:lang w:val="en-US"/>
              </w:rPr>
              <w:t>opula-based multivariate N</w:t>
            </w:r>
            <w:r>
              <w:rPr>
                <w:rFonts w:cs="Times New Roman"/>
                <w:sz w:val="20"/>
                <w:szCs w:val="20"/>
                <w:lang w:val="en-US"/>
              </w:rPr>
              <w:t>B model</w:t>
            </w:r>
          </w:p>
        </w:tc>
        <w:tc>
          <w:tcPr>
            <w:tcW w:w="652" w:type="dxa"/>
            <w:tcBorders>
              <w:top w:val="single" w:sz="4" w:space="0" w:color="auto"/>
              <w:bottom w:val="single" w:sz="4" w:space="0" w:color="auto"/>
            </w:tcBorders>
            <w:vAlign w:val="center"/>
          </w:tcPr>
          <w:p w14:paraId="6ABB5199" w14:textId="52DC3749" w:rsidR="009C21FC" w:rsidRPr="0078373E" w:rsidRDefault="009C21FC" w:rsidP="009C21FC">
            <w:pPr>
              <w:jc w:val="center"/>
              <w:rPr>
                <w:rFonts w:cs="Times New Roman"/>
                <w:b/>
                <w:sz w:val="20"/>
                <w:szCs w:val="20"/>
              </w:rPr>
            </w:pPr>
            <w:r w:rsidRPr="00225D9C">
              <w:rPr>
                <w:rFonts w:cs="Times New Roman"/>
                <w:b/>
                <w:sz w:val="20"/>
                <w:szCs w:val="20"/>
              </w:rPr>
              <w:t>√</w:t>
            </w:r>
          </w:p>
        </w:tc>
        <w:tc>
          <w:tcPr>
            <w:tcW w:w="459" w:type="dxa"/>
            <w:tcBorders>
              <w:top w:val="single" w:sz="4" w:space="0" w:color="auto"/>
              <w:bottom w:val="single" w:sz="4" w:space="0" w:color="auto"/>
            </w:tcBorders>
            <w:vAlign w:val="center"/>
          </w:tcPr>
          <w:p w14:paraId="2F364C79" w14:textId="6541C103" w:rsidR="009C21FC" w:rsidRPr="00611D69" w:rsidRDefault="009C21FC" w:rsidP="009C21FC">
            <w:pPr>
              <w:jc w:val="center"/>
              <w:rPr>
                <w:rFonts w:cs="Times New Roman"/>
                <w:b/>
                <w:sz w:val="20"/>
                <w:szCs w:val="20"/>
              </w:rPr>
            </w:pPr>
            <w:r w:rsidRPr="00225D9C">
              <w:rPr>
                <w:rFonts w:cs="Times New Roman"/>
                <w:b/>
                <w:sz w:val="20"/>
                <w:szCs w:val="20"/>
              </w:rPr>
              <w:t>√</w:t>
            </w:r>
          </w:p>
        </w:tc>
        <w:tc>
          <w:tcPr>
            <w:tcW w:w="604" w:type="dxa"/>
            <w:tcBorders>
              <w:top w:val="single" w:sz="4" w:space="0" w:color="auto"/>
              <w:bottom w:val="single" w:sz="4" w:space="0" w:color="auto"/>
            </w:tcBorders>
            <w:vAlign w:val="center"/>
          </w:tcPr>
          <w:p w14:paraId="51209B64" w14:textId="39EBBAAE" w:rsidR="009C21FC" w:rsidRPr="00611D69" w:rsidRDefault="00B36499" w:rsidP="009C21FC">
            <w:pPr>
              <w:jc w:val="center"/>
              <w:rPr>
                <w:rFonts w:cs="Times New Roman"/>
                <w:b/>
                <w:sz w:val="20"/>
                <w:szCs w:val="20"/>
              </w:rPr>
            </w:pPr>
            <w:r w:rsidRPr="000C126B">
              <w:rPr>
                <w:rFonts w:cs="Times New Roman"/>
                <w:b/>
                <w:sz w:val="20"/>
                <w:szCs w:val="20"/>
              </w:rPr>
              <w:t>--</w:t>
            </w:r>
          </w:p>
        </w:tc>
        <w:tc>
          <w:tcPr>
            <w:tcW w:w="604" w:type="dxa"/>
            <w:tcBorders>
              <w:top w:val="single" w:sz="4" w:space="0" w:color="auto"/>
              <w:bottom w:val="single" w:sz="4" w:space="0" w:color="auto"/>
            </w:tcBorders>
            <w:vAlign w:val="center"/>
          </w:tcPr>
          <w:p w14:paraId="6AF63892" w14:textId="74DD7072" w:rsidR="009C21FC" w:rsidRPr="0078373E" w:rsidRDefault="009C21FC" w:rsidP="009C21FC">
            <w:pPr>
              <w:jc w:val="center"/>
              <w:rPr>
                <w:rFonts w:cs="Times New Roman"/>
                <w:b/>
                <w:sz w:val="20"/>
                <w:szCs w:val="20"/>
              </w:rPr>
            </w:pPr>
            <w:r w:rsidRPr="00225D9C">
              <w:rPr>
                <w:rFonts w:cs="Times New Roman"/>
                <w:b/>
                <w:sz w:val="20"/>
                <w:szCs w:val="20"/>
              </w:rPr>
              <w:t>√</w:t>
            </w:r>
          </w:p>
        </w:tc>
        <w:tc>
          <w:tcPr>
            <w:tcW w:w="604" w:type="dxa"/>
            <w:tcBorders>
              <w:top w:val="single" w:sz="4" w:space="0" w:color="auto"/>
              <w:bottom w:val="single" w:sz="4" w:space="0" w:color="auto"/>
            </w:tcBorders>
            <w:vAlign w:val="center"/>
          </w:tcPr>
          <w:p w14:paraId="02E532CD" w14:textId="6E2FCAA2" w:rsidR="009C21FC" w:rsidRPr="000C126B" w:rsidRDefault="009C21FC" w:rsidP="009C21FC">
            <w:pPr>
              <w:jc w:val="center"/>
              <w:rPr>
                <w:rFonts w:cs="Times New Roman"/>
                <w:b/>
                <w:sz w:val="20"/>
                <w:szCs w:val="20"/>
              </w:rPr>
            </w:pPr>
            <w:r w:rsidRPr="00225D9C">
              <w:rPr>
                <w:rFonts w:cs="Times New Roman"/>
                <w:b/>
                <w:sz w:val="20"/>
                <w:szCs w:val="20"/>
              </w:rPr>
              <w:t>√</w:t>
            </w:r>
          </w:p>
        </w:tc>
        <w:tc>
          <w:tcPr>
            <w:tcW w:w="459" w:type="dxa"/>
            <w:tcBorders>
              <w:top w:val="single" w:sz="4" w:space="0" w:color="auto"/>
              <w:bottom w:val="single" w:sz="4" w:space="0" w:color="auto"/>
            </w:tcBorders>
            <w:vAlign w:val="center"/>
          </w:tcPr>
          <w:p w14:paraId="2DDA9C65" w14:textId="676B7D6A" w:rsidR="009C21FC" w:rsidRPr="000C126B" w:rsidRDefault="009C21FC" w:rsidP="009C21FC">
            <w:pPr>
              <w:jc w:val="center"/>
              <w:rPr>
                <w:rFonts w:cs="Times New Roman"/>
                <w:b/>
                <w:sz w:val="20"/>
                <w:szCs w:val="20"/>
              </w:rPr>
            </w:pPr>
            <w:r w:rsidRPr="000C126B">
              <w:rPr>
                <w:rFonts w:cs="Times New Roman"/>
                <w:b/>
                <w:sz w:val="20"/>
                <w:szCs w:val="20"/>
              </w:rPr>
              <w:t>--</w:t>
            </w:r>
          </w:p>
        </w:tc>
      </w:tr>
      <w:tr w:rsidR="00494D9E" w:rsidRPr="00D40F8D" w14:paraId="6A46B471" w14:textId="77777777" w:rsidTr="004601C9">
        <w:trPr>
          <w:trHeight w:val="360"/>
        </w:trPr>
        <w:tc>
          <w:tcPr>
            <w:tcW w:w="1729" w:type="dxa"/>
            <w:tcBorders>
              <w:top w:val="single" w:sz="4" w:space="0" w:color="auto"/>
              <w:bottom w:val="single" w:sz="4" w:space="0" w:color="auto"/>
            </w:tcBorders>
            <w:vAlign w:val="center"/>
          </w:tcPr>
          <w:p w14:paraId="2EC95BD5" w14:textId="6124CC43" w:rsidR="00850766" w:rsidRPr="0078373E" w:rsidRDefault="00850766" w:rsidP="00850766">
            <w:pPr>
              <w:jc w:val="left"/>
              <w:rPr>
                <w:rFonts w:cs="Times New Roman"/>
                <w:sz w:val="20"/>
                <w:szCs w:val="20"/>
              </w:rPr>
            </w:pPr>
            <w:r>
              <w:rPr>
                <w:rFonts w:cs="Times New Roman"/>
                <w:sz w:val="20"/>
                <w:szCs w:val="20"/>
              </w:rPr>
              <w:fldChar w:fldCharType="begin" w:fldLock="1"/>
            </w:r>
            <w:r>
              <w:rPr>
                <w:rFonts w:cs="Times New Roman"/>
                <w:sz w:val="20"/>
                <w:szCs w:val="20"/>
              </w:rPr>
              <w:instrText>ADDIN CSL_CITATION {"citationItems":[{"id":"ITEM-1","itemData":{"DOI":"10.1109/ACCESS.2019.2892135","ISSN":"21693536","abstract":"The objective of this paper is to evaluate the impact of various risk factors on traffic crashes presenting different collision types at freeway diverge areas. Three-year period crash data from 367 freeway diverge areas were obtained. Three types of collisions, including rear-end, sideswipe, and angle collisions, were considered. A random parameters multivariate Poisson-lognormal (RP-MVPLN) model was developed to accommodate both correlations between crashes across collision type and the unobserved heterogeneity across observations. For the performance comparison, an MVPLN was developed and compared with the RP-MVPLN model under the Bayesian framework. The result showed that the RP-MVPLN model outperformed the MVPLN model, which highlighted that accounting for the unobserved heterogeneous effects of risk factors could improve the model fit. The model estimation result showed that the risk factors, as well as their impacts on different collision types, were different. The mainline annual average daily traffic (AADT), the lane-balanced design, and the number of lanes on the mainline were found to be significantly associated with all types of collisions, whereas the deceleration lane length and road surface type only affected rear-end crashes. The exit ramp length and ramp AADT had significant impact on rear-end crashes and sideswipe crashes, but they did not affect angle crashes. The speed limit was negatively related with rear-end crashes and angle crashes, while it had no impact on sideswipe crashes. Three risk factors, which are the mainline AADT, ramp AADT, and speed limit, were found to have significant heterogeneous effects on crashes across observations.","author":[{"dropping-particle":"","family":"Guo","given":"Yanyong","non-dropping-particle":"","parse-names":false,"suffix":""},{"dropping-particle":"","family":"Li","given":"Zhibin","non-dropping-particle":"","parse-names":false,"suffix":""},{"dropping-particle":"","family":"Liu","given":"Pan","non-dropping-particle":"","parse-names":false,"suffix":""},{"dropping-particle":"","family":"Wu","given":"Yao","non-dropping-particle":"","parse-names":false,"suffix":""}],"container-title":"IEEE Access","id":"ITEM-1","issued":{"date-parts":[["2019"]]},"page":"11809-11819","title":"Exploring risk factors with crashes by collision type at freeway diverge areas: Accounting for unobserved heterogeneity","type":"article-journal","volume":"7"},"uris":["http://www.mendeley.com/documents/?uuid=4e8a181a-ea09-4d2c-933d-91272ed67063"]}],"mendeley":{"formattedCitation":"(Guo et al., 2019a)","plainTextFormattedCitation":"(Guo et al., 2019a)","previouslyFormattedCitation":"(Guo et al., 2019a)"},"properties":{"noteIndex":0},"schema":"https://github.com/citation-style-language/schema/raw/master/csl-citation.json"}</w:instrText>
            </w:r>
            <w:r>
              <w:rPr>
                <w:rFonts w:cs="Times New Roman"/>
                <w:sz w:val="20"/>
                <w:szCs w:val="20"/>
              </w:rPr>
              <w:fldChar w:fldCharType="separate"/>
            </w:r>
            <w:r w:rsidRPr="00892979">
              <w:rPr>
                <w:rFonts w:cs="Times New Roman"/>
                <w:noProof/>
                <w:sz w:val="20"/>
                <w:szCs w:val="20"/>
              </w:rPr>
              <w:t>(Guo et al., 2019a)</w:t>
            </w:r>
            <w:r>
              <w:rPr>
                <w:rFonts w:cs="Times New Roman"/>
                <w:sz w:val="20"/>
                <w:szCs w:val="20"/>
              </w:rPr>
              <w:fldChar w:fldCharType="end"/>
            </w:r>
          </w:p>
        </w:tc>
        <w:tc>
          <w:tcPr>
            <w:tcW w:w="1238" w:type="dxa"/>
            <w:tcBorders>
              <w:top w:val="single" w:sz="4" w:space="0" w:color="auto"/>
              <w:bottom w:val="single" w:sz="4" w:space="0" w:color="auto"/>
            </w:tcBorders>
            <w:vAlign w:val="center"/>
          </w:tcPr>
          <w:p w14:paraId="7DD4C155" w14:textId="250D2B3D" w:rsidR="00850766" w:rsidRPr="0078373E" w:rsidRDefault="00850766" w:rsidP="00850766">
            <w:pPr>
              <w:jc w:val="center"/>
              <w:rPr>
                <w:rFonts w:cs="Times New Roman"/>
                <w:sz w:val="20"/>
                <w:szCs w:val="20"/>
                <w:lang w:val="en-US"/>
              </w:rPr>
            </w:pPr>
            <w:r>
              <w:rPr>
                <w:rFonts w:cs="Times New Roman"/>
                <w:sz w:val="20"/>
                <w:szCs w:val="20"/>
                <w:lang w:val="en-US"/>
              </w:rPr>
              <w:t>Freeway (micro)</w:t>
            </w:r>
          </w:p>
        </w:tc>
        <w:tc>
          <w:tcPr>
            <w:tcW w:w="1416" w:type="dxa"/>
            <w:tcBorders>
              <w:top w:val="single" w:sz="4" w:space="0" w:color="auto"/>
              <w:bottom w:val="single" w:sz="4" w:space="0" w:color="auto"/>
            </w:tcBorders>
            <w:vAlign w:val="center"/>
          </w:tcPr>
          <w:p w14:paraId="0540930A" w14:textId="77777777" w:rsidR="00850766" w:rsidRDefault="00850766" w:rsidP="00850766">
            <w:pPr>
              <w:jc w:val="center"/>
              <w:rPr>
                <w:rFonts w:cs="Times New Roman"/>
                <w:sz w:val="20"/>
                <w:szCs w:val="20"/>
                <w:lang w:val="en-US"/>
              </w:rPr>
            </w:pPr>
            <w:r>
              <w:rPr>
                <w:rFonts w:cs="Times New Roman"/>
                <w:sz w:val="20"/>
                <w:szCs w:val="20"/>
                <w:lang w:val="en-US"/>
              </w:rPr>
              <w:t xml:space="preserve">State </w:t>
            </w:r>
          </w:p>
          <w:p w14:paraId="6609DA9B" w14:textId="19558BE0" w:rsidR="00850766" w:rsidRPr="0078373E" w:rsidRDefault="00850766" w:rsidP="00850766">
            <w:pPr>
              <w:jc w:val="center"/>
              <w:rPr>
                <w:rFonts w:cs="Times New Roman"/>
                <w:sz w:val="20"/>
                <w:szCs w:val="20"/>
                <w:lang w:val="en-US"/>
              </w:rPr>
            </w:pPr>
            <w:r>
              <w:rPr>
                <w:rFonts w:cs="Times New Roman"/>
                <w:sz w:val="20"/>
                <w:szCs w:val="20"/>
                <w:lang w:val="en-US"/>
              </w:rPr>
              <w:t>(Florida)</w:t>
            </w:r>
          </w:p>
        </w:tc>
        <w:tc>
          <w:tcPr>
            <w:tcW w:w="1089" w:type="dxa"/>
            <w:tcBorders>
              <w:top w:val="single" w:sz="4" w:space="0" w:color="auto"/>
              <w:bottom w:val="single" w:sz="4" w:space="0" w:color="auto"/>
            </w:tcBorders>
            <w:vAlign w:val="center"/>
          </w:tcPr>
          <w:p w14:paraId="2314488C" w14:textId="01E3CE6B" w:rsidR="00850766" w:rsidRPr="0078373E" w:rsidRDefault="00850766" w:rsidP="00850766">
            <w:pPr>
              <w:jc w:val="center"/>
              <w:rPr>
                <w:rFonts w:cs="Times New Roman"/>
                <w:sz w:val="20"/>
                <w:szCs w:val="20"/>
              </w:rPr>
            </w:pPr>
            <w:r w:rsidRPr="0078373E">
              <w:rPr>
                <w:rFonts w:cs="Times New Roman"/>
                <w:sz w:val="20"/>
                <w:szCs w:val="20"/>
              </w:rPr>
              <w:t>Motorized crash</w:t>
            </w:r>
          </w:p>
        </w:tc>
        <w:tc>
          <w:tcPr>
            <w:tcW w:w="2061" w:type="dxa"/>
            <w:tcBorders>
              <w:top w:val="single" w:sz="4" w:space="0" w:color="auto"/>
              <w:bottom w:val="single" w:sz="4" w:space="0" w:color="auto"/>
            </w:tcBorders>
            <w:vAlign w:val="center"/>
          </w:tcPr>
          <w:p w14:paraId="5C2FED56" w14:textId="1B72A1A2" w:rsidR="00850766" w:rsidRDefault="00850766" w:rsidP="00850766">
            <w:pPr>
              <w:jc w:val="left"/>
              <w:rPr>
                <w:rFonts w:cs="Times New Roman"/>
                <w:sz w:val="20"/>
                <w:szCs w:val="20"/>
              </w:rPr>
            </w:pPr>
            <w:r>
              <w:rPr>
                <w:rFonts w:cs="Times New Roman"/>
                <w:sz w:val="20"/>
                <w:szCs w:val="20"/>
              </w:rPr>
              <w:t>3 (rear-end, sideswipe and angle)</w:t>
            </w:r>
          </w:p>
        </w:tc>
        <w:tc>
          <w:tcPr>
            <w:tcW w:w="1998" w:type="dxa"/>
            <w:tcBorders>
              <w:top w:val="single" w:sz="4" w:space="0" w:color="auto"/>
              <w:bottom w:val="single" w:sz="4" w:space="0" w:color="auto"/>
            </w:tcBorders>
            <w:vAlign w:val="center"/>
          </w:tcPr>
          <w:p w14:paraId="35B0EB36" w14:textId="17AF97A0" w:rsidR="00850766" w:rsidRPr="0078373E" w:rsidRDefault="00850766" w:rsidP="00850766">
            <w:pPr>
              <w:jc w:val="left"/>
              <w:rPr>
                <w:rFonts w:cs="Times New Roman"/>
                <w:sz w:val="20"/>
                <w:szCs w:val="20"/>
                <w:lang w:val="en-US"/>
              </w:rPr>
            </w:pPr>
            <w:r w:rsidRPr="00992CCC">
              <w:rPr>
                <w:rFonts w:cs="Times New Roman"/>
                <w:sz w:val="20"/>
                <w:szCs w:val="20"/>
                <w:lang w:val="en-US"/>
              </w:rPr>
              <w:t>A random parameters multivariate Poisson-lognormal</w:t>
            </w:r>
            <w:r>
              <w:rPr>
                <w:rFonts w:cs="Times New Roman"/>
                <w:sz w:val="20"/>
                <w:szCs w:val="20"/>
                <w:lang w:val="en-US"/>
              </w:rPr>
              <w:t xml:space="preserve"> model</w:t>
            </w:r>
          </w:p>
        </w:tc>
        <w:tc>
          <w:tcPr>
            <w:tcW w:w="652" w:type="dxa"/>
            <w:tcBorders>
              <w:top w:val="single" w:sz="4" w:space="0" w:color="auto"/>
              <w:bottom w:val="single" w:sz="4" w:space="0" w:color="auto"/>
            </w:tcBorders>
            <w:vAlign w:val="center"/>
          </w:tcPr>
          <w:p w14:paraId="5F3C50D4" w14:textId="4658A273" w:rsidR="00850766" w:rsidRPr="0078373E" w:rsidRDefault="00850766" w:rsidP="00850766">
            <w:pPr>
              <w:jc w:val="center"/>
              <w:rPr>
                <w:rFonts w:cs="Times New Roman"/>
                <w:b/>
                <w:sz w:val="20"/>
                <w:szCs w:val="20"/>
              </w:rPr>
            </w:pPr>
            <w:r w:rsidRPr="0078373E">
              <w:rPr>
                <w:rFonts w:cs="Times New Roman"/>
                <w:b/>
                <w:sz w:val="20"/>
                <w:szCs w:val="20"/>
              </w:rPr>
              <w:t>√</w:t>
            </w:r>
          </w:p>
        </w:tc>
        <w:tc>
          <w:tcPr>
            <w:tcW w:w="459" w:type="dxa"/>
            <w:tcBorders>
              <w:top w:val="single" w:sz="4" w:space="0" w:color="auto"/>
              <w:bottom w:val="single" w:sz="4" w:space="0" w:color="auto"/>
            </w:tcBorders>
            <w:vAlign w:val="center"/>
          </w:tcPr>
          <w:p w14:paraId="27F5C988" w14:textId="515D0100" w:rsidR="00850766" w:rsidRPr="0078373E" w:rsidRDefault="00850766" w:rsidP="00850766">
            <w:pPr>
              <w:jc w:val="center"/>
              <w:rPr>
                <w:rFonts w:cs="Times New Roman"/>
                <w:b/>
                <w:sz w:val="20"/>
                <w:szCs w:val="20"/>
              </w:rPr>
            </w:pPr>
            <w:r w:rsidRPr="00611D69">
              <w:rPr>
                <w:rFonts w:cs="Times New Roman"/>
                <w:b/>
                <w:sz w:val="20"/>
                <w:szCs w:val="20"/>
              </w:rPr>
              <w:t>--</w:t>
            </w:r>
          </w:p>
        </w:tc>
        <w:tc>
          <w:tcPr>
            <w:tcW w:w="604" w:type="dxa"/>
            <w:tcBorders>
              <w:top w:val="single" w:sz="4" w:space="0" w:color="auto"/>
              <w:bottom w:val="single" w:sz="4" w:space="0" w:color="auto"/>
            </w:tcBorders>
            <w:vAlign w:val="center"/>
          </w:tcPr>
          <w:p w14:paraId="1B412B31" w14:textId="77FC3410" w:rsidR="00850766" w:rsidRPr="0078373E" w:rsidRDefault="00850766" w:rsidP="00850766">
            <w:pPr>
              <w:jc w:val="center"/>
              <w:rPr>
                <w:rFonts w:cs="Times New Roman"/>
                <w:b/>
                <w:sz w:val="20"/>
                <w:szCs w:val="20"/>
              </w:rPr>
            </w:pPr>
            <w:r w:rsidRPr="00611D69">
              <w:rPr>
                <w:rFonts w:cs="Times New Roman"/>
                <w:b/>
                <w:sz w:val="20"/>
                <w:szCs w:val="20"/>
              </w:rPr>
              <w:t>--</w:t>
            </w:r>
          </w:p>
        </w:tc>
        <w:tc>
          <w:tcPr>
            <w:tcW w:w="604" w:type="dxa"/>
            <w:tcBorders>
              <w:top w:val="single" w:sz="4" w:space="0" w:color="auto"/>
              <w:bottom w:val="single" w:sz="4" w:space="0" w:color="auto"/>
            </w:tcBorders>
            <w:vAlign w:val="center"/>
          </w:tcPr>
          <w:p w14:paraId="2E22C6E7" w14:textId="21664C91" w:rsidR="00850766" w:rsidRPr="0078373E" w:rsidRDefault="00850766" w:rsidP="00850766">
            <w:pPr>
              <w:jc w:val="center"/>
              <w:rPr>
                <w:rFonts w:cs="Times New Roman"/>
                <w:b/>
                <w:sz w:val="20"/>
                <w:szCs w:val="20"/>
              </w:rPr>
            </w:pPr>
            <w:r w:rsidRPr="0078373E">
              <w:rPr>
                <w:rFonts w:cs="Times New Roman"/>
                <w:b/>
                <w:sz w:val="20"/>
                <w:szCs w:val="20"/>
              </w:rPr>
              <w:t>√</w:t>
            </w:r>
          </w:p>
        </w:tc>
        <w:tc>
          <w:tcPr>
            <w:tcW w:w="604" w:type="dxa"/>
            <w:tcBorders>
              <w:top w:val="single" w:sz="4" w:space="0" w:color="auto"/>
              <w:bottom w:val="single" w:sz="4" w:space="0" w:color="auto"/>
            </w:tcBorders>
            <w:vAlign w:val="center"/>
          </w:tcPr>
          <w:p w14:paraId="07354611" w14:textId="6C9408CD" w:rsidR="00850766" w:rsidRPr="0078373E" w:rsidRDefault="00850766" w:rsidP="00850766">
            <w:pPr>
              <w:jc w:val="center"/>
              <w:rPr>
                <w:rFonts w:cs="Times New Roman"/>
                <w:b/>
                <w:sz w:val="20"/>
                <w:szCs w:val="20"/>
              </w:rPr>
            </w:pPr>
            <w:r w:rsidRPr="000C126B">
              <w:rPr>
                <w:rFonts w:cs="Times New Roman"/>
                <w:b/>
                <w:sz w:val="20"/>
                <w:szCs w:val="20"/>
              </w:rPr>
              <w:t>--</w:t>
            </w:r>
          </w:p>
        </w:tc>
        <w:tc>
          <w:tcPr>
            <w:tcW w:w="459" w:type="dxa"/>
            <w:tcBorders>
              <w:top w:val="single" w:sz="4" w:space="0" w:color="auto"/>
              <w:bottom w:val="single" w:sz="4" w:space="0" w:color="auto"/>
            </w:tcBorders>
            <w:vAlign w:val="center"/>
          </w:tcPr>
          <w:p w14:paraId="21CDABDB" w14:textId="06228E2C" w:rsidR="00850766" w:rsidRPr="0078373E" w:rsidRDefault="00850766" w:rsidP="00850766">
            <w:pPr>
              <w:jc w:val="center"/>
              <w:rPr>
                <w:rFonts w:cs="Times New Roman"/>
                <w:b/>
                <w:sz w:val="20"/>
                <w:szCs w:val="20"/>
              </w:rPr>
            </w:pPr>
            <w:r w:rsidRPr="000C126B">
              <w:rPr>
                <w:rFonts w:cs="Times New Roman"/>
                <w:b/>
                <w:sz w:val="20"/>
                <w:szCs w:val="20"/>
              </w:rPr>
              <w:t>--</w:t>
            </w:r>
          </w:p>
        </w:tc>
      </w:tr>
      <w:tr w:rsidR="00494D9E" w:rsidRPr="00D40F8D" w14:paraId="365C7EA9" w14:textId="77777777" w:rsidTr="004601C9">
        <w:trPr>
          <w:trHeight w:val="360"/>
        </w:trPr>
        <w:tc>
          <w:tcPr>
            <w:tcW w:w="1729" w:type="dxa"/>
            <w:tcBorders>
              <w:top w:val="single" w:sz="4" w:space="0" w:color="auto"/>
              <w:bottom w:val="single" w:sz="4" w:space="0" w:color="auto"/>
            </w:tcBorders>
            <w:vAlign w:val="center"/>
          </w:tcPr>
          <w:p w14:paraId="46F59D74" w14:textId="0116436E" w:rsidR="00850766" w:rsidRDefault="00850766" w:rsidP="00850766">
            <w:pPr>
              <w:jc w:val="left"/>
              <w:rPr>
                <w:rFonts w:cs="Times New Roman"/>
                <w:sz w:val="20"/>
                <w:szCs w:val="20"/>
              </w:rPr>
            </w:pPr>
            <w:r>
              <w:rPr>
                <w:rFonts w:cs="Times New Roman"/>
                <w:sz w:val="20"/>
                <w:szCs w:val="20"/>
              </w:rPr>
              <w:fldChar w:fldCharType="begin" w:fldLock="1"/>
            </w:r>
            <w:r>
              <w:rPr>
                <w:rFonts w:cs="Times New Roman"/>
                <w:sz w:val="20"/>
                <w:szCs w:val="20"/>
              </w:rPr>
              <w:instrText>ADDIN CSL_CITATION {"citationItems":[{"id":"ITEM-1","itemData":{"DOI":"10.1016/j.aap.2019.04.013","ISSN":"00014575","PMID":"31048116","abstract":"Crashes present different collision types. There usually exist unobserved risk factors which could jointly affect crash rates of different types, resulting in correlation and heterogeneity issues across observations. The primary objective of the study is to propose a novel random parameters multivariate Tobit (RPMV-Tobit)model for evaluating risk factors on crash rates of different collision types. Crash data from 367 freeway diverge areas in a three-year period were obtained for modeling. Three major types of collisions including rear-end, sideswipe, and angle collisions were considered. The RPMV-Tobit model was structured to simultaneously accommodate correlations between crash rates across collision types and unobserved heterogeneity across observations. The RPMV-Tobit model was compared with a multivariate Tobit (MV-Tobit)model, a random effect multivariate Tobit (REMV-Tobit)model, and independent univariate Tobit (IU-Tobit)models under the Bayesian framework. The results showed that MV-Tobit model outperforms the IU-Tobit models on fitting crash rates, indicating that accounting for the correlation between crash types can improve model fit. The RPMV-Tobit model and REMV-Tobit model perform better than the MV-Tobit model, suggesting that accounting for the unobserved heterogeneous can further improve model fit. The improvement of model performance with the RPMV-Tobit model is higher than that with the REMV-Tobit model. The impacts of each risk factor on crash rates were estimated and some differences were found across different collision types. The lane-balanced design, number of lanes on mainline, speed limit, and speed difference present significant heterogeneous effects on crash rates. Findings suggest that the RPMV-Tobit model is a superior approach for comprehensive crash rates modeling and traffic safety evaluation purposes.","author":[{"dropping-particle":"","family":"Guo","given":"Yanyong","non-dropping-particle":"","parse-names":false,"suffix":""},{"dropping-particle":"","family":"Li","given":"Zhibin","non-dropping-particle":"","parse-names":false,"suffix":""},{"dropping-particle":"","family":"Liu","given":"Pan","non-dropping-particle":"","parse-names":false,"suffix":""},{"dropping-particle":"","family":"Wu","given":"Yao","non-dropping-particle":"","parse-names":false,"suffix":""}],"container-title":"Accident Analysis and Prevention","id":"ITEM-1","issued":{"date-parts":[["2019"]]},"page":"164-174","title":"Modeling correlation and heterogeneity in crash rates by collision types using full bayesian random parameters multivariate Tobit model","type":"article-journal","volume":"128"},"uris":["http://www.mendeley.com/documents/?uuid=73893e28-ab9d-4bb9-8e64-453a53f78706"]}],"mendeley":{"formattedCitation":"(Guo et al., 2019b)","plainTextFormattedCitation":"(Guo et al., 2019b)","previouslyFormattedCitation":"(Guo et al., 2019b)"},"properties":{"noteIndex":0},"schema":"https://github.com/citation-style-language/schema/raw/master/csl-citation.json"}</w:instrText>
            </w:r>
            <w:r>
              <w:rPr>
                <w:rFonts w:cs="Times New Roman"/>
                <w:sz w:val="20"/>
                <w:szCs w:val="20"/>
              </w:rPr>
              <w:fldChar w:fldCharType="separate"/>
            </w:r>
            <w:r w:rsidRPr="00892979">
              <w:rPr>
                <w:rFonts w:cs="Times New Roman"/>
                <w:noProof/>
                <w:sz w:val="20"/>
                <w:szCs w:val="20"/>
              </w:rPr>
              <w:t>(Guo et al., 2019b)</w:t>
            </w:r>
            <w:r>
              <w:rPr>
                <w:rFonts w:cs="Times New Roman"/>
                <w:sz w:val="20"/>
                <w:szCs w:val="20"/>
              </w:rPr>
              <w:fldChar w:fldCharType="end"/>
            </w:r>
          </w:p>
        </w:tc>
        <w:tc>
          <w:tcPr>
            <w:tcW w:w="1238" w:type="dxa"/>
            <w:tcBorders>
              <w:top w:val="single" w:sz="4" w:space="0" w:color="auto"/>
              <w:bottom w:val="single" w:sz="4" w:space="0" w:color="auto"/>
            </w:tcBorders>
            <w:vAlign w:val="center"/>
          </w:tcPr>
          <w:p w14:paraId="57A656F6" w14:textId="1BC5DECB" w:rsidR="00850766" w:rsidRDefault="00850766" w:rsidP="00850766">
            <w:pPr>
              <w:jc w:val="center"/>
              <w:rPr>
                <w:rFonts w:cs="Times New Roman"/>
                <w:sz w:val="20"/>
                <w:szCs w:val="20"/>
                <w:lang w:val="en-US"/>
              </w:rPr>
            </w:pPr>
            <w:r>
              <w:rPr>
                <w:rFonts w:cs="Times New Roman"/>
                <w:sz w:val="20"/>
                <w:szCs w:val="20"/>
                <w:lang w:val="en-US"/>
              </w:rPr>
              <w:t>Freeway (micro)</w:t>
            </w:r>
          </w:p>
        </w:tc>
        <w:tc>
          <w:tcPr>
            <w:tcW w:w="1416" w:type="dxa"/>
            <w:tcBorders>
              <w:top w:val="single" w:sz="4" w:space="0" w:color="auto"/>
              <w:bottom w:val="single" w:sz="4" w:space="0" w:color="auto"/>
            </w:tcBorders>
            <w:vAlign w:val="center"/>
          </w:tcPr>
          <w:p w14:paraId="1100D02A" w14:textId="77777777" w:rsidR="00850766" w:rsidRDefault="00850766" w:rsidP="00850766">
            <w:pPr>
              <w:jc w:val="center"/>
              <w:rPr>
                <w:rFonts w:cs="Times New Roman"/>
                <w:sz w:val="20"/>
                <w:szCs w:val="20"/>
                <w:lang w:val="en-US"/>
              </w:rPr>
            </w:pPr>
            <w:r>
              <w:rPr>
                <w:rFonts w:cs="Times New Roman"/>
                <w:sz w:val="20"/>
                <w:szCs w:val="20"/>
                <w:lang w:val="en-US"/>
              </w:rPr>
              <w:t xml:space="preserve">State </w:t>
            </w:r>
          </w:p>
          <w:p w14:paraId="236303D2" w14:textId="673E9A7F" w:rsidR="00850766" w:rsidRDefault="00850766" w:rsidP="00850766">
            <w:pPr>
              <w:jc w:val="center"/>
              <w:rPr>
                <w:rFonts w:cs="Times New Roman"/>
                <w:sz w:val="20"/>
                <w:szCs w:val="20"/>
                <w:lang w:val="en-US"/>
              </w:rPr>
            </w:pPr>
            <w:r>
              <w:rPr>
                <w:rFonts w:cs="Times New Roman"/>
                <w:sz w:val="20"/>
                <w:szCs w:val="20"/>
                <w:lang w:val="en-US"/>
              </w:rPr>
              <w:t>(Florida)</w:t>
            </w:r>
          </w:p>
        </w:tc>
        <w:tc>
          <w:tcPr>
            <w:tcW w:w="1089" w:type="dxa"/>
            <w:tcBorders>
              <w:top w:val="single" w:sz="4" w:space="0" w:color="auto"/>
              <w:bottom w:val="single" w:sz="4" w:space="0" w:color="auto"/>
            </w:tcBorders>
            <w:vAlign w:val="center"/>
          </w:tcPr>
          <w:p w14:paraId="28964AB5" w14:textId="67B9DFAA" w:rsidR="00850766" w:rsidRPr="0078373E" w:rsidRDefault="00850766" w:rsidP="00850766">
            <w:pPr>
              <w:jc w:val="center"/>
              <w:rPr>
                <w:rFonts w:cs="Times New Roman"/>
                <w:sz w:val="20"/>
                <w:szCs w:val="20"/>
              </w:rPr>
            </w:pPr>
            <w:r w:rsidRPr="0078373E">
              <w:rPr>
                <w:rFonts w:cs="Times New Roman"/>
                <w:sz w:val="20"/>
                <w:szCs w:val="20"/>
              </w:rPr>
              <w:t>Motorized crash</w:t>
            </w:r>
          </w:p>
        </w:tc>
        <w:tc>
          <w:tcPr>
            <w:tcW w:w="2061" w:type="dxa"/>
            <w:tcBorders>
              <w:top w:val="single" w:sz="4" w:space="0" w:color="auto"/>
              <w:bottom w:val="single" w:sz="4" w:space="0" w:color="auto"/>
            </w:tcBorders>
            <w:vAlign w:val="center"/>
          </w:tcPr>
          <w:p w14:paraId="28BCDD2B" w14:textId="60C65B51" w:rsidR="00850766" w:rsidRDefault="00850766" w:rsidP="00850766">
            <w:pPr>
              <w:jc w:val="left"/>
              <w:rPr>
                <w:rFonts w:cs="Times New Roman"/>
                <w:sz w:val="20"/>
                <w:szCs w:val="20"/>
              </w:rPr>
            </w:pPr>
            <w:r>
              <w:rPr>
                <w:rFonts w:cs="Times New Roman"/>
                <w:sz w:val="20"/>
                <w:szCs w:val="20"/>
              </w:rPr>
              <w:t>3 (rear-end, sideswipe and angle)</w:t>
            </w:r>
          </w:p>
        </w:tc>
        <w:tc>
          <w:tcPr>
            <w:tcW w:w="1998" w:type="dxa"/>
            <w:tcBorders>
              <w:top w:val="single" w:sz="4" w:space="0" w:color="auto"/>
              <w:bottom w:val="single" w:sz="4" w:space="0" w:color="auto"/>
            </w:tcBorders>
            <w:vAlign w:val="center"/>
          </w:tcPr>
          <w:p w14:paraId="707D852C" w14:textId="77BA4ACE" w:rsidR="00850766" w:rsidRPr="00992CCC" w:rsidRDefault="00850766" w:rsidP="00850766">
            <w:pPr>
              <w:jc w:val="left"/>
              <w:rPr>
                <w:rFonts w:cs="Times New Roman"/>
                <w:sz w:val="20"/>
                <w:szCs w:val="20"/>
                <w:lang w:val="en-US"/>
              </w:rPr>
            </w:pPr>
            <w:r w:rsidRPr="00992CCC">
              <w:rPr>
                <w:rFonts w:cs="Times New Roman"/>
                <w:sz w:val="20"/>
                <w:szCs w:val="20"/>
                <w:lang w:val="en-US"/>
              </w:rPr>
              <w:t xml:space="preserve">A </w:t>
            </w:r>
            <w:r w:rsidRPr="00E13C5E">
              <w:rPr>
                <w:rFonts w:cs="Times New Roman"/>
                <w:sz w:val="20"/>
                <w:szCs w:val="20"/>
                <w:lang w:val="en-US"/>
              </w:rPr>
              <w:t>random parameters multivariate Tobit model</w:t>
            </w:r>
          </w:p>
        </w:tc>
        <w:tc>
          <w:tcPr>
            <w:tcW w:w="652" w:type="dxa"/>
            <w:tcBorders>
              <w:top w:val="single" w:sz="4" w:space="0" w:color="auto"/>
              <w:bottom w:val="single" w:sz="4" w:space="0" w:color="auto"/>
            </w:tcBorders>
            <w:vAlign w:val="center"/>
          </w:tcPr>
          <w:p w14:paraId="1A6ADEED" w14:textId="7BF88F1C" w:rsidR="00850766" w:rsidRPr="0078373E" w:rsidRDefault="00850766" w:rsidP="00850766">
            <w:pPr>
              <w:jc w:val="center"/>
              <w:rPr>
                <w:rFonts w:cs="Times New Roman"/>
                <w:b/>
                <w:sz w:val="20"/>
                <w:szCs w:val="20"/>
              </w:rPr>
            </w:pPr>
            <w:r w:rsidRPr="0078373E">
              <w:rPr>
                <w:rFonts w:cs="Times New Roman"/>
                <w:b/>
                <w:sz w:val="20"/>
                <w:szCs w:val="20"/>
              </w:rPr>
              <w:t>√</w:t>
            </w:r>
          </w:p>
        </w:tc>
        <w:tc>
          <w:tcPr>
            <w:tcW w:w="459" w:type="dxa"/>
            <w:tcBorders>
              <w:top w:val="single" w:sz="4" w:space="0" w:color="auto"/>
              <w:bottom w:val="single" w:sz="4" w:space="0" w:color="auto"/>
            </w:tcBorders>
            <w:vAlign w:val="center"/>
          </w:tcPr>
          <w:p w14:paraId="10F6D9FB" w14:textId="0997315E" w:rsidR="00850766" w:rsidRPr="00611D69" w:rsidRDefault="00850766" w:rsidP="00850766">
            <w:pPr>
              <w:jc w:val="center"/>
              <w:rPr>
                <w:rFonts w:cs="Times New Roman"/>
                <w:b/>
                <w:sz w:val="20"/>
                <w:szCs w:val="20"/>
              </w:rPr>
            </w:pPr>
            <w:r w:rsidRPr="00611D69">
              <w:rPr>
                <w:rFonts w:cs="Times New Roman"/>
                <w:b/>
                <w:sz w:val="20"/>
                <w:szCs w:val="20"/>
              </w:rPr>
              <w:t>--</w:t>
            </w:r>
          </w:p>
        </w:tc>
        <w:tc>
          <w:tcPr>
            <w:tcW w:w="604" w:type="dxa"/>
            <w:tcBorders>
              <w:top w:val="single" w:sz="4" w:space="0" w:color="auto"/>
              <w:bottom w:val="single" w:sz="4" w:space="0" w:color="auto"/>
            </w:tcBorders>
            <w:vAlign w:val="center"/>
          </w:tcPr>
          <w:p w14:paraId="69152848" w14:textId="084D90EF" w:rsidR="00850766" w:rsidRPr="00611D69" w:rsidRDefault="00850766" w:rsidP="00850766">
            <w:pPr>
              <w:jc w:val="center"/>
              <w:rPr>
                <w:rFonts w:cs="Times New Roman"/>
                <w:b/>
                <w:sz w:val="20"/>
                <w:szCs w:val="20"/>
              </w:rPr>
            </w:pPr>
            <w:r w:rsidRPr="00611D69">
              <w:rPr>
                <w:rFonts w:cs="Times New Roman"/>
                <w:b/>
                <w:sz w:val="20"/>
                <w:szCs w:val="20"/>
              </w:rPr>
              <w:t>--</w:t>
            </w:r>
          </w:p>
        </w:tc>
        <w:tc>
          <w:tcPr>
            <w:tcW w:w="604" w:type="dxa"/>
            <w:tcBorders>
              <w:top w:val="single" w:sz="4" w:space="0" w:color="auto"/>
              <w:bottom w:val="single" w:sz="4" w:space="0" w:color="auto"/>
            </w:tcBorders>
            <w:vAlign w:val="center"/>
          </w:tcPr>
          <w:p w14:paraId="6BB7318A" w14:textId="22BDD3A1" w:rsidR="00850766" w:rsidRPr="0078373E" w:rsidRDefault="00850766" w:rsidP="00850766">
            <w:pPr>
              <w:jc w:val="center"/>
              <w:rPr>
                <w:rFonts w:cs="Times New Roman"/>
                <w:b/>
                <w:sz w:val="20"/>
                <w:szCs w:val="20"/>
              </w:rPr>
            </w:pPr>
            <w:r w:rsidRPr="0078373E">
              <w:rPr>
                <w:rFonts w:cs="Times New Roman"/>
                <w:b/>
                <w:sz w:val="20"/>
                <w:szCs w:val="20"/>
              </w:rPr>
              <w:t>√</w:t>
            </w:r>
          </w:p>
        </w:tc>
        <w:tc>
          <w:tcPr>
            <w:tcW w:w="604" w:type="dxa"/>
            <w:tcBorders>
              <w:top w:val="single" w:sz="4" w:space="0" w:color="auto"/>
              <w:bottom w:val="single" w:sz="4" w:space="0" w:color="auto"/>
            </w:tcBorders>
            <w:vAlign w:val="center"/>
          </w:tcPr>
          <w:p w14:paraId="6DF45DBC" w14:textId="676C80CE" w:rsidR="00850766" w:rsidRPr="000C126B" w:rsidRDefault="00850766" w:rsidP="00850766">
            <w:pPr>
              <w:jc w:val="center"/>
              <w:rPr>
                <w:rFonts w:cs="Times New Roman"/>
                <w:b/>
                <w:sz w:val="20"/>
                <w:szCs w:val="20"/>
              </w:rPr>
            </w:pPr>
            <w:r w:rsidRPr="000C126B">
              <w:rPr>
                <w:rFonts w:cs="Times New Roman"/>
                <w:b/>
                <w:sz w:val="20"/>
                <w:szCs w:val="20"/>
              </w:rPr>
              <w:t>--</w:t>
            </w:r>
          </w:p>
        </w:tc>
        <w:tc>
          <w:tcPr>
            <w:tcW w:w="459" w:type="dxa"/>
            <w:tcBorders>
              <w:top w:val="single" w:sz="4" w:space="0" w:color="auto"/>
              <w:bottom w:val="single" w:sz="4" w:space="0" w:color="auto"/>
            </w:tcBorders>
            <w:vAlign w:val="center"/>
          </w:tcPr>
          <w:p w14:paraId="52BCF6FF" w14:textId="48965D51" w:rsidR="00850766" w:rsidRPr="000C126B" w:rsidRDefault="00850766" w:rsidP="00850766">
            <w:pPr>
              <w:jc w:val="center"/>
              <w:rPr>
                <w:rFonts w:cs="Times New Roman"/>
                <w:b/>
                <w:sz w:val="20"/>
                <w:szCs w:val="20"/>
              </w:rPr>
            </w:pPr>
            <w:r w:rsidRPr="000C126B">
              <w:rPr>
                <w:rFonts w:cs="Times New Roman"/>
                <w:b/>
                <w:sz w:val="20"/>
                <w:szCs w:val="20"/>
              </w:rPr>
              <w:t>--</w:t>
            </w:r>
          </w:p>
        </w:tc>
      </w:tr>
      <w:tr w:rsidR="00494D9E" w:rsidRPr="00D40F8D" w14:paraId="07C99DDC" w14:textId="77777777" w:rsidTr="004601C9">
        <w:trPr>
          <w:trHeight w:val="360"/>
        </w:trPr>
        <w:tc>
          <w:tcPr>
            <w:tcW w:w="1729" w:type="dxa"/>
            <w:tcBorders>
              <w:top w:val="single" w:sz="4" w:space="0" w:color="auto"/>
              <w:bottom w:val="single" w:sz="4" w:space="0" w:color="auto"/>
            </w:tcBorders>
            <w:vAlign w:val="center"/>
          </w:tcPr>
          <w:p w14:paraId="3F5233FB" w14:textId="4E20240C" w:rsidR="00850766" w:rsidRDefault="00850766" w:rsidP="00850766">
            <w:pPr>
              <w:jc w:val="left"/>
              <w:rPr>
                <w:rFonts w:cs="Times New Roman"/>
                <w:sz w:val="20"/>
                <w:szCs w:val="20"/>
              </w:rPr>
            </w:pPr>
            <w:r>
              <w:rPr>
                <w:rFonts w:cs="Times New Roman"/>
                <w:sz w:val="20"/>
                <w:szCs w:val="20"/>
              </w:rPr>
              <w:fldChar w:fldCharType="begin" w:fldLock="1"/>
            </w:r>
            <w:r w:rsidR="002F3C91">
              <w:rPr>
                <w:rFonts w:cs="Times New Roman"/>
                <w:sz w:val="20"/>
                <w:szCs w:val="20"/>
              </w:rPr>
              <w:instrText>ADDIN CSL_CITATION {"citationItems":[{"id":"ITEM-1","itemData":{"DOI":"10.1016/j.amar.2019.100107","ISSN":"22136657","abstract":"In safety literature, simulation-based multivariate framework is the most commonly employed approach for analyzing multiple crash frequency dependent variables. The current research effort contributes to literature on crash frequency analysis by suggesting an alternative and mathematically simpler approach for analyzing multiple crash frequency variables for the same study unit. The proposed recasts a multivariate distributional problem as a repeated measure univariate problem. Specifically, we employed a simpler panel random parameter based univariate model framework to analyze zonal level crash counts for different crash types. The empirical analysis is based on the traffic analysis zone (TAZ) level crash count data for both motorized and non-motorized crashes from Central Florida for the year 2016. The performance of the proposed framework is compared with the performance of the random parameter multivariate negative binomial model (RPMNB) using a host of metrics for estimation sample and hold-out sample. The resulting goodness of fit and predictive measures clearly highlight the comparable performance offered by the proposed framework relative to the commonly used RPMNB model with substantially fewer parameters. The comparison exercise is augmented by computing aggregate level elasticity effects for both PMNB and RPMNB models. The results clearly highlight the comparable performance offered by the proposed PMNB model relative to the traditional RPMNB model. In summary, the proposed framework allows for a parsimonious specification without compromising the model explanatory power and provides similar performance as the most traditional multivariate NB model for analyzing different crash dimensions.","author":[{"dropping-particle":"","family":"Bhowmik","given":"Tanmoy","non-dropping-particle":"","parse-names":false,"suffix":""},{"dropping-particle":"","family":"Yasmin","given":"Shamsunnahar","non-dropping-particle":"","parse-names":false,"suffix":""},{"dropping-particle":"","family":"Eluru","given":"Naveen","non-dropping-particle":"","parse-names":false,"suffix":""}],"container-title":"Analytic Methods in Accident Research","id":"ITEM-1","issued":{"date-parts":[["2019"]]},"title":"Do we need multivariate modeling approaches to model crash frequency by crash types? A panel mixed approach to modeling crash frequency by crash types","type":"article-journal","volume":"24"},"uris":["http://www.mendeley.com/documents/?uuid=9dc0906e-2da2-4234-a3bb-895cfabe6868"]}],"mendeley":{"formattedCitation":"(Bhowmik et al., 2019b)","manualFormatting":"(Bhowmik et al., 2019a)","plainTextFormattedCitation":"(Bhowmik et al., 2019b)","previouslyFormattedCitation":"(Bhowmik et al., 2019b)"},"properties":{"noteIndex":0},"schema":"https://github.com/citation-style-language/schema/raw/master/csl-citation.json"}</w:instrText>
            </w:r>
            <w:r>
              <w:rPr>
                <w:rFonts w:cs="Times New Roman"/>
                <w:sz w:val="20"/>
                <w:szCs w:val="20"/>
              </w:rPr>
              <w:fldChar w:fldCharType="separate"/>
            </w:r>
            <w:r w:rsidRPr="0052670E">
              <w:rPr>
                <w:rFonts w:cs="Times New Roman"/>
                <w:noProof/>
                <w:sz w:val="20"/>
                <w:szCs w:val="20"/>
              </w:rPr>
              <w:t>(Bhowmik et al., 2019</w:t>
            </w:r>
            <w:r w:rsidR="000B5ADD">
              <w:rPr>
                <w:rFonts w:cs="Times New Roman"/>
                <w:noProof/>
                <w:sz w:val="20"/>
                <w:szCs w:val="20"/>
              </w:rPr>
              <w:t>a</w:t>
            </w:r>
            <w:r w:rsidRPr="0052670E">
              <w:rPr>
                <w:rFonts w:cs="Times New Roman"/>
                <w:noProof/>
                <w:sz w:val="20"/>
                <w:szCs w:val="20"/>
              </w:rPr>
              <w:t>)</w:t>
            </w:r>
            <w:r>
              <w:rPr>
                <w:rFonts w:cs="Times New Roman"/>
                <w:sz w:val="20"/>
                <w:szCs w:val="20"/>
              </w:rPr>
              <w:fldChar w:fldCharType="end"/>
            </w:r>
          </w:p>
        </w:tc>
        <w:tc>
          <w:tcPr>
            <w:tcW w:w="1238" w:type="dxa"/>
            <w:tcBorders>
              <w:top w:val="single" w:sz="4" w:space="0" w:color="auto"/>
              <w:bottom w:val="single" w:sz="4" w:space="0" w:color="auto"/>
            </w:tcBorders>
            <w:vAlign w:val="center"/>
          </w:tcPr>
          <w:p w14:paraId="4FA0ED3D" w14:textId="3BFB4B2B" w:rsidR="00850766" w:rsidRDefault="00850766" w:rsidP="00850766">
            <w:pPr>
              <w:jc w:val="center"/>
              <w:rPr>
                <w:rFonts w:cs="Times New Roman"/>
                <w:sz w:val="20"/>
                <w:szCs w:val="20"/>
                <w:lang w:val="en-US"/>
              </w:rPr>
            </w:pPr>
            <w:r w:rsidRPr="0078373E">
              <w:rPr>
                <w:rFonts w:cs="Times New Roman"/>
                <w:sz w:val="20"/>
                <w:szCs w:val="20"/>
                <w:lang w:val="en-US"/>
              </w:rPr>
              <w:t>TAZ (Macro)</w:t>
            </w:r>
          </w:p>
        </w:tc>
        <w:tc>
          <w:tcPr>
            <w:tcW w:w="1416" w:type="dxa"/>
            <w:tcBorders>
              <w:top w:val="single" w:sz="4" w:space="0" w:color="auto"/>
              <w:bottom w:val="single" w:sz="4" w:space="0" w:color="auto"/>
            </w:tcBorders>
            <w:vAlign w:val="center"/>
          </w:tcPr>
          <w:p w14:paraId="24D368A3" w14:textId="77777777" w:rsidR="00850766" w:rsidRPr="0078373E" w:rsidRDefault="00850766" w:rsidP="00850766">
            <w:pPr>
              <w:jc w:val="center"/>
              <w:rPr>
                <w:rFonts w:cs="Times New Roman"/>
                <w:sz w:val="20"/>
                <w:szCs w:val="20"/>
                <w:lang w:val="en-US"/>
              </w:rPr>
            </w:pPr>
            <w:r w:rsidRPr="0078373E">
              <w:rPr>
                <w:rFonts w:cs="Times New Roman"/>
                <w:sz w:val="20"/>
                <w:szCs w:val="20"/>
                <w:lang w:val="en-US"/>
              </w:rPr>
              <w:t>State</w:t>
            </w:r>
          </w:p>
          <w:p w14:paraId="6BBA1AD1" w14:textId="5D61FA4C" w:rsidR="00850766" w:rsidRDefault="00850766" w:rsidP="00850766">
            <w:pPr>
              <w:jc w:val="center"/>
              <w:rPr>
                <w:rFonts w:cs="Times New Roman"/>
                <w:sz w:val="20"/>
                <w:szCs w:val="20"/>
                <w:lang w:val="en-US"/>
              </w:rPr>
            </w:pPr>
            <w:r w:rsidRPr="0078373E">
              <w:rPr>
                <w:rFonts w:cs="Times New Roman"/>
                <w:sz w:val="20"/>
                <w:szCs w:val="20"/>
                <w:lang w:val="en-US"/>
              </w:rPr>
              <w:t>(Florida)</w:t>
            </w:r>
          </w:p>
        </w:tc>
        <w:tc>
          <w:tcPr>
            <w:tcW w:w="1089" w:type="dxa"/>
            <w:tcBorders>
              <w:top w:val="single" w:sz="4" w:space="0" w:color="auto"/>
              <w:bottom w:val="single" w:sz="4" w:space="0" w:color="auto"/>
            </w:tcBorders>
            <w:vAlign w:val="center"/>
          </w:tcPr>
          <w:p w14:paraId="12CC2196" w14:textId="77777777" w:rsidR="00850766" w:rsidRDefault="00850766" w:rsidP="00850766">
            <w:pPr>
              <w:jc w:val="center"/>
              <w:rPr>
                <w:rFonts w:cs="Times New Roman"/>
                <w:sz w:val="20"/>
                <w:szCs w:val="20"/>
              </w:rPr>
            </w:pPr>
            <w:r w:rsidRPr="0078373E">
              <w:rPr>
                <w:rFonts w:cs="Times New Roman"/>
                <w:sz w:val="20"/>
                <w:szCs w:val="20"/>
              </w:rPr>
              <w:t xml:space="preserve">Any </w:t>
            </w:r>
          </w:p>
          <w:p w14:paraId="5DA3C613" w14:textId="3C312127" w:rsidR="00850766" w:rsidRPr="0078373E" w:rsidRDefault="00850766" w:rsidP="00850766">
            <w:pPr>
              <w:jc w:val="center"/>
              <w:rPr>
                <w:rFonts w:cs="Times New Roman"/>
                <w:sz w:val="20"/>
                <w:szCs w:val="20"/>
              </w:rPr>
            </w:pPr>
            <w:r w:rsidRPr="0078373E">
              <w:rPr>
                <w:rFonts w:cs="Times New Roman"/>
                <w:sz w:val="20"/>
                <w:szCs w:val="20"/>
              </w:rPr>
              <w:t>Crash</w:t>
            </w:r>
          </w:p>
        </w:tc>
        <w:tc>
          <w:tcPr>
            <w:tcW w:w="2061" w:type="dxa"/>
            <w:tcBorders>
              <w:top w:val="single" w:sz="4" w:space="0" w:color="auto"/>
              <w:bottom w:val="single" w:sz="4" w:space="0" w:color="auto"/>
            </w:tcBorders>
            <w:vAlign w:val="center"/>
          </w:tcPr>
          <w:p w14:paraId="6EF2B45F" w14:textId="7FA87A09" w:rsidR="00850766" w:rsidRDefault="00850766" w:rsidP="00850766">
            <w:pPr>
              <w:jc w:val="left"/>
              <w:rPr>
                <w:rFonts w:cs="Times New Roman"/>
                <w:sz w:val="20"/>
                <w:szCs w:val="20"/>
              </w:rPr>
            </w:pPr>
            <w:r>
              <w:rPr>
                <w:rFonts w:cs="Times New Roman"/>
                <w:sz w:val="20"/>
                <w:szCs w:val="20"/>
              </w:rPr>
              <w:t>6</w:t>
            </w:r>
            <w:r w:rsidRPr="0078373E">
              <w:rPr>
                <w:rFonts w:cs="Times New Roman"/>
                <w:sz w:val="20"/>
                <w:szCs w:val="20"/>
              </w:rPr>
              <w:t xml:space="preserve"> (rear-end, angular, sideswipe, single vehicle, </w:t>
            </w:r>
            <w:r>
              <w:rPr>
                <w:rFonts w:cs="Times New Roman"/>
                <w:sz w:val="20"/>
                <w:szCs w:val="20"/>
              </w:rPr>
              <w:t>other multi vehicle</w:t>
            </w:r>
            <w:r w:rsidRPr="0078373E">
              <w:rPr>
                <w:rFonts w:cs="Times New Roman"/>
                <w:sz w:val="20"/>
                <w:szCs w:val="20"/>
              </w:rPr>
              <w:t xml:space="preserve"> and </w:t>
            </w:r>
            <w:r>
              <w:rPr>
                <w:rFonts w:cs="Times New Roman"/>
                <w:sz w:val="20"/>
                <w:szCs w:val="20"/>
              </w:rPr>
              <w:t>non-motorized</w:t>
            </w:r>
            <w:r w:rsidRPr="0078373E">
              <w:rPr>
                <w:rFonts w:cs="Times New Roman"/>
                <w:sz w:val="20"/>
                <w:szCs w:val="20"/>
              </w:rPr>
              <w:t>)</w:t>
            </w:r>
          </w:p>
        </w:tc>
        <w:tc>
          <w:tcPr>
            <w:tcW w:w="1998" w:type="dxa"/>
            <w:tcBorders>
              <w:top w:val="single" w:sz="4" w:space="0" w:color="auto"/>
              <w:bottom w:val="single" w:sz="4" w:space="0" w:color="auto"/>
            </w:tcBorders>
            <w:vAlign w:val="center"/>
          </w:tcPr>
          <w:p w14:paraId="6FFE88CF" w14:textId="5E2831EA" w:rsidR="00850766" w:rsidRPr="00992CCC" w:rsidRDefault="00850766" w:rsidP="00850766">
            <w:pPr>
              <w:jc w:val="left"/>
              <w:rPr>
                <w:rFonts w:cs="Times New Roman"/>
                <w:sz w:val="20"/>
                <w:szCs w:val="20"/>
                <w:lang w:val="en-US"/>
              </w:rPr>
            </w:pPr>
            <w:r>
              <w:rPr>
                <w:rFonts w:cs="Times New Roman"/>
                <w:sz w:val="20"/>
                <w:szCs w:val="20"/>
                <w:lang w:val="en-US"/>
              </w:rPr>
              <w:t>Panel mixed negative binomial model</w:t>
            </w:r>
          </w:p>
        </w:tc>
        <w:tc>
          <w:tcPr>
            <w:tcW w:w="652" w:type="dxa"/>
            <w:tcBorders>
              <w:top w:val="single" w:sz="4" w:space="0" w:color="auto"/>
              <w:bottom w:val="single" w:sz="4" w:space="0" w:color="auto"/>
            </w:tcBorders>
            <w:vAlign w:val="center"/>
          </w:tcPr>
          <w:p w14:paraId="12D36769" w14:textId="470FC7E2" w:rsidR="00850766" w:rsidRPr="0078373E" w:rsidRDefault="00850766" w:rsidP="00850766">
            <w:pPr>
              <w:jc w:val="center"/>
              <w:rPr>
                <w:rFonts w:cs="Times New Roman"/>
                <w:b/>
                <w:sz w:val="20"/>
                <w:szCs w:val="20"/>
              </w:rPr>
            </w:pPr>
            <w:r w:rsidRPr="0078373E">
              <w:rPr>
                <w:rFonts w:cs="Times New Roman"/>
                <w:b/>
                <w:sz w:val="20"/>
                <w:szCs w:val="20"/>
              </w:rPr>
              <w:t>√</w:t>
            </w:r>
          </w:p>
        </w:tc>
        <w:tc>
          <w:tcPr>
            <w:tcW w:w="459" w:type="dxa"/>
            <w:tcBorders>
              <w:top w:val="single" w:sz="4" w:space="0" w:color="auto"/>
              <w:bottom w:val="single" w:sz="4" w:space="0" w:color="auto"/>
            </w:tcBorders>
            <w:vAlign w:val="center"/>
          </w:tcPr>
          <w:p w14:paraId="5332E483" w14:textId="4373F5D4" w:rsidR="00850766" w:rsidRPr="00611D69" w:rsidRDefault="00850766" w:rsidP="00850766">
            <w:pPr>
              <w:jc w:val="center"/>
              <w:rPr>
                <w:rFonts w:cs="Times New Roman"/>
                <w:b/>
                <w:sz w:val="20"/>
                <w:szCs w:val="20"/>
              </w:rPr>
            </w:pPr>
            <w:r w:rsidRPr="0078373E">
              <w:rPr>
                <w:rFonts w:cs="Times New Roman"/>
                <w:b/>
                <w:sz w:val="20"/>
                <w:szCs w:val="20"/>
              </w:rPr>
              <w:t>√</w:t>
            </w:r>
          </w:p>
        </w:tc>
        <w:tc>
          <w:tcPr>
            <w:tcW w:w="604" w:type="dxa"/>
            <w:tcBorders>
              <w:top w:val="single" w:sz="4" w:space="0" w:color="auto"/>
              <w:bottom w:val="single" w:sz="4" w:space="0" w:color="auto"/>
            </w:tcBorders>
            <w:vAlign w:val="center"/>
          </w:tcPr>
          <w:p w14:paraId="6275465C" w14:textId="52AA9FDB" w:rsidR="00850766" w:rsidRPr="00611D69" w:rsidRDefault="00850766" w:rsidP="00850766">
            <w:pPr>
              <w:jc w:val="center"/>
              <w:rPr>
                <w:rFonts w:cs="Times New Roman"/>
                <w:b/>
                <w:sz w:val="20"/>
                <w:szCs w:val="20"/>
              </w:rPr>
            </w:pPr>
            <w:r w:rsidRPr="0078373E">
              <w:rPr>
                <w:rFonts w:cs="Times New Roman"/>
                <w:b/>
                <w:sz w:val="20"/>
                <w:szCs w:val="20"/>
              </w:rPr>
              <w:t>√</w:t>
            </w:r>
          </w:p>
        </w:tc>
        <w:tc>
          <w:tcPr>
            <w:tcW w:w="604" w:type="dxa"/>
            <w:tcBorders>
              <w:top w:val="single" w:sz="4" w:space="0" w:color="auto"/>
              <w:bottom w:val="single" w:sz="4" w:space="0" w:color="auto"/>
            </w:tcBorders>
            <w:vAlign w:val="center"/>
          </w:tcPr>
          <w:p w14:paraId="48193048" w14:textId="76C3663A" w:rsidR="00850766" w:rsidRPr="0078373E" w:rsidRDefault="00850766" w:rsidP="00850766">
            <w:pPr>
              <w:jc w:val="center"/>
              <w:rPr>
                <w:rFonts w:cs="Times New Roman"/>
                <w:b/>
                <w:sz w:val="20"/>
                <w:szCs w:val="20"/>
              </w:rPr>
            </w:pPr>
            <w:r w:rsidRPr="0078373E">
              <w:rPr>
                <w:rFonts w:cs="Times New Roman"/>
                <w:b/>
                <w:sz w:val="20"/>
                <w:szCs w:val="20"/>
              </w:rPr>
              <w:t>√</w:t>
            </w:r>
          </w:p>
        </w:tc>
        <w:tc>
          <w:tcPr>
            <w:tcW w:w="604" w:type="dxa"/>
            <w:tcBorders>
              <w:top w:val="single" w:sz="4" w:space="0" w:color="auto"/>
              <w:bottom w:val="single" w:sz="4" w:space="0" w:color="auto"/>
            </w:tcBorders>
            <w:vAlign w:val="center"/>
          </w:tcPr>
          <w:p w14:paraId="095E1379" w14:textId="4135BED3" w:rsidR="00850766" w:rsidRPr="000C126B" w:rsidRDefault="00850766" w:rsidP="00850766">
            <w:pPr>
              <w:jc w:val="center"/>
              <w:rPr>
                <w:rFonts w:cs="Times New Roman"/>
                <w:b/>
                <w:sz w:val="20"/>
                <w:szCs w:val="20"/>
              </w:rPr>
            </w:pPr>
            <w:r w:rsidRPr="0078373E">
              <w:rPr>
                <w:rFonts w:cs="Times New Roman"/>
                <w:b/>
                <w:sz w:val="20"/>
                <w:szCs w:val="20"/>
              </w:rPr>
              <w:t>--</w:t>
            </w:r>
          </w:p>
        </w:tc>
        <w:tc>
          <w:tcPr>
            <w:tcW w:w="459" w:type="dxa"/>
            <w:tcBorders>
              <w:top w:val="single" w:sz="4" w:space="0" w:color="auto"/>
              <w:bottom w:val="single" w:sz="4" w:space="0" w:color="auto"/>
            </w:tcBorders>
            <w:vAlign w:val="center"/>
          </w:tcPr>
          <w:p w14:paraId="791DD036" w14:textId="45E672F4" w:rsidR="00850766" w:rsidRPr="000C126B" w:rsidRDefault="00850766" w:rsidP="00850766">
            <w:pPr>
              <w:jc w:val="center"/>
              <w:rPr>
                <w:rFonts w:cs="Times New Roman"/>
                <w:b/>
                <w:sz w:val="20"/>
                <w:szCs w:val="20"/>
              </w:rPr>
            </w:pPr>
            <w:r w:rsidRPr="0078373E">
              <w:rPr>
                <w:rFonts w:cs="Times New Roman"/>
                <w:b/>
                <w:sz w:val="20"/>
                <w:szCs w:val="20"/>
              </w:rPr>
              <w:t>--</w:t>
            </w:r>
          </w:p>
        </w:tc>
      </w:tr>
      <w:tr w:rsidR="00494D9E" w:rsidRPr="00D40F8D" w14:paraId="1EC98970" w14:textId="77777777" w:rsidTr="004601C9">
        <w:trPr>
          <w:trHeight w:val="360"/>
        </w:trPr>
        <w:tc>
          <w:tcPr>
            <w:tcW w:w="1729" w:type="dxa"/>
            <w:tcBorders>
              <w:top w:val="single" w:sz="4" w:space="0" w:color="auto"/>
              <w:bottom w:val="single" w:sz="4" w:space="0" w:color="auto"/>
            </w:tcBorders>
            <w:vAlign w:val="center"/>
          </w:tcPr>
          <w:p w14:paraId="4A06703C" w14:textId="477C52CA" w:rsidR="00850766" w:rsidRPr="0078373E" w:rsidRDefault="00663154" w:rsidP="00850766">
            <w:pPr>
              <w:jc w:val="left"/>
              <w:rPr>
                <w:rFonts w:cs="Times New Roman"/>
                <w:sz w:val="20"/>
                <w:szCs w:val="20"/>
              </w:rPr>
            </w:pPr>
            <w:r>
              <w:rPr>
                <w:rFonts w:cs="Times New Roman"/>
                <w:sz w:val="20"/>
                <w:szCs w:val="20"/>
              </w:rPr>
              <w:t>(Bhowmik et al., 2021)</w:t>
            </w:r>
          </w:p>
        </w:tc>
        <w:tc>
          <w:tcPr>
            <w:tcW w:w="1238" w:type="dxa"/>
            <w:tcBorders>
              <w:top w:val="single" w:sz="4" w:space="0" w:color="auto"/>
              <w:bottom w:val="single" w:sz="4" w:space="0" w:color="auto"/>
            </w:tcBorders>
            <w:vAlign w:val="center"/>
          </w:tcPr>
          <w:p w14:paraId="740C8CBA" w14:textId="0B42CA7B" w:rsidR="00850766" w:rsidRPr="0078373E" w:rsidRDefault="00850766" w:rsidP="00850766">
            <w:pPr>
              <w:jc w:val="center"/>
              <w:rPr>
                <w:rFonts w:cs="Times New Roman"/>
                <w:sz w:val="20"/>
                <w:szCs w:val="20"/>
                <w:lang w:val="en-US"/>
              </w:rPr>
            </w:pPr>
            <w:r w:rsidRPr="0078373E">
              <w:rPr>
                <w:rFonts w:cs="Times New Roman"/>
                <w:sz w:val="20"/>
                <w:szCs w:val="20"/>
                <w:lang w:val="en-US"/>
              </w:rPr>
              <w:t>STAZ (Macro)</w:t>
            </w:r>
          </w:p>
        </w:tc>
        <w:tc>
          <w:tcPr>
            <w:tcW w:w="1416" w:type="dxa"/>
            <w:tcBorders>
              <w:top w:val="single" w:sz="4" w:space="0" w:color="auto"/>
              <w:bottom w:val="single" w:sz="4" w:space="0" w:color="auto"/>
            </w:tcBorders>
            <w:vAlign w:val="center"/>
          </w:tcPr>
          <w:p w14:paraId="1C5E7C85" w14:textId="77777777" w:rsidR="00850766" w:rsidRPr="0078373E" w:rsidRDefault="00850766" w:rsidP="00850766">
            <w:pPr>
              <w:jc w:val="center"/>
              <w:rPr>
                <w:rFonts w:cs="Times New Roman"/>
                <w:sz w:val="20"/>
                <w:szCs w:val="20"/>
                <w:lang w:val="en-US"/>
              </w:rPr>
            </w:pPr>
            <w:r w:rsidRPr="0078373E">
              <w:rPr>
                <w:rFonts w:cs="Times New Roman"/>
                <w:sz w:val="20"/>
                <w:szCs w:val="20"/>
                <w:lang w:val="en-US"/>
              </w:rPr>
              <w:t>State</w:t>
            </w:r>
          </w:p>
          <w:p w14:paraId="207FC118" w14:textId="6FDBB7C1" w:rsidR="00850766" w:rsidRPr="0078373E" w:rsidRDefault="00850766" w:rsidP="00850766">
            <w:pPr>
              <w:jc w:val="center"/>
              <w:rPr>
                <w:rFonts w:cs="Times New Roman"/>
                <w:sz w:val="20"/>
                <w:szCs w:val="20"/>
                <w:lang w:val="en-US"/>
              </w:rPr>
            </w:pPr>
            <w:r w:rsidRPr="0078373E">
              <w:rPr>
                <w:rFonts w:cs="Times New Roman"/>
                <w:sz w:val="20"/>
                <w:szCs w:val="20"/>
                <w:lang w:val="en-US"/>
              </w:rPr>
              <w:t>(Florida)</w:t>
            </w:r>
          </w:p>
        </w:tc>
        <w:tc>
          <w:tcPr>
            <w:tcW w:w="1089" w:type="dxa"/>
            <w:tcBorders>
              <w:top w:val="single" w:sz="4" w:space="0" w:color="auto"/>
              <w:bottom w:val="single" w:sz="4" w:space="0" w:color="auto"/>
            </w:tcBorders>
            <w:vAlign w:val="center"/>
          </w:tcPr>
          <w:p w14:paraId="5B256537" w14:textId="77777777" w:rsidR="00850766" w:rsidRDefault="00850766" w:rsidP="00850766">
            <w:pPr>
              <w:jc w:val="center"/>
              <w:rPr>
                <w:rFonts w:cs="Times New Roman"/>
                <w:sz w:val="20"/>
                <w:szCs w:val="20"/>
              </w:rPr>
            </w:pPr>
            <w:r w:rsidRPr="0078373E">
              <w:rPr>
                <w:rFonts w:cs="Times New Roman"/>
                <w:sz w:val="20"/>
                <w:szCs w:val="20"/>
              </w:rPr>
              <w:t xml:space="preserve">Any </w:t>
            </w:r>
          </w:p>
          <w:p w14:paraId="601F8391" w14:textId="44A8E3CB" w:rsidR="00850766" w:rsidRPr="0078373E" w:rsidRDefault="00850766" w:rsidP="00850766">
            <w:pPr>
              <w:jc w:val="center"/>
              <w:rPr>
                <w:rFonts w:cs="Times New Roman"/>
                <w:sz w:val="20"/>
                <w:szCs w:val="20"/>
              </w:rPr>
            </w:pPr>
            <w:r w:rsidRPr="0078373E">
              <w:rPr>
                <w:rFonts w:cs="Times New Roman"/>
                <w:sz w:val="20"/>
                <w:szCs w:val="20"/>
              </w:rPr>
              <w:t>Crash</w:t>
            </w:r>
          </w:p>
        </w:tc>
        <w:tc>
          <w:tcPr>
            <w:tcW w:w="2061" w:type="dxa"/>
            <w:tcBorders>
              <w:top w:val="single" w:sz="4" w:space="0" w:color="auto"/>
              <w:bottom w:val="single" w:sz="4" w:space="0" w:color="auto"/>
            </w:tcBorders>
            <w:vAlign w:val="center"/>
          </w:tcPr>
          <w:p w14:paraId="34074750" w14:textId="39901572" w:rsidR="00850766" w:rsidRDefault="00850766" w:rsidP="00850766">
            <w:pPr>
              <w:jc w:val="left"/>
              <w:rPr>
                <w:rFonts w:cs="Times New Roman"/>
                <w:sz w:val="20"/>
                <w:szCs w:val="20"/>
              </w:rPr>
            </w:pPr>
            <w:r>
              <w:rPr>
                <w:rFonts w:cs="Times New Roman"/>
                <w:sz w:val="20"/>
                <w:szCs w:val="20"/>
              </w:rPr>
              <w:t>4 (</w:t>
            </w:r>
            <w:r w:rsidRPr="00E12F1D">
              <w:rPr>
                <w:rFonts w:cs="Times New Roman"/>
                <w:sz w:val="20"/>
                <w:szCs w:val="20"/>
              </w:rPr>
              <w:t xml:space="preserve">intersection, </w:t>
            </w:r>
            <w:r>
              <w:rPr>
                <w:rFonts w:cs="Times New Roman"/>
                <w:sz w:val="20"/>
                <w:szCs w:val="20"/>
              </w:rPr>
              <w:t>on-</w:t>
            </w:r>
            <w:r w:rsidRPr="00E12F1D">
              <w:rPr>
                <w:rFonts w:cs="Times New Roman"/>
                <w:sz w:val="20"/>
                <w:szCs w:val="20"/>
              </w:rPr>
              <w:t>road</w:t>
            </w:r>
            <w:r>
              <w:rPr>
                <w:rFonts w:cs="Times New Roman"/>
                <w:sz w:val="20"/>
                <w:szCs w:val="20"/>
              </w:rPr>
              <w:t xml:space="preserve">, </w:t>
            </w:r>
            <w:r w:rsidRPr="00E12F1D">
              <w:rPr>
                <w:rFonts w:cs="Times New Roman"/>
                <w:sz w:val="20"/>
                <w:szCs w:val="20"/>
              </w:rPr>
              <w:t>off-road</w:t>
            </w:r>
            <w:r>
              <w:rPr>
                <w:rFonts w:cs="Times New Roman"/>
                <w:sz w:val="20"/>
                <w:szCs w:val="20"/>
              </w:rPr>
              <w:t xml:space="preserve"> and non-motorized)</w:t>
            </w:r>
          </w:p>
        </w:tc>
        <w:tc>
          <w:tcPr>
            <w:tcW w:w="1998" w:type="dxa"/>
            <w:tcBorders>
              <w:top w:val="single" w:sz="4" w:space="0" w:color="auto"/>
              <w:bottom w:val="single" w:sz="4" w:space="0" w:color="auto"/>
            </w:tcBorders>
            <w:vAlign w:val="center"/>
          </w:tcPr>
          <w:p w14:paraId="1647A8A6" w14:textId="70FD270A" w:rsidR="00850766" w:rsidRPr="0078373E" w:rsidRDefault="00850766" w:rsidP="00850766">
            <w:pPr>
              <w:jc w:val="left"/>
              <w:rPr>
                <w:rFonts w:cs="Times New Roman"/>
                <w:sz w:val="20"/>
                <w:szCs w:val="20"/>
                <w:lang w:val="en-US"/>
              </w:rPr>
            </w:pPr>
            <w:r>
              <w:rPr>
                <w:rFonts w:cs="Times New Roman"/>
                <w:sz w:val="20"/>
                <w:szCs w:val="20"/>
                <w:lang w:val="en-US"/>
              </w:rPr>
              <w:t>Copula Based random parameter multivariate NB model</w:t>
            </w:r>
          </w:p>
        </w:tc>
        <w:tc>
          <w:tcPr>
            <w:tcW w:w="652" w:type="dxa"/>
            <w:tcBorders>
              <w:top w:val="single" w:sz="4" w:space="0" w:color="auto"/>
              <w:bottom w:val="single" w:sz="4" w:space="0" w:color="auto"/>
            </w:tcBorders>
            <w:vAlign w:val="center"/>
          </w:tcPr>
          <w:p w14:paraId="561DA0F3" w14:textId="6C1F30B0" w:rsidR="00850766" w:rsidRPr="0078373E" w:rsidRDefault="00850766" w:rsidP="00850766">
            <w:pPr>
              <w:jc w:val="center"/>
              <w:rPr>
                <w:rFonts w:cs="Times New Roman"/>
                <w:b/>
                <w:sz w:val="20"/>
                <w:szCs w:val="20"/>
              </w:rPr>
            </w:pPr>
            <w:r w:rsidRPr="0078373E">
              <w:rPr>
                <w:rFonts w:cs="Times New Roman"/>
                <w:b/>
                <w:sz w:val="20"/>
                <w:szCs w:val="20"/>
              </w:rPr>
              <w:t>√</w:t>
            </w:r>
          </w:p>
        </w:tc>
        <w:tc>
          <w:tcPr>
            <w:tcW w:w="459" w:type="dxa"/>
            <w:tcBorders>
              <w:top w:val="single" w:sz="4" w:space="0" w:color="auto"/>
              <w:bottom w:val="single" w:sz="4" w:space="0" w:color="auto"/>
            </w:tcBorders>
            <w:vAlign w:val="center"/>
          </w:tcPr>
          <w:p w14:paraId="49B47068" w14:textId="039BCC3F" w:rsidR="00850766" w:rsidRPr="0078373E" w:rsidRDefault="00850766" w:rsidP="00850766">
            <w:pPr>
              <w:jc w:val="center"/>
              <w:rPr>
                <w:rFonts w:cs="Times New Roman"/>
                <w:b/>
                <w:sz w:val="20"/>
                <w:szCs w:val="20"/>
              </w:rPr>
            </w:pPr>
            <w:r w:rsidRPr="0078373E">
              <w:rPr>
                <w:rFonts w:cs="Times New Roman"/>
                <w:b/>
                <w:sz w:val="20"/>
                <w:szCs w:val="20"/>
              </w:rPr>
              <w:t>√</w:t>
            </w:r>
          </w:p>
        </w:tc>
        <w:tc>
          <w:tcPr>
            <w:tcW w:w="604" w:type="dxa"/>
            <w:tcBorders>
              <w:top w:val="single" w:sz="4" w:space="0" w:color="auto"/>
              <w:bottom w:val="single" w:sz="4" w:space="0" w:color="auto"/>
            </w:tcBorders>
            <w:vAlign w:val="center"/>
          </w:tcPr>
          <w:p w14:paraId="2A490F5D" w14:textId="0AF74D8E" w:rsidR="00850766" w:rsidRPr="0078373E" w:rsidRDefault="00850766" w:rsidP="00850766">
            <w:pPr>
              <w:jc w:val="center"/>
              <w:rPr>
                <w:rFonts w:cs="Times New Roman"/>
                <w:b/>
                <w:sz w:val="20"/>
                <w:szCs w:val="20"/>
              </w:rPr>
            </w:pPr>
            <w:r w:rsidRPr="0078373E">
              <w:rPr>
                <w:rFonts w:cs="Times New Roman"/>
                <w:b/>
                <w:sz w:val="20"/>
                <w:szCs w:val="20"/>
              </w:rPr>
              <w:t>√</w:t>
            </w:r>
          </w:p>
        </w:tc>
        <w:tc>
          <w:tcPr>
            <w:tcW w:w="604" w:type="dxa"/>
            <w:tcBorders>
              <w:top w:val="single" w:sz="4" w:space="0" w:color="auto"/>
              <w:bottom w:val="single" w:sz="4" w:space="0" w:color="auto"/>
            </w:tcBorders>
            <w:vAlign w:val="center"/>
          </w:tcPr>
          <w:p w14:paraId="4FDF247F" w14:textId="4C66EAB2" w:rsidR="00850766" w:rsidRPr="0078373E" w:rsidRDefault="00850766" w:rsidP="00850766">
            <w:pPr>
              <w:jc w:val="center"/>
              <w:rPr>
                <w:rFonts w:cs="Times New Roman"/>
                <w:b/>
                <w:sz w:val="20"/>
                <w:szCs w:val="20"/>
              </w:rPr>
            </w:pPr>
            <w:r w:rsidRPr="0078373E">
              <w:rPr>
                <w:rFonts w:cs="Times New Roman"/>
                <w:b/>
                <w:sz w:val="20"/>
                <w:szCs w:val="20"/>
              </w:rPr>
              <w:t>√</w:t>
            </w:r>
          </w:p>
        </w:tc>
        <w:tc>
          <w:tcPr>
            <w:tcW w:w="604" w:type="dxa"/>
            <w:tcBorders>
              <w:top w:val="single" w:sz="4" w:space="0" w:color="auto"/>
              <w:bottom w:val="single" w:sz="4" w:space="0" w:color="auto"/>
            </w:tcBorders>
            <w:vAlign w:val="center"/>
          </w:tcPr>
          <w:p w14:paraId="3E880171" w14:textId="23468BA7" w:rsidR="00850766" w:rsidRPr="0078373E" w:rsidRDefault="00850766" w:rsidP="00850766">
            <w:pPr>
              <w:jc w:val="center"/>
              <w:rPr>
                <w:rFonts w:cs="Times New Roman"/>
                <w:b/>
                <w:sz w:val="20"/>
                <w:szCs w:val="20"/>
              </w:rPr>
            </w:pPr>
            <w:r w:rsidRPr="0078373E">
              <w:rPr>
                <w:rFonts w:cs="Times New Roman"/>
                <w:b/>
                <w:sz w:val="20"/>
                <w:szCs w:val="20"/>
              </w:rPr>
              <w:t>--</w:t>
            </w:r>
          </w:p>
        </w:tc>
        <w:tc>
          <w:tcPr>
            <w:tcW w:w="459" w:type="dxa"/>
            <w:tcBorders>
              <w:top w:val="single" w:sz="4" w:space="0" w:color="auto"/>
              <w:bottom w:val="single" w:sz="4" w:space="0" w:color="auto"/>
            </w:tcBorders>
            <w:vAlign w:val="center"/>
          </w:tcPr>
          <w:p w14:paraId="02AC15B6" w14:textId="6468491A" w:rsidR="00850766" w:rsidRPr="0078373E" w:rsidRDefault="00850766" w:rsidP="00850766">
            <w:pPr>
              <w:jc w:val="center"/>
              <w:rPr>
                <w:rFonts w:cs="Times New Roman"/>
                <w:b/>
                <w:sz w:val="20"/>
                <w:szCs w:val="20"/>
              </w:rPr>
            </w:pPr>
            <w:r w:rsidRPr="0078373E">
              <w:rPr>
                <w:rFonts w:cs="Times New Roman"/>
                <w:b/>
                <w:sz w:val="20"/>
                <w:szCs w:val="20"/>
              </w:rPr>
              <w:t>--</w:t>
            </w:r>
          </w:p>
        </w:tc>
      </w:tr>
      <w:tr w:rsidR="00850766" w:rsidRPr="00D40F8D" w14:paraId="61294F9F" w14:textId="77777777" w:rsidTr="004601C9">
        <w:trPr>
          <w:trHeight w:val="288"/>
        </w:trPr>
        <w:tc>
          <w:tcPr>
            <w:tcW w:w="12913" w:type="dxa"/>
            <w:gridSpan w:val="12"/>
            <w:tcBorders>
              <w:top w:val="double" w:sz="4" w:space="0" w:color="auto"/>
              <w:bottom w:val="double" w:sz="4" w:space="0" w:color="auto"/>
            </w:tcBorders>
            <w:vAlign w:val="center"/>
          </w:tcPr>
          <w:p w14:paraId="3D076E90" w14:textId="77777777" w:rsidR="00850766" w:rsidRPr="003E77B3" w:rsidRDefault="00850766" w:rsidP="00850766">
            <w:pPr>
              <w:jc w:val="left"/>
              <w:rPr>
                <w:b/>
                <w:i/>
                <w:sz w:val="20"/>
                <w:szCs w:val="20"/>
              </w:rPr>
            </w:pPr>
            <w:r w:rsidRPr="003E77B3">
              <w:rPr>
                <w:b/>
                <w:i/>
                <w:sz w:val="20"/>
                <w:szCs w:val="20"/>
              </w:rPr>
              <w:t>Crash Severity Studies</w:t>
            </w:r>
          </w:p>
        </w:tc>
      </w:tr>
      <w:tr w:rsidR="00494D9E" w:rsidRPr="00D40F8D" w14:paraId="6F8016BE" w14:textId="77777777" w:rsidTr="004601C9">
        <w:trPr>
          <w:trHeight w:val="360"/>
        </w:trPr>
        <w:tc>
          <w:tcPr>
            <w:tcW w:w="1729" w:type="dxa"/>
            <w:tcBorders>
              <w:top w:val="single" w:sz="4" w:space="0" w:color="auto"/>
              <w:bottom w:val="single" w:sz="4" w:space="0" w:color="auto"/>
            </w:tcBorders>
            <w:vAlign w:val="center"/>
          </w:tcPr>
          <w:p w14:paraId="08E06147" w14:textId="4E4A0B1C" w:rsidR="00850766" w:rsidRPr="00D40F8D" w:rsidRDefault="00850766" w:rsidP="00850766">
            <w:pPr>
              <w:jc w:val="left"/>
              <w:rPr>
                <w:sz w:val="20"/>
                <w:szCs w:val="20"/>
              </w:rPr>
            </w:pPr>
            <w:r w:rsidRPr="00D40F8D">
              <w:rPr>
                <w:sz w:val="20"/>
                <w:szCs w:val="20"/>
              </w:rPr>
              <w:lastRenderedPageBreak/>
              <w:fldChar w:fldCharType="begin" w:fldLock="1"/>
            </w:r>
            <w:r>
              <w:rPr>
                <w:sz w:val="20"/>
                <w:szCs w:val="20"/>
              </w:rPr>
              <w:instrText>ADDIN CSL_CITATION {"citationItems":[{"id":"ITEM-1","itemData":{"DOI":"10.1016/j.trb.2013.07.004","ISSN":"01912615","abstract":"This paper proposes a new spatial multivariate count model to jointly analyze the traffic crash-related counts of pedestrians and bicyclists by injury severity. The modeling framework is applied to predict injury counts at a Census tract level, based on crash data from Manhattan, New York. The results highlight the need to use a multivariate modeling system for the analysis of injury counts by road-user type and injury severity level, while also accommodating spatial dependence effects in injury counts. © 2013 Elsevier Ltd.","author":[{"dropping-particle":"","family":"Narayanamoorthy","given":"Sriram","non-dropping-particle":"","parse-names":false,"suffix":""},{"dropping-particle":"","family":"Paleti","given":"Rajesh","non-dropping-particle":"","parse-names":false,"suffix":""},{"dropping-particle":"","family":"Bhat","given":"Chandra R.","non-dropping-particle":"","parse-names":false,"suffix":""}],"container-title":"Transportation Research Part B: Methodological","id":"ITEM-1","issued":{"date-parts":[["2013"]]},"page":"245-264","title":"On accommodating spatial dependence in bicycle and pedestrian injury counts by severity level","type":"article-journal","volume":"55"},"uris":["http://www.mendeley.com/documents/?uuid=a0088c7c-c249-4c49-94c4-3340ea976dda"]}],"mendeley":{"formattedCitation":"(Narayanamoorthy et al., 2013)","plainTextFormattedCitation":"(Narayanamoorthy et al., 2013)","previouslyFormattedCitation":"(Narayanamoorthy et al., 2013)"},"properties":{"noteIndex":0},"schema":"https://github.com/citation-style-language/schema/raw/master/csl-citation.json"}</w:instrText>
            </w:r>
            <w:r w:rsidRPr="00D40F8D">
              <w:rPr>
                <w:sz w:val="20"/>
                <w:szCs w:val="20"/>
              </w:rPr>
              <w:fldChar w:fldCharType="separate"/>
            </w:r>
            <w:r w:rsidRPr="00097239">
              <w:rPr>
                <w:noProof/>
                <w:sz w:val="20"/>
                <w:szCs w:val="20"/>
              </w:rPr>
              <w:t>(Narayanamoorthy et al., 2013)</w:t>
            </w:r>
            <w:r w:rsidRPr="00D40F8D">
              <w:rPr>
                <w:sz w:val="20"/>
                <w:szCs w:val="20"/>
              </w:rPr>
              <w:fldChar w:fldCharType="end"/>
            </w:r>
          </w:p>
        </w:tc>
        <w:tc>
          <w:tcPr>
            <w:tcW w:w="1238" w:type="dxa"/>
            <w:tcBorders>
              <w:top w:val="single" w:sz="4" w:space="0" w:color="auto"/>
              <w:bottom w:val="single" w:sz="4" w:space="0" w:color="auto"/>
            </w:tcBorders>
            <w:vAlign w:val="center"/>
          </w:tcPr>
          <w:p w14:paraId="2300A475" w14:textId="77777777" w:rsidR="00850766" w:rsidRPr="00D40F8D" w:rsidRDefault="00850766" w:rsidP="00850766">
            <w:pPr>
              <w:jc w:val="center"/>
              <w:rPr>
                <w:sz w:val="20"/>
                <w:szCs w:val="20"/>
                <w:lang w:val="en-US"/>
              </w:rPr>
            </w:pPr>
            <w:r w:rsidRPr="00D40F8D">
              <w:rPr>
                <w:sz w:val="20"/>
                <w:szCs w:val="20"/>
                <w:lang w:val="en-US"/>
              </w:rPr>
              <w:t>Census tract (Macro)</w:t>
            </w:r>
          </w:p>
        </w:tc>
        <w:tc>
          <w:tcPr>
            <w:tcW w:w="1416" w:type="dxa"/>
            <w:tcBorders>
              <w:top w:val="single" w:sz="4" w:space="0" w:color="auto"/>
              <w:bottom w:val="single" w:sz="4" w:space="0" w:color="auto"/>
            </w:tcBorders>
            <w:vAlign w:val="center"/>
          </w:tcPr>
          <w:p w14:paraId="6AB1D0CD" w14:textId="77777777" w:rsidR="00850766" w:rsidRPr="00D40F8D" w:rsidRDefault="00850766" w:rsidP="00850766">
            <w:pPr>
              <w:jc w:val="center"/>
              <w:rPr>
                <w:sz w:val="20"/>
                <w:szCs w:val="20"/>
              </w:rPr>
            </w:pPr>
            <w:r w:rsidRPr="00D40F8D">
              <w:rPr>
                <w:sz w:val="20"/>
                <w:szCs w:val="20"/>
              </w:rPr>
              <w:t>Region (Manhattan)</w:t>
            </w:r>
          </w:p>
        </w:tc>
        <w:tc>
          <w:tcPr>
            <w:tcW w:w="1089" w:type="dxa"/>
            <w:tcBorders>
              <w:top w:val="single" w:sz="4" w:space="0" w:color="auto"/>
              <w:bottom w:val="single" w:sz="4" w:space="0" w:color="auto"/>
            </w:tcBorders>
            <w:vAlign w:val="center"/>
          </w:tcPr>
          <w:p w14:paraId="42A4406F" w14:textId="77777777" w:rsidR="00850766" w:rsidRPr="00D40F8D" w:rsidRDefault="00850766" w:rsidP="00850766">
            <w:pPr>
              <w:jc w:val="center"/>
              <w:rPr>
                <w:sz w:val="20"/>
                <w:szCs w:val="20"/>
              </w:rPr>
            </w:pPr>
            <w:r w:rsidRPr="00D40F8D">
              <w:rPr>
                <w:sz w:val="20"/>
                <w:szCs w:val="20"/>
              </w:rPr>
              <w:t>Non-motorized Crash</w:t>
            </w:r>
          </w:p>
        </w:tc>
        <w:tc>
          <w:tcPr>
            <w:tcW w:w="2061" w:type="dxa"/>
            <w:tcBorders>
              <w:top w:val="single" w:sz="4" w:space="0" w:color="auto"/>
              <w:bottom w:val="single" w:sz="4" w:space="0" w:color="auto"/>
            </w:tcBorders>
            <w:vAlign w:val="center"/>
          </w:tcPr>
          <w:p w14:paraId="3248B4BF" w14:textId="77777777" w:rsidR="00850766" w:rsidRPr="00D40F8D" w:rsidRDefault="00850766" w:rsidP="00850766">
            <w:pPr>
              <w:jc w:val="left"/>
              <w:rPr>
                <w:sz w:val="20"/>
                <w:szCs w:val="20"/>
              </w:rPr>
            </w:pPr>
            <w:r w:rsidRPr="00D40F8D">
              <w:rPr>
                <w:sz w:val="20"/>
                <w:szCs w:val="20"/>
              </w:rPr>
              <w:t xml:space="preserve">4 (possible injury, non-incapacitating injury, incapacitating </w:t>
            </w:r>
            <w:proofErr w:type="gramStart"/>
            <w:r w:rsidRPr="00D40F8D">
              <w:rPr>
                <w:sz w:val="20"/>
                <w:szCs w:val="20"/>
              </w:rPr>
              <w:t>injury</w:t>
            </w:r>
            <w:proofErr w:type="gramEnd"/>
            <w:r w:rsidRPr="00D40F8D">
              <w:rPr>
                <w:sz w:val="20"/>
                <w:szCs w:val="20"/>
              </w:rPr>
              <w:t xml:space="preserve"> and fatal injury)</w:t>
            </w:r>
          </w:p>
        </w:tc>
        <w:tc>
          <w:tcPr>
            <w:tcW w:w="1998" w:type="dxa"/>
            <w:tcBorders>
              <w:top w:val="single" w:sz="4" w:space="0" w:color="auto"/>
              <w:bottom w:val="single" w:sz="4" w:space="0" w:color="auto"/>
            </w:tcBorders>
            <w:vAlign w:val="center"/>
          </w:tcPr>
          <w:p w14:paraId="2A4AD5BC" w14:textId="77777777" w:rsidR="00850766" w:rsidRPr="00D40F8D" w:rsidRDefault="00850766" w:rsidP="00850766">
            <w:pPr>
              <w:jc w:val="left"/>
              <w:rPr>
                <w:sz w:val="20"/>
                <w:szCs w:val="20"/>
                <w:lang w:val="en-US"/>
              </w:rPr>
            </w:pPr>
            <w:r w:rsidRPr="00D40F8D">
              <w:rPr>
                <w:sz w:val="20"/>
                <w:szCs w:val="20"/>
                <w:lang w:val="en-US"/>
              </w:rPr>
              <w:t>Generalized ordered-response model</w:t>
            </w:r>
            <w:r>
              <w:rPr>
                <w:sz w:val="20"/>
                <w:szCs w:val="20"/>
                <w:lang w:val="en-US"/>
              </w:rPr>
              <w:t xml:space="preserve"> with Composite Maximum Likelihood</w:t>
            </w:r>
          </w:p>
        </w:tc>
        <w:tc>
          <w:tcPr>
            <w:tcW w:w="652" w:type="dxa"/>
            <w:tcBorders>
              <w:top w:val="single" w:sz="4" w:space="0" w:color="auto"/>
              <w:bottom w:val="single" w:sz="4" w:space="0" w:color="auto"/>
            </w:tcBorders>
            <w:vAlign w:val="center"/>
          </w:tcPr>
          <w:p w14:paraId="13F658AE" w14:textId="77777777" w:rsidR="00850766" w:rsidRPr="00D40F8D" w:rsidRDefault="00850766" w:rsidP="00850766">
            <w:pPr>
              <w:jc w:val="center"/>
              <w:rPr>
                <w:b/>
                <w:sz w:val="20"/>
                <w:szCs w:val="20"/>
              </w:rPr>
            </w:pPr>
            <w:r w:rsidRPr="00D40F8D">
              <w:rPr>
                <w:b/>
                <w:sz w:val="20"/>
                <w:szCs w:val="20"/>
              </w:rPr>
              <w:t>√</w:t>
            </w:r>
          </w:p>
        </w:tc>
        <w:tc>
          <w:tcPr>
            <w:tcW w:w="459" w:type="dxa"/>
            <w:tcBorders>
              <w:top w:val="single" w:sz="4" w:space="0" w:color="auto"/>
              <w:bottom w:val="single" w:sz="4" w:space="0" w:color="auto"/>
            </w:tcBorders>
            <w:vAlign w:val="center"/>
          </w:tcPr>
          <w:p w14:paraId="6CB4B458" w14:textId="77777777" w:rsidR="00850766" w:rsidRPr="00D40F8D" w:rsidRDefault="00850766" w:rsidP="00850766">
            <w:pPr>
              <w:jc w:val="center"/>
              <w:rPr>
                <w:b/>
                <w:sz w:val="20"/>
                <w:szCs w:val="20"/>
              </w:rPr>
            </w:pPr>
            <w:r w:rsidRPr="00D40F8D">
              <w:rPr>
                <w:b/>
                <w:sz w:val="20"/>
                <w:szCs w:val="20"/>
              </w:rPr>
              <w:t>√</w:t>
            </w:r>
          </w:p>
        </w:tc>
        <w:tc>
          <w:tcPr>
            <w:tcW w:w="604" w:type="dxa"/>
            <w:tcBorders>
              <w:top w:val="single" w:sz="4" w:space="0" w:color="auto"/>
              <w:bottom w:val="single" w:sz="4" w:space="0" w:color="auto"/>
            </w:tcBorders>
            <w:vAlign w:val="center"/>
          </w:tcPr>
          <w:p w14:paraId="6B778974" w14:textId="77777777" w:rsidR="00850766" w:rsidRPr="00D40F8D" w:rsidRDefault="00850766" w:rsidP="00850766">
            <w:pPr>
              <w:jc w:val="center"/>
              <w:rPr>
                <w:b/>
                <w:sz w:val="20"/>
                <w:szCs w:val="20"/>
              </w:rPr>
            </w:pPr>
            <w:r w:rsidRPr="00D40F8D">
              <w:rPr>
                <w:b/>
                <w:sz w:val="20"/>
                <w:szCs w:val="20"/>
              </w:rPr>
              <w:t>√</w:t>
            </w:r>
          </w:p>
        </w:tc>
        <w:tc>
          <w:tcPr>
            <w:tcW w:w="604" w:type="dxa"/>
            <w:tcBorders>
              <w:top w:val="single" w:sz="4" w:space="0" w:color="auto"/>
              <w:bottom w:val="single" w:sz="4" w:space="0" w:color="auto"/>
            </w:tcBorders>
            <w:vAlign w:val="center"/>
          </w:tcPr>
          <w:p w14:paraId="63E12026" w14:textId="77777777" w:rsidR="00850766" w:rsidRPr="00D40F8D" w:rsidRDefault="00850766" w:rsidP="00850766">
            <w:pPr>
              <w:jc w:val="center"/>
              <w:rPr>
                <w:b/>
                <w:sz w:val="20"/>
                <w:szCs w:val="20"/>
              </w:rPr>
            </w:pPr>
            <w:r w:rsidRPr="00D40F8D">
              <w:rPr>
                <w:b/>
                <w:sz w:val="20"/>
                <w:szCs w:val="20"/>
              </w:rPr>
              <w:t>--</w:t>
            </w:r>
          </w:p>
        </w:tc>
        <w:tc>
          <w:tcPr>
            <w:tcW w:w="604" w:type="dxa"/>
            <w:tcBorders>
              <w:top w:val="single" w:sz="4" w:space="0" w:color="auto"/>
              <w:bottom w:val="single" w:sz="4" w:space="0" w:color="auto"/>
            </w:tcBorders>
            <w:vAlign w:val="center"/>
          </w:tcPr>
          <w:p w14:paraId="4E9B3921" w14:textId="77777777" w:rsidR="00850766" w:rsidRPr="00D40F8D" w:rsidRDefault="00850766" w:rsidP="00850766">
            <w:pPr>
              <w:jc w:val="center"/>
              <w:rPr>
                <w:b/>
                <w:sz w:val="20"/>
                <w:szCs w:val="20"/>
              </w:rPr>
            </w:pPr>
            <w:r w:rsidRPr="00D40F8D">
              <w:rPr>
                <w:b/>
                <w:sz w:val="20"/>
                <w:szCs w:val="20"/>
              </w:rPr>
              <w:t>√</w:t>
            </w:r>
          </w:p>
        </w:tc>
        <w:tc>
          <w:tcPr>
            <w:tcW w:w="459" w:type="dxa"/>
            <w:tcBorders>
              <w:top w:val="single" w:sz="4" w:space="0" w:color="auto"/>
              <w:bottom w:val="single" w:sz="4" w:space="0" w:color="auto"/>
            </w:tcBorders>
            <w:vAlign w:val="center"/>
          </w:tcPr>
          <w:p w14:paraId="33EB9356" w14:textId="77777777" w:rsidR="00850766" w:rsidRPr="00D40F8D" w:rsidRDefault="00850766" w:rsidP="00850766">
            <w:pPr>
              <w:jc w:val="center"/>
              <w:rPr>
                <w:b/>
                <w:sz w:val="20"/>
                <w:szCs w:val="20"/>
              </w:rPr>
            </w:pPr>
            <w:r w:rsidRPr="00D40F8D">
              <w:rPr>
                <w:b/>
                <w:sz w:val="20"/>
                <w:szCs w:val="20"/>
              </w:rPr>
              <w:t>--</w:t>
            </w:r>
          </w:p>
        </w:tc>
      </w:tr>
      <w:tr w:rsidR="00494D9E" w:rsidRPr="00D40F8D" w14:paraId="454160E9" w14:textId="77777777" w:rsidTr="004601C9">
        <w:trPr>
          <w:trHeight w:val="360"/>
        </w:trPr>
        <w:tc>
          <w:tcPr>
            <w:tcW w:w="1729" w:type="dxa"/>
            <w:tcBorders>
              <w:top w:val="single" w:sz="4" w:space="0" w:color="auto"/>
              <w:bottom w:val="single" w:sz="4" w:space="0" w:color="auto"/>
            </w:tcBorders>
            <w:vAlign w:val="center"/>
          </w:tcPr>
          <w:p w14:paraId="21ACA463" w14:textId="2BAD61DA" w:rsidR="00850766" w:rsidRPr="00D40F8D" w:rsidRDefault="00850766" w:rsidP="00850766">
            <w:pPr>
              <w:jc w:val="left"/>
              <w:rPr>
                <w:sz w:val="20"/>
                <w:szCs w:val="20"/>
              </w:rPr>
            </w:pPr>
            <w:r w:rsidRPr="00D40F8D">
              <w:rPr>
                <w:sz w:val="20"/>
                <w:szCs w:val="20"/>
              </w:rPr>
              <w:fldChar w:fldCharType="begin" w:fldLock="1"/>
            </w:r>
            <w:r>
              <w:rPr>
                <w:sz w:val="20"/>
                <w:szCs w:val="20"/>
              </w:rPr>
              <w:instrText>ADDIN CSL_CITATION {"citationItems":[{"id":"ITEM-1","itemData":{"DOI":"10.1016/j.aap.2013.03.025","ISBN":"0925-7535","ISSN":"00014575","PMID":"23672927","abstract":"This paper presents a simultaneous equations model of crash frequencies by severity level for freeway sections using five-year crash severity frequency data for 275 multilane freeway segments in the State of Washington. Crash severity is a subject of much interest in the context of freeway safety due to higher speeds of travel on freeways and the desire of transportation professionals to implement measures that could potentially reduce crash severity on such facilities. This paper applies a joint Poisson regression model with multivariate normal heterogeneities using the method of Maximum Simulated Likelihood Estimation (MSLE). MSLE serves as a computationally viable alternative to the Bayesian approach that has been adopted in the literature for estimating multivariate simultaneous equations models of crash frequencies. The empirical results presented in this paper suggest the presence of statistically significant error correlations across crash frequencies by severity level. The significant error correlations point to the presence of common unobserved factors related to driver behavior and roadway, traffic and environmental characteristics that influence crash frequencies of different severity levels. It is found that the joint Poisson regression model can improve the efficiency of most model coefficient estimators by reducing their standard deviations. In addition, the empirical results show that observed factors generally do not have the same impact on crash frequencies at different levels of severity. © 2013 Elsevier Ltd. All rights reserved.","author":[{"dropping-particle":"","family":"Ye","given":"Xin","non-dropping-particle":"","parse-names":false,"suffix":""},{"dropping-particle":"","family":"Pendyala","given":"Ram M.","non-dropping-particle":"","parse-names":false,"suffix":""},{"dropping-particle":"","family":"Shankar","given":"Venky","non-dropping-particle":"","parse-names":false,"suffix":""},{"dropping-particle":"","family":"Konduri","given":"Karthik C.","non-dropping-particle":"","parse-names":false,"suffix":""}],"container-title":"Accident Analysis and Prevention","id":"ITEM-1","issued":{"date-parts":[["2013"]]},"page":"140-149","title":"A simultaneous equations model of crash frequency by severity level for freeway sections","type":"article-journal","volume":"57"},"uris":["http://www.mendeley.com/documents/?uuid=f5dfaf8c-7d8b-49df-86bf-684ad8733e09"]}],"mendeley":{"formattedCitation":"(Ye et al., 2013)","plainTextFormattedCitation":"(Ye et al., 2013)","previouslyFormattedCitation":"(Ye et al., 2013)"},"properties":{"noteIndex":0},"schema":"https://github.com/citation-style-language/schema/raw/master/csl-citation.json"}</w:instrText>
            </w:r>
            <w:r w:rsidRPr="00D40F8D">
              <w:rPr>
                <w:sz w:val="20"/>
                <w:szCs w:val="20"/>
              </w:rPr>
              <w:fldChar w:fldCharType="separate"/>
            </w:r>
            <w:r w:rsidRPr="00097239">
              <w:rPr>
                <w:noProof/>
                <w:sz w:val="20"/>
                <w:szCs w:val="20"/>
              </w:rPr>
              <w:t>(Ye et al., 2013)</w:t>
            </w:r>
            <w:r w:rsidRPr="00D40F8D">
              <w:rPr>
                <w:sz w:val="20"/>
                <w:szCs w:val="20"/>
              </w:rPr>
              <w:fldChar w:fldCharType="end"/>
            </w:r>
          </w:p>
        </w:tc>
        <w:tc>
          <w:tcPr>
            <w:tcW w:w="1238" w:type="dxa"/>
            <w:tcBorders>
              <w:top w:val="single" w:sz="4" w:space="0" w:color="auto"/>
              <w:bottom w:val="single" w:sz="4" w:space="0" w:color="auto"/>
            </w:tcBorders>
            <w:vAlign w:val="center"/>
          </w:tcPr>
          <w:p w14:paraId="772B27C7" w14:textId="77777777" w:rsidR="00850766" w:rsidRPr="00D40F8D" w:rsidRDefault="00850766" w:rsidP="00850766">
            <w:pPr>
              <w:jc w:val="center"/>
              <w:rPr>
                <w:sz w:val="20"/>
                <w:szCs w:val="20"/>
                <w:lang w:val="en-US"/>
              </w:rPr>
            </w:pPr>
            <w:r>
              <w:rPr>
                <w:sz w:val="20"/>
                <w:szCs w:val="20"/>
                <w:lang w:val="en-US"/>
              </w:rPr>
              <w:t>F</w:t>
            </w:r>
            <w:r w:rsidRPr="00D40F8D">
              <w:rPr>
                <w:sz w:val="20"/>
                <w:szCs w:val="20"/>
                <w:lang w:val="en-US"/>
              </w:rPr>
              <w:t>reeway segment (Micro)</w:t>
            </w:r>
          </w:p>
        </w:tc>
        <w:tc>
          <w:tcPr>
            <w:tcW w:w="1416" w:type="dxa"/>
            <w:tcBorders>
              <w:top w:val="single" w:sz="4" w:space="0" w:color="auto"/>
              <w:bottom w:val="single" w:sz="4" w:space="0" w:color="auto"/>
            </w:tcBorders>
            <w:vAlign w:val="center"/>
          </w:tcPr>
          <w:p w14:paraId="4DA1F7E0" w14:textId="77777777" w:rsidR="00850766" w:rsidRPr="00D40F8D" w:rsidRDefault="00850766" w:rsidP="00850766">
            <w:pPr>
              <w:jc w:val="center"/>
              <w:rPr>
                <w:sz w:val="20"/>
                <w:szCs w:val="20"/>
              </w:rPr>
            </w:pPr>
            <w:r w:rsidRPr="00D40F8D">
              <w:rPr>
                <w:sz w:val="20"/>
                <w:szCs w:val="20"/>
              </w:rPr>
              <w:t>State (Washington)</w:t>
            </w:r>
          </w:p>
        </w:tc>
        <w:tc>
          <w:tcPr>
            <w:tcW w:w="1089" w:type="dxa"/>
            <w:tcBorders>
              <w:top w:val="single" w:sz="4" w:space="0" w:color="auto"/>
              <w:bottom w:val="single" w:sz="4" w:space="0" w:color="auto"/>
            </w:tcBorders>
            <w:vAlign w:val="center"/>
          </w:tcPr>
          <w:p w14:paraId="59AF2C82" w14:textId="77777777" w:rsidR="00850766" w:rsidRDefault="00850766" w:rsidP="00850766">
            <w:pPr>
              <w:jc w:val="center"/>
              <w:rPr>
                <w:sz w:val="20"/>
                <w:szCs w:val="20"/>
              </w:rPr>
            </w:pPr>
            <w:r w:rsidRPr="00D40F8D">
              <w:rPr>
                <w:sz w:val="20"/>
                <w:szCs w:val="20"/>
              </w:rPr>
              <w:t xml:space="preserve">Any </w:t>
            </w:r>
          </w:p>
          <w:p w14:paraId="304B52CA" w14:textId="77777777" w:rsidR="00850766" w:rsidRPr="00D40F8D" w:rsidRDefault="00850766" w:rsidP="00850766">
            <w:pPr>
              <w:jc w:val="center"/>
              <w:rPr>
                <w:sz w:val="20"/>
                <w:szCs w:val="20"/>
              </w:rPr>
            </w:pPr>
            <w:r w:rsidRPr="00D40F8D">
              <w:rPr>
                <w:sz w:val="20"/>
                <w:szCs w:val="20"/>
              </w:rPr>
              <w:t>Crash</w:t>
            </w:r>
          </w:p>
        </w:tc>
        <w:tc>
          <w:tcPr>
            <w:tcW w:w="2061" w:type="dxa"/>
            <w:tcBorders>
              <w:top w:val="single" w:sz="4" w:space="0" w:color="auto"/>
              <w:bottom w:val="single" w:sz="4" w:space="0" w:color="auto"/>
            </w:tcBorders>
            <w:vAlign w:val="center"/>
          </w:tcPr>
          <w:p w14:paraId="54B3E7DF" w14:textId="77777777" w:rsidR="00850766" w:rsidRPr="00D40F8D" w:rsidRDefault="00850766" w:rsidP="00850766">
            <w:pPr>
              <w:jc w:val="left"/>
              <w:rPr>
                <w:sz w:val="20"/>
                <w:szCs w:val="20"/>
              </w:rPr>
            </w:pPr>
            <w:r w:rsidRPr="00D40F8D">
              <w:rPr>
                <w:sz w:val="20"/>
                <w:szCs w:val="20"/>
              </w:rPr>
              <w:t>3 (PDO, possible injury, injury/ fatality)</w:t>
            </w:r>
          </w:p>
        </w:tc>
        <w:tc>
          <w:tcPr>
            <w:tcW w:w="1998" w:type="dxa"/>
            <w:tcBorders>
              <w:top w:val="single" w:sz="4" w:space="0" w:color="auto"/>
              <w:bottom w:val="single" w:sz="4" w:space="0" w:color="auto"/>
            </w:tcBorders>
            <w:vAlign w:val="center"/>
          </w:tcPr>
          <w:p w14:paraId="14D343B6" w14:textId="77777777" w:rsidR="00850766" w:rsidRPr="00D40F8D" w:rsidRDefault="00850766" w:rsidP="00850766">
            <w:pPr>
              <w:jc w:val="left"/>
              <w:rPr>
                <w:sz w:val="20"/>
                <w:szCs w:val="20"/>
                <w:lang w:val="en-US"/>
              </w:rPr>
            </w:pPr>
            <w:r w:rsidRPr="00D40F8D">
              <w:rPr>
                <w:sz w:val="20"/>
                <w:szCs w:val="20"/>
                <w:lang w:val="en-US"/>
              </w:rPr>
              <w:t>Joint Poisson regression model</w:t>
            </w:r>
          </w:p>
        </w:tc>
        <w:tc>
          <w:tcPr>
            <w:tcW w:w="652" w:type="dxa"/>
            <w:tcBorders>
              <w:top w:val="single" w:sz="4" w:space="0" w:color="auto"/>
              <w:bottom w:val="single" w:sz="4" w:space="0" w:color="auto"/>
            </w:tcBorders>
            <w:vAlign w:val="center"/>
          </w:tcPr>
          <w:p w14:paraId="07D94D99" w14:textId="77777777" w:rsidR="00850766" w:rsidRPr="00D40F8D" w:rsidRDefault="00850766" w:rsidP="00850766">
            <w:pPr>
              <w:jc w:val="center"/>
              <w:rPr>
                <w:b/>
                <w:sz w:val="20"/>
                <w:szCs w:val="20"/>
              </w:rPr>
            </w:pPr>
            <w:r w:rsidRPr="00D40F8D">
              <w:rPr>
                <w:b/>
                <w:sz w:val="20"/>
                <w:szCs w:val="20"/>
              </w:rPr>
              <w:t>√</w:t>
            </w:r>
          </w:p>
        </w:tc>
        <w:tc>
          <w:tcPr>
            <w:tcW w:w="459" w:type="dxa"/>
            <w:tcBorders>
              <w:top w:val="single" w:sz="4" w:space="0" w:color="auto"/>
              <w:bottom w:val="single" w:sz="4" w:space="0" w:color="auto"/>
            </w:tcBorders>
            <w:vAlign w:val="center"/>
          </w:tcPr>
          <w:p w14:paraId="3682AE11" w14:textId="77777777" w:rsidR="00850766" w:rsidRPr="00D40F8D" w:rsidRDefault="00850766" w:rsidP="00850766">
            <w:pPr>
              <w:jc w:val="center"/>
              <w:rPr>
                <w:b/>
                <w:sz w:val="20"/>
                <w:szCs w:val="20"/>
              </w:rPr>
            </w:pPr>
            <w:r w:rsidRPr="00D40F8D">
              <w:rPr>
                <w:b/>
                <w:sz w:val="20"/>
                <w:szCs w:val="20"/>
              </w:rPr>
              <w:t>--</w:t>
            </w:r>
          </w:p>
        </w:tc>
        <w:tc>
          <w:tcPr>
            <w:tcW w:w="604" w:type="dxa"/>
            <w:tcBorders>
              <w:top w:val="single" w:sz="4" w:space="0" w:color="auto"/>
              <w:bottom w:val="single" w:sz="4" w:space="0" w:color="auto"/>
            </w:tcBorders>
            <w:vAlign w:val="center"/>
          </w:tcPr>
          <w:p w14:paraId="4E5C8097" w14:textId="77777777" w:rsidR="00850766" w:rsidRPr="00D40F8D" w:rsidRDefault="00850766" w:rsidP="00850766">
            <w:pPr>
              <w:jc w:val="center"/>
              <w:rPr>
                <w:b/>
                <w:sz w:val="20"/>
                <w:szCs w:val="20"/>
              </w:rPr>
            </w:pPr>
            <w:r w:rsidRPr="00D40F8D">
              <w:rPr>
                <w:b/>
                <w:sz w:val="20"/>
                <w:szCs w:val="20"/>
              </w:rPr>
              <w:t>--</w:t>
            </w:r>
          </w:p>
        </w:tc>
        <w:tc>
          <w:tcPr>
            <w:tcW w:w="604" w:type="dxa"/>
            <w:tcBorders>
              <w:top w:val="single" w:sz="4" w:space="0" w:color="auto"/>
              <w:bottom w:val="single" w:sz="4" w:space="0" w:color="auto"/>
            </w:tcBorders>
            <w:vAlign w:val="center"/>
          </w:tcPr>
          <w:p w14:paraId="4DBE0675" w14:textId="77777777" w:rsidR="00850766" w:rsidRPr="00D40F8D" w:rsidRDefault="00850766" w:rsidP="00850766">
            <w:pPr>
              <w:jc w:val="center"/>
              <w:rPr>
                <w:b/>
                <w:sz w:val="20"/>
                <w:szCs w:val="20"/>
              </w:rPr>
            </w:pPr>
            <w:r w:rsidRPr="00D40F8D">
              <w:rPr>
                <w:b/>
                <w:sz w:val="20"/>
                <w:szCs w:val="20"/>
              </w:rPr>
              <w:t>√</w:t>
            </w:r>
          </w:p>
        </w:tc>
        <w:tc>
          <w:tcPr>
            <w:tcW w:w="604" w:type="dxa"/>
            <w:tcBorders>
              <w:top w:val="single" w:sz="4" w:space="0" w:color="auto"/>
              <w:bottom w:val="single" w:sz="4" w:space="0" w:color="auto"/>
            </w:tcBorders>
            <w:vAlign w:val="center"/>
          </w:tcPr>
          <w:p w14:paraId="0E0A9C09" w14:textId="77777777" w:rsidR="00850766" w:rsidRPr="00D40F8D" w:rsidRDefault="00850766" w:rsidP="00850766">
            <w:pPr>
              <w:jc w:val="center"/>
              <w:rPr>
                <w:b/>
                <w:sz w:val="20"/>
                <w:szCs w:val="20"/>
              </w:rPr>
            </w:pPr>
            <w:r w:rsidRPr="00D40F8D">
              <w:rPr>
                <w:b/>
                <w:sz w:val="20"/>
                <w:szCs w:val="20"/>
              </w:rPr>
              <w:t>--</w:t>
            </w:r>
          </w:p>
        </w:tc>
        <w:tc>
          <w:tcPr>
            <w:tcW w:w="459" w:type="dxa"/>
            <w:tcBorders>
              <w:top w:val="single" w:sz="4" w:space="0" w:color="auto"/>
              <w:bottom w:val="single" w:sz="4" w:space="0" w:color="auto"/>
            </w:tcBorders>
            <w:vAlign w:val="center"/>
          </w:tcPr>
          <w:p w14:paraId="4810BD77" w14:textId="77777777" w:rsidR="00850766" w:rsidRPr="00D40F8D" w:rsidRDefault="00850766" w:rsidP="00850766">
            <w:pPr>
              <w:jc w:val="center"/>
              <w:rPr>
                <w:b/>
                <w:sz w:val="20"/>
                <w:szCs w:val="20"/>
              </w:rPr>
            </w:pPr>
            <w:r w:rsidRPr="00D40F8D">
              <w:rPr>
                <w:b/>
                <w:sz w:val="20"/>
                <w:szCs w:val="20"/>
              </w:rPr>
              <w:t>√</w:t>
            </w:r>
          </w:p>
        </w:tc>
      </w:tr>
      <w:tr w:rsidR="00494D9E" w:rsidRPr="00D40F8D" w14:paraId="4E499A2E" w14:textId="77777777" w:rsidTr="004601C9">
        <w:trPr>
          <w:trHeight w:val="360"/>
        </w:trPr>
        <w:tc>
          <w:tcPr>
            <w:tcW w:w="1729" w:type="dxa"/>
            <w:tcBorders>
              <w:top w:val="single" w:sz="4" w:space="0" w:color="auto"/>
              <w:bottom w:val="single" w:sz="4" w:space="0" w:color="auto"/>
            </w:tcBorders>
            <w:vAlign w:val="center"/>
          </w:tcPr>
          <w:p w14:paraId="782FACF3" w14:textId="77777777" w:rsidR="00850766" w:rsidRPr="00D40F8D" w:rsidRDefault="00850766" w:rsidP="00850766">
            <w:pPr>
              <w:jc w:val="left"/>
              <w:rPr>
                <w:sz w:val="20"/>
                <w:szCs w:val="20"/>
              </w:rPr>
            </w:pPr>
            <w:r w:rsidRPr="00D40F8D">
              <w:rPr>
                <w:sz w:val="20"/>
                <w:szCs w:val="20"/>
              </w:rPr>
              <w:fldChar w:fldCharType="begin" w:fldLock="1"/>
            </w:r>
            <w:r>
              <w:rPr>
                <w:sz w:val="20"/>
                <w:szCs w:val="20"/>
              </w:rPr>
              <w:instrText>ADDIN CSL_CITATION {"citationItems":[{"id":"ITEM-1","itemData":{"DOI":"10.1016/j.amar.2014.09.001","ISSN":"22136657","abstract":"This study investigated the inclusion of spatial correlation in multivariate count data models of collision severity. The models were developed for severe (injury and fatal) and no-injury collisions using three years of collision data from the city of Richmond and the city of Vancouver. The proposed models were estimated in a Full Bayesian (FB) context via Markov Chain Monte Carlo (MCMC) simulation. The multivariate model with both heterogeneous effects and spatial correlation provided the best fit according to the Deviance Information Criteria (DIC). The results showed significant positive correlation between various road attributes and collision severities. For the Richmond dataset, the proportion of variance for spatial correlation was smaller than the proportion of variance for heterogeneous effects. Conversely, the spatial variance was greater than the heterogeneous variance for the Vancouver dataset. The correlation between severe and no-injury collisions for the total random effects (heterogeneous and spatial) was significant and quite high (0.905 for Richmond and 0.945 for Vancouver), indicating that a higher number of no-injury collisions is associated with a higher number of severe collisions. Furthermore, the multivariate spatial models were compared with two independent univariate Poisson lognormal (PLN) spatial models, with respect to model inference and goodness-of-fit. Multivariate spatial models provide a superior fit over the two univariate PLN spatial models with a significant drop in the DIC value (35.3 for Richmond and 116 for Vancouver). These results advocate the use of multivariate models with both heterogeneous effects and spatial correlation over univariate PLN spatial models.","author":[{"dropping-particle":"","family":"Barua","given":"Sudip","non-dropping-particle":"","parse-names":false,"suffix":""},{"dropping-particle":"","family":"El-Basyouny","given":"Karim","non-dropping-particle":"","parse-names":false,"suffix":""},{"dropping-particle":"","family":"Islam","given":"Md Tazul","non-dropping-particle":"","parse-names":false,"suffix":""}],"container-title":"Analytic Methods in Accident Research","id":"ITEM-1","issued":{"date-parts":[["2014"]]},"page":"28-43","title":"A Full Bayesian multivariate count data model of collision severity with spatial correlation","type":"article-journal","volume":"3-4"},"uris":["http://www.mendeley.com/documents/?uuid=a73ca88b-ed50-4f34-a275-8d675bc026ab"]}],"mendeley":{"formattedCitation":"(Barua et al., 2014)","plainTextFormattedCitation":"(Barua et al., 2014)","previouslyFormattedCitation":"(Barua et al., 2014)"},"properties":{"noteIndex":0},"schema":"https://github.com/citation-style-language/schema/raw/master/csl-citation.json"}</w:instrText>
            </w:r>
            <w:r w:rsidRPr="00D40F8D">
              <w:rPr>
                <w:sz w:val="20"/>
                <w:szCs w:val="20"/>
              </w:rPr>
              <w:fldChar w:fldCharType="separate"/>
            </w:r>
            <w:r w:rsidRPr="00097239">
              <w:rPr>
                <w:noProof/>
                <w:sz w:val="20"/>
                <w:szCs w:val="20"/>
              </w:rPr>
              <w:t>(Barua et al., 2014)</w:t>
            </w:r>
            <w:r w:rsidRPr="00D40F8D">
              <w:rPr>
                <w:sz w:val="20"/>
                <w:szCs w:val="20"/>
              </w:rPr>
              <w:fldChar w:fldCharType="end"/>
            </w:r>
          </w:p>
        </w:tc>
        <w:tc>
          <w:tcPr>
            <w:tcW w:w="1238" w:type="dxa"/>
            <w:tcBorders>
              <w:top w:val="single" w:sz="4" w:space="0" w:color="auto"/>
              <w:bottom w:val="single" w:sz="4" w:space="0" w:color="auto"/>
            </w:tcBorders>
            <w:vAlign w:val="center"/>
          </w:tcPr>
          <w:p w14:paraId="580ACC1B" w14:textId="77777777" w:rsidR="00850766" w:rsidRPr="00D40F8D" w:rsidRDefault="00850766" w:rsidP="00850766">
            <w:pPr>
              <w:jc w:val="center"/>
              <w:rPr>
                <w:sz w:val="20"/>
                <w:szCs w:val="20"/>
              </w:rPr>
            </w:pPr>
            <w:r w:rsidRPr="00D40F8D">
              <w:rPr>
                <w:sz w:val="20"/>
                <w:szCs w:val="20"/>
                <w:lang w:val="en-US"/>
              </w:rPr>
              <w:t>Road segment (Micro)</w:t>
            </w:r>
          </w:p>
        </w:tc>
        <w:tc>
          <w:tcPr>
            <w:tcW w:w="1416" w:type="dxa"/>
            <w:tcBorders>
              <w:top w:val="single" w:sz="4" w:space="0" w:color="auto"/>
              <w:bottom w:val="single" w:sz="4" w:space="0" w:color="auto"/>
            </w:tcBorders>
            <w:vAlign w:val="center"/>
          </w:tcPr>
          <w:p w14:paraId="3144FBF4" w14:textId="77777777" w:rsidR="00850766" w:rsidRPr="00D40F8D" w:rsidRDefault="00850766" w:rsidP="00850766">
            <w:pPr>
              <w:jc w:val="center"/>
              <w:rPr>
                <w:sz w:val="20"/>
                <w:szCs w:val="20"/>
              </w:rPr>
            </w:pPr>
            <w:r w:rsidRPr="00D40F8D">
              <w:rPr>
                <w:sz w:val="20"/>
                <w:szCs w:val="20"/>
              </w:rPr>
              <w:t>City</w:t>
            </w:r>
          </w:p>
          <w:p w14:paraId="3E8298CE" w14:textId="77777777" w:rsidR="00850766" w:rsidRPr="00D40F8D" w:rsidRDefault="00850766" w:rsidP="00850766">
            <w:pPr>
              <w:jc w:val="center"/>
              <w:rPr>
                <w:sz w:val="20"/>
                <w:szCs w:val="20"/>
              </w:rPr>
            </w:pPr>
            <w:r w:rsidRPr="00D40F8D">
              <w:rPr>
                <w:sz w:val="20"/>
                <w:szCs w:val="20"/>
              </w:rPr>
              <w:t>(Richmond, Vancouver)</w:t>
            </w:r>
          </w:p>
        </w:tc>
        <w:tc>
          <w:tcPr>
            <w:tcW w:w="1089" w:type="dxa"/>
            <w:tcBorders>
              <w:top w:val="single" w:sz="4" w:space="0" w:color="auto"/>
              <w:bottom w:val="single" w:sz="4" w:space="0" w:color="auto"/>
            </w:tcBorders>
            <w:vAlign w:val="center"/>
          </w:tcPr>
          <w:p w14:paraId="332CF685" w14:textId="77777777" w:rsidR="00850766" w:rsidRDefault="00850766" w:rsidP="00850766">
            <w:pPr>
              <w:jc w:val="center"/>
              <w:rPr>
                <w:sz w:val="20"/>
                <w:szCs w:val="20"/>
              </w:rPr>
            </w:pPr>
            <w:r w:rsidRPr="00D40F8D">
              <w:rPr>
                <w:sz w:val="20"/>
                <w:szCs w:val="20"/>
              </w:rPr>
              <w:t xml:space="preserve">Any </w:t>
            </w:r>
          </w:p>
          <w:p w14:paraId="5EFA246E" w14:textId="77777777" w:rsidR="00850766" w:rsidRPr="00D40F8D" w:rsidRDefault="00850766" w:rsidP="00850766">
            <w:pPr>
              <w:jc w:val="center"/>
              <w:rPr>
                <w:sz w:val="20"/>
                <w:szCs w:val="20"/>
              </w:rPr>
            </w:pPr>
            <w:r w:rsidRPr="00D40F8D">
              <w:rPr>
                <w:sz w:val="20"/>
                <w:szCs w:val="20"/>
              </w:rPr>
              <w:t>Crash</w:t>
            </w:r>
          </w:p>
        </w:tc>
        <w:tc>
          <w:tcPr>
            <w:tcW w:w="2061" w:type="dxa"/>
            <w:tcBorders>
              <w:top w:val="single" w:sz="4" w:space="0" w:color="auto"/>
              <w:bottom w:val="single" w:sz="4" w:space="0" w:color="auto"/>
            </w:tcBorders>
            <w:vAlign w:val="center"/>
          </w:tcPr>
          <w:p w14:paraId="3D54812E" w14:textId="77777777" w:rsidR="00850766" w:rsidRPr="00D40F8D" w:rsidRDefault="00850766" w:rsidP="00850766">
            <w:pPr>
              <w:jc w:val="left"/>
              <w:rPr>
                <w:sz w:val="20"/>
                <w:szCs w:val="20"/>
              </w:rPr>
            </w:pPr>
            <w:r w:rsidRPr="00D40F8D">
              <w:rPr>
                <w:sz w:val="20"/>
                <w:szCs w:val="20"/>
              </w:rPr>
              <w:t>2 (</w:t>
            </w:r>
            <w:r w:rsidRPr="00D40F8D">
              <w:rPr>
                <w:sz w:val="20"/>
                <w:szCs w:val="20"/>
                <w:lang w:val="en-US"/>
              </w:rPr>
              <w:t>no injury and injury/fatal crashes)</w:t>
            </w:r>
          </w:p>
        </w:tc>
        <w:tc>
          <w:tcPr>
            <w:tcW w:w="1998" w:type="dxa"/>
            <w:tcBorders>
              <w:top w:val="single" w:sz="4" w:space="0" w:color="auto"/>
              <w:bottom w:val="single" w:sz="4" w:space="0" w:color="auto"/>
            </w:tcBorders>
            <w:vAlign w:val="center"/>
          </w:tcPr>
          <w:p w14:paraId="6DEC86CB" w14:textId="77777777" w:rsidR="00850766" w:rsidRPr="00D40F8D" w:rsidRDefault="00850766" w:rsidP="00850766">
            <w:pPr>
              <w:jc w:val="left"/>
              <w:rPr>
                <w:sz w:val="20"/>
                <w:szCs w:val="20"/>
              </w:rPr>
            </w:pPr>
            <w:r w:rsidRPr="00D40F8D">
              <w:rPr>
                <w:sz w:val="20"/>
                <w:szCs w:val="20"/>
                <w:lang w:val="en-US"/>
              </w:rPr>
              <w:t>Multivariate Poisson lognormal model</w:t>
            </w:r>
          </w:p>
        </w:tc>
        <w:tc>
          <w:tcPr>
            <w:tcW w:w="652" w:type="dxa"/>
            <w:tcBorders>
              <w:top w:val="single" w:sz="4" w:space="0" w:color="auto"/>
              <w:bottom w:val="single" w:sz="4" w:space="0" w:color="auto"/>
            </w:tcBorders>
            <w:vAlign w:val="center"/>
          </w:tcPr>
          <w:p w14:paraId="25FC05B8" w14:textId="77777777" w:rsidR="00850766" w:rsidRPr="00D40F8D" w:rsidRDefault="00850766" w:rsidP="00850766">
            <w:pPr>
              <w:jc w:val="center"/>
              <w:rPr>
                <w:b/>
                <w:sz w:val="20"/>
                <w:szCs w:val="20"/>
              </w:rPr>
            </w:pPr>
            <w:r w:rsidRPr="00D40F8D">
              <w:rPr>
                <w:b/>
                <w:sz w:val="20"/>
                <w:szCs w:val="20"/>
              </w:rPr>
              <w:t>√</w:t>
            </w:r>
          </w:p>
        </w:tc>
        <w:tc>
          <w:tcPr>
            <w:tcW w:w="459" w:type="dxa"/>
            <w:tcBorders>
              <w:top w:val="single" w:sz="4" w:space="0" w:color="auto"/>
              <w:bottom w:val="single" w:sz="4" w:space="0" w:color="auto"/>
            </w:tcBorders>
            <w:vAlign w:val="center"/>
          </w:tcPr>
          <w:p w14:paraId="507433F1" w14:textId="77777777" w:rsidR="00850766" w:rsidRPr="00D40F8D" w:rsidRDefault="00850766" w:rsidP="00850766">
            <w:pPr>
              <w:jc w:val="center"/>
              <w:rPr>
                <w:b/>
                <w:sz w:val="20"/>
                <w:szCs w:val="20"/>
              </w:rPr>
            </w:pPr>
            <w:r w:rsidRPr="00D40F8D">
              <w:rPr>
                <w:b/>
                <w:sz w:val="20"/>
                <w:szCs w:val="20"/>
              </w:rPr>
              <w:t>√</w:t>
            </w:r>
          </w:p>
        </w:tc>
        <w:tc>
          <w:tcPr>
            <w:tcW w:w="604" w:type="dxa"/>
            <w:tcBorders>
              <w:top w:val="single" w:sz="4" w:space="0" w:color="auto"/>
              <w:bottom w:val="single" w:sz="4" w:space="0" w:color="auto"/>
            </w:tcBorders>
            <w:vAlign w:val="center"/>
          </w:tcPr>
          <w:p w14:paraId="14F98510" w14:textId="77777777" w:rsidR="00850766" w:rsidRPr="00D40F8D" w:rsidRDefault="00850766" w:rsidP="00850766">
            <w:pPr>
              <w:jc w:val="center"/>
              <w:rPr>
                <w:b/>
                <w:sz w:val="20"/>
                <w:szCs w:val="20"/>
              </w:rPr>
            </w:pPr>
            <w:r w:rsidRPr="00D40F8D">
              <w:rPr>
                <w:b/>
                <w:sz w:val="20"/>
                <w:szCs w:val="20"/>
              </w:rPr>
              <w:t>√</w:t>
            </w:r>
          </w:p>
        </w:tc>
        <w:tc>
          <w:tcPr>
            <w:tcW w:w="604" w:type="dxa"/>
            <w:tcBorders>
              <w:top w:val="single" w:sz="4" w:space="0" w:color="auto"/>
              <w:bottom w:val="single" w:sz="4" w:space="0" w:color="auto"/>
            </w:tcBorders>
            <w:vAlign w:val="center"/>
          </w:tcPr>
          <w:p w14:paraId="4372687D" w14:textId="77777777" w:rsidR="00850766" w:rsidRPr="00D40F8D" w:rsidRDefault="00850766" w:rsidP="00850766">
            <w:pPr>
              <w:jc w:val="center"/>
              <w:rPr>
                <w:b/>
                <w:sz w:val="20"/>
                <w:szCs w:val="20"/>
              </w:rPr>
            </w:pPr>
            <w:r w:rsidRPr="00D40F8D">
              <w:rPr>
                <w:b/>
                <w:sz w:val="20"/>
                <w:szCs w:val="20"/>
              </w:rPr>
              <w:t>√</w:t>
            </w:r>
          </w:p>
        </w:tc>
        <w:tc>
          <w:tcPr>
            <w:tcW w:w="604" w:type="dxa"/>
            <w:tcBorders>
              <w:top w:val="single" w:sz="4" w:space="0" w:color="auto"/>
              <w:bottom w:val="single" w:sz="4" w:space="0" w:color="auto"/>
            </w:tcBorders>
            <w:vAlign w:val="center"/>
          </w:tcPr>
          <w:p w14:paraId="171F6DA9" w14:textId="77777777" w:rsidR="00850766" w:rsidRPr="00D40F8D" w:rsidRDefault="00850766" w:rsidP="00850766">
            <w:pPr>
              <w:jc w:val="center"/>
              <w:rPr>
                <w:b/>
                <w:sz w:val="20"/>
                <w:szCs w:val="20"/>
              </w:rPr>
            </w:pPr>
            <w:r w:rsidRPr="00D40F8D">
              <w:rPr>
                <w:b/>
                <w:sz w:val="20"/>
                <w:szCs w:val="20"/>
              </w:rPr>
              <w:t>--</w:t>
            </w:r>
          </w:p>
        </w:tc>
        <w:tc>
          <w:tcPr>
            <w:tcW w:w="459" w:type="dxa"/>
            <w:tcBorders>
              <w:top w:val="single" w:sz="4" w:space="0" w:color="auto"/>
              <w:bottom w:val="single" w:sz="4" w:space="0" w:color="auto"/>
            </w:tcBorders>
            <w:vAlign w:val="center"/>
          </w:tcPr>
          <w:p w14:paraId="2BBEB59A" w14:textId="77777777" w:rsidR="00850766" w:rsidRPr="00D40F8D" w:rsidRDefault="00850766" w:rsidP="00850766">
            <w:pPr>
              <w:jc w:val="center"/>
              <w:rPr>
                <w:b/>
                <w:sz w:val="20"/>
                <w:szCs w:val="20"/>
              </w:rPr>
            </w:pPr>
            <w:r w:rsidRPr="00D40F8D">
              <w:rPr>
                <w:b/>
                <w:sz w:val="20"/>
                <w:szCs w:val="20"/>
              </w:rPr>
              <w:t>--</w:t>
            </w:r>
          </w:p>
        </w:tc>
      </w:tr>
      <w:tr w:rsidR="00494D9E" w:rsidRPr="00D40F8D" w14:paraId="239850E8" w14:textId="77777777" w:rsidTr="004601C9">
        <w:trPr>
          <w:trHeight w:val="360"/>
        </w:trPr>
        <w:tc>
          <w:tcPr>
            <w:tcW w:w="1729" w:type="dxa"/>
            <w:tcBorders>
              <w:top w:val="single" w:sz="4" w:space="0" w:color="auto"/>
              <w:bottom w:val="single" w:sz="4" w:space="0" w:color="auto"/>
            </w:tcBorders>
            <w:vAlign w:val="center"/>
          </w:tcPr>
          <w:p w14:paraId="78ACAA41" w14:textId="3BB31451" w:rsidR="00850766" w:rsidRPr="00D40F8D" w:rsidRDefault="00850766" w:rsidP="00850766">
            <w:pPr>
              <w:jc w:val="left"/>
              <w:rPr>
                <w:sz w:val="20"/>
                <w:szCs w:val="20"/>
              </w:rPr>
            </w:pPr>
            <w:r w:rsidRPr="00D40F8D">
              <w:rPr>
                <w:sz w:val="20"/>
                <w:szCs w:val="20"/>
              </w:rPr>
              <w:fldChar w:fldCharType="begin" w:fldLock="1"/>
            </w:r>
            <w:r>
              <w:rPr>
                <w:sz w:val="20"/>
                <w:szCs w:val="20"/>
              </w:rPr>
              <w:instrText>ADDIN CSL_CITATION {"citationItems":[{"id":"ITEM-1","itemData":{"DOI":"10.1016/j.amar.2013.12.001","ISSN":"22136657","abstract":"Estimation results obtained by models of crash frequency and severity without considering spatial dependence effects may lead to biased estimates and mis-specification of the risk factors in accident analysis. The solution developed in this study is a modification of the previously proposed multinomial-generalized Poisson with error-components (EMGP) model. Two spatial EMGP models, spatial error-EMGP and spatial exogenous-EMGP, are proposed to accommodate alternative spatial dependence structures. The spatial error-EMGP model incorporates spatial error in the structure of spatial auto-regression and spatial moving average to capture spatial correlation effects; while the spatial exogenous-EMGP model introduces the spatial exogenous functions composed of two state parameterized functions associated with traffic and geometric composite variables to explain the sources of spatial dependence. A case study of crash data for Taiwan Freeway no. 1 is performed. According to the estimation results, the spatial exogenous-EMGP model not only performs best in terms of BIC, RMSE and LR tests, it also shows the sources of spatial dependence and how spatial dependence decays as the distance to adjacent segments increases. © 2014 Elsevier Ltd.","author":[{"dropping-particle":"","family":"Chiou","given":"Yu Chiun","non-dropping-particle":"","parse-names":false,"suffix":""},{"dropping-particle":"","family":"Fu","given":"Chiang","non-dropping-particle":"","parse-names":false,"suffix":""},{"dropping-particle":"","family":"Hsieh","given":"Chih Wei","non-dropping-particle":"","parse-names":false,"suffix":""}],"container-title":"Analytic Methods in Accident Research","id":"ITEM-1","issued":{"date-parts":[["2014"]]},"page":"1-11","publisher":"Elsevier","title":"Incorporating spatial dependence in simultaneously modeling crash frequency and severity","type":"article-journal","volume":"2"},"uris":["http://www.mendeley.com/documents/?uuid=89b99904-5bda-4470-b75d-67feed5661c3"]}],"mendeley":{"formattedCitation":"(Chiou et al., 2014)","plainTextFormattedCitation":"(Chiou et al., 2014)","previouslyFormattedCitation":"(Chiou et al., 2014)"},"properties":{"noteIndex":0},"schema":"https://github.com/citation-style-language/schema/raw/master/csl-citation.json"}</w:instrText>
            </w:r>
            <w:r w:rsidRPr="00D40F8D">
              <w:rPr>
                <w:sz w:val="20"/>
                <w:szCs w:val="20"/>
              </w:rPr>
              <w:fldChar w:fldCharType="separate"/>
            </w:r>
            <w:r w:rsidRPr="00097239">
              <w:rPr>
                <w:noProof/>
                <w:sz w:val="20"/>
                <w:szCs w:val="20"/>
              </w:rPr>
              <w:t>(Chiou et al., 2014)</w:t>
            </w:r>
            <w:r w:rsidRPr="00D40F8D">
              <w:rPr>
                <w:sz w:val="20"/>
                <w:szCs w:val="20"/>
              </w:rPr>
              <w:fldChar w:fldCharType="end"/>
            </w:r>
          </w:p>
        </w:tc>
        <w:tc>
          <w:tcPr>
            <w:tcW w:w="1238" w:type="dxa"/>
            <w:tcBorders>
              <w:top w:val="single" w:sz="4" w:space="0" w:color="auto"/>
              <w:bottom w:val="single" w:sz="4" w:space="0" w:color="auto"/>
            </w:tcBorders>
            <w:vAlign w:val="center"/>
          </w:tcPr>
          <w:p w14:paraId="130C6DC3" w14:textId="77777777" w:rsidR="00850766" w:rsidRPr="00D40F8D" w:rsidRDefault="00850766" w:rsidP="00850766">
            <w:pPr>
              <w:jc w:val="center"/>
              <w:rPr>
                <w:sz w:val="20"/>
                <w:szCs w:val="20"/>
                <w:lang w:val="en-US"/>
              </w:rPr>
            </w:pPr>
            <w:r>
              <w:rPr>
                <w:sz w:val="20"/>
                <w:szCs w:val="20"/>
                <w:lang w:val="en-US"/>
              </w:rPr>
              <w:t>F</w:t>
            </w:r>
            <w:r w:rsidRPr="00D40F8D">
              <w:rPr>
                <w:sz w:val="20"/>
                <w:szCs w:val="20"/>
                <w:lang w:val="en-US"/>
              </w:rPr>
              <w:t>reeway segment (Micro)</w:t>
            </w:r>
          </w:p>
        </w:tc>
        <w:tc>
          <w:tcPr>
            <w:tcW w:w="1416" w:type="dxa"/>
            <w:tcBorders>
              <w:top w:val="single" w:sz="4" w:space="0" w:color="auto"/>
              <w:bottom w:val="single" w:sz="4" w:space="0" w:color="auto"/>
            </w:tcBorders>
            <w:vAlign w:val="center"/>
          </w:tcPr>
          <w:p w14:paraId="5EDB85EA" w14:textId="77777777" w:rsidR="00850766" w:rsidRPr="00D40F8D" w:rsidRDefault="00850766" w:rsidP="00850766">
            <w:pPr>
              <w:jc w:val="center"/>
              <w:rPr>
                <w:sz w:val="20"/>
                <w:szCs w:val="20"/>
              </w:rPr>
            </w:pPr>
            <w:r w:rsidRPr="00D40F8D">
              <w:rPr>
                <w:sz w:val="20"/>
                <w:szCs w:val="20"/>
              </w:rPr>
              <w:t>State (Taiwan)</w:t>
            </w:r>
          </w:p>
        </w:tc>
        <w:tc>
          <w:tcPr>
            <w:tcW w:w="1089" w:type="dxa"/>
            <w:tcBorders>
              <w:top w:val="single" w:sz="4" w:space="0" w:color="auto"/>
              <w:bottom w:val="single" w:sz="4" w:space="0" w:color="auto"/>
            </w:tcBorders>
            <w:vAlign w:val="center"/>
          </w:tcPr>
          <w:p w14:paraId="26AD4511" w14:textId="77777777" w:rsidR="00850766" w:rsidRPr="00D40F8D" w:rsidRDefault="00850766" w:rsidP="00850766">
            <w:pPr>
              <w:jc w:val="center"/>
              <w:rPr>
                <w:sz w:val="20"/>
                <w:szCs w:val="20"/>
              </w:rPr>
            </w:pPr>
            <w:r w:rsidRPr="00D40F8D">
              <w:rPr>
                <w:sz w:val="20"/>
                <w:szCs w:val="20"/>
              </w:rPr>
              <w:t>Motorized Crash</w:t>
            </w:r>
          </w:p>
        </w:tc>
        <w:tc>
          <w:tcPr>
            <w:tcW w:w="2061" w:type="dxa"/>
            <w:tcBorders>
              <w:top w:val="single" w:sz="4" w:space="0" w:color="auto"/>
              <w:bottom w:val="single" w:sz="4" w:space="0" w:color="auto"/>
            </w:tcBorders>
            <w:vAlign w:val="center"/>
          </w:tcPr>
          <w:p w14:paraId="603F5598" w14:textId="77777777" w:rsidR="00850766" w:rsidRPr="00D40F8D" w:rsidRDefault="00850766" w:rsidP="00850766">
            <w:pPr>
              <w:jc w:val="left"/>
              <w:rPr>
                <w:sz w:val="20"/>
                <w:szCs w:val="20"/>
              </w:rPr>
            </w:pPr>
            <w:r w:rsidRPr="00D40F8D">
              <w:rPr>
                <w:sz w:val="20"/>
                <w:szCs w:val="20"/>
              </w:rPr>
              <w:t>3 (PDO, possible injury, injury/ fatality)</w:t>
            </w:r>
          </w:p>
        </w:tc>
        <w:tc>
          <w:tcPr>
            <w:tcW w:w="1998" w:type="dxa"/>
            <w:tcBorders>
              <w:top w:val="single" w:sz="4" w:space="0" w:color="auto"/>
              <w:bottom w:val="single" w:sz="4" w:space="0" w:color="auto"/>
            </w:tcBorders>
            <w:vAlign w:val="center"/>
          </w:tcPr>
          <w:p w14:paraId="78C39FCD" w14:textId="77777777" w:rsidR="00850766" w:rsidRPr="00D40F8D" w:rsidRDefault="00850766" w:rsidP="00850766">
            <w:pPr>
              <w:jc w:val="left"/>
              <w:rPr>
                <w:sz w:val="20"/>
                <w:szCs w:val="20"/>
                <w:lang w:val="en-US"/>
              </w:rPr>
            </w:pPr>
            <w:r w:rsidRPr="00D40F8D">
              <w:rPr>
                <w:sz w:val="20"/>
                <w:szCs w:val="20"/>
                <w:lang w:val="en-US"/>
              </w:rPr>
              <w:t>Multinomial Generalized Poisson with error components</w:t>
            </w:r>
          </w:p>
        </w:tc>
        <w:tc>
          <w:tcPr>
            <w:tcW w:w="652" w:type="dxa"/>
            <w:tcBorders>
              <w:top w:val="single" w:sz="4" w:space="0" w:color="auto"/>
              <w:bottom w:val="single" w:sz="4" w:space="0" w:color="auto"/>
            </w:tcBorders>
            <w:vAlign w:val="center"/>
          </w:tcPr>
          <w:p w14:paraId="03D677C8" w14:textId="77777777" w:rsidR="00850766" w:rsidRPr="00D40F8D" w:rsidRDefault="00850766" w:rsidP="00850766">
            <w:pPr>
              <w:jc w:val="center"/>
              <w:rPr>
                <w:b/>
                <w:sz w:val="20"/>
                <w:szCs w:val="20"/>
              </w:rPr>
            </w:pPr>
            <w:r w:rsidRPr="00D40F8D">
              <w:rPr>
                <w:b/>
                <w:sz w:val="20"/>
                <w:szCs w:val="20"/>
              </w:rPr>
              <w:t>√</w:t>
            </w:r>
          </w:p>
        </w:tc>
        <w:tc>
          <w:tcPr>
            <w:tcW w:w="459" w:type="dxa"/>
            <w:tcBorders>
              <w:top w:val="single" w:sz="4" w:space="0" w:color="auto"/>
              <w:bottom w:val="single" w:sz="4" w:space="0" w:color="auto"/>
            </w:tcBorders>
            <w:vAlign w:val="center"/>
          </w:tcPr>
          <w:p w14:paraId="55BDF452" w14:textId="77777777" w:rsidR="00850766" w:rsidRPr="00D40F8D" w:rsidRDefault="00850766" w:rsidP="00850766">
            <w:pPr>
              <w:jc w:val="center"/>
              <w:rPr>
                <w:b/>
                <w:sz w:val="20"/>
                <w:szCs w:val="20"/>
              </w:rPr>
            </w:pPr>
            <w:r w:rsidRPr="00D40F8D">
              <w:rPr>
                <w:b/>
                <w:sz w:val="20"/>
                <w:szCs w:val="20"/>
              </w:rPr>
              <w:t>--</w:t>
            </w:r>
          </w:p>
        </w:tc>
        <w:tc>
          <w:tcPr>
            <w:tcW w:w="604" w:type="dxa"/>
            <w:tcBorders>
              <w:top w:val="single" w:sz="4" w:space="0" w:color="auto"/>
              <w:bottom w:val="single" w:sz="4" w:space="0" w:color="auto"/>
            </w:tcBorders>
            <w:vAlign w:val="center"/>
          </w:tcPr>
          <w:p w14:paraId="7352BE42" w14:textId="77777777" w:rsidR="00850766" w:rsidRPr="00D40F8D" w:rsidRDefault="00850766" w:rsidP="00850766">
            <w:pPr>
              <w:jc w:val="center"/>
              <w:rPr>
                <w:b/>
                <w:sz w:val="20"/>
                <w:szCs w:val="20"/>
              </w:rPr>
            </w:pPr>
            <w:r w:rsidRPr="00D40F8D">
              <w:rPr>
                <w:b/>
                <w:sz w:val="20"/>
                <w:szCs w:val="20"/>
              </w:rPr>
              <w:t>√</w:t>
            </w:r>
          </w:p>
        </w:tc>
        <w:tc>
          <w:tcPr>
            <w:tcW w:w="604" w:type="dxa"/>
            <w:tcBorders>
              <w:top w:val="single" w:sz="4" w:space="0" w:color="auto"/>
              <w:bottom w:val="single" w:sz="4" w:space="0" w:color="auto"/>
            </w:tcBorders>
            <w:vAlign w:val="center"/>
          </w:tcPr>
          <w:p w14:paraId="4859ED53" w14:textId="77777777" w:rsidR="00850766" w:rsidRPr="00D40F8D" w:rsidRDefault="00850766" w:rsidP="00850766">
            <w:pPr>
              <w:jc w:val="center"/>
              <w:rPr>
                <w:b/>
                <w:sz w:val="20"/>
                <w:szCs w:val="20"/>
              </w:rPr>
            </w:pPr>
            <w:r w:rsidRPr="00D40F8D">
              <w:rPr>
                <w:b/>
                <w:sz w:val="20"/>
                <w:szCs w:val="20"/>
              </w:rPr>
              <w:t>√</w:t>
            </w:r>
          </w:p>
        </w:tc>
        <w:tc>
          <w:tcPr>
            <w:tcW w:w="604" w:type="dxa"/>
            <w:tcBorders>
              <w:top w:val="single" w:sz="4" w:space="0" w:color="auto"/>
              <w:bottom w:val="single" w:sz="4" w:space="0" w:color="auto"/>
            </w:tcBorders>
            <w:vAlign w:val="center"/>
          </w:tcPr>
          <w:p w14:paraId="3CF27307" w14:textId="77777777" w:rsidR="00850766" w:rsidRPr="00D40F8D" w:rsidRDefault="00850766" w:rsidP="00850766">
            <w:pPr>
              <w:jc w:val="center"/>
              <w:rPr>
                <w:b/>
                <w:sz w:val="20"/>
                <w:szCs w:val="20"/>
              </w:rPr>
            </w:pPr>
            <w:r w:rsidRPr="00D40F8D">
              <w:rPr>
                <w:b/>
                <w:sz w:val="20"/>
                <w:szCs w:val="20"/>
              </w:rPr>
              <w:t>--</w:t>
            </w:r>
          </w:p>
        </w:tc>
        <w:tc>
          <w:tcPr>
            <w:tcW w:w="459" w:type="dxa"/>
            <w:tcBorders>
              <w:top w:val="single" w:sz="4" w:space="0" w:color="auto"/>
              <w:bottom w:val="single" w:sz="4" w:space="0" w:color="auto"/>
            </w:tcBorders>
            <w:vAlign w:val="center"/>
          </w:tcPr>
          <w:p w14:paraId="3C33A045" w14:textId="77777777" w:rsidR="00850766" w:rsidRPr="00D40F8D" w:rsidRDefault="00850766" w:rsidP="00850766">
            <w:pPr>
              <w:jc w:val="center"/>
              <w:rPr>
                <w:b/>
                <w:sz w:val="20"/>
                <w:szCs w:val="20"/>
              </w:rPr>
            </w:pPr>
            <w:r w:rsidRPr="00D40F8D">
              <w:rPr>
                <w:b/>
                <w:sz w:val="20"/>
                <w:szCs w:val="20"/>
              </w:rPr>
              <w:t>√</w:t>
            </w:r>
          </w:p>
        </w:tc>
      </w:tr>
      <w:tr w:rsidR="00494D9E" w:rsidRPr="00D40F8D" w14:paraId="7C0A1539" w14:textId="77777777" w:rsidTr="004601C9">
        <w:trPr>
          <w:trHeight w:val="360"/>
        </w:trPr>
        <w:tc>
          <w:tcPr>
            <w:tcW w:w="1729" w:type="dxa"/>
            <w:tcBorders>
              <w:top w:val="single" w:sz="4" w:space="0" w:color="auto"/>
              <w:bottom w:val="single" w:sz="4" w:space="0" w:color="auto"/>
            </w:tcBorders>
            <w:vAlign w:val="center"/>
          </w:tcPr>
          <w:p w14:paraId="2564A5F4" w14:textId="3A50CA29" w:rsidR="00850766" w:rsidRPr="00D40F8D" w:rsidRDefault="00850766" w:rsidP="00850766">
            <w:pPr>
              <w:jc w:val="left"/>
              <w:rPr>
                <w:sz w:val="20"/>
                <w:szCs w:val="20"/>
              </w:rPr>
            </w:pPr>
            <w:r w:rsidRPr="00D40F8D">
              <w:rPr>
                <w:sz w:val="20"/>
                <w:szCs w:val="20"/>
              </w:rPr>
              <w:fldChar w:fldCharType="begin" w:fldLock="1"/>
            </w:r>
            <w:r>
              <w:rPr>
                <w:sz w:val="20"/>
                <w:szCs w:val="20"/>
              </w:rPr>
              <w:instrText>ADDIN CSL_CITATION {"citationItems":[{"id":"ITEM-1","itemData":{"DOI":"10.1016/j.amar.2015.03.002","ISSN":"22136657","abstract":"This study proposes a novel multinomial generalized Poisson model with error components and spatiotemporal dependence (ST-EMGP) to analyze multi-period crash frequency and severity data. The proposed model not only simultaneously models crash frequency and severity, but also accommodates spatial and temporal dependence (spatiotemporal dependence) by specifying a spatiotemporal function. To demonstrate the applicability of the proposed model, a case study is conducted on five consecutive years' (2004-2008) crash data of Taiwan's Freeway No. 1. Estimation results show that ST-EMGP model performs better than the models without considering spatiotemporal dependence in terms of adjusted likelihood ratio index, consistent Akaike information criterion and log-likelihood test. Additionally, the estimated ST-EMGP model shows that spatial and temporal dependences exist and correlate mutually. Spatial dependence may overstate its impact magnitude, but underestimate its impact range when temporal dependence is ignored. According to the distribution and regression results of spatiotemporal effects, temporal effects are higher in crash frequency and are mainly affected by traffic characteristics; while spatial effects are higher in severe crash severity levels and are mainly affected by geometric configuration. Obviously, the proposed model can successfully elucidate the sources of spatiotemporal dependence as well as their effects on crash frequency and severity.","author":[{"dropping-particle":"","family":"Chiou","given":"Yu Chiun","non-dropping-particle":"","parse-names":false,"suffix":""},{"dropping-particle":"","family":"Fu","given":"Chiang","non-dropping-particle":"","parse-names":false,"suffix":""}],"container-title":"Analytic Methods in Accident Research","id":"ITEM-1","issued":{"date-parts":[["2015"]]},"page":"43-58","publisher":"Elsevier","title":"Modeling crash frequency and severity with spatiotemporal dependence","type":"article-journal","volume":"5-6"},"uris":["http://www.mendeley.com/documents/?uuid=5fc844a8-e99b-4e63-b887-15ed538b0c7e"]}],"mendeley":{"formattedCitation":"(Chiou and Fu, 2015)","plainTextFormattedCitation":"(Chiou and Fu, 2015)","previouslyFormattedCitation":"(Chiou and Fu, 2015)"},"properties":{"noteIndex":0},"schema":"https://github.com/citation-style-language/schema/raw/master/csl-citation.json"}</w:instrText>
            </w:r>
            <w:r w:rsidRPr="00D40F8D">
              <w:rPr>
                <w:sz w:val="20"/>
                <w:szCs w:val="20"/>
              </w:rPr>
              <w:fldChar w:fldCharType="separate"/>
            </w:r>
            <w:r w:rsidRPr="00097239">
              <w:rPr>
                <w:noProof/>
                <w:sz w:val="20"/>
                <w:szCs w:val="20"/>
              </w:rPr>
              <w:t>(Chiou and Fu, 2015)</w:t>
            </w:r>
            <w:r w:rsidRPr="00D40F8D">
              <w:rPr>
                <w:sz w:val="20"/>
                <w:szCs w:val="20"/>
              </w:rPr>
              <w:fldChar w:fldCharType="end"/>
            </w:r>
          </w:p>
        </w:tc>
        <w:tc>
          <w:tcPr>
            <w:tcW w:w="1238" w:type="dxa"/>
            <w:tcBorders>
              <w:top w:val="single" w:sz="4" w:space="0" w:color="auto"/>
              <w:bottom w:val="single" w:sz="4" w:space="0" w:color="auto"/>
            </w:tcBorders>
            <w:vAlign w:val="center"/>
          </w:tcPr>
          <w:p w14:paraId="213F5B08" w14:textId="77777777" w:rsidR="00850766" w:rsidRPr="00D40F8D" w:rsidRDefault="00850766" w:rsidP="00850766">
            <w:pPr>
              <w:jc w:val="center"/>
              <w:rPr>
                <w:sz w:val="20"/>
                <w:szCs w:val="20"/>
                <w:lang w:val="en-US"/>
              </w:rPr>
            </w:pPr>
            <w:r>
              <w:rPr>
                <w:sz w:val="20"/>
                <w:szCs w:val="20"/>
                <w:lang w:val="en-US"/>
              </w:rPr>
              <w:t>F</w:t>
            </w:r>
            <w:r w:rsidRPr="00D40F8D">
              <w:rPr>
                <w:sz w:val="20"/>
                <w:szCs w:val="20"/>
                <w:lang w:val="en-US"/>
              </w:rPr>
              <w:t>reeway segment (Micro)</w:t>
            </w:r>
          </w:p>
        </w:tc>
        <w:tc>
          <w:tcPr>
            <w:tcW w:w="1416" w:type="dxa"/>
            <w:tcBorders>
              <w:top w:val="single" w:sz="4" w:space="0" w:color="auto"/>
              <w:bottom w:val="single" w:sz="4" w:space="0" w:color="auto"/>
            </w:tcBorders>
            <w:vAlign w:val="center"/>
          </w:tcPr>
          <w:p w14:paraId="16941022" w14:textId="77777777" w:rsidR="00850766" w:rsidRPr="00D40F8D" w:rsidRDefault="00850766" w:rsidP="00850766">
            <w:pPr>
              <w:jc w:val="center"/>
              <w:rPr>
                <w:sz w:val="20"/>
                <w:szCs w:val="20"/>
              </w:rPr>
            </w:pPr>
            <w:r w:rsidRPr="00D40F8D">
              <w:rPr>
                <w:sz w:val="20"/>
                <w:szCs w:val="20"/>
              </w:rPr>
              <w:t>State (Taiwan)</w:t>
            </w:r>
          </w:p>
        </w:tc>
        <w:tc>
          <w:tcPr>
            <w:tcW w:w="1089" w:type="dxa"/>
            <w:tcBorders>
              <w:top w:val="single" w:sz="4" w:space="0" w:color="auto"/>
              <w:bottom w:val="single" w:sz="4" w:space="0" w:color="auto"/>
            </w:tcBorders>
            <w:vAlign w:val="center"/>
          </w:tcPr>
          <w:p w14:paraId="493BB41B" w14:textId="77777777" w:rsidR="00850766" w:rsidRPr="00D40F8D" w:rsidRDefault="00850766" w:rsidP="00850766">
            <w:pPr>
              <w:jc w:val="center"/>
              <w:rPr>
                <w:sz w:val="20"/>
                <w:szCs w:val="20"/>
              </w:rPr>
            </w:pPr>
            <w:r w:rsidRPr="00D40F8D">
              <w:rPr>
                <w:sz w:val="20"/>
                <w:szCs w:val="20"/>
              </w:rPr>
              <w:t>Motorized Crash</w:t>
            </w:r>
          </w:p>
        </w:tc>
        <w:tc>
          <w:tcPr>
            <w:tcW w:w="2061" w:type="dxa"/>
            <w:tcBorders>
              <w:top w:val="single" w:sz="4" w:space="0" w:color="auto"/>
              <w:bottom w:val="single" w:sz="4" w:space="0" w:color="auto"/>
            </w:tcBorders>
            <w:vAlign w:val="center"/>
          </w:tcPr>
          <w:p w14:paraId="12793BCA" w14:textId="77777777" w:rsidR="00850766" w:rsidRPr="00D40F8D" w:rsidRDefault="00850766" w:rsidP="00850766">
            <w:pPr>
              <w:jc w:val="left"/>
              <w:rPr>
                <w:sz w:val="20"/>
                <w:szCs w:val="20"/>
              </w:rPr>
            </w:pPr>
            <w:r w:rsidRPr="00D40F8D">
              <w:rPr>
                <w:sz w:val="20"/>
                <w:szCs w:val="20"/>
              </w:rPr>
              <w:t>3 (PDO, possible injury, injury/ fatality)</w:t>
            </w:r>
          </w:p>
        </w:tc>
        <w:tc>
          <w:tcPr>
            <w:tcW w:w="1998" w:type="dxa"/>
            <w:tcBorders>
              <w:top w:val="single" w:sz="4" w:space="0" w:color="auto"/>
              <w:bottom w:val="single" w:sz="4" w:space="0" w:color="auto"/>
            </w:tcBorders>
            <w:vAlign w:val="center"/>
          </w:tcPr>
          <w:p w14:paraId="4FF76EE7" w14:textId="77777777" w:rsidR="00850766" w:rsidRPr="00D40F8D" w:rsidRDefault="00850766" w:rsidP="00850766">
            <w:pPr>
              <w:jc w:val="left"/>
              <w:rPr>
                <w:sz w:val="20"/>
                <w:szCs w:val="20"/>
                <w:lang w:val="en-US"/>
              </w:rPr>
            </w:pPr>
            <w:r w:rsidRPr="00D40F8D">
              <w:rPr>
                <w:sz w:val="20"/>
                <w:szCs w:val="20"/>
                <w:lang w:val="en-US"/>
              </w:rPr>
              <w:t>Multinomial generalized Poisson with spatiotemporal error components</w:t>
            </w:r>
          </w:p>
        </w:tc>
        <w:tc>
          <w:tcPr>
            <w:tcW w:w="652" w:type="dxa"/>
            <w:tcBorders>
              <w:top w:val="single" w:sz="4" w:space="0" w:color="auto"/>
              <w:bottom w:val="single" w:sz="4" w:space="0" w:color="auto"/>
            </w:tcBorders>
            <w:vAlign w:val="center"/>
          </w:tcPr>
          <w:p w14:paraId="6266686F" w14:textId="77777777" w:rsidR="00850766" w:rsidRPr="00D40F8D" w:rsidRDefault="00850766" w:rsidP="00850766">
            <w:pPr>
              <w:jc w:val="center"/>
              <w:rPr>
                <w:b/>
                <w:sz w:val="20"/>
                <w:szCs w:val="20"/>
              </w:rPr>
            </w:pPr>
            <w:r w:rsidRPr="00D40F8D">
              <w:rPr>
                <w:b/>
                <w:sz w:val="20"/>
                <w:szCs w:val="20"/>
              </w:rPr>
              <w:t>√</w:t>
            </w:r>
          </w:p>
        </w:tc>
        <w:tc>
          <w:tcPr>
            <w:tcW w:w="459" w:type="dxa"/>
            <w:tcBorders>
              <w:top w:val="single" w:sz="4" w:space="0" w:color="auto"/>
              <w:bottom w:val="single" w:sz="4" w:space="0" w:color="auto"/>
            </w:tcBorders>
            <w:vAlign w:val="center"/>
          </w:tcPr>
          <w:p w14:paraId="0DC16655" w14:textId="77777777" w:rsidR="00850766" w:rsidRPr="00D40F8D" w:rsidRDefault="00850766" w:rsidP="00850766">
            <w:pPr>
              <w:jc w:val="center"/>
              <w:rPr>
                <w:b/>
                <w:sz w:val="20"/>
                <w:szCs w:val="20"/>
              </w:rPr>
            </w:pPr>
            <w:r w:rsidRPr="00D40F8D">
              <w:rPr>
                <w:b/>
                <w:sz w:val="20"/>
                <w:szCs w:val="20"/>
              </w:rPr>
              <w:t>--</w:t>
            </w:r>
          </w:p>
        </w:tc>
        <w:tc>
          <w:tcPr>
            <w:tcW w:w="604" w:type="dxa"/>
            <w:tcBorders>
              <w:top w:val="single" w:sz="4" w:space="0" w:color="auto"/>
              <w:bottom w:val="single" w:sz="4" w:space="0" w:color="auto"/>
            </w:tcBorders>
            <w:vAlign w:val="center"/>
          </w:tcPr>
          <w:p w14:paraId="4F7F95F5" w14:textId="77777777" w:rsidR="00850766" w:rsidRPr="00D40F8D" w:rsidRDefault="00850766" w:rsidP="00850766">
            <w:pPr>
              <w:jc w:val="center"/>
              <w:rPr>
                <w:b/>
                <w:sz w:val="20"/>
                <w:szCs w:val="20"/>
              </w:rPr>
            </w:pPr>
            <w:r w:rsidRPr="00D40F8D">
              <w:rPr>
                <w:b/>
                <w:sz w:val="20"/>
                <w:szCs w:val="20"/>
              </w:rPr>
              <w:t>√</w:t>
            </w:r>
          </w:p>
        </w:tc>
        <w:tc>
          <w:tcPr>
            <w:tcW w:w="604" w:type="dxa"/>
            <w:tcBorders>
              <w:top w:val="single" w:sz="4" w:space="0" w:color="auto"/>
              <w:bottom w:val="single" w:sz="4" w:space="0" w:color="auto"/>
            </w:tcBorders>
            <w:vAlign w:val="center"/>
          </w:tcPr>
          <w:p w14:paraId="6CA8B1FE" w14:textId="77777777" w:rsidR="00850766" w:rsidRPr="00D40F8D" w:rsidRDefault="00850766" w:rsidP="00850766">
            <w:pPr>
              <w:jc w:val="center"/>
              <w:rPr>
                <w:b/>
                <w:sz w:val="20"/>
                <w:szCs w:val="20"/>
              </w:rPr>
            </w:pPr>
            <w:r w:rsidRPr="00D40F8D">
              <w:rPr>
                <w:b/>
                <w:sz w:val="20"/>
                <w:szCs w:val="20"/>
              </w:rPr>
              <w:t>√</w:t>
            </w:r>
          </w:p>
        </w:tc>
        <w:tc>
          <w:tcPr>
            <w:tcW w:w="604" w:type="dxa"/>
            <w:tcBorders>
              <w:top w:val="single" w:sz="4" w:space="0" w:color="auto"/>
              <w:bottom w:val="single" w:sz="4" w:space="0" w:color="auto"/>
            </w:tcBorders>
            <w:vAlign w:val="center"/>
          </w:tcPr>
          <w:p w14:paraId="1EC13CE2" w14:textId="77777777" w:rsidR="00850766" w:rsidRPr="00D40F8D" w:rsidRDefault="00850766" w:rsidP="00850766">
            <w:pPr>
              <w:jc w:val="center"/>
              <w:rPr>
                <w:b/>
                <w:sz w:val="20"/>
                <w:szCs w:val="20"/>
              </w:rPr>
            </w:pPr>
            <w:r w:rsidRPr="00D40F8D">
              <w:rPr>
                <w:b/>
                <w:sz w:val="20"/>
                <w:szCs w:val="20"/>
              </w:rPr>
              <w:t>--</w:t>
            </w:r>
          </w:p>
        </w:tc>
        <w:tc>
          <w:tcPr>
            <w:tcW w:w="459" w:type="dxa"/>
            <w:tcBorders>
              <w:top w:val="single" w:sz="4" w:space="0" w:color="auto"/>
              <w:bottom w:val="single" w:sz="4" w:space="0" w:color="auto"/>
            </w:tcBorders>
            <w:vAlign w:val="center"/>
          </w:tcPr>
          <w:p w14:paraId="76497B3F" w14:textId="77777777" w:rsidR="00850766" w:rsidRPr="00D40F8D" w:rsidRDefault="00850766" w:rsidP="00850766">
            <w:pPr>
              <w:jc w:val="center"/>
              <w:rPr>
                <w:b/>
                <w:sz w:val="20"/>
                <w:szCs w:val="20"/>
              </w:rPr>
            </w:pPr>
            <w:r w:rsidRPr="00D40F8D">
              <w:rPr>
                <w:b/>
                <w:sz w:val="20"/>
                <w:szCs w:val="20"/>
              </w:rPr>
              <w:t>√</w:t>
            </w:r>
          </w:p>
        </w:tc>
      </w:tr>
      <w:tr w:rsidR="00494D9E" w:rsidRPr="00D40F8D" w14:paraId="2D6E8681" w14:textId="77777777" w:rsidTr="004601C9">
        <w:trPr>
          <w:trHeight w:val="360"/>
        </w:trPr>
        <w:tc>
          <w:tcPr>
            <w:tcW w:w="1729" w:type="dxa"/>
            <w:tcBorders>
              <w:top w:val="single" w:sz="4" w:space="0" w:color="auto"/>
              <w:bottom w:val="single" w:sz="4" w:space="0" w:color="auto"/>
            </w:tcBorders>
            <w:vAlign w:val="center"/>
          </w:tcPr>
          <w:p w14:paraId="29DD16EE" w14:textId="0A902887" w:rsidR="00850766" w:rsidRPr="00D40F8D" w:rsidRDefault="00850766" w:rsidP="00850766">
            <w:pPr>
              <w:jc w:val="left"/>
              <w:rPr>
                <w:sz w:val="20"/>
                <w:szCs w:val="20"/>
              </w:rPr>
            </w:pPr>
            <w:r w:rsidRPr="00D40F8D">
              <w:rPr>
                <w:sz w:val="20"/>
                <w:szCs w:val="20"/>
              </w:rPr>
              <w:fldChar w:fldCharType="begin" w:fldLock="1"/>
            </w:r>
            <w:r>
              <w:rPr>
                <w:sz w:val="20"/>
                <w:szCs w:val="20"/>
              </w:rPr>
              <w:instrText>ADDIN CSL_CITATION {"citationItems":[{"id":"ITEM-1","itemData":{"DOI":"10.1016/j.amar.2015.10.002","ISSN":"22136657","abstract":"This study investigates the Multivariate Poisson-lognormal (MVPLN) model that jointly models crash frequency and severity accounting for correlations. The ordinary univariate count models analyze crashes of different severity level separately ignoring the correlations among severity levels. The MVPLN model is capable to incorporate the general correlation structure and also takes account of the overdispersion in the data that leads to a superior data fitting. However, the traditional estimation approach for MVPLN model is computationally expensive, which often limits the use of MVPLN model in practice. In this work, a parallel sampling scheme is introduced to improve the original Markov Chain Monte Carlo (MCMC) estimation approach of the MVPLN model, which significantly reduces the model estimation time. Two MVPLN models are developed using the pedestrian-vehicle crash data collected in New York City from 2002 to 2006, and the highway-injury data from Washington State (5-year data from 1990 to 1994) The Deviance Information Criteria (DIC) is used to evaluate the model fitting. The estimation results show that the MVPLN models provide a superior fit over univariate Poisson-lognormal (PLN), univariate Poisson, and Negative Binomial models. Further, the correlations among the latent effects of different severity levels are found significant in both datasets,that justifies the importance of jointly modeling crash frequency and severity accounting for correlations.","author":[{"dropping-particle":"","family":"Zhan","given":"Xianyuan","non-dropping-particle":"","parse-names":false,"suffix":""},{"dropping-particle":"","family":"Abdul Aziz","given":"H. M.","non-dropping-particle":"","parse-names":false,"suffix":""},{"dropping-particle":"V.","family":"Ukkusuri","given":"Satish","non-dropping-particle":"","parse-names":false,"suffix":""}],"container-title":"Analytic Methods in Accident Research","id":"ITEM-1","issued":{"date-parts":[["2015"]]},"page":"45-60","title":"An efficient parallel sampling technique for Multivariate Poisson-Lognormal model: Analysis with two crash count datasets","type":"article-journal","volume":"8"},"uris":["http://www.mendeley.com/documents/?uuid=77d143fa-38b2-471d-afbc-e006fdc66440"]}],"mendeley":{"formattedCitation":"(Zhan et al., 2015)","plainTextFormattedCitation":"(Zhan et al., 2015)","previouslyFormattedCitation":"(Zhan et al., 2015)"},"properties":{"noteIndex":0},"schema":"https://github.com/citation-style-language/schema/raw/master/csl-citation.json"}</w:instrText>
            </w:r>
            <w:r w:rsidRPr="00D40F8D">
              <w:rPr>
                <w:sz w:val="20"/>
                <w:szCs w:val="20"/>
              </w:rPr>
              <w:fldChar w:fldCharType="separate"/>
            </w:r>
            <w:r w:rsidRPr="00097239">
              <w:rPr>
                <w:noProof/>
                <w:sz w:val="20"/>
                <w:szCs w:val="20"/>
              </w:rPr>
              <w:t>(Zhan et al., 2015)</w:t>
            </w:r>
            <w:r w:rsidRPr="00D40F8D">
              <w:rPr>
                <w:sz w:val="20"/>
                <w:szCs w:val="20"/>
              </w:rPr>
              <w:fldChar w:fldCharType="end"/>
            </w:r>
          </w:p>
        </w:tc>
        <w:tc>
          <w:tcPr>
            <w:tcW w:w="1238" w:type="dxa"/>
            <w:tcBorders>
              <w:top w:val="single" w:sz="4" w:space="0" w:color="auto"/>
              <w:bottom w:val="single" w:sz="4" w:space="0" w:color="auto"/>
            </w:tcBorders>
            <w:vAlign w:val="center"/>
          </w:tcPr>
          <w:p w14:paraId="21C57F9B" w14:textId="77777777" w:rsidR="00850766" w:rsidRPr="00D40F8D" w:rsidRDefault="00850766" w:rsidP="00850766">
            <w:pPr>
              <w:jc w:val="center"/>
              <w:rPr>
                <w:sz w:val="20"/>
                <w:szCs w:val="20"/>
                <w:lang w:val="en-US"/>
              </w:rPr>
            </w:pPr>
            <w:r w:rsidRPr="00D40F8D">
              <w:rPr>
                <w:sz w:val="20"/>
                <w:szCs w:val="20"/>
                <w:lang w:val="en-US"/>
              </w:rPr>
              <w:t>Census tract (Macro)</w:t>
            </w:r>
          </w:p>
          <w:p w14:paraId="30BD1A4D" w14:textId="77777777" w:rsidR="00850766" w:rsidRPr="00D40F8D" w:rsidRDefault="00850766" w:rsidP="00850766">
            <w:pPr>
              <w:jc w:val="center"/>
              <w:rPr>
                <w:sz w:val="20"/>
                <w:szCs w:val="20"/>
                <w:lang w:val="en-US"/>
              </w:rPr>
            </w:pPr>
            <w:r w:rsidRPr="00D40F8D">
              <w:rPr>
                <w:sz w:val="20"/>
                <w:szCs w:val="20"/>
                <w:lang w:val="en-US"/>
              </w:rPr>
              <w:t>Roadway segment (Micro)</w:t>
            </w:r>
          </w:p>
        </w:tc>
        <w:tc>
          <w:tcPr>
            <w:tcW w:w="1416" w:type="dxa"/>
            <w:tcBorders>
              <w:top w:val="single" w:sz="4" w:space="0" w:color="auto"/>
              <w:bottom w:val="single" w:sz="4" w:space="0" w:color="auto"/>
            </w:tcBorders>
            <w:vAlign w:val="center"/>
          </w:tcPr>
          <w:p w14:paraId="61A6D044" w14:textId="77777777" w:rsidR="00850766" w:rsidRPr="00D40F8D" w:rsidRDefault="00850766" w:rsidP="00850766">
            <w:pPr>
              <w:jc w:val="center"/>
              <w:rPr>
                <w:sz w:val="20"/>
                <w:szCs w:val="20"/>
              </w:rPr>
            </w:pPr>
            <w:r w:rsidRPr="00D40F8D">
              <w:rPr>
                <w:sz w:val="20"/>
                <w:szCs w:val="20"/>
              </w:rPr>
              <w:t>City, State</w:t>
            </w:r>
          </w:p>
          <w:p w14:paraId="5790A7CE" w14:textId="77777777" w:rsidR="00850766" w:rsidRPr="00D40F8D" w:rsidRDefault="00850766" w:rsidP="00850766">
            <w:pPr>
              <w:jc w:val="center"/>
              <w:rPr>
                <w:sz w:val="20"/>
                <w:szCs w:val="20"/>
              </w:rPr>
            </w:pPr>
            <w:r w:rsidRPr="00D40F8D">
              <w:rPr>
                <w:sz w:val="20"/>
                <w:szCs w:val="20"/>
              </w:rPr>
              <w:t>(New York,</w:t>
            </w:r>
          </w:p>
          <w:p w14:paraId="63826147" w14:textId="77777777" w:rsidR="00850766" w:rsidRPr="00D40F8D" w:rsidRDefault="00850766" w:rsidP="00850766">
            <w:pPr>
              <w:jc w:val="center"/>
              <w:rPr>
                <w:sz w:val="20"/>
                <w:szCs w:val="20"/>
              </w:rPr>
            </w:pPr>
            <w:r w:rsidRPr="00D40F8D">
              <w:rPr>
                <w:sz w:val="20"/>
                <w:szCs w:val="20"/>
              </w:rPr>
              <w:t>Washington)</w:t>
            </w:r>
          </w:p>
        </w:tc>
        <w:tc>
          <w:tcPr>
            <w:tcW w:w="1089" w:type="dxa"/>
            <w:tcBorders>
              <w:top w:val="single" w:sz="4" w:space="0" w:color="auto"/>
              <w:bottom w:val="single" w:sz="4" w:space="0" w:color="auto"/>
            </w:tcBorders>
            <w:vAlign w:val="center"/>
          </w:tcPr>
          <w:p w14:paraId="1BDAB9A9" w14:textId="77777777" w:rsidR="00850766" w:rsidRPr="00D40F8D" w:rsidRDefault="00850766" w:rsidP="00850766">
            <w:pPr>
              <w:jc w:val="center"/>
              <w:rPr>
                <w:sz w:val="20"/>
                <w:szCs w:val="20"/>
              </w:rPr>
            </w:pPr>
            <w:r w:rsidRPr="00D40F8D">
              <w:rPr>
                <w:sz w:val="20"/>
                <w:szCs w:val="20"/>
              </w:rPr>
              <w:t>Pedestrian and Motorized Crash</w:t>
            </w:r>
          </w:p>
        </w:tc>
        <w:tc>
          <w:tcPr>
            <w:tcW w:w="2061" w:type="dxa"/>
            <w:tcBorders>
              <w:top w:val="single" w:sz="4" w:space="0" w:color="auto"/>
              <w:bottom w:val="single" w:sz="4" w:space="0" w:color="auto"/>
            </w:tcBorders>
            <w:vAlign w:val="center"/>
          </w:tcPr>
          <w:p w14:paraId="31114C35" w14:textId="77777777" w:rsidR="00850766" w:rsidRPr="00D40F8D" w:rsidRDefault="00850766" w:rsidP="00850766">
            <w:pPr>
              <w:jc w:val="left"/>
              <w:rPr>
                <w:sz w:val="20"/>
                <w:szCs w:val="20"/>
              </w:rPr>
            </w:pPr>
            <w:r w:rsidRPr="00D40F8D">
              <w:rPr>
                <w:sz w:val="20"/>
                <w:szCs w:val="20"/>
              </w:rPr>
              <w:t>3 (</w:t>
            </w:r>
            <w:r w:rsidRPr="00D40F8D">
              <w:rPr>
                <w:sz w:val="20"/>
                <w:szCs w:val="20"/>
                <w:lang w:val="en-US"/>
              </w:rPr>
              <w:t xml:space="preserve">no injury, possible </w:t>
            </w:r>
            <w:proofErr w:type="gramStart"/>
            <w:r w:rsidRPr="00D40F8D">
              <w:rPr>
                <w:sz w:val="20"/>
                <w:szCs w:val="20"/>
                <w:lang w:val="en-US"/>
              </w:rPr>
              <w:t>injury</w:t>
            </w:r>
            <w:proofErr w:type="gramEnd"/>
            <w:r w:rsidRPr="00D40F8D">
              <w:rPr>
                <w:sz w:val="20"/>
                <w:szCs w:val="20"/>
                <w:lang w:val="en-US"/>
              </w:rPr>
              <w:t xml:space="preserve"> and evident injury)</w:t>
            </w:r>
          </w:p>
        </w:tc>
        <w:tc>
          <w:tcPr>
            <w:tcW w:w="1998" w:type="dxa"/>
            <w:tcBorders>
              <w:top w:val="single" w:sz="4" w:space="0" w:color="auto"/>
              <w:bottom w:val="single" w:sz="4" w:space="0" w:color="auto"/>
            </w:tcBorders>
            <w:vAlign w:val="center"/>
          </w:tcPr>
          <w:p w14:paraId="7FA54F7D" w14:textId="77777777" w:rsidR="00850766" w:rsidRPr="00D40F8D" w:rsidRDefault="00850766" w:rsidP="00850766">
            <w:pPr>
              <w:jc w:val="left"/>
              <w:rPr>
                <w:sz w:val="20"/>
                <w:szCs w:val="20"/>
                <w:lang w:val="en-US"/>
              </w:rPr>
            </w:pPr>
            <w:r w:rsidRPr="00D40F8D">
              <w:rPr>
                <w:sz w:val="20"/>
                <w:szCs w:val="20"/>
                <w:lang w:val="en-US"/>
              </w:rPr>
              <w:t>Multivariate Poisson-lognormal model</w:t>
            </w:r>
          </w:p>
        </w:tc>
        <w:tc>
          <w:tcPr>
            <w:tcW w:w="652" w:type="dxa"/>
            <w:tcBorders>
              <w:top w:val="single" w:sz="4" w:space="0" w:color="auto"/>
              <w:bottom w:val="single" w:sz="4" w:space="0" w:color="auto"/>
            </w:tcBorders>
            <w:vAlign w:val="center"/>
          </w:tcPr>
          <w:p w14:paraId="03E75E22" w14:textId="77777777" w:rsidR="00850766" w:rsidRPr="00D40F8D" w:rsidRDefault="00850766" w:rsidP="00850766">
            <w:pPr>
              <w:jc w:val="center"/>
              <w:rPr>
                <w:b/>
                <w:sz w:val="20"/>
                <w:szCs w:val="20"/>
              </w:rPr>
            </w:pPr>
            <w:r w:rsidRPr="00D40F8D">
              <w:rPr>
                <w:b/>
                <w:sz w:val="20"/>
                <w:szCs w:val="20"/>
              </w:rPr>
              <w:t>√</w:t>
            </w:r>
          </w:p>
        </w:tc>
        <w:tc>
          <w:tcPr>
            <w:tcW w:w="459" w:type="dxa"/>
            <w:tcBorders>
              <w:top w:val="single" w:sz="4" w:space="0" w:color="auto"/>
              <w:bottom w:val="single" w:sz="4" w:space="0" w:color="auto"/>
            </w:tcBorders>
            <w:vAlign w:val="center"/>
          </w:tcPr>
          <w:p w14:paraId="5E12EB3B" w14:textId="77777777" w:rsidR="00850766" w:rsidRPr="00D40F8D" w:rsidRDefault="00850766" w:rsidP="00850766">
            <w:pPr>
              <w:jc w:val="center"/>
              <w:rPr>
                <w:b/>
                <w:sz w:val="20"/>
                <w:szCs w:val="20"/>
              </w:rPr>
            </w:pPr>
            <w:r w:rsidRPr="00D40F8D">
              <w:rPr>
                <w:b/>
                <w:sz w:val="20"/>
                <w:szCs w:val="20"/>
              </w:rPr>
              <w:t>√</w:t>
            </w:r>
          </w:p>
        </w:tc>
        <w:tc>
          <w:tcPr>
            <w:tcW w:w="604" w:type="dxa"/>
            <w:tcBorders>
              <w:top w:val="single" w:sz="4" w:space="0" w:color="auto"/>
              <w:bottom w:val="single" w:sz="4" w:space="0" w:color="auto"/>
            </w:tcBorders>
            <w:vAlign w:val="center"/>
          </w:tcPr>
          <w:p w14:paraId="16D72F12" w14:textId="77777777" w:rsidR="00850766" w:rsidRPr="00D40F8D" w:rsidRDefault="00850766" w:rsidP="00850766">
            <w:pPr>
              <w:jc w:val="center"/>
              <w:rPr>
                <w:b/>
                <w:sz w:val="20"/>
                <w:szCs w:val="20"/>
              </w:rPr>
            </w:pPr>
            <w:r w:rsidRPr="00D40F8D">
              <w:rPr>
                <w:b/>
                <w:sz w:val="20"/>
                <w:szCs w:val="20"/>
              </w:rPr>
              <w:t>√</w:t>
            </w:r>
          </w:p>
        </w:tc>
        <w:tc>
          <w:tcPr>
            <w:tcW w:w="604" w:type="dxa"/>
            <w:tcBorders>
              <w:top w:val="single" w:sz="4" w:space="0" w:color="auto"/>
              <w:bottom w:val="single" w:sz="4" w:space="0" w:color="auto"/>
            </w:tcBorders>
            <w:vAlign w:val="center"/>
          </w:tcPr>
          <w:p w14:paraId="583589F3" w14:textId="77777777" w:rsidR="00850766" w:rsidRPr="00D40F8D" w:rsidRDefault="00850766" w:rsidP="00850766">
            <w:pPr>
              <w:jc w:val="center"/>
              <w:rPr>
                <w:b/>
                <w:sz w:val="20"/>
                <w:szCs w:val="20"/>
              </w:rPr>
            </w:pPr>
            <w:r w:rsidRPr="00D40F8D">
              <w:rPr>
                <w:b/>
                <w:sz w:val="20"/>
                <w:szCs w:val="20"/>
              </w:rPr>
              <w:t>√</w:t>
            </w:r>
          </w:p>
        </w:tc>
        <w:tc>
          <w:tcPr>
            <w:tcW w:w="604" w:type="dxa"/>
            <w:tcBorders>
              <w:top w:val="single" w:sz="4" w:space="0" w:color="auto"/>
              <w:bottom w:val="single" w:sz="4" w:space="0" w:color="auto"/>
            </w:tcBorders>
            <w:vAlign w:val="center"/>
          </w:tcPr>
          <w:p w14:paraId="18FA02E6" w14:textId="77777777" w:rsidR="00850766" w:rsidRPr="00D40F8D" w:rsidRDefault="00850766" w:rsidP="00850766">
            <w:pPr>
              <w:jc w:val="center"/>
              <w:rPr>
                <w:b/>
                <w:sz w:val="20"/>
                <w:szCs w:val="20"/>
              </w:rPr>
            </w:pPr>
            <w:r w:rsidRPr="00D40F8D">
              <w:rPr>
                <w:b/>
                <w:sz w:val="20"/>
                <w:szCs w:val="20"/>
              </w:rPr>
              <w:t>√</w:t>
            </w:r>
          </w:p>
        </w:tc>
        <w:tc>
          <w:tcPr>
            <w:tcW w:w="459" w:type="dxa"/>
            <w:tcBorders>
              <w:top w:val="single" w:sz="4" w:space="0" w:color="auto"/>
              <w:bottom w:val="single" w:sz="4" w:space="0" w:color="auto"/>
            </w:tcBorders>
            <w:vAlign w:val="center"/>
          </w:tcPr>
          <w:p w14:paraId="4A4E004E" w14:textId="77777777" w:rsidR="00850766" w:rsidRPr="00D40F8D" w:rsidRDefault="00850766" w:rsidP="00850766">
            <w:pPr>
              <w:jc w:val="center"/>
              <w:rPr>
                <w:b/>
                <w:sz w:val="20"/>
                <w:szCs w:val="20"/>
              </w:rPr>
            </w:pPr>
            <w:r w:rsidRPr="00D40F8D">
              <w:rPr>
                <w:b/>
                <w:sz w:val="20"/>
                <w:szCs w:val="20"/>
              </w:rPr>
              <w:t>√</w:t>
            </w:r>
          </w:p>
        </w:tc>
      </w:tr>
      <w:tr w:rsidR="00494D9E" w:rsidRPr="00D40F8D" w14:paraId="17A75AEF" w14:textId="77777777" w:rsidTr="004601C9">
        <w:trPr>
          <w:trHeight w:val="360"/>
        </w:trPr>
        <w:tc>
          <w:tcPr>
            <w:tcW w:w="1729" w:type="dxa"/>
            <w:tcBorders>
              <w:top w:val="single" w:sz="4" w:space="0" w:color="auto"/>
              <w:bottom w:val="single" w:sz="4" w:space="0" w:color="auto"/>
            </w:tcBorders>
            <w:vAlign w:val="center"/>
          </w:tcPr>
          <w:p w14:paraId="042AD85C" w14:textId="3E610E1D" w:rsidR="00850766" w:rsidRPr="00D40F8D" w:rsidRDefault="00850766" w:rsidP="00850766">
            <w:pPr>
              <w:jc w:val="left"/>
              <w:rPr>
                <w:sz w:val="20"/>
                <w:szCs w:val="20"/>
              </w:rPr>
            </w:pPr>
            <w:r w:rsidRPr="00D40F8D">
              <w:rPr>
                <w:sz w:val="20"/>
                <w:szCs w:val="20"/>
              </w:rPr>
              <w:fldChar w:fldCharType="begin" w:fldLock="1"/>
            </w:r>
            <w:r>
              <w:rPr>
                <w:sz w:val="20"/>
                <w:szCs w:val="20"/>
              </w:rPr>
              <w:instrText>ADDIN CSL_CITATION {"citationItems":[{"id":"ITEM-1","itemData":{"DOI":"10.1016/j.amar.2016.06.001","ISSN":"22136657","abstract":"This paper uses data collected over a five-year period between 2005 and 2009 in Indiana to estimate random parameters multivariate tobit and zero-inflated count data models of accident injury-severity rates and frequencies, respectively. The proposed modeling approach accounts for unobserved factors that may vary systematically across segments with and without observed or reported accident injury-severities, thus addressing unobserved, zero-accident state and non-zero-accident state heterogeneity. Moreover, the multivariate setting allows accounting for contemporaneous cross-equation error correlation for modeling accident injury-severity rates and frequencies as systems of seemingly unrelated equations. The tobit and zero-inflated count data modeling approaches address the excessive amount of zeros inherent in the two sets of dependent variables (accident injury-severity rates and frequencies, respectively), which are - in nature - continuous and discrete count data, respectively, that are left-censored with a clustering at zero. The random parameters multivariate tobit and zero-inflated count data models are counter-imposed with their equivalent fixed parameters and lower order models, and the results illustrate the statistical superiority of the presented models. Finally, the relative benefits of random parameters modeling are explored by demonstrating the forecasting accuracy of the random parameters multivariate models with the software-generated mean βs of the random parameters, and with the observation-specific βs of the random parameters.","author":[{"dropping-particle":"","family":"Anastasopoulos","given":"Panagiotis Ch","non-dropping-particle":"","parse-names":false,"suffix":""}],"container-title":"Analytic Methods in Accident Research","id":"ITEM-1","issued":{"date-parts":[["2016"]]},"page":"17-32","publisher":"Elsevier","title":"Random parameters multivariate tobit and zero-inflated count data models: Addressing unobserved and zero-state heterogeneity in accident injury-severity rate and frequency analysis","type":"article-journal","volume":"11"},"uris":["http://www.mendeley.com/documents/?uuid=77ef07fa-f5b1-48c4-a91a-f6b423cf08ea"]}],"mendeley":{"formattedCitation":"(Anastasopoulos, 2016)","plainTextFormattedCitation":"(Anastasopoulos, 2016)","previouslyFormattedCitation":"(Anastasopoulos, 2016)"},"properties":{"noteIndex":0},"schema":"https://github.com/citation-style-language/schema/raw/master/csl-citation.json"}</w:instrText>
            </w:r>
            <w:r w:rsidRPr="00D40F8D">
              <w:rPr>
                <w:sz w:val="20"/>
                <w:szCs w:val="20"/>
              </w:rPr>
              <w:fldChar w:fldCharType="separate"/>
            </w:r>
            <w:r w:rsidRPr="00097239">
              <w:rPr>
                <w:noProof/>
                <w:sz w:val="20"/>
                <w:szCs w:val="20"/>
              </w:rPr>
              <w:t>(Anastasopoulos, 2016)</w:t>
            </w:r>
            <w:r w:rsidRPr="00D40F8D">
              <w:rPr>
                <w:sz w:val="20"/>
                <w:szCs w:val="20"/>
              </w:rPr>
              <w:fldChar w:fldCharType="end"/>
            </w:r>
          </w:p>
        </w:tc>
        <w:tc>
          <w:tcPr>
            <w:tcW w:w="1238" w:type="dxa"/>
            <w:tcBorders>
              <w:top w:val="single" w:sz="4" w:space="0" w:color="auto"/>
              <w:bottom w:val="single" w:sz="4" w:space="0" w:color="auto"/>
            </w:tcBorders>
            <w:vAlign w:val="center"/>
          </w:tcPr>
          <w:p w14:paraId="7ABAFE8F" w14:textId="77777777" w:rsidR="00850766" w:rsidRPr="00D40F8D" w:rsidRDefault="00850766" w:rsidP="00850766">
            <w:pPr>
              <w:jc w:val="center"/>
              <w:rPr>
                <w:sz w:val="20"/>
                <w:szCs w:val="20"/>
                <w:lang w:val="en-US"/>
              </w:rPr>
            </w:pPr>
            <w:r w:rsidRPr="00D40F8D">
              <w:rPr>
                <w:sz w:val="20"/>
                <w:szCs w:val="20"/>
                <w:lang w:val="en-US"/>
              </w:rPr>
              <w:t>Highway segments (Micro)</w:t>
            </w:r>
          </w:p>
        </w:tc>
        <w:tc>
          <w:tcPr>
            <w:tcW w:w="1416" w:type="dxa"/>
            <w:tcBorders>
              <w:top w:val="single" w:sz="4" w:space="0" w:color="auto"/>
              <w:bottom w:val="single" w:sz="4" w:space="0" w:color="auto"/>
            </w:tcBorders>
            <w:vAlign w:val="center"/>
          </w:tcPr>
          <w:p w14:paraId="72C4BC8A" w14:textId="77777777" w:rsidR="00850766" w:rsidRPr="00D40F8D" w:rsidRDefault="00850766" w:rsidP="00850766">
            <w:pPr>
              <w:jc w:val="center"/>
              <w:rPr>
                <w:sz w:val="20"/>
                <w:szCs w:val="20"/>
                <w:lang w:val="en-US"/>
              </w:rPr>
            </w:pPr>
            <w:r w:rsidRPr="00D40F8D">
              <w:rPr>
                <w:sz w:val="20"/>
                <w:szCs w:val="20"/>
                <w:lang w:val="en-US"/>
              </w:rPr>
              <w:t>State</w:t>
            </w:r>
          </w:p>
          <w:p w14:paraId="0081FF6F" w14:textId="77777777" w:rsidR="00850766" w:rsidRPr="00D40F8D" w:rsidRDefault="00850766" w:rsidP="00850766">
            <w:pPr>
              <w:jc w:val="center"/>
              <w:rPr>
                <w:sz w:val="20"/>
                <w:szCs w:val="20"/>
                <w:lang w:val="en-US"/>
              </w:rPr>
            </w:pPr>
            <w:r w:rsidRPr="00D40F8D">
              <w:rPr>
                <w:sz w:val="20"/>
                <w:szCs w:val="20"/>
                <w:lang w:val="en-US"/>
              </w:rPr>
              <w:t>(Indiana)</w:t>
            </w:r>
          </w:p>
        </w:tc>
        <w:tc>
          <w:tcPr>
            <w:tcW w:w="1089" w:type="dxa"/>
            <w:tcBorders>
              <w:top w:val="single" w:sz="4" w:space="0" w:color="auto"/>
              <w:bottom w:val="single" w:sz="4" w:space="0" w:color="auto"/>
            </w:tcBorders>
            <w:vAlign w:val="center"/>
          </w:tcPr>
          <w:p w14:paraId="1630FE33" w14:textId="77777777" w:rsidR="00850766" w:rsidRPr="00D40F8D" w:rsidRDefault="00850766" w:rsidP="00850766">
            <w:pPr>
              <w:jc w:val="center"/>
              <w:rPr>
                <w:sz w:val="20"/>
                <w:szCs w:val="20"/>
                <w:lang w:val="en-US"/>
              </w:rPr>
            </w:pPr>
            <w:r w:rsidRPr="00D40F8D">
              <w:rPr>
                <w:sz w:val="20"/>
                <w:szCs w:val="20"/>
              </w:rPr>
              <w:t>Motorized crash</w:t>
            </w:r>
          </w:p>
        </w:tc>
        <w:tc>
          <w:tcPr>
            <w:tcW w:w="2061" w:type="dxa"/>
            <w:tcBorders>
              <w:top w:val="single" w:sz="4" w:space="0" w:color="auto"/>
              <w:bottom w:val="single" w:sz="4" w:space="0" w:color="auto"/>
            </w:tcBorders>
            <w:vAlign w:val="center"/>
          </w:tcPr>
          <w:p w14:paraId="709498D5" w14:textId="77777777" w:rsidR="00850766" w:rsidRPr="00D40F8D" w:rsidRDefault="00850766" w:rsidP="00850766">
            <w:pPr>
              <w:jc w:val="left"/>
              <w:rPr>
                <w:sz w:val="20"/>
                <w:szCs w:val="20"/>
              </w:rPr>
            </w:pPr>
            <w:r w:rsidRPr="00D40F8D">
              <w:rPr>
                <w:sz w:val="20"/>
                <w:szCs w:val="20"/>
                <w:lang w:val="en-US"/>
              </w:rPr>
              <w:t>3 (PDO, injury and fatality)</w:t>
            </w:r>
          </w:p>
        </w:tc>
        <w:tc>
          <w:tcPr>
            <w:tcW w:w="1998" w:type="dxa"/>
            <w:tcBorders>
              <w:top w:val="single" w:sz="4" w:space="0" w:color="auto"/>
              <w:bottom w:val="single" w:sz="4" w:space="0" w:color="auto"/>
            </w:tcBorders>
            <w:vAlign w:val="center"/>
          </w:tcPr>
          <w:p w14:paraId="0FB81277" w14:textId="77777777" w:rsidR="00850766" w:rsidRPr="00D40F8D" w:rsidRDefault="00850766" w:rsidP="00850766">
            <w:pPr>
              <w:jc w:val="left"/>
              <w:rPr>
                <w:sz w:val="20"/>
                <w:szCs w:val="20"/>
                <w:lang w:val="en-US"/>
              </w:rPr>
            </w:pPr>
            <w:r w:rsidRPr="00D40F8D">
              <w:rPr>
                <w:sz w:val="20"/>
                <w:szCs w:val="20"/>
                <w:lang w:val="en-US"/>
              </w:rPr>
              <w:t xml:space="preserve">Random parameter multivariate </w:t>
            </w:r>
            <w:proofErr w:type="spellStart"/>
            <w:r w:rsidRPr="00D40F8D">
              <w:rPr>
                <w:sz w:val="20"/>
                <w:szCs w:val="20"/>
                <w:lang w:val="en-US"/>
              </w:rPr>
              <w:t>tobit</w:t>
            </w:r>
            <w:proofErr w:type="spellEnd"/>
            <w:r w:rsidRPr="00D40F8D">
              <w:rPr>
                <w:sz w:val="20"/>
                <w:szCs w:val="20"/>
                <w:lang w:val="en-US"/>
              </w:rPr>
              <w:t xml:space="preserve"> model, Multivariate zero-inflated negative binomial model</w:t>
            </w:r>
          </w:p>
        </w:tc>
        <w:tc>
          <w:tcPr>
            <w:tcW w:w="652" w:type="dxa"/>
            <w:tcBorders>
              <w:top w:val="single" w:sz="4" w:space="0" w:color="auto"/>
              <w:bottom w:val="single" w:sz="4" w:space="0" w:color="auto"/>
            </w:tcBorders>
            <w:vAlign w:val="center"/>
          </w:tcPr>
          <w:p w14:paraId="23A90A77" w14:textId="77777777" w:rsidR="00850766" w:rsidRPr="00D40F8D" w:rsidRDefault="00850766" w:rsidP="00850766">
            <w:pPr>
              <w:jc w:val="center"/>
              <w:rPr>
                <w:b/>
                <w:sz w:val="20"/>
                <w:szCs w:val="20"/>
              </w:rPr>
            </w:pPr>
            <w:r w:rsidRPr="00D40F8D">
              <w:rPr>
                <w:b/>
                <w:sz w:val="20"/>
                <w:szCs w:val="20"/>
              </w:rPr>
              <w:t>√</w:t>
            </w:r>
          </w:p>
        </w:tc>
        <w:tc>
          <w:tcPr>
            <w:tcW w:w="459" w:type="dxa"/>
            <w:tcBorders>
              <w:top w:val="single" w:sz="4" w:space="0" w:color="auto"/>
              <w:bottom w:val="single" w:sz="4" w:space="0" w:color="auto"/>
            </w:tcBorders>
            <w:vAlign w:val="center"/>
          </w:tcPr>
          <w:p w14:paraId="270349A7" w14:textId="77777777" w:rsidR="00850766" w:rsidRPr="00D40F8D" w:rsidRDefault="00850766" w:rsidP="00850766">
            <w:pPr>
              <w:jc w:val="center"/>
              <w:rPr>
                <w:b/>
                <w:sz w:val="20"/>
                <w:szCs w:val="20"/>
              </w:rPr>
            </w:pPr>
            <w:r w:rsidRPr="00D40F8D">
              <w:rPr>
                <w:b/>
                <w:sz w:val="20"/>
                <w:szCs w:val="20"/>
              </w:rPr>
              <w:t>√</w:t>
            </w:r>
          </w:p>
        </w:tc>
        <w:tc>
          <w:tcPr>
            <w:tcW w:w="604" w:type="dxa"/>
            <w:tcBorders>
              <w:top w:val="single" w:sz="4" w:space="0" w:color="auto"/>
              <w:bottom w:val="single" w:sz="4" w:space="0" w:color="auto"/>
            </w:tcBorders>
            <w:vAlign w:val="center"/>
          </w:tcPr>
          <w:p w14:paraId="442D5E04" w14:textId="77777777" w:rsidR="00850766" w:rsidRPr="00D40F8D" w:rsidRDefault="00850766" w:rsidP="00850766">
            <w:pPr>
              <w:jc w:val="center"/>
              <w:rPr>
                <w:b/>
                <w:sz w:val="20"/>
                <w:szCs w:val="20"/>
              </w:rPr>
            </w:pPr>
            <w:r w:rsidRPr="00D40F8D">
              <w:rPr>
                <w:b/>
                <w:sz w:val="20"/>
                <w:szCs w:val="20"/>
              </w:rPr>
              <w:t>--</w:t>
            </w:r>
          </w:p>
        </w:tc>
        <w:tc>
          <w:tcPr>
            <w:tcW w:w="604" w:type="dxa"/>
            <w:tcBorders>
              <w:top w:val="single" w:sz="4" w:space="0" w:color="auto"/>
              <w:bottom w:val="single" w:sz="4" w:space="0" w:color="auto"/>
            </w:tcBorders>
            <w:vAlign w:val="center"/>
          </w:tcPr>
          <w:p w14:paraId="1B7C8AD5" w14:textId="77777777" w:rsidR="00850766" w:rsidRPr="00D40F8D" w:rsidRDefault="00850766" w:rsidP="00850766">
            <w:pPr>
              <w:jc w:val="center"/>
              <w:rPr>
                <w:b/>
                <w:sz w:val="20"/>
                <w:szCs w:val="20"/>
              </w:rPr>
            </w:pPr>
            <w:r w:rsidRPr="00D40F8D">
              <w:rPr>
                <w:b/>
                <w:sz w:val="20"/>
                <w:szCs w:val="20"/>
              </w:rPr>
              <w:t>--</w:t>
            </w:r>
          </w:p>
        </w:tc>
        <w:tc>
          <w:tcPr>
            <w:tcW w:w="604" w:type="dxa"/>
            <w:tcBorders>
              <w:top w:val="single" w:sz="4" w:space="0" w:color="auto"/>
              <w:bottom w:val="single" w:sz="4" w:space="0" w:color="auto"/>
            </w:tcBorders>
            <w:vAlign w:val="center"/>
          </w:tcPr>
          <w:p w14:paraId="13E6DCE1" w14:textId="77777777" w:rsidR="00850766" w:rsidRPr="00D40F8D" w:rsidRDefault="00850766" w:rsidP="00850766">
            <w:pPr>
              <w:jc w:val="center"/>
              <w:rPr>
                <w:b/>
                <w:sz w:val="20"/>
                <w:szCs w:val="20"/>
              </w:rPr>
            </w:pPr>
            <w:r w:rsidRPr="00D40F8D">
              <w:rPr>
                <w:b/>
                <w:sz w:val="20"/>
                <w:szCs w:val="20"/>
              </w:rPr>
              <w:t>--</w:t>
            </w:r>
          </w:p>
        </w:tc>
        <w:tc>
          <w:tcPr>
            <w:tcW w:w="459" w:type="dxa"/>
            <w:tcBorders>
              <w:top w:val="single" w:sz="4" w:space="0" w:color="auto"/>
              <w:bottom w:val="single" w:sz="4" w:space="0" w:color="auto"/>
            </w:tcBorders>
            <w:vAlign w:val="center"/>
          </w:tcPr>
          <w:p w14:paraId="1AB472DD" w14:textId="77777777" w:rsidR="00850766" w:rsidRPr="00D40F8D" w:rsidRDefault="00850766" w:rsidP="00850766">
            <w:pPr>
              <w:jc w:val="center"/>
              <w:rPr>
                <w:b/>
                <w:sz w:val="20"/>
                <w:szCs w:val="20"/>
              </w:rPr>
            </w:pPr>
            <w:r w:rsidRPr="00D40F8D">
              <w:rPr>
                <w:b/>
                <w:sz w:val="20"/>
                <w:szCs w:val="20"/>
              </w:rPr>
              <w:t>--</w:t>
            </w:r>
          </w:p>
        </w:tc>
      </w:tr>
      <w:tr w:rsidR="00494D9E" w:rsidRPr="00D40F8D" w14:paraId="50040CB3" w14:textId="77777777" w:rsidTr="004601C9">
        <w:trPr>
          <w:trHeight w:val="360"/>
        </w:trPr>
        <w:tc>
          <w:tcPr>
            <w:tcW w:w="1729" w:type="dxa"/>
            <w:tcBorders>
              <w:top w:val="single" w:sz="4" w:space="0" w:color="auto"/>
              <w:bottom w:val="single" w:sz="4" w:space="0" w:color="auto"/>
            </w:tcBorders>
            <w:vAlign w:val="center"/>
          </w:tcPr>
          <w:p w14:paraId="0A5843B7" w14:textId="3739852D" w:rsidR="00850766" w:rsidRPr="00D40F8D" w:rsidRDefault="00850766" w:rsidP="00850766">
            <w:pPr>
              <w:jc w:val="left"/>
              <w:rPr>
                <w:sz w:val="20"/>
                <w:szCs w:val="20"/>
              </w:rPr>
            </w:pPr>
            <w:r w:rsidRPr="00D40F8D">
              <w:rPr>
                <w:sz w:val="20"/>
                <w:szCs w:val="20"/>
              </w:rPr>
              <w:fldChar w:fldCharType="begin" w:fldLock="1"/>
            </w:r>
            <w:r>
              <w:rPr>
                <w:sz w:val="20"/>
                <w:szCs w:val="20"/>
              </w:rPr>
              <w:instrText>ADDIN CSL_CITATION {"citationItems":[{"id":"ITEM-1","itemData":{"DOI":"10.1016/j.amar.2015.11.002","ISSN":"22136657","abstract":"This study investigated the effects of including spatial heterogeneity in multivariate random parameters models and their influence on different collision severity levels. The models were developed for severe (injury and fatal) and no-injury collisions using three years of collision data from the city of Vancouver. Three different modeling formulations were applied to measure the effects of spatial heterogeneity in a multivariate random parameters model. The proposed models were estimated in a Full Bayesian (FB) context using Markov Chain Monte Carlo (MCMC) simulation. The Deviance Information Criteria (DIC) values indicated that all the models were comparable to one another. Therefore, no particular model can be distinctly preferred over others. According to parameter estimates, a variety of traffic and road geometric covariates were found to significantly influence collision severities. The variance for spatial heterogeneity was higher than the variance for heterogeneous effects. The correlation between severe and no-injury collisions for the total random effects (heterogeneous and spatial) was significant and quite high, indicating that higher no-injury collisions are associated with higher severe collisions. These results support the incorporation of spatial heterogeneity in multivariate random parameters models. Furthermore, the multivariate random parameters spatial models were compared with two independent univariate random parameters spatial models with respect to model inference and goodness of fit. The multivariate spatial models outperformed the two univariate spatial models with a very significant drop in the DIC value.","author":[{"dropping-particle":"","family":"Barua","given":"Sudip","non-dropping-particle":"","parse-names":false,"suffix":""},{"dropping-particle":"","family":"El-Basyouny","given":"Karim","non-dropping-particle":"","parse-names":false,"suffix":""},{"dropping-particle":"","family":"Islam","given":"Md Tazul","non-dropping-particle":"","parse-names":false,"suffix":""}],"container-title":"Analytic Methods in Accident Research","id":"ITEM-1","issued":{"date-parts":[["2016"]]},"page":"1-15","title":"Multivariate random parameters collision count data models with spatial heterogeneity","type":"article-journal","volume":"9"},"uris":["http://www.mendeley.com/documents/?uuid=9a20ed91-9c2e-465e-8f91-2fc49970068d"]}],"mendeley":{"formattedCitation":"(Barua et al., 2016)","plainTextFormattedCitation":"(Barua et al., 2016)","previouslyFormattedCitation":"(Barua et al., 2016)"},"properties":{"noteIndex":0},"schema":"https://github.com/citation-style-language/schema/raw/master/csl-citation.json"}</w:instrText>
            </w:r>
            <w:r w:rsidRPr="00D40F8D">
              <w:rPr>
                <w:sz w:val="20"/>
                <w:szCs w:val="20"/>
              </w:rPr>
              <w:fldChar w:fldCharType="separate"/>
            </w:r>
            <w:r w:rsidRPr="00097239">
              <w:rPr>
                <w:noProof/>
                <w:sz w:val="20"/>
                <w:szCs w:val="20"/>
              </w:rPr>
              <w:t>(Barua et al., 2016)</w:t>
            </w:r>
            <w:r w:rsidRPr="00D40F8D">
              <w:rPr>
                <w:sz w:val="20"/>
                <w:szCs w:val="20"/>
              </w:rPr>
              <w:fldChar w:fldCharType="end"/>
            </w:r>
          </w:p>
        </w:tc>
        <w:tc>
          <w:tcPr>
            <w:tcW w:w="1238" w:type="dxa"/>
            <w:tcBorders>
              <w:top w:val="single" w:sz="4" w:space="0" w:color="auto"/>
              <w:bottom w:val="single" w:sz="4" w:space="0" w:color="auto"/>
            </w:tcBorders>
            <w:vAlign w:val="center"/>
          </w:tcPr>
          <w:p w14:paraId="772A827E" w14:textId="77777777" w:rsidR="00850766" w:rsidRPr="00D40F8D" w:rsidRDefault="00850766" w:rsidP="00850766">
            <w:pPr>
              <w:jc w:val="center"/>
              <w:rPr>
                <w:sz w:val="20"/>
                <w:szCs w:val="20"/>
              </w:rPr>
            </w:pPr>
            <w:r w:rsidRPr="00D40F8D">
              <w:rPr>
                <w:sz w:val="20"/>
                <w:szCs w:val="20"/>
                <w:lang w:val="en-US"/>
              </w:rPr>
              <w:t>Road segment (Micro)</w:t>
            </w:r>
          </w:p>
        </w:tc>
        <w:tc>
          <w:tcPr>
            <w:tcW w:w="1416" w:type="dxa"/>
            <w:tcBorders>
              <w:top w:val="single" w:sz="4" w:space="0" w:color="auto"/>
              <w:bottom w:val="single" w:sz="4" w:space="0" w:color="auto"/>
            </w:tcBorders>
            <w:vAlign w:val="center"/>
          </w:tcPr>
          <w:p w14:paraId="34DD12C3" w14:textId="77777777" w:rsidR="00850766" w:rsidRPr="00D40F8D" w:rsidRDefault="00850766" w:rsidP="00850766">
            <w:pPr>
              <w:jc w:val="center"/>
              <w:rPr>
                <w:sz w:val="20"/>
                <w:szCs w:val="20"/>
              </w:rPr>
            </w:pPr>
            <w:r w:rsidRPr="00D40F8D">
              <w:rPr>
                <w:sz w:val="20"/>
                <w:szCs w:val="20"/>
              </w:rPr>
              <w:t>City</w:t>
            </w:r>
          </w:p>
          <w:p w14:paraId="20258767" w14:textId="77777777" w:rsidR="00850766" w:rsidRPr="00D40F8D" w:rsidRDefault="00850766" w:rsidP="00850766">
            <w:pPr>
              <w:jc w:val="center"/>
              <w:rPr>
                <w:sz w:val="20"/>
                <w:szCs w:val="20"/>
              </w:rPr>
            </w:pPr>
            <w:r w:rsidRPr="00D40F8D">
              <w:rPr>
                <w:sz w:val="20"/>
                <w:szCs w:val="20"/>
              </w:rPr>
              <w:t>(Vancouver)</w:t>
            </w:r>
          </w:p>
        </w:tc>
        <w:tc>
          <w:tcPr>
            <w:tcW w:w="1089" w:type="dxa"/>
            <w:tcBorders>
              <w:top w:val="single" w:sz="4" w:space="0" w:color="auto"/>
              <w:bottom w:val="single" w:sz="4" w:space="0" w:color="auto"/>
            </w:tcBorders>
            <w:vAlign w:val="center"/>
          </w:tcPr>
          <w:p w14:paraId="5AC8359C" w14:textId="77777777" w:rsidR="00850766" w:rsidRDefault="00850766" w:rsidP="00850766">
            <w:pPr>
              <w:jc w:val="center"/>
              <w:rPr>
                <w:sz w:val="20"/>
                <w:szCs w:val="20"/>
              </w:rPr>
            </w:pPr>
            <w:r w:rsidRPr="00D40F8D">
              <w:rPr>
                <w:sz w:val="20"/>
                <w:szCs w:val="20"/>
              </w:rPr>
              <w:t xml:space="preserve">Any </w:t>
            </w:r>
          </w:p>
          <w:p w14:paraId="4DBD8E8B" w14:textId="77777777" w:rsidR="00850766" w:rsidRPr="00D40F8D" w:rsidRDefault="00850766" w:rsidP="00850766">
            <w:pPr>
              <w:jc w:val="center"/>
              <w:rPr>
                <w:sz w:val="20"/>
                <w:szCs w:val="20"/>
              </w:rPr>
            </w:pPr>
            <w:r w:rsidRPr="00D40F8D">
              <w:rPr>
                <w:sz w:val="20"/>
                <w:szCs w:val="20"/>
              </w:rPr>
              <w:t>Crash</w:t>
            </w:r>
          </w:p>
        </w:tc>
        <w:tc>
          <w:tcPr>
            <w:tcW w:w="2061" w:type="dxa"/>
            <w:tcBorders>
              <w:top w:val="single" w:sz="4" w:space="0" w:color="auto"/>
              <w:bottom w:val="single" w:sz="4" w:space="0" w:color="auto"/>
            </w:tcBorders>
            <w:vAlign w:val="center"/>
          </w:tcPr>
          <w:p w14:paraId="7C124169" w14:textId="62181AB2" w:rsidR="00850766" w:rsidRPr="00D40F8D" w:rsidRDefault="00850766" w:rsidP="00850766">
            <w:pPr>
              <w:jc w:val="left"/>
              <w:rPr>
                <w:sz w:val="20"/>
                <w:szCs w:val="20"/>
              </w:rPr>
            </w:pPr>
            <w:r w:rsidRPr="00D40F8D">
              <w:rPr>
                <w:sz w:val="20"/>
                <w:szCs w:val="20"/>
              </w:rPr>
              <w:t>2 (</w:t>
            </w:r>
            <w:r w:rsidRPr="00D40F8D">
              <w:rPr>
                <w:sz w:val="20"/>
                <w:szCs w:val="20"/>
                <w:lang w:val="en-US"/>
              </w:rPr>
              <w:t>no injury and injury crashes)</w:t>
            </w:r>
          </w:p>
        </w:tc>
        <w:tc>
          <w:tcPr>
            <w:tcW w:w="1998" w:type="dxa"/>
            <w:tcBorders>
              <w:top w:val="single" w:sz="4" w:space="0" w:color="auto"/>
              <w:bottom w:val="single" w:sz="4" w:space="0" w:color="auto"/>
            </w:tcBorders>
            <w:vAlign w:val="center"/>
          </w:tcPr>
          <w:p w14:paraId="63644DF5" w14:textId="77777777" w:rsidR="00850766" w:rsidRPr="00D40F8D" w:rsidRDefault="00850766" w:rsidP="00850766">
            <w:pPr>
              <w:jc w:val="left"/>
              <w:rPr>
                <w:sz w:val="20"/>
                <w:szCs w:val="20"/>
              </w:rPr>
            </w:pPr>
            <w:r w:rsidRPr="00D40F8D">
              <w:rPr>
                <w:sz w:val="20"/>
                <w:szCs w:val="20"/>
                <w:lang w:val="en-US"/>
              </w:rPr>
              <w:t>Bayesian multivariate random parameters spatial model</w:t>
            </w:r>
          </w:p>
        </w:tc>
        <w:tc>
          <w:tcPr>
            <w:tcW w:w="652" w:type="dxa"/>
            <w:tcBorders>
              <w:top w:val="single" w:sz="4" w:space="0" w:color="auto"/>
              <w:bottom w:val="single" w:sz="4" w:space="0" w:color="auto"/>
            </w:tcBorders>
            <w:vAlign w:val="center"/>
          </w:tcPr>
          <w:p w14:paraId="1A0F90BD" w14:textId="77777777" w:rsidR="00850766" w:rsidRPr="00D40F8D" w:rsidRDefault="00850766" w:rsidP="00850766">
            <w:pPr>
              <w:jc w:val="center"/>
              <w:rPr>
                <w:b/>
                <w:sz w:val="20"/>
                <w:szCs w:val="20"/>
              </w:rPr>
            </w:pPr>
            <w:r w:rsidRPr="00D40F8D">
              <w:rPr>
                <w:b/>
                <w:sz w:val="20"/>
                <w:szCs w:val="20"/>
              </w:rPr>
              <w:t>√</w:t>
            </w:r>
          </w:p>
        </w:tc>
        <w:tc>
          <w:tcPr>
            <w:tcW w:w="459" w:type="dxa"/>
            <w:tcBorders>
              <w:top w:val="single" w:sz="4" w:space="0" w:color="auto"/>
              <w:bottom w:val="single" w:sz="4" w:space="0" w:color="auto"/>
            </w:tcBorders>
            <w:vAlign w:val="center"/>
          </w:tcPr>
          <w:p w14:paraId="6230693E" w14:textId="77777777" w:rsidR="00850766" w:rsidRPr="00D40F8D" w:rsidRDefault="00850766" w:rsidP="00850766">
            <w:pPr>
              <w:jc w:val="center"/>
              <w:rPr>
                <w:b/>
                <w:sz w:val="20"/>
                <w:szCs w:val="20"/>
              </w:rPr>
            </w:pPr>
            <w:r w:rsidRPr="00D40F8D">
              <w:rPr>
                <w:b/>
                <w:sz w:val="20"/>
                <w:szCs w:val="20"/>
              </w:rPr>
              <w:t>√</w:t>
            </w:r>
          </w:p>
        </w:tc>
        <w:tc>
          <w:tcPr>
            <w:tcW w:w="604" w:type="dxa"/>
            <w:tcBorders>
              <w:top w:val="single" w:sz="4" w:space="0" w:color="auto"/>
              <w:bottom w:val="single" w:sz="4" w:space="0" w:color="auto"/>
            </w:tcBorders>
            <w:vAlign w:val="center"/>
          </w:tcPr>
          <w:p w14:paraId="76424D68" w14:textId="77777777" w:rsidR="00850766" w:rsidRPr="00D40F8D" w:rsidRDefault="00850766" w:rsidP="00850766">
            <w:pPr>
              <w:jc w:val="center"/>
              <w:rPr>
                <w:b/>
                <w:sz w:val="20"/>
                <w:szCs w:val="20"/>
              </w:rPr>
            </w:pPr>
            <w:r w:rsidRPr="00D40F8D">
              <w:rPr>
                <w:b/>
                <w:sz w:val="20"/>
                <w:szCs w:val="20"/>
              </w:rPr>
              <w:t>√</w:t>
            </w:r>
          </w:p>
        </w:tc>
        <w:tc>
          <w:tcPr>
            <w:tcW w:w="604" w:type="dxa"/>
            <w:tcBorders>
              <w:top w:val="single" w:sz="4" w:space="0" w:color="auto"/>
              <w:bottom w:val="single" w:sz="4" w:space="0" w:color="auto"/>
            </w:tcBorders>
            <w:vAlign w:val="center"/>
          </w:tcPr>
          <w:p w14:paraId="68A07F79" w14:textId="77777777" w:rsidR="00850766" w:rsidRPr="00D40F8D" w:rsidRDefault="00850766" w:rsidP="00850766">
            <w:pPr>
              <w:jc w:val="center"/>
              <w:rPr>
                <w:b/>
                <w:sz w:val="20"/>
                <w:szCs w:val="20"/>
              </w:rPr>
            </w:pPr>
            <w:r w:rsidRPr="00D40F8D">
              <w:rPr>
                <w:b/>
                <w:sz w:val="20"/>
                <w:szCs w:val="20"/>
              </w:rPr>
              <w:t>√</w:t>
            </w:r>
          </w:p>
        </w:tc>
        <w:tc>
          <w:tcPr>
            <w:tcW w:w="604" w:type="dxa"/>
            <w:tcBorders>
              <w:top w:val="single" w:sz="4" w:space="0" w:color="auto"/>
              <w:bottom w:val="single" w:sz="4" w:space="0" w:color="auto"/>
            </w:tcBorders>
            <w:vAlign w:val="center"/>
          </w:tcPr>
          <w:p w14:paraId="704725FD" w14:textId="77777777" w:rsidR="00850766" w:rsidRPr="00D40F8D" w:rsidRDefault="00850766" w:rsidP="00850766">
            <w:pPr>
              <w:jc w:val="center"/>
              <w:rPr>
                <w:b/>
                <w:sz w:val="20"/>
                <w:szCs w:val="20"/>
              </w:rPr>
            </w:pPr>
            <w:r w:rsidRPr="00D40F8D">
              <w:rPr>
                <w:b/>
                <w:sz w:val="20"/>
                <w:szCs w:val="20"/>
              </w:rPr>
              <w:t>--</w:t>
            </w:r>
          </w:p>
        </w:tc>
        <w:tc>
          <w:tcPr>
            <w:tcW w:w="459" w:type="dxa"/>
            <w:tcBorders>
              <w:top w:val="single" w:sz="4" w:space="0" w:color="auto"/>
              <w:bottom w:val="single" w:sz="4" w:space="0" w:color="auto"/>
            </w:tcBorders>
            <w:vAlign w:val="center"/>
          </w:tcPr>
          <w:p w14:paraId="74893D5D" w14:textId="77777777" w:rsidR="00850766" w:rsidRPr="00D40F8D" w:rsidRDefault="00850766" w:rsidP="00850766">
            <w:pPr>
              <w:jc w:val="center"/>
              <w:rPr>
                <w:b/>
                <w:sz w:val="20"/>
                <w:szCs w:val="20"/>
              </w:rPr>
            </w:pPr>
            <w:r w:rsidRPr="00D40F8D">
              <w:rPr>
                <w:b/>
                <w:sz w:val="20"/>
                <w:szCs w:val="20"/>
              </w:rPr>
              <w:t>--</w:t>
            </w:r>
          </w:p>
        </w:tc>
      </w:tr>
      <w:tr w:rsidR="00494D9E" w:rsidRPr="00D40F8D" w14:paraId="7403FB13" w14:textId="77777777" w:rsidTr="004601C9">
        <w:trPr>
          <w:trHeight w:val="360"/>
        </w:trPr>
        <w:tc>
          <w:tcPr>
            <w:tcW w:w="1729" w:type="dxa"/>
            <w:tcBorders>
              <w:top w:val="single" w:sz="4" w:space="0" w:color="auto"/>
              <w:bottom w:val="single" w:sz="4" w:space="0" w:color="auto"/>
            </w:tcBorders>
            <w:vAlign w:val="center"/>
          </w:tcPr>
          <w:p w14:paraId="466808DE" w14:textId="28ED8276" w:rsidR="00850766" w:rsidRPr="00D40F8D" w:rsidRDefault="00850766" w:rsidP="00850766">
            <w:pPr>
              <w:jc w:val="left"/>
              <w:rPr>
                <w:sz w:val="20"/>
                <w:szCs w:val="20"/>
              </w:rPr>
            </w:pPr>
            <w:r w:rsidRPr="00D40F8D">
              <w:rPr>
                <w:sz w:val="20"/>
                <w:szCs w:val="20"/>
              </w:rPr>
              <w:fldChar w:fldCharType="begin" w:fldLock="1"/>
            </w:r>
            <w:r>
              <w:rPr>
                <w:sz w:val="20"/>
                <w:szCs w:val="20"/>
              </w:rPr>
              <w:instrText>ADDIN CSL_CITATION {"citationItems":[{"id":"ITEM-1","itemData":{"DOI":"10.1080/23249935.2016.1177134","ISSN":"23249943","abstract":"This paper proposes a random-parameter bivariate zero-inflated negative binomial (RBZINB) regression model for analyzing the effects of investigated variables on crash frequencies. A Bayesian approach is employed as the estimation method, which has the strength of accounting for the uncertainties related to models and parameter values. The modeling framework has been applied to the bivariate injury crash counts obtained from 1000 intersections in Tennessee over a five-year period. The results reveal that the proposed RBZINB model outperforms other investigated models and provides a superior fit. The proposed RBZINB model is useful in gaining new insights into how crash occurrences are influenced by the risk factors. In addition, the empirical studies show that the proposed RBZINB model has a smaller prediction bias and variance, as well as more accurate coverage probability in estimating model parameters and crash-free probabilities.","author":[{"dropping-particle":"","family":"Dong","given":"Chunjiao","non-dropping-particle":"","parse-names":false,"suffix":""},{"dropping-particle":"","family":"Clarke","given":"David B.","non-dropping-particle":"","parse-names":false,"suffix":""},{"dropping-particle":"","family":"Nambisan","given":"Shashi S.","non-dropping-particle":"","parse-names":false,"suffix":""},{"dropping-particle":"","family":"Huang","given":"Baoshan","non-dropping-particle":"","parse-names":false,"suffix":""}],"container-title":"Transportmetrica A: Transport Science","id":"ITEM-1","issue":"9","issued":{"date-parts":[["2016"]]},"page":"794-810","title":"Analyzing injury crashes using random-parameter bivariate regression models","type":"article-journal","volume":"12"},"uris":["http://www.mendeley.com/documents/?uuid=5d9eb043-9b7f-46ee-875f-dfc36610397c"]}],"mendeley":{"formattedCitation":"(Dong et al., 2016)","plainTextFormattedCitation":"(Dong et al., 2016)","previouslyFormattedCitation":"(Dong et al., 2016)"},"properties":{"noteIndex":0},"schema":"https://github.com/citation-style-language/schema/raw/master/csl-citation.json"}</w:instrText>
            </w:r>
            <w:r w:rsidRPr="00D40F8D">
              <w:rPr>
                <w:sz w:val="20"/>
                <w:szCs w:val="20"/>
              </w:rPr>
              <w:fldChar w:fldCharType="separate"/>
            </w:r>
            <w:r w:rsidRPr="00097239">
              <w:rPr>
                <w:noProof/>
                <w:sz w:val="20"/>
                <w:szCs w:val="20"/>
              </w:rPr>
              <w:t>(Dong et al., 2016)</w:t>
            </w:r>
            <w:r w:rsidRPr="00D40F8D">
              <w:rPr>
                <w:sz w:val="20"/>
                <w:szCs w:val="20"/>
              </w:rPr>
              <w:fldChar w:fldCharType="end"/>
            </w:r>
          </w:p>
        </w:tc>
        <w:tc>
          <w:tcPr>
            <w:tcW w:w="1238" w:type="dxa"/>
            <w:tcBorders>
              <w:top w:val="single" w:sz="4" w:space="0" w:color="auto"/>
              <w:bottom w:val="single" w:sz="4" w:space="0" w:color="auto"/>
            </w:tcBorders>
            <w:vAlign w:val="center"/>
          </w:tcPr>
          <w:p w14:paraId="2028FE53" w14:textId="77777777" w:rsidR="00850766" w:rsidRPr="00D40F8D" w:rsidRDefault="00850766" w:rsidP="00850766">
            <w:pPr>
              <w:jc w:val="center"/>
              <w:rPr>
                <w:sz w:val="20"/>
                <w:szCs w:val="20"/>
                <w:lang w:val="en-US"/>
              </w:rPr>
            </w:pPr>
            <w:r w:rsidRPr="00D40F8D">
              <w:rPr>
                <w:sz w:val="20"/>
                <w:szCs w:val="20"/>
                <w:lang w:val="en-US"/>
              </w:rPr>
              <w:t>Intersection (Micro)</w:t>
            </w:r>
          </w:p>
        </w:tc>
        <w:tc>
          <w:tcPr>
            <w:tcW w:w="1416" w:type="dxa"/>
            <w:tcBorders>
              <w:top w:val="single" w:sz="4" w:space="0" w:color="auto"/>
              <w:bottom w:val="single" w:sz="4" w:space="0" w:color="auto"/>
            </w:tcBorders>
            <w:vAlign w:val="center"/>
          </w:tcPr>
          <w:p w14:paraId="5FB1692D" w14:textId="77777777" w:rsidR="00850766" w:rsidRPr="00D40F8D" w:rsidRDefault="00850766" w:rsidP="00850766">
            <w:pPr>
              <w:jc w:val="center"/>
              <w:rPr>
                <w:sz w:val="20"/>
                <w:szCs w:val="20"/>
              </w:rPr>
            </w:pPr>
            <w:r w:rsidRPr="00D40F8D">
              <w:rPr>
                <w:sz w:val="20"/>
                <w:szCs w:val="20"/>
              </w:rPr>
              <w:t>State</w:t>
            </w:r>
          </w:p>
          <w:p w14:paraId="341CD7F0" w14:textId="77777777" w:rsidR="00850766" w:rsidRPr="00D40F8D" w:rsidRDefault="00850766" w:rsidP="00850766">
            <w:pPr>
              <w:jc w:val="center"/>
              <w:rPr>
                <w:sz w:val="20"/>
                <w:szCs w:val="20"/>
              </w:rPr>
            </w:pPr>
            <w:r w:rsidRPr="00D40F8D">
              <w:rPr>
                <w:sz w:val="20"/>
                <w:szCs w:val="20"/>
              </w:rPr>
              <w:t>(Tennessee)</w:t>
            </w:r>
          </w:p>
        </w:tc>
        <w:tc>
          <w:tcPr>
            <w:tcW w:w="1089" w:type="dxa"/>
            <w:tcBorders>
              <w:top w:val="single" w:sz="4" w:space="0" w:color="auto"/>
              <w:bottom w:val="single" w:sz="4" w:space="0" w:color="auto"/>
            </w:tcBorders>
            <w:vAlign w:val="center"/>
          </w:tcPr>
          <w:p w14:paraId="5194DDF0" w14:textId="77777777" w:rsidR="00850766" w:rsidRDefault="00850766" w:rsidP="00850766">
            <w:pPr>
              <w:jc w:val="center"/>
              <w:rPr>
                <w:sz w:val="20"/>
                <w:szCs w:val="20"/>
              </w:rPr>
            </w:pPr>
            <w:r w:rsidRPr="00D40F8D">
              <w:rPr>
                <w:sz w:val="20"/>
                <w:szCs w:val="20"/>
              </w:rPr>
              <w:t xml:space="preserve">Any </w:t>
            </w:r>
          </w:p>
          <w:p w14:paraId="57133287" w14:textId="77777777" w:rsidR="00850766" w:rsidRPr="00D40F8D" w:rsidRDefault="00850766" w:rsidP="00850766">
            <w:pPr>
              <w:jc w:val="center"/>
              <w:rPr>
                <w:sz w:val="20"/>
                <w:szCs w:val="20"/>
              </w:rPr>
            </w:pPr>
            <w:r w:rsidRPr="00D40F8D">
              <w:rPr>
                <w:sz w:val="20"/>
                <w:szCs w:val="20"/>
              </w:rPr>
              <w:t>Crash</w:t>
            </w:r>
          </w:p>
        </w:tc>
        <w:tc>
          <w:tcPr>
            <w:tcW w:w="2061" w:type="dxa"/>
            <w:tcBorders>
              <w:top w:val="single" w:sz="4" w:space="0" w:color="auto"/>
              <w:bottom w:val="single" w:sz="4" w:space="0" w:color="auto"/>
            </w:tcBorders>
            <w:vAlign w:val="center"/>
          </w:tcPr>
          <w:p w14:paraId="168645EE" w14:textId="77777777" w:rsidR="00850766" w:rsidRPr="00D40F8D" w:rsidRDefault="00850766" w:rsidP="00850766">
            <w:pPr>
              <w:jc w:val="left"/>
              <w:rPr>
                <w:sz w:val="20"/>
                <w:szCs w:val="20"/>
              </w:rPr>
            </w:pPr>
            <w:r w:rsidRPr="00D40F8D">
              <w:rPr>
                <w:sz w:val="20"/>
                <w:szCs w:val="20"/>
              </w:rPr>
              <w:t>2 (</w:t>
            </w:r>
            <w:r w:rsidRPr="00D40F8D">
              <w:rPr>
                <w:sz w:val="20"/>
                <w:szCs w:val="20"/>
                <w:lang w:val="en-US"/>
              </w:rPr>
              <w:t>disabling injury and non-disabling injury)</w:t>
            </w:r>
          </w:p>
        </w:tc>
        <w:tc>
          <w:tcPr>
            <w:tcW w:w="1998" w:type="dxa"/>
            <w:tcBorders>
              <w:top w:val="single" w:sz="4" w:space="0" w:color="auto"/>
              <w:bottom w:val="single" w:sz="4" w:space="0" w:color="auto"/>
            </w:tcBorders>
            <w:vAlign w:val="center"/>
          </w:tcPr>
          <w:p w14:paraId="3835699E" w14:textId="77777777" w:rsidR="00850766" w:rsidRPr="00D40F8D" w:rsidRDefault="00850766" w:rsidP="00850766">
            <w:pPr>
              <w:jc w:val="left"/>
              <w:rPr>
                <w:sz w:val="20"/>
                <w:szCs w:val="20"/>
                <w:lang w:val="en-US"/>
              </w:rPr>
            </w:pPr>
            <w:r w:rsidRPr="00D40F8D">
              <w:rPr>
                <w:sz w:val="20"/>
                <w:szCs w:val="20"/>
                <w:lang w:val="en-US"/>
              </w:rPr>
              <w:t>Random parameter bivariate zero-inflated negative binomial model</w:t>
            </w:r>
          </w:p>
        </w:tc>
        <w:tc>
          <w:tcPr>
            <w:tcW w:w="652" w:type="dxa"/>
            <w:tcBorders>
              <w:top w:val="single" w:sz="4" w:space="0" w:color="auto"/>
              <w:bottom w:val="single" w:sz="4" w:space="0" w:color="auto"/>
            </w:tcBorders>
            <w:vAlign w:val="center"/>
          </w:tcPr>
          <w:p w14:paraId="7421A80A" w14:textId="77777777" w:rsidR="00850766" w:rsidRPr="00D40F8D" w:rsidRDefault="00850766" w:rsidP="00850766">
            <w:pPr>
              <w:jc w:val="center"/>
              <w:rPr>
                <w:b/>
                <w:sz w:val="20"/>
                <w:szCs w:val="20"/>
              </w:rPr>
            </w:pPr>
            <w:r w:rsidRPr="00D40F8D">
              <w:rPr>
                <w:b/>
                <w:sz w:val="20"/>
                <w:szCs w:val="20"/>
              </w:rPr>
              <w:t>√</w:t>
            </w:r>
          </w:p>
        </w:tc>
        <w:tc>
          <w:tcPr>
            <w:tcW w:w="459" w:type="dxa"/>
            <w:tcBorders>
              <w:top w:val="single" w:sz="4" w:space="0" w:color="auto"/>
              <w:bottom w:val="single" w:sz="4" w:space="0" w:color="auto"/>
            </w:tcBorders>
            <w:vAlign w:val="center"/>
          </w:tcPr>
          <w:p w14:paraId="4A387913" w14:textId="77777777" w:rsidR="00850766" w:rsidRPr="00D40F8D" w:rsidRDefault="00850766" w:rsidP="00850766">
            <w:pPr>
              <w:jc w:val="center"/>
              <w:rPr>
                <w:b/>
                <w:sz w:val="20"/>
                <w:szCs w:val="20"/>
              </w:rPr>
            </w:pPr>
            <w:r w:rsidRPr="00D40F8D">
              <w:rPr>
                <w:b/>
                <w:sz w:val="20"/>
                <w:szCs w:val="20"/>
              </w:rPr>
              <w:t>--</w:t>
            </w:r>
          </w:p>
        </w:tc>
        <w:tc>
          <w:tcPr>
            <w:tcW w:w="604" w:type="dxa"/>
            <w:tcBorders>
              <w:top w:val="single" w:sz="4" w:space="0" w:color="auto"/>
              <w:bottom w:val="single" w:sz="4" w:space="0" w:color="auto"/>
            </w:tcBorders>
            <w:vAlign w:val="center"/>
          </w:tcPr>
          <w:p w14:paraId="7389A80A" w14:textId="77777777" w:rsidR="00850766" w:rsidRPr="00D40F8D" w:rsidRDefault="00850766" w:rsidP="00850766">
            <w:pPr>
              <w:jc w:val="center"/>
              <w:rPr>
                <w:b/>
                <w:sz w:val="20"/>
                <w:szCs w:val="20"/>
              </w:rPr>
            </w:pPr>
            <w:r w:rsidRPr="00D40F8D">
              <w:rPr>
                <w:b/>
                <w:sz w:val="20"/>
                <w:szCs w:val="20"/>
              </w:rPr>
              <w:t>--</w:t>
            </w:r>
          </w:p>
        </w:tc>
        <w:tc>
          <w:tcPr>
            <w:tcW w:w="604" w:type="dxa"/>
            <w:tcBorders>
              <w:top w:val="single" w:sz="4" w:space="0" w:color="auto"/>
              <w:bottom w:val="single" w:sz="4" w:space="0" w:color="auto"/>
            </w:tcBorders>
            <w:vAlign w:val="center"/>
          </w:tcPr>
          <w:p w14:paraId="0300752F" w14:textId="77777777" w:rsidR="00850766" w:rsidRPr="00D40F8D" w:rsidRDefault="00850766" w:rsidP="00850766">
            <w:pPr>
              <w:jc w:val="center"/>
              <w:rPr>
                <w:b/>
                <w:sz w:val="20"/>
                <w:szCs w:val="20"/>
              </w:rPr>
            </w:pPr>
            <w:r w:rsidRPr="00D40F8D">
              <w:rPr>
                <w:b/>
                <w:sz w:val="20"/>
                <w:szCs w:val="20"/>
              </w:rPr>
              <w:t>√</w:t>
            </w:r>
          </w:p>
        </w:tc>
        <w:tc>
          <w:tcPr>
            <w:tcW w:w="604" w:type="dxa"/>
            <w:tcBorders>
              <w:top w:val="single" w:sz="4" w:space="0" w:color="auto"/>
              <w:bottom w:val="single" w:sz="4" w:space="0" w:color="auto"/>
            </w:tcBorders>
            <w:vAlign w:val="center"/>
          </w:tcPr>
          <w:p w14:paraId="439C2EC4" w14:textId="77777777" w:rsidR="00850766" w:rsidRPr="00D40F8D" w:rsidRDefault="00850766" w:rsidP="00850766">
            <w:pPr>
              <w:jc w:val="center"/>
              <w:rPr>
                <w:b/>
                <w:sz w:val="20"/>
                <w:szCs w:val="20"/>
              </w:rPr>
            </w:pPr>
            <w:r w:rsidRPr="00D40F8D">
              <w:rPr>
                <w:b/>
                <w:sz w:val="20"/>
                <w:szCs w:val="20"/>
              </w:rPr>
              <w:t>--</w:t>
            </w:r>
          </w:p>
        </w:tc>
        <w:tc>
          <w:tcPr>
            <w:tcW w:w="459" w:type="dxa"/>
            <w:tcBorders>
              <w:top w:val="single" w:sz="4" w:space="0" w:color="auto"/>
              <w:bottom w:val="single" w:sz="4" w:space="0" w:color="auto"/>
            </w:tcBorders>
            <w:vAlign w:val="center"/>
          </w:tcPr>
          <w:p w14:paraId="59BAF2DD" w14:textId="77777777" w:rsidR="00850766" w:rsidRPr="00D40F8D" w:rsidRDefault="00850766" w:rsidP="00850766">
            <w:pPr>
              <w:jc w:val="center"/>
              <w:rPr>
                <w:b/>
                <w:sz w:val="20"/>
                <w:szCs w:val="20"/>
              </w:rPr>
            </w:pPr>
            <w:r w:rsidRPr="00D40F8D">
              <w:rPr>
                <w:b/>
                <w:sz w:val="20"/>
                <w:szCs w:val="20"/>
              </w:rPr>
              <w:t>--</w:t>
            </w:r>
          </w:p>
        </w:tc>
      </w:tr>
      <w:tr w:rsidR="00494D9E" w:rsidRPr="00D40F8D" w14:paraId="2C8A2101" w14:textId="77777777" w:rsidTr="00150DB1">
        <w:trPr>
          <w:trHeight w:val="360"/>
        </w:trPr>
        <w:tc>
          <w:tcPr>
            <w:tcW w:w="1729" w:type="dxa"/>
            <w:tcBorders>
              <w:top w:val="single" w:sz="4" w:space="0" w:color="auto"/>
              <w:bottom w:val="single" w:sz="4" w:space="0" w:color="auto"/>
            </w:tcBorders>
            <w:vAlign w:val="center"/>
          </w:tcPr>
          <w:p w14:paraId="488E8D2C" w14:textId="59D82C83" w:rsidR="00850766" w:rsidRPr="00D40F8D" w:rsidRDefault="00850766" w:rsidP="00850766">
            <w:pPr>
              <w:jc w:val="left"/>
              <w:rPr>
                <w:sz w:val="20"/>
                <w:szCs w:val="20"/>
              </w:rPr>
            </w:pPr>
            <w:r>
              <w:rPr>
                <w:sz w:val="20"/>
                <w:szCs w:val="20"/>
              </w:rPr>
              <w:fldChar w:fldCharType="begin" w:fldLock="1"/>
            </w:r>
            <w:r>
              <w:rPr>
                <w:sz w:val="20"/>
                <w:szCs w:val="20"/>
              </w:rPr>
              <w:instrText>ADDIN CSL_CITATION {"citationItems":[{"id":"ITEM-1","itemData":{"DOI":"10.3141/2583-15","ISSN":"03611981","abstract":"In crash frequency models, frequency by severity level is examined with multivariate count models. In these multivariate approaches the impact of exogenous variables is quantified through the propensity component of count models. The main interaction between variables across severity levels is sought through unobserved effects; that is, there is no interaction of observed effects across the multiple count models. Although this is not necessarily a limitation, it could be beneficial to evaluate the impact of exogenous variables in a framework that directly relates a single exogenous variable to all severity count variables simultaneously. An alternative approach to examining crash frequency by severity is proposed. Specifically, instead of modeling the number of crashes, a fractional split modeling approach is used to study the fraction of crashes by each severity level on a road segment. Given the ordered nature of injury severity, an ordered probit fractional split model is used to study crash proportion by severity levels. The model is estimated for roadway segment data for single-vehicle and multivehicle crashes in Florida for 2009 through 2011. The model estimation results highlight the effect of traffic volume, lane width, shoulder width, proportion of divided segments, and speed limit on crash proportion by severity. The model results are used to predict hot spots for various crash types. The results highlight how the ordered probit fractional split models can be used for highway safety screening.","author":[{"dropping-particle":"","family":"Yasmin","given":"Shamsunnahar","non-dropping-particle":"","parse-names":false,"suffix":""},{"dropping-particle":"","family":"Eluru","given":"Naveen","non-dropping-particle":"","parse-names":false,"suffix":""},{"dropping-particle":"","family":"Lee","given":"Jaeyoung","non-dropping-particle":"","parse-names":false,"suffix":""},{"dropping-particle":"","family":"Abdel-Aty","given":"Mohamed","non-dropping-particle":"","parse-names":false,"suffix":""}],"container-title":"Transportation Research Record","id":"ITEM-1","issue":"1","issued":{"date-parts":[["2016"]]},"page":"119-126","title":"Ordered fractional split approach for aggregate injury severity modeling","type":"article-journal","volume":"2583"},"uris":["http://www.mendeley.com/documents/?uuid=1bd8802b-8053-4b1c-8cc5-aafae396313e"]}],"mendeley":{"formattedCitation":"(Yasmin et al., 2016)","plainTextFormattedCitation":"(Yasmin et al., 2016)","previouslyFormattedCitation":"(Yasmin et al., 2016)"},"properties":{"noteIndex":0},"schema":"https://github.com/citation-style-language/schema/raw/master/csl-citation.json"}</w:instrText>
            </w:r>
            <w:r>
              <w:rPr>
                <w:sz w:val="20"/>
                <w:szCs w:val="20"/>
              </w:rPr>
              <w:fldChar w:fldCharType="separate"/>
            </w:r>
            <w:r w:rsidRPr="00C221AF">
              <w:rPr>
                <w:noProof/>
                <w:sz w:val="20"/>
                <w:szCs w:val="20"/>
              </w:rPr>
              <w:t>(Yasmin et al., 2016)</w:t>
            </w:r>
            <w:r>
              <w:rPr>
                <w:sz w:val="20"/>
                <w:szCs w:val="20"/>
              </w:rPr>
              <w:fldChar w:fldCharType="end"/>
            </w:r>
          </w:p>
        </w:tc>
        <w:tc>
          <w:tcPr>
            <w:tcW w:w="1238" w:type="dxa"/>
            <w:tcBorders>
              <w:top w:val="single" w:sz="4" w:space="0" w:color="auto"/>
              <w:bottom w:val="single" w:sz="4" w:space="0" w:color="auto"/>
            </w:tcBorders>
            <w:vAlign w:val="center"/>
          </w:tcPr>
          <w:p w14:paraId="08833BEE" w14:textId="52CE8EA9" w:rsidR="00494D9E" w:rsidRDefault="00494D9E" w:rsidP="00850766">
            <w:pPr>
              <w:jc w:val="center"/>
              <w:rPr>
                <w:rFonts w:cs="Times New Roman"/>
                <w:sz w:val="20"/>
                <w:szCs w:val="20"/>
                <w:lang w:val="en-US"/>
              </w:rPr>
            </w:pPr>
            <w:r>
              <w:rPr>
                <w:rFonts w:cs="Times New Roman"/>
                <w:sz w:val="20"/>
                <w:szCs w:val="20"/>
                <w:lang w:val="en-US"/>
              </w:rPr>
              <w:t>Road segments</w:t>
            </w:r>
          </w:p>
          <w:p w14:paraId="1FCAAD60" w14:textId="0C647A46" w:rsidR="00850766" w:rsidRPr="00D40F8D" w:rsidRDefault="00850766" w:rsidP="00850766">
            <w:pPr>
              <w:jc w:val="center"/>
              <w:rPr>
                <w:sz w:val="20"/>
                <w:szCs w:val="20"/>
                <w:lang w:val="en-US"/>
              </w:rPr>
            </w:pPr>
            <w:r w:rsidRPr="0078373E">
              <w:rPr>
                <w:rFonts w:cs="Times New Roman"/>
                <w:sz w:val="20"/>
                <w:szCs w:val="20"/>
                <w:lang w:val="en-US"/>
              </w:rPr>
              <w:t>(</w:t>
            </w:r>
            <w:r w:rsidR="00494D9E">
              <w:rPr>
                <w:rFonts w:cs="Times New Roman"/>
                <w:sz w:val="20"/>
                <w:szCs w:val="20"/>
                <w:lang w:val="en-US"/>
              </w:rPr>
              <w:t>Mic</w:t>
            </w:r>
            <w:r w:rsidRPr="0078373E">
              <w:rPr>
                <w:rFonts w:cs="Times New Roman"/>
                <w:sz w:val="20"/>
                <w:szCs w:val="20"/>
                <w:lang w:val="en-US"/>
              </w:rPr>
              <w:t>ro)</w:t>
            </w:r>
          </w:p>
        </w:tc>
        <w:tc>
          <w:tcPr>
            <w:tcW w:w="1416" w:type="dxa"/>
            <w:tcBorders>
              <w:top w:val="single" w:sz="4" w:space="0" w:color="auto"/>
              <w:bottom w:val="single" w:sz="4" w:space="0" w:color="auto"/>
            </w:tcBorders>
            <w:vAlign w:val="center"/>
          </w:tcPr>
          <w:p w14:paraId="741A9D89" w14:textId="77777777" w:rsidR="00850766" w:rsidRPr="00D40F8D" w:rsidRDefault="00850766" w:rsidP="00850766">
            <w:pPr>
              <w:jc w:val="center"/>
              <w:rPr>
                <w:sz w:val="20"/>
                <w:szCs w:val="20"/>
              </w:rPr>
            </w:pPr>
            <w:r w:rsidRPr="00D40F8D">
              <w:rPr>
                <w:sz w:val="20"/>
                <w:szCs w:val="20"/>
              </w:rPr>
              <w:t>State</w:t>
            </w:r>
          </w:p>
          <w:p w14:paraId="3D69EDED" w14:textId="62B4EA78" w:rsidR="00850766" w:rsidRPr="00D40F8D" w:rsidRDefault="00850766" w:rsidP="00850766">
            <w:pPr>
              <w:jc w:val="center"/>
              <w:rPr>
                <w:sz w:val="20"/>
                <w:szCs w:val="20"/>
              </w:rPr>
            </w:pPr>
            <w:r w:rsidRPr="00D40F8D">
              <w:rPr>
                <w:sz w:val="20"/>
                <w:szCs w:val="20"/>
              </w:rPr>
              <w:t>(</w:t>
            </w:r>
            <w:r>
              <w:rPr>
                <w:sz w:val="20"/>
                <w:szCs w:val="20"/>
              </w:rPr>
              <w:t>Florida</w:t>
            </w:r>
            <w:r w:rsidRPr="00D40F8D">
              <w:rPr>
                <w:sz w:val="20"/>
                <w:szCs w:val="20"/>
              </w:rPr>
              <w:t>)</w:t>
            </w:r>
          </w:p>
        </w:tc>
        <w:tc>
          <w:tcPr>
            <w:tcW w:w="1089" w:type="dxa"/>
            <w:tcBorders>
              <w:top w:val="single" w:sz="4" w:space="0" w:color="auto"/>
              <w:bottom w:val="single" w:sz="4" w:space="0" w:color="auto"/>
            </w:tcBorders>
            <w:vAlign w:val="center"/>
          </w:tcPr>
          <w:p w14:paraId="23D983D4" w14:textId="63262A92" w:rsidR="00850766" w:rsidRPr="00D40F8D" w:rsidRDefault="00850766" w:rsidP="00850766">
            <w:pPr>
              <w:jc w:val="center"/>
              <w:rPr>
                <w:sz w:val="20"/>
                <w:szCs w:val="20"/>
              </w:rPr>
            </w:pPr>
            <w:r w:rsidRPr="00D40F8D">
              <w:rPr>
                <w:sz w:val="20"/>
                <w:szCs w:val="20"/>
              </w:rPr>
              <w:t>Motorized Crash</w:t>
            </w:r>
          </w:p>
        </w:tc>
        <w:tc>
          <w:tcPr>
            <w:tcW w:w="2061" w:type="dxa"/>
            <w:tcBorders>
              <w:top w:val="single" w:sz="4" w:space="0" w:color="auto"/>
              <w:bottom w:val="single" w:sz="4" w:space="0" w:color="auto"/>
            </w:tcBorders>
            <w:vAlign w:val="center"/>
          </w:tcPr>
          <w:p w14:paraId="6AA3109D" w14:textId="6ED90353" w:rsidR="00850766" w:rsidRPr="00D40F8D" w:rsidRDefault="00850766" w:rsidP="00850766">
            <w:pPr>
              <w:jc w:val="left"/>
              <w:rPr>
                <w:sz w:val="20"/>
                <w:szCs w:val="20"/>
              </w:rPr>
            </w:pPr>
            <w:r>
              <w:rPr>
                <w:sz w:val="20"/>
                <w:szCs w:val="20"/>
                <w:lang w:val="en-US"/>
              </w:rPr>
              <w:t>5 (no injury, minor injury, moderate injury, serious injury, fatal)</w:t>
            </w:r>
          </w:p>
        </w:tc>
        <w:tc>
          <w:tcPr>
            <w:tcW w:w="1998" w:type="dxa"/>
            <w:tcBorders>
              <w:top w:val="single" w:sz="4" w:space="0" w:color="auto"/>
              <w:bottom w:val="single" w:sz="4" w:space="0" w:color="auto"/>
            </w:tcBorders>
            <w:vAlign w:val="center"/>
          </w:tcPr>
          <w:p w14:paraId="0CC14482" w14:textId="234BFA7E" w:rsidR="00850766" w:rsidRPr="00D40F8D" w:rsidRDefault="00850766" w:rsidP="00850766">
            <w:pPr>
              <w:jc w:val="left"/>
              <w:rPr>
                <w:sz w:val="20"/>
                <w:szCs w:val="20"/>
                <w:lang w:val="en-US"/>
              </w:rPr>
            </w:pPr>
            <w:r>
              <w:rPr>
                <w:sz w:val="20"/>
                <w:szCs w:val="20"/>
                <w:lang w:val="en-US"/>
              </w:rPr>
              <w:t>Ordered fractional split model</w:t>
            </w:r>
          </w:p>
        </w:tc>
        <w:tc>
          <w:tcPr>
            <w:tcW w:w="652" w:type="dxa"/>
            <w:tcBorders>
              <w:top w:val="single" w:sz="4" w:space="0" w:color="auto"/>
              <w:bottom w:val="single" w:sz="4" w:space="0" w:color="auto"/>
            </w:tcBorders>
            <w:vAlign w:val="center"/>
          </w:tcPr>
          <w:p w14:paraId="6D6DF129" w14:textId="1B245F7C" w:rsidR="00850766" w:rsidRPr="00D40F8D" w:rsidRDefault="00850766" w:rsidP="00850766">
            <w:pPr>
              <w:jc w:val="center"/>
              <w:rPr>
                <w:b/>
                <w:sz w:val="20"/>
                <w:szCs w:val="20"/>
              </w:rPr>
            </w:pPr>
            <w:r w:rsidRPr="00CA41DF">
              <w:rPr>
                <w:b/>
                <w:sz w:val="20"/>
                <w:szCs w:val="20"/>
              </w:rPr>
              <w:t>√</w:t>
            </w:r>
          </w:p>
        </w:tc>
        <w:tc>
          <w:tcPr>
            <w:tcW w:w="459" w:type="dxa"/>
            <w:tcBorders>
              <w:top w:val="single" w:sz="4" w:space="0" w:color="auto"/>
              <w:bottom w:val="single" w:sz="4" w:space="0" w:color="auto"/>
            </w:tcBorders>
            <w:vAlign w:val="center"/>
          </w:tcPr>
          <w:p w14:paraId="2DC9AC1B" w14:textId="5D6FD184" w:rsidR="00850766" w:rsidRPr="00D40F8D" w:rsidRDefault="00850766" w:rsidP="00850766">
            <w:pPr>
              <w:jc w:val="center"/>
              <w:rPr>
                <w:b/>
                <w:sz w:val="20"/>
                <w:szCs w:val="20"/>
              </w:rPr>
            </w:pPr>
            <w:r w:rsidRPr="00CA41DF">
              <w:rPr>
                <w:b/>
                <w:sz w:val="20"/>
                <w:szCs w:val="20"/>
              </w:rPr>
              <w:t>√</w:t>
            </w:r>
          </w:p>
        </w:tc>
        <w:tc>
          <w:tcPr>
            <w:tcW w:w="604" w:type="dxa"/>
            <w:tcBorders>
              <w:top w:val="single" w:sz="4" w:space="0" w:color="auto"/>
              <w:bottom w:val="single" w:sz="4" w:space="0" w:color="auto"/>
            </w:tcBorders>
            <w:vAlign w:val="center"/>
          </w:tcPr>
          <w:p w14:paraId="2CDC452D" w14:textId="25C59B02" w:rsidR="00850766" w:rsidRPr="00D40F8D" w:rsidRDefault="00850766" w:rsidP="00850766">
            <w:pPr>
              <w:jc w:val="center"/>
              <w:rPr>
                <w:b/>
                <w:sz w:val="20"/>
                <w:szCs w:val="20"/>
              </w:rPr>
            </w:pPr>
            <w:r w:rsidRPr="00CA41DF">
              <w:rPr>
                <w:b/>
                <w:sz w:val="20"/>
                <w:szCs w:val="20"/>
              </w:rPr>
              <w:t>√</w:t>
            </w:r>
          </w:p>
        </w:tc>
        <w:tc>
          <w:tcPr>
            <w:tcW w:w="604" w:type="dxa"/>
            <w:tcBorders>
              <w:top w:val="single" w:sz="4" w:space="0" w:color="auto"/>
              <w:bottom w:val="single" w:sz="4" w:space="0" w:color="auto"/>
            </w:tcBorders>
            <w:vAlign w:val="center"/>
          </w:tcPr>
          <w:p w14:paraId="1956A01F" w14:textId="28D85E57" w:rsidR="00850766" w:rsidRPr="00D40F8D" w:rsidRDefault="00850766" w:rsidP="00850766">
            <w:pPr>
              <w:jc w:val="center"/>
              <w:rPr>
                <w:b/>
                <w:sz w:val="20"/>
                <w:szCs w:val="20"/>
              </w:rPr>
            </w:pPr>
            <w:r w:rsidRPr="00CA41DF">
              <w:rPr>
                <w:b/>
                <w:sz w:val="20"/>
                <w:szCs w:val="20"/>
              </w:rPr>
              <w:t>√</w:t>
            </w:r>
          </w:p>
        </w:tc>
        <w:tc>
          <w:tcPr>
            <w:tcW w:w="604" w:type="dxa"/>
            <w:tcBorders>
              <w:top w:val="single" w:sz="4" w:space="0" w:color="auto"/>
              <w:bottom w:val="single" w:sz="4" w:space="0" w:color="auto"/>
            </w:tcBorders>
            <w:vAlign w:val="center"/>
          </w:tcPr>
          <w:p w14:paraId="2B4997C2" w14:textId="0FA7F571" w:rsidR="00850766" w:rsidRPr="00D40F8D" w:rsidRDefault="00850766" w:rsidP="00850766">
            <w:pPr>
              <w:jc w:val="center"/>
              <w:rPr>
                <w:b/>
                <w:sz w:val="20"/>
                <w:szCs w:val="20"/>
              </w:rPr>
            </w:pPr>
            <w:r w:rsidRPr="00CA41DF">
              <w:rPr>
                <w:b/>
                <w:sz w:val="20"/>
                <w:szCs w:val="20"/>
              </w:rPr>
              <w:t>√</w:t>
            </w:r>
          </w:p>
        </w:tc>
        <w:tc>
          <w:tcPr>
            <w:tcW w:w="459" w:type="dxa"/>
            <w:tcBorders>
              <w:top w:val="single" w:sz="4" w:space="0" w:color="auto"/>
              <w:bottom w:val="single" w:sz="4" w:space="0" w:color="auto"/>
            </w:tcBorders>
            <w:vAlign w:val="center"/>
          </w:tcPr>
          <w:p w14:paraId="414FC6CB" w14:textId="7344802A" w:rsidR="00850766" w:rsidRPr="00D40F8D" w:rsidRDefault="00850766" w:rsidP="00850766">
            <w:pPr>
              <w:jc w:val="center"/>
              <w:rPr>
                <w:b/>
                <w:sz w:val="20"/>
                <w:szCs w:val="20"/>
              </w:rPr>
            </w:pPr>
            <w:r w:rsidRPr="00D40F8D">
              <w:rPr>
                <w:b/>
                <w:sz w:val="20"/>
                <w:szCs w:val="20"/>
              </w:rPr>
              <w:t>--</w:t>
            </w:r>
          </w:p>
        </w:tc>
      </w:tr>
      <w:tr w:rsidR="00494D9E" w:rsidRPr="00D40F8D" w14:paraId="04D7D038" w14:textId="77777777" w:rsidTr="004601C9">
        <w:trPr>
          <w:trHeight w:val="360"/>
        </w:trPr>
        <w:tc>
          <w:tcPr>
            <w:tcW w:w="1729" w:type="dxa"/>
            <w:tcBorders>
              <w:top w:val="single" w:sz="4" w:space="0" w:color="auto"/>
              <w:bottom w:val="single" w:sz="4" w:space="0" w:color="auto"/>
            </w:tcBorders>
            <w:vAlign w:val="center"/>
          </w:tcPr>
          <w:p w14:paraId="57C3EC3B" w14:textId="77777777" w:rsidR="00850766" w:rsidRPr="00D40F8D" w:rsidRDefault="00850766" w:rsidP="00850766">
            <w:pPr>
              <w:jc w:val="left"/>
              <w:rPr>
                <w:sz w:val="20"/>
                <w:szCs w:val="20"/>
              </w:rPr>
            </w:pPr>
            <w:r w:rsidRPr="00D40F8D">
              <w:rPr>
                <w:sz w:val="20"/>
                <w:szCs w:val="20"/>
              </w:rPr>
              <w:lastRenderedPageBreak/>
              <w:fldChar w:fldCharType="begin" w:fldLock="1"/>
            </w:r>
            <w:r>
              <w:rPr>
                <w:sz w:val="20"/>
                <w:szCs w:val="20"/>
              </w:rPr>
              <w:instrText>ADDIN CSL_CITATION {"citationItems":[{"id":"ITEM-1","itemData":{"DOI":"10.1016/j.amar.2017.05.001","ISSN":"22136657","abstract":"We propose in this paper a spatial random coefficients flexible multivariate count model to examine, at the spatial level of a census tract, the number of pedestrian injuries by injury severity level. Our model, unlike many other macro-level pedestrian injury studies in the literature, explicitly acknowledges that risk factors for different types of pedestrian injuries can be very different, as well as accounts for unobserved heterogeneity in the risk factor effects. We also recognize the multivariate nature of the injury counts by injury severity level within each census tract (as opposed to independently modeling the count of pedestrian injuries by severity level). In concrete methodological terms, our model: (a) allows a full covariance matrix for the random coefficients (constant heterogeneity, or CH, and slope heterogeneity, or SH, effects) characterizing spatial heterogeneity for each count category, (b) addresses excess zeros (or any other excess count value for that matter) within a multivariate count setting in a simple and elegant fashion, while recognizing multivariateness engendered through covariances in both the CH and SH effects, (c) accommodates spatial dependency through a spatial autoregressive lag structure, allowing for varying spatial autoregressive parameters across count categories, and (d) captures spatial drift effects through the spatial structure on the constants and the slope heterogeneity effects. To our knowledge, this is the first time that such a general spatial multivariate model has been formulated. For estimation, we use a composite marginal likelihood (CML) inference approach that is simple to implement and is based on evaluating lower-dimensional marginal probability expressions. The data for our analysis is drawn from a 2009 pedestrian crash database from the Manhattan region of New York City. Several groups of census tract-based risk factors are considered in the empirical analysis based on earlier research, including (1) socio-demographic characteristics, (2) land-use and road network characteristics, (3) activity intensity characteristics, and (4) commute mode shares and transit supply characteristics. The empirical analysis sheds light on both engineering as well as behavioral countermeasures to reduce the number of pedestrian-vehicle crashes by severity of these crashes.","author":[{"dropping-particle":"","family":"Bhat","given":"Chandra R.","non-dropping-particle":"","parse-names":false,"suffix":""},{"dropping-particle":"","family":"Astroza","given":"Sebastian","non-dropping-particle":"","parse-names":false,"suffix":""},{"dropping-particle":"","family":"Lavieri","given":"Patrícia S.","non-dropping-particle":"","parse-names":false,"suffix":""}],"container-title":"Analytic Methods in Accident Research","id":"ITEM-1","issued":{"date-parts":[["2017"]]},"page":"1-22","title":"A new spatial and flexible multivariate random-coefficients model for the analysis of pedestrian injury counts by severity level","type":"article-journal","volume":"16"},"uris":["http://www.mendeley.com/documents/?uuid=2fe6730c-31ec-44bb-a87a-fdf0e5fe283d"]}],"mendeley":{"formattedCitation":"(Bhat et al., 2017)","plainTextFormattedCitation":"(Bhat et al., 2017)","previouslyFormattedCitation":"(Bhat et al., 2017)"},"properties":{"noteIndex":0},"schema":"https://github.com/citation-style-language/schema/raw/master/csl-citation.json"}</w:instrText>
            </w:r>
            <w:r w:rsidRPr="00D40F8D">
              <w:rPr>
                <w:sz w:val="20"/>
                <w:szCs w:val="20"/>
              </w:rPr>
              <w:fldChar w:fldCharType="separate"/>
            </w:r>
            <w:r w:rsidRPr="00097239">
              <w:rPr>
                <w:noProof/>
                <w:sz w:val="20"/>
                <w:szCs w:val="20"/>
              </w:rPr>
              <w:t>(Bhat et al., 2017)</w:t>
            </w:r>
            <w:r w:rsidRPr="00D40F8D">
              <w:rPr>
                <w:sz w:val="20"/>
                <w:szCs w:val="20"/>
              </w:rPr>
              <w:fldChar w:fldCharType="end"/>
            </w:r>
          </w:p>
        </w:tc>
        <w:tc>
          <w:tcPr>
            <w:tcW w:w="1238" w:type="dxa"/>
            <w:tcBorders>
              <w:top w:val="single" w:sz="4" w:space="0" w:color="auto"/>
              <w:bottom w:val="single" w:sz="4" w:space="0" w:color="auto"/>
            </w:tcBorders>
            <w:vAlign w:val="center"/>
          </w:tcPr>
          <w:p w14:paraId="124A75AB" w14:textId="77777777" w:rsidR="00850766" w:rsidRPr="00D40F8D" w:rsidRDefault="00850766" w:rsidP="00850766">
            <w:pPr>
              <w:jc w:val="center"/>
              <w:rPr>
                <w:sz w:val="20"/>
                <w:szCs w:val="20"/>
                <w:lang w:val="en-US"/>
              </w:rPr>
            </w:pPr>
            <w:r w:rsidRPr="00D40F8D">
              <w:rPr>
                <w:sz w:val="20"/>
                <w:szCs w:val="20"/>
                <w:lang w:val="en-US"/>
              </w:rPr>
              <w:t>Census tract (Macro)</w:t>
            </w:r>
          </w:p>
        </w:tc>
        <w:tc>
          <w:tcPr>
            <w:tcW w:w="1416" w:type="dxa"/>
            <w:tcBorders>
              <w:top w:val="single" w:sz="4" w:space="0" w:color="auto"/>
              <w:bottom w:val="single" w:sz="4" w:space="0" w:color="auto"/>
            </w:tcBorders>
            <w:vAlign w:val="center"/>
          </w:tcPr>
          <w:p w14:paraId="4D90D99E" w14:textId="77777777" w:rsidR="00850766" w:rsidRPr="00D40F8D" w:rsidRDefault="00850766" w:rsidP="00850766">
            <w:pPr>
              <w:jc w:val="center"/>
              <w:rPr>
                <w:sz w:val="20"/>
                <w:szCs w:val="20"/>
              </w:rPr>
            </w:pPr>
            <w:r w:rsidRPr="00D40F8D">
              <w:rPr>
                <w:sz w:val="20"/>
                <w:szCs w:val="20"/>
              </w:rPr>
              <w:t>Region (Manhattan)</w:t>
            </w:r>
          </w:p>
        </w:tc>
        <w:tc>
          <w:tcPr>
            <w:tcW w:w="1089" w:type="dxa"/>
            <w:tcBorders>
              <w:top w:val="single" w:sz="4" w:space="0" w:color="auto"/>
              <w:bottom w:val="single" w:sz="4" w:space="0" w:color="auto"/>
            </w:tcBorders>
            <w:vAlign w:val="center"/>
          </w:tcPr>
          <w:p w14:paraId="48F95A97" w14:textId="77777777" w:rsidR="00850766" w:rsidRPr="00D40F8D" w:rsidRDefault="00850766" w:rsidP="00850766">
            <w:pPr>
              <w:jc w:val="center"/>
              <w:rPr>
                <w:sz w:val="20"/>
                <w:szCs w:val="20"/>
              </w:rPr>
            </w:pPr>
            <w:r w:rsidRPr="00D40F8D">
              <w:rPr>
                <w:sz w:val="20"/>
                <w:szCs w:val="20"/>
              </w:rPr>
              <w:t>Pedestrian Crash</w:t>
            </w:r>
          </w:p>
        </w:tc>
        <w:tc>
          <w:tcPr>
            <w:tcW w:w="2061" w:type="dxa"/>
            <w:tcBorders>
              <w:top w:val="single" w:sz="4" w:space="0" w:color="auto"/>
              <w:bottom w:val="single" w:sz="4" w:space="0" w:color="auto"/>
            </w:tcBorders>
            <w:vAlign w:val="center"/>
          </w:tcPr>
          <w:p w14:paraId="211524AE" w14:textId="77777777" w:rsidR="00850766" w:rsidRPr="00D40F8D" w:rsidRDefault="00850766" w:rsidP="00850766">
            <w:pPr>
              <w:jc w:val="left"/>
              <w:rPr>
                <w:sz w:val="20"/>
                <w:szCs w:val="20"/>
              </w:rPr>
            </w:pPr>
            <w:r w:rsidRPr="00D40F8D">
              <w:rPr>
                <w:sz w:val="20"/>
                <w:szCs w:val="20"/>
              </w:rPr>
              <w:t xml:space="preserve">4 (possible injury, non-incapacitating injury, incapacitating </w:t>
            </w:r>
            <w:proofErr w:type="gramStart"/>
            <w:r w:rsidRPr="00D40F8D">
              <w:rPr>
                <w:sz w:val="20"/>
                <w:szCs w:val="20"/>
              </w:rPr>
              <w:t>injury</w:t>
            </w:r>
            <w:proofErr w:type="gramEnd"/>
            <w:r w:rsidRPr="00D40F8D">
              <w:rPr>
                <w:sz w:val="20"/>
                <w:szCs w:val="20"/>
              </w:rPr>
              <w:t xml:space="preserve"> and fatal injury)</w:t>
            </w:r>
          </w:p>
        </w:tc>
        <w:tc>
          <w:tcPr>
            <w:tcW w:w="1998" w:type="dxa"/>
            <w:tcBorders>
              <w:top w:val="single" w:sz="4" w:space="0" w:color="auto"/>
              <w:bottom w:val="single" w:sz="4" w:space="0" w:color="auto"/>
            </w:tcBorders>
            <w:vAlign w:val="center"/>
          </w:tcPr>
          <w:p w14:paraId="432CE82D" w14:textId="77777777" w:rsidR="00850766" w:rsidRPr="00D40F8D" w:rsidRDefault="00850766" w:rsidP="00850766">
            <w:pPr>
              <w:jc w:val="left"/>
              <w:rPr>
                <w:sz w:val="20"/>
                <w:szCs w:val="20"/>
                <w:lang w:val="en-US"/>
              </w:rPr>
            </w:pPr>
            <w:r w:rsidRPr="00D40F8D">
              <w:rPr>
                <w:sz w:val="20"/>
                <w:szCs w:val="20"/>
                <w:lang w:val="en-US"/>
              </w:rPr>
              <w:t>Random coefficients multivariate count model</w:t>
            </w:r>
          </w:p>
        </w:tc>
        <w:tc>
          <w:tcPr>
            <w:tcW w:w="652" w:type="dxa"/>
            <w:tcBorders>
              <w:top w:val="single" w:sz="4" w:space="0" w:color="auto"/>
              <w:bottom w:val="single" w:sz="4" w:space="0" w:color="auto"/>
            </w:tcBorders>
            <w:vAlign w:val="center"/>
          </w:tcPr>
          <w:p w14:paraId="2CD3CC55" w14:textId="77777777" w:rsidR="00850766" w:rsidRPr="00D40F8D" w:rsidRDefault="00850766" w:rsidP="00850766">
            <w:pPr>
              <w:jc w:val="center"/>
              <w:rPr>
                <w:b/>
                <w:sz w:val="20"/>
                <w:szCs w:val="20"/>
              </w:rPr>
            </w:pPr>
            <w:r w:rsidRPr="00D40F8D">
              <w:rPr>
                <w:b/>
                <w:sz w:val="20"/>
                <w:szCs w:val="20"/>
              </w:rPr>
              <w:t>√</w:t>
            </w:r>
          </w:p>
        </w:tc>
        <w:tc>
          <w:tcPr>
            <w:tcW w:w="459" w:type="dxa"/>
            <w:tcBorders>
              <w:top w:val="single" w:sz="4" w:space="0" w:color="auto"/>
              <w:bottom w:val="single" w:sz="4" w:space="0" w:color="auto"/>
            </w:tcBorders>
            <w:vAlign w:val="center"/>
          </w:tcPr>
          <w:p w14:paraId="5452A561" w14:textId="77777777" w:rsidR="00850766" w:rsidRPr="00D40F8D" w:rsidRDefault="00850766" w:rsidP="00850766">
            <w:pPr>
              <w:jc w:val="center"/>
              <w:rPr>
                <w:b/>
                <w:sz w:val="20"/>
                <w:szCs w:val="20"/>
              </w:rPr>
            </w:pPr>
            <w:r w:rsidRPr="00D40F8D">
              <w:rPr>
                <w:b/>
                <w:sz w:val="20"/>
                <w:szCs w:val="20"/>
              </w:rPr>
              <w:t>√</w:t>
            </w:r>
          </w:p>
        </w:tc>
        <w:tc>
          <w:tcPr>
            <w:tcW w:w="604" w:type="dxa"/>
            <w:tcBorders>
              <w:top w:val="single" w:sz="4" w:space="0" w:color="auto"/>
              <w:bottom w:val="single" w:sz="4" w:space="0" w:color="auto"/>
            </w:tcBorders>
            <w:vAlign w:val="center"/>
          </w:tcPr>
          <w:p w14:paraId="019F658A" w14:textId="77777777" w:rsidR="00850766" w:rsidRPr="00D40F8D" w:rsidRDefault="00850766" w:rsidP="00850766">
            <w:pPr>
              <w:jc w:val="center"/>
              <w:rPr>
                <w:b/>
                <w:sz w:val="20"/>
                <w:szCs w:val="20"/>
              </w:rPr>
            </w:pPr>
            <w:r w:rsidRPr="00D40F8D">
              <w:rPr>
                <w:b/>
                <w:sz w:val="20"/>
                <w:szCs w:val="20"/>
              </w:rPr>
              <w:t>√</w:t>
            </w:r>
          </w:p>
        </w:tc>
        <w:tc>
          <w:tcPr>
            <w:tcW w:w="604" w:type="dxa"/>
            <w:tcBorders>
              <w:top w:val="single" w:sz="4" w:space="0" w:color="auto"/>
              <w:bottom w:val="single" w:sz="4" w:space="0" w:color="auto"/>
            </w:tcBorders>
            <w:vAlign w:val="center"/>
          </w:tcPr>
          <w:p w14:paraId="5B0716CE" w14:textId="77777777" w:rsidR="00850766" w:rsidRPr="00D40F8D" w:rsidRDefault="00850766" w:rsidP="00850766">
            <w:pPr>
              <w:jc w:val="center"/>
              <w:rPr>
                <w:b/>
                <w:sz w:val="20"/>
                <w:szCs w:val="20"/>
              </w:rPr>
            </w:pPr>
            <w:r w:rsidRPr="00D40F8D">
              <w:rPr>
                <w:b/>
                <w:sz w:val="20"/>
                <w:szCs w:val="20"/>
              </w:rPr>
              <w:t>--</w:t>
            </w:r>
          </w:p>
        </w:tc>
        <w:tc>
          <w:tcPr>
            <w:tcW w:w="604" w:type="dxa"/>
            <w:tcBorders>
              <w:top w:val="single" w:sz="4" w:space="0" w:color="auto"/>
              <w:bottom w:val="single" w:sz="4" w:space="0" w:color="auto"/>
            </w:tcBorders>
            <w:vAlign w:val="center"/>
          </w:tcPr>
          <w:p w14:paraId="3A02B51A" w14:textId="77777777" w:rsidR="00850766" w:rsidRPr="00D40F8D" w:rsidRDefault="00850766" w:rsidP="00850766">
            <w:pPr>
              <w:jc w:val="center"/>
              <w:rPr>
                <w:b/>
                <w:sz w:val="20"/>
                <w:szCs w:val="20"/>
              </w:rPr>
            </w:pPr>
            <w:r w:rsidRPr="00D40F8D">
              <w:rPr>
                <w:b/>
                <w:sz w:val="20"/>
                <w:szCs w:val="20"/>
              </w:rPr>
              <w:t>√</w:t>
            </w:r>
          </w:p>
        </w:tc>
        <w:tc>
          <w:tcPr>
            <w:tcW w:w="459" w:type="dxa"/>
            <w:tcBorders>
              <w:top w:val="single" w:sz="4" w:space="0" w:color="auto"/>
              <w:bottom w:val="single" w:sz="4" w:space="0" w:color="auto"/>
            </w:tcBorders>
            <w:vAlign w:val="center"/>
          </w:tcPr>
          <w:p w14:paraId="14EA8AB4" w14:textId="77777777" w:rsidR="00850766" w:rsidRPr="00D40F8D" w:rsidRDefault="00850766" w:rsidP="00850766">
            <w:pPr>
              <w:jc w:val="center"/>
              <w:rPr>
                <w:b/>
                <w:sz w:val="20"/>
                <w:szCs w:val="20"/>
              </w:rPr>
            </w:pPr>
            <w:r w:rsidRPr="00D40F8D">
              <w:rPr>
                <w:b/>
                <w:sz w:val="20"/>
                <w:szCs w:val="20"/>
              </w:rPr>
              <w:t>--</w:t>
            </w:r>
          </w:p>
        </w:tc>
      </w:tr>
      <w:tr w:rsidR="00494D9E" w:rsidRPr="00D40F8D" w14:paraId="0825C76C" w14:textId="77777777" w:rsidTr="004601C9">
        <w:trPr>
          <w:trHeight w:val="360"/>
        </w:trPr>
        <w:tc>
          <w:tcPr>
            <w:tcW w:w="1729" w:type="dxa"/>
            <w:tcBorders>
              <w:top w:val="single" w:sz="4" w:space="0" w:color="auto"/>
              <w:bottom w:val="single" w:sz="4" w:space="0" w:color="auto"/>
            </w:tcBorders>
            <w:vAlign w:val="center"/>
          </w:tcPr>
          <w:p w14:paraId="665BA9FE" w14:textId="69C720B5" w:rsidR="00850766" w:rsidRPr="00D40F8D" w:rsidRDefault="00850766" w:rsidP="00850766">
            <w:pPr>
              <w:jc w:val="left"/>
              <w:rPr>
                <w:sz w:val="20"/>
                <w:szCs w:val="20"/>
              </w:rPr>
            </w:pPr>
            <w:r w:rsidRPr="00D40F8D">
              <w:rPr>
                <w:sz w:val="20"/>
                <w:szCs w:val="20"/>
              </w:rPr>
              <w:fldChar w:fldCharType="begin" w:fldLock="1"/>
            </w:r>
            <w:r>
              <w:rPr>
                <w:sz w:val="20"/>
                <w:szCs w:val="20"/>
              </w:rPr>
              <w:instrText>ADDIN CSL_CITATION {"citationItems":[{"id":"ITEM-1","itemData":{"DOI":"10.1111/rssa.12178","ISSN":"1467985X","abstract":"The paper investigates the dependences between levels of severity of road traffic accidents, accounting at the same time for spatial and temporal correlations. The study analyses road traffic accidents data at ward level in England over the period 2005–2013. We include in our model multivariate spatially structured and unstructured effects to capture the dependences between severities, within a Bayesian hierarchical formulation. We also include a temporal component to capture the time effects and we carry out an extensive model comparison. The results show important associations in both spatially structured and unstructured effects between severities, and a downward temporal trend is observed for low and high levels of severity. Maps of posterior accident rates indicate elevated risk within big cities for accidents of low severity and in suburban areas in the north and on the southern coast of England for accidents of high severity. The posterior probability of extreme rates is used to suggest the presence of hot spots in a public health perspective.","author":[{"dropping-particle":"","family":"Boulieri","given":"Areti","non-dropping-particle":"","parse-names":false,"suffix":""},{"dropping-particle":"","family":"Liverani","given":"Silvia","non-dropping-particle":"","parse-names":false,"suffix":""},{"dropping-particle":"","family":"Hoogh","given":"Kees","non-dropping-particle":"de","parse-names":false,"suffix":""},{"dropping-particle":"","family":"Blangiardo","given":"Marta","non-dropping-particle":"","parse-names":false,"suffix":""}],"container-title":"Journal of the Royal Statistical Society. Series A: Statistics in Society","id":"ITEM-1","issue":"1","issued":{"date-parts":[["2017"]]},"page":"119-139","title":"A space–time multivariate Bayesian model to analyse road traffic accidents by severity","type":"article-journal","volume":"180"},"uris":["http://www.mendeley.com/documents/?uuid=6327626b-4d9c-444e-a928-d50ff572b977"]}],"mendeley":{"formattedCitation":"(Boulieri et al., 2017)","plainTextFormattedCitation":"(Boulieri et al., 2017)","previouslyFormattedCitation":"(Boulieri et al., 2017)"},"properties":{"noteIndex":0},"schema":"https://github.com/citation-style-language/schema/raw/master/csl-citation.json"}</w:instrText>
            </w:r>
            <w:r w:rsidRPr="00D40F8D">
              <w:rPr>
                <w:sz w:val="20"/>
                <w:szCs w:val="20"/>
              </w:rPr>
              <w:fldChar w:fldCharType="separate"/>
            </w:r>
            <w:r w:rsidRPr="00097239">
              <w:rPr>
                <w:noProof/>
                <w:sz w:val="20"/>
                <w:szCs w:val="20"/>
              </w:rPr>
              <w:t>(Boulieri et al., 2017)</w:t>
            </w:r>
            <w:r w:rsidRPr="00D40F8D">
              <w:rPr>
                <w:sz w:val="20"/>
                <w:szCs w:val="20"/>
              </w:rPr>
              <w:fldChar w:fldCharType="end"/>
            </w:r>
          </w:p>
        </w:tc>
        <w:tc>
          <w:tcPr>
            <w:tcW w:w="1238" w:type="dxa"/>
            <w:tcBorders>
              <w:top w:val="single" w:sz="4" w:space="0" w:color="auto"/>
              <w:bottom w:val="single" w:sz="4" w:space="0" w:color="auto"/>
            </w:tcBorders>
            <w:vAlign w:val="center"/>
          </w:tcPr>
          <w:p w14:paraId="65955135" w14:textId="5978A5E7" w:rsidR="00850766" w:rsidRPr="00D40F8D" w:rsidRDefault="00850766" w:rsidP="00850766">
            <w:pPr>
              <w:jc w:val="center"/>
              <w:rPr>
                <w:sz w:val="20"/>
                <w:szCs w:val="20"/>
                <w:lang w:val="en-US"/>
              </w:rPr>
            </w:pPr>
            <w:r w:rsidRPr="00D40F8D">
              <w:rPr>
                <w:sz w:val="20"/>
                <w:szCs w:val="20"/>
                <w:lang w:val="en-US"/>
              </w:rPr>
              <w:t>Ward (</w:t>
            </w:r>
            <w:r w:rsidR="004051C9">
              <w:rPr>
                <w:sz w:val="20"/>
                <w:szCs w:val="20"/>
                <w:lang w:val="en-US"/>
              </w:rPr>
              <w:t>M</w:t>
            </w:r>
            <w:r w:rsidRPr="00D40F8D">
              <w:rPr>
                <w:sz w:val="20"/>
                <w:szCs w:val="20"/>
                <w:lang w:val="en-US"/>
              </w:rPr>
              <w:t>acro)</w:t>
            </w:r>
          </w:p>
        </w:tc>
        <w:tc>
          <w:tcPr>
            <w:tcW w:w="1416" w:type="dxa"/>
            <w:tcBorders>
              <w:top w:val="single" w:sz="4" w:space="0" w:color="auto"/>
              <w:bottom w:val="single" w:sz="4" w:space="0" w:color="auto"/>
            </w:tcBorders>
            <w:vAlign w:val="center"/>
          </w:tcPr>
          <w:p w14:paraId="2C595996" w14:textId="77777777" w:rsidR="00850766" w:rsidRPr="00D40F8D" w:rsidRDefault="00850766" w:rsidP="00850766">
            <w:pPr>
              <w:jc w:val="center"/>
              <w:rPr>
                <w:sz w:val="20"/>
                <w:szCs w:val="20"/>
              </w:rPr>
            </w:pPr>
            <w:r w:rsidRPr="00D40F8D">
              <w:rPr>
                <w:sz w:val="20"/>
                <w:szCs w:val="20"/>
              </w:rPr>
              <w:t>England</w:t>
            </w:r>
          </w:p>
        </w:tc>
        <w:tc>
          <w:tcPr>
            <w:tcW w:w="1089" w:type="dxa"/>
            <w:tcBorders>
              <w:top w:val="single" w:sz="4" w:space="0" w:color="auto"/>
              <w:bottom w:val="single" w:sz="4" w:space="0" w:color="auto"/>
            </w:tcBorders>
            <w:vAlign w:val="center"/>
          </w:tcPr>
          <w:p w14:paraId="7ACEA894" w14:textId="77777777" w:rsidR="00850766" w:rsidRDefault="00850766" w:rsidP="00850766">
            <w:pPr>
              <w:jc w:val="center"/>
              <w:rPr>
                <w:sz w:val="20"/>
                <w:szCs w:val="20"/>
                <w:lang w:val="en-US"/>
              </w:rPr>
            </w:pPr>
            <w:r w:rsidRPr="00D40F8D">
              <w:rPr>
                <w:sz w:val="20"/>
                <w:szCs w:val="20"/>
                <w:lang w:val="en-US"/>
              </w:rPr>
              <w:t xml:space="preserve">Any </w:t>
            </w:r>
          </w:p>
          <w:p w14:paraId="652634D8" w14:textId="77777777" w:rsidR="00850766" w:rsidRPr="00D40F8D" w:rsidRDefault="00850766" w:rsidP="00850766">
            <w:pPr>
              <w:jc w:val="center"/>
              <w:rPr>
                <w:sz w:val="20"/>
                <w:szCs w:val="20"/>
                <w:lang w:val="en-US"/>
              </w:rPr>
            </w:pPr>
            <w:r w:rsidRPr="00D40F8D">
              <w:rPr>
                <w:sz w:val="20"/>
                <w:szCs w:val="20"/>
                <w:lang w:val="en-US"/>
              </w:rPr>
              <w:t>Crash</w:t>
            </w:r>
          </w:p>
        </w:tc>
        <w:tc>
          <w:tcPr>
            <w:tcW w:w="2061" w:type="dxa"/>
            <w:tcBorders>
              <w:top w:val="single" w:sz="4" w:space="0" w:color="auto"/>
              <w:bottom w:val="single" w:sz="4" w:space="0" w:color="auto"/>
            </w:tcBorders>
            <w:vAlign w:val="center"/>
          </w:tcPr>
          <w:p w14:paraId="05C61EB6" w14:textId="77777777" w:rsidR="00850766" w:rsidRPr="00D40F8D" w:rsidRDefault="00850766" w:rsidP="00850766">
            <w:pPr>
              <w:jc w:val="left"/>
              <w:rPr>
                <w:sz w:val="20"/>
                <w:szCs w:val="20"/>
              </w:rPr>
            </w:pPr>
            <w:r w:rsidRPr="00D40F8D">
              <w:rPr>
                <w:sz w:val="20"/>
                <w:szCs w:val="20"/>
                <w:lang w:val="en-US"/>
              </w:rPr>
              <w:t>2 (slight accidents, fatal accidents</w:t>
            </w:r>
          </w:p>
        </w:tc>
        <w:tc>
          <w:tcPr>
            <w:tcW w:w="1998" w:type="dxa"/>
            <w:tcBorders>
              <w:top w:val="single" w:sz="4" w:space="0" w:color="auto"/>
              <w:bottom w:val="single" w:sz="4" w:space="0" w:color="auto"/>
            </w:tcBorders>
            <w:vAlign w:val="center"/>
          </w:tcPr>
          <w:p w14:paraId="1C94D03C" w14:textId="77777777" w:rsidR="00850766" w:rsidRPr="00D40F8D" w:rsidRDefault="00850766" w:rsidP="00850766">
            <w:pPr>
              <w:jc w:val="left"/>
              <w:rPr>
                <w:sz w:val="20"/>
                <w:szCs w:val="20"/>
                <w:lang w:val="en-US"/>
              </w:rPr>
            </w:pPr>
            <w:r w:rsidRPr="00D40F8D">
              <w:rPr>
                <w:sz w:val="20"/>
                <w:szCs w:val="20"/>
                <w:lang w:val="en-US"/>
              </w:rPr>
              <w:t>Multivariate Bayesian Model</w:t>
            </w:r>
          </w:p>
        </w:tc>
        <w:tc>
          <w:tcPr>
            <w:tcW w:w="652" w:type="dxa"/>
            <w:tcBorders>
              <w:top w:val="single" w:sz="4" w:space="0" w:color="auto"/>
              <w:bottom w:val="single" w:sz="4" w:space="0" w:color="auto"/>
            </w:tcBorders>
            <w:vAlign w:val="center"/>
          </w:tcPr>
          <w:p w14:paraId="14055668" w14:textId="77777777" w:rsidR="00850766" w:rsidRPr="00D40F8D" w:rsidRDefault="00850766" w:rsidP="00850766">
            <w:pPr>
              <w:jc w:val="center"/>
              <w:rPr>
                <w:b/>
                <w:sz w:val="20"/>
                <w:szCs w:val="20"/>
              </w:rPr>
            </w:pPr>
            <w:r w:rsidRPr="00D40F8D">
              <w:rPr>
                <w:b/>
                <w:sz w:val="20"/>
                <w:szCs w:val="20"/>
              </w:rPr>
              <w:t>√</w:t>
            </w:r>
          </w:p>
        </w:tc>
        <w:tc>
          <w:tcPr>
            <w:tcW w:w="459" w:type="dxa"/>
            <w:tcBorders>
              <w:top w:val="single" w:sz="4" w:space="0" w:color="auto"/>
              <w:bottom w:val="single" w:sz="4" w:space="0" w:color="auto"/>
            </w:tcBorders>
            <w:vAlign w:val="center"/>
          </w:tcPr>
          <w:p w14:paraId="2BD087A2" w14:textId="77777777" w:rsidR="00850766" w:rsidRPr="00D40F8D" w:rsidRDefault="00850766" w:rsidP="00850766">
            <w:pPr>
              <w:jc w:val="center"/>
              <w:rPr>
                <w:b/>
                <w:sz w:val="20"/>
                <w:szCs w:val="20"/>
              </w:rPr>
            </w:pPr>
            <w:r w:rsidRPr="00D40F8D">
              <w:rPr>
                <w:b/>
                <w:sz w:val="20"/>
                <w:szCs w:val="20"/>
              </w:rPr>
              <w:t>--</w:t>
            </w:r>
          </w:p>
        </w:tc>
        <w:tc>
          <w:tcPr>
            <w:tcW w:w="604" w:type="dxa"/>
            <w:tcBorders>
              <w:top w:val="single" w:sz="4" w:space="0" w:color="auto"/>
              <w:bottom w:val="single" w:sz="4" w:space="0" w:color="auto"/>
            </w:tcBorders>
            <w:vAlign w:val="center"/>
          </w:tcPr>
          <w:p w14:paraId="79F02000" w14:textId="77777777" w:rsidR="00850766" w:rsidRPr="00D40F8D" w:rsidRDefault="00850766" w:rsidP="00850766">
            <w:pPr>
              <w:jc w:val="center"/>
              <w:rPr>
                <w:b/>
                <w:sz w:val="20"/>
                <w:szCs w:val="20"/>
              </w:rPr>
            </w:pPr>
            <w:r w:rsidRPr="00D40F8D">
              <w:rPr>
                <w:b/>
                <w:sz w:val="20"/>
                <w:szCs w:val="20"/>
              </w:rPr>
              <w:t>--</w:t>
            </w:r>
          </w:p>
        </w:tc>
        <w:tc>
          <w:tcPr>
            <w:tcW w:w="604" w:type="dxa"/>
            <w:tcBorders>
              <w:top w:val="single" w:sz="4" w:space="0" w:color="auto"/>
              <w:bottom w:val="single" w:sz="4" w:space="0" w:color="auto"/>
            </w:tcBorders>
            <w:vAlign w:val="center"/>
          </w:tcPr>
          <w:p w14:paraId="0C088B27" w14:textId="77777777" w:rsidR="00850766" w:rsidRPr="00D40F8D" w:rsidRDefault="00850766" w:rsidP="00850766">
            <w:pPr>
              <w:jc w:val="center"/>
              <w:rPr>
                <w:b/>
                <w:sz w:val="20"/>
                <w:szCs w:val="20"/>
              </w:rPr>
            </w:pPr>
            <w:r w:rsidRPr="00D40F8D">
              <w:rPr>
                <w:b/>
                <w:sz w:val="20"/>
                <w:szCs w:val="20"/>
              </w:rPr>
              <w:t>√</w:t>
            </w:r>
          </w:p>
        </w:tc>
        <w:tc>
          <w:tcPr>
            <w:tcW w:w="604" w:type="dxa"/>
            <w:tcBorders>
              <w:top w:val="single" w:sz="4" w:space="0" w:color="auto"/>
              <w:bottom w:val="single" w:sz="4" w:space="0" w:color="auto"/>
            </w:tcBorders>
            <w:vAlign w:val="center"/>
          </w:tcPr>
          <w:p w14:paraId="3ECF010E" w14:textId="77777777" w:rsidR="00850766" w:rsidRPr="00D40F8D" w:rsidRDefault="00850766" w:rsidP="00850766">
            <w:pPr>
              <w:jc w:val="center"/>
              <w:rPr>
                <w:b/>
                <w:sz w:val="20"/>
                <w:szCs w:val="20"/>
              </w:rPr>
            </w:pPr>
            <w:r w:rsidRPr="00D40F8D">
              <w:rPr>
                <w:b/>
                <w:sz w:val="20"/>
                <w:szCs w:val="20"/>
              </w:rPr>
              <w:t>--</w:t>
            </w:r>
          </w:p>
        </w:tc>
        <w:tc>
          <w:tcPr>
            <w:tcW w:w="459" w:type="dxa"/>
            <w:tcBorders>
              <w:top w:val="single" w:sz="4" w:space="0" w:color="auto"/>
              <w:bottom w:val="single" w:sz="4" w:space="0" w:color="auto"/>
            </w:tcBorders>
            <w:vAlign w:val="center"/>
          </w:tcPr>
          <w:p w14:paraId="26683E2B" w14:textId="77777777" w:rsidR="00850766" w:rsidRPr="00D40F8D" w:rsidRDefault="00850766" w:rsidP="00850766">
            <w:pPr>
              <w:jc w:val="center"/>
              <w:rPr>
                <w:b/>
                <w:sz w:val="20"/>
                <w:szCs w:val="20"/>
              </w:rPr>
            </w:pPr>
            <w:r w:rsidRPr="00D40F8D">
              <w:rPr>
                <w:b/>
                <w:sz w:val="20"/>
                <w:szCs w:val="20"/>
              </w:rPr>
              <w:t>--</w:t>
            </w:r>
          </w:p>
        </w:tc>
      </w:tr>
      <w:tr w:rsidR="00494D9E" w:rsidRPr="00D40F8D" w14:paraId="5B45DF5A" w14:textId="77777777" w:rsidTr="004601C9">
        <w:trPr>
          <w:trHeight w:val="360"/>
        </w:trPr>
        <w:tc>
          <w:tcPr>
            <w:tcW w:w="1729" w:type="dxa"/>
            <w:tcBorders>
              <w:top w:val="single" w:sz="4" w:space="0" w:color="auto"/>
              <w:bottom w:val="single" w:sz="4" w:space="0" w:color="auto"/>
            </w:tcBorders>
            <w:vAlign w:val="center"/>
          </w:tcPr>
          <w:p w14:paraId="2C603EDF" w14:textId="230B1C12" w:rsidR="00850766" w:rsidRPr="00D40F8D" w:rsidRDefault="00850766" w:rsidP="00850766">
            <w:pPr>
              <w:jc w:val="left"/>
              <w:rPr>
                <w:sz w:val="20"/>
                <w:szCs w:val="20"/>
              </w:rPr>
            </w:pPr>
            <w:r w:rsidRPr="00D40F8D">
              <w:rPr>
                <w:sz w:val="20"/>
                <w:szCs w:val="20"/>
              </w:rPr>
              <w:fldChar w:fldCharType="begin" w:fldLock="1"/>
            </w:r>
            <w:r>
              <w:rPr>
                <w:sz w:val="20"/>
                <w:szCs w:val="20"/>
              </w:rPr>
              <w:instrText>ADDIN CSL_CITATION {"citationItems":[{"id":"ITEM-1","itemData":{"DOI":"10.1016/j.amar.2017.09.001","ISSN":"22136657","abstract":"Recent studies have begun to shed more light on the crashes experienced on rural roads by examining the influence of a road's pavement surface condition. In a bid to contribute to this growing body of knowledge and to facilitate comprehensive evaluation of pavement maintenance projects, this paper explores the safety effects of the pavement condition of rural roads. The paper tests the hypotheses that pavement roughness generally has a non-trivial residual impact on safety outcomes and that the magnitude and direction of these impacts differ across road segments. To explore these hypotheses, the paper presents crash frequency models for three levels of crash severity and also across five levels of road surface condition. The developed models use the multivariate random parameters negative binomial specification to account for the unobserved heterogeneity and correlation among the different levels of crash severity. The model results suggest that for pavements in fair or good condition, the surface condition parameter has fixed effects on the crash frequency, irrespective of the crash severity level. However, for pavements in poor condition, the surface condition variable in the crash model has a significant random parameter that is normally distributed. The positive portions of the parameter density function suggest that higher roughness (poorer condition) generally increases the expected crash frequency, likely because drivers may lose control of their vehicles. The negative portions suggest that within that condition range, higher surface roughness is generally associated with a lower expected crash frequency, likely because drivers are generally likely to drive more carefully on pavements in very poor condition (a manifestation of risk-compensation behavior). The developed models can help highway engineers quantify not only the safety benefits of road resurfacing projects but also the safety consequences of worsening road surface conditions arising from delay of pavement maintenance.","author":[{"dropping-particle":"","family":"Chen","given":"Sikai","non-dropping-particle":"","parse-names":false,"suffix":""},{"dropping-particle":"","family":"Saeed","given":"Tariq Usman","non-dropping-particle":"","parse-names":false,"suffix":""},{"dropping-particle":"","family":"Labi","given":"Samuel","non-dropping-particle":"","parse-names":false,"suffix":""}],"container-title":"Analytic Methods in Accident Research","id":"ITEM-1","issued":{"date-parts":[["2017"]]},"page":"75-89","title":"Impact of road-surface condition on rural highway safety: A multivariate random parameters negative binomial approach","type":"article-journal","volume":"16"},"uris":["http://www.mendeley.com/documents/?uuid=864963b2-d064-4bae-85ee-9969e71f53c2"]}],"mendeley":{"formattedCitation":"(Chen et al., 2017)","plainTextFormattedCitation":"(Chen et al., 2017)","previouslyFormattedCitation":"(Chen et al., 2017)"},"properties":{"noteIndex":0},"schema":"https://github.com/citation-style-language/schema/raw/master/csl-citation.json"}</w:instrText>
            </w:r>
            <w:r w:rsidRPr="00D40F8D">
              <w:rPr>
                <w:sz w:val="20"/>
                <w:szCs w:val="20"/>
              </w:rPr>
              <w:fldChar w:fldCharType="separate"/>
            </w:r>
            <w:r w:rsidRPr="00097239">
              <w:rPr>
                <w:noProof/>
                <w:sz w:val="20"/>
                <w:szCs w:val="20"/>
              </w:rPr>
              <w:t>(Chen et al., 2017)</w:t>
            </w:r>
            <w:r w:rsidRPr="00D40F8D">
              <w:rPr>
                <w:sz w:val="20"/>
                <w:szCs w:val="20"/>
              </w:rPr>
              <w:fldChar w:fldCharType="end"/>
            </w:r>
          </w:p>
        </w:tc>
        <w:tc>
          <w:tcPr>
            <w:tcW w:w="1238" w:type="dxa"/>
            <w:tcBorders>
              <w:top w:val="single" w:sz="4" w:space="0" w:color="auto"/>
              <w:bottom w:val="single" w:sz="4" w:space="0" w:color="auto"/>
            </w:tcBorders>
            <w:vAlign w:val="center"/>
          </w:tcPr>
          <w:p w14:paraId="0358B32D" w14:textId="77777777" w:rsidR="00850766" w:rsidRPr="00D40F8D" w:rsidRDefault="00850766" w:rsidP="00850766">
            <w:pPr>
              <w:jc w:val="center"/>
              <w:rPr>
                <w:sz w:val="20"/>
                <w:szCs w:val="20"/>
                <w:lang w:val="en-US"/>
              </w:rPr>
            </w:pPr>
            <w:r w:rsidRPr="00D40F8D">
              <w:rPr>
                <w:sz w:val="20"/>
                <w:szCs w:val="20"/>
                <w:lang w:val="en-US"/>
              </w:rPr>
              <w:t>Highway segment (Micro)</w:t>
            </w:r>
          </w:p>
        </w:tc>
        <w:tc>
          <w:tcPr>
            <w:tcW w:w="1416" w:type="dxa"/>
            <w:tcBorders>
              <w:top w:val="single" w:sz="4" w:space="0" w:color="auto"/>
              <w:bottom w:val="single" w:sz="4" w:space="0" w:color="auto"/>
            </w:tcBorders>
            <w:vAlign w:val="center"/>
          </w:tcPr>
          <w:p w14:paraId="7CDE87BB" w14:textId="77777777" w:rsidR="00850766" w:rsidRPr="00D40F8D" w:rsidRDefault="00850766" w:rsidP="00850766">
            <w:pPr>
              <w:jc w:val="center"/>
              <w:rPr>
                <w:sz w:val="20"/>
                <w:szCs w:val="20"/>
              </w:rPr>
            </w:pPr>
            <w:r w:rsidRPr="00D40F8D">
              <w:rPr>
                <w:sz w:val="20"/>
                <w:szCs w:val="20"/>
              </w:rPr>
              <w:t>State</w:t>
            </w:r>
          </w:p>
          <w:p w14:paraId="000A0E98" w14:textId="77777777" w:rsidR="00850766" w:rsidRPr="00D40F8D" w:rsidRDefault="00850766" w:rsidP="00850766">
            <w:pPr>
              <w:jc w:val="center"/>
              <w:rPr>
                <w:sz w:val="20"/>
                <w:szCs w:val="20"/>
              </w:rPr>
            </w:pPr>
            <w:r w:rsidRPr="00D40F8D">
              <w:rPr>
                <w:sz w:val="20"/>
                <w:szCs w:val="20"/>
              </w:rPr>
              <w:t>(Indiana)</w:t>
            </w:r>
          </w:p>
        </w:tc>
        <w:tc>
          <w:tcPr>
            <w:tcW w:w="1089" w:type="dxa"/>
            <w:tcBorders>
              <w:top w:val="single" w:sz="4" w:space="0" w:color="auto"/>
              <w:bottom w:val="single" w:sz="4" w:space="0" w:color="auto"/>
            </w:tcBorders>
            <w:vAlign w:val="center"/>
          </w:tcPr>
          <w:p w14:paraId="1CDE81DC" w14:textId="77777777" w:rsidR="00850766" w:rsidRPr="00D40F8D" w:rsidRDefault="00850766" w:rsidP="00850766">
            <w:pPr>
              <w:jc w:val="center"/>
              <w:rPr>
                <w:sz w:val="20"/>
                <w:szCs w:val="20"/>
                <w:lang w:val="en-US"/>
              </w:rPr>
            </w:pPr>
            <w:r w:rsidRPr="00D40F8D">
              <w:rPr>
                <w:sz w:val="20"/>
                <w:szCs w:val="20"/>
                <w:lang w:val="en-US"/>
              </w:rPr>
              <w:t>Motorized Crash</w:t>
            </w:r>
          </w:p>
        </w:tc>
        <w:tc>
          <w:tcPr>
            <w:tcW w:w="2061" w:type="dxa"/>
            <w:tcBorders>
              <w:top w:val="single" w:sz="4" w:space="0" w:color="auto"/>
              <w:bottom w:val="single" w:sz="4" w:space="0" w:color="auto"/>
            </w:tcBorders>
            <w:vAlign w:val="center"/>
          </w:tcPr>
          <w:p w14:paraId="1F28A7F2" w14:textId="77777777" w:rsidR="00850766" w:rsidRPr="00D40F8D" w:rsidRDefault="00850766" w:rsidP="00850766">
            <w:pPr>
              <w:jc w:val="left"/>
              <w:rPr>
                <w:sz w:val="20"/>
                <w:szCs w:val="20"/>
                <w:lang w:val="en-US"/>
              </w:rPr>
            </w:pPr>
            <w:r w:rsidRPr="00D40F8D">
              <w:rPr>
                <w:sz w:val="20"/>
                <w:szCs w:val="20"/>
                <w:lang w:val="en-US"/>
              </w:rPr>
              <w:t>3 (PDO, possible injury, and injury/fatality)</w:t>
            </w:r>
          </w:p>
        </w:tc>
        <w:tc>
          <w:tcPr>
            <w:tcW w:w="1998" w:type="dxa"/>
            <w:tcBorders>
              <w:top w:val="single" w:sz="4" w:space="0" w:color="auto"/>
              <w:bottom w:val="single" w:sz="4" w:space="0" w:color="auto"/>
            </w:tcBorders>
            <w:vAlign w:val="center"/>
          </w:tcPr>
          <w:p w14:paraId="75BFB9EA" w14:textId="77777777" w:rsidR="00850766" w:rsidRPr="00D40F8D" w:rsidRDefault="00850766" w:rsidP="00850766">
            <w:pPr>
              <w:jc w:val="left"/>
              <w:rPr>
                <w:sz w:val="20"/>
                <w:szCs w:val="20"/>
                <w:lang w:val="en-US"/>
              </w:rPr>
            </w:pPr>
            <w:r w:rsidRPr="00D40F8D">
              <w:rPr>
                <w:sz w:val="20"/>
                <w:szCs w:val="20"/>
                <w:lang w:val="en-US"/>
              </w:rPr>
              <w:t>Multivariate Random Parameters Negative Binomial Approach</w:t>
            </w:r>
          </w:p>
        </w:tc>
        <w:tc>
          <w:tcPr>
            <w:tcW w:w="652" w:type="dxa"/>
            <w:tcBorders>
              <w:top w:val="single" w:sz="4" w:space="0" w:color="auto"/>
              <w:bottom w:val="single" w:sz="4" w:space="0" w:color="auto"/>
            </w:tcBorders>
            <w:vAlign w:val="center"/>
          </w:tcPr>
          <w:p w14:paraId="574C3F64" w14:textId="77777777" w:rsidR="00850766" w:rsidRPr="00D40F8D" w:rsidRDefault="00850766" w:rsidP="00850766">
            <w:pPr>
              <w:jc w:val="center"/>
              <w:rPr>
                <w:b/>
                <w:sz w:val="20"/>
                <w:szCs w:val="20"/>
              </w:rPr>
            </w:pPr>
            <w:r w:rsidRPr="00D40F8D">
              <w:rPr>
                <w:b/>
                <w:sz w:val="20"/>
                <w:szCs w:val="20"/>
              </w:rPr>
              <w:t>√</w:t>
            </w:r>
          </w:p>
        </w:tc>
        <w:tc>
          <w:tcPr>
            <w:tcW w:w="459" w:type="dxa"/>
            <w:tcBorders>
              <w:top w:val="single" w:sz="4" w:space="0" w:color="auto"/>
              <w:bottom w:val="single" w:sz="4" w:space="0" w:color="auto"/>
            </w:tcBorders>
            <w:vAlign w:val="center"/>
          </w:tcPr>
          <w:p w14:paraId="2328C30F" w14:textId="77777777" w:rsidR="00850766" w:rsidRPr="00D40F8D" w:rsidRDefault="00850766" w:rsidP="00850766">
            <w:pPr>
              <w:jc w:val="center"/>
              <w:rPr>
                <w:b/>
                <w:sz w:val="20"/>
                <w:szCs w:val="20"/>
              </w:rPr>
            </w:pPr>
            <w:r w:rsidRPr="00D40F8D">
              <w:rPr>
                <w:b/>
                <w:sz w:val="20"/>
                <w:szCs w:val="20"/>
              </w:rPr>
              <w:t>--</w:t>
            </w:r>
          </w:p>
        </w:tc>
        <w:tc>
          <w:tcPr>
            <w:tcW w:w="604" w:type="dxa"/>
            <w:tcBorders>
              <w:top w:val="single" w:sz="4" w:space="0" w:color="auto"/>
              <w:bottom w:val="single" w:sz="4" w:space="0" w:color="auto"/>
            </w:tcBorders>
            <w:vAlign w:val="center"/>
          </w:tcPr>
          <w:p w14:paraId="6DCFE738" w14:textId="77777777" w:rsidR="00850766" w:rsidRPr="00D40F8D" w:rsidRDefault="00850766" w:rsidP="00850766">
            <w:pPr>
              <w:jc w:val="center"/>
              <w:rPr>
                <w:b/>
                <w:sz w:val="20"/>
                <w:szCs w:val="20"/>
              </w:rPr>
            </w:pPr>
            <w:r w:rsidRPr="00D40F8D">
              <w:rPr>
                <w:b/>
                <w:sz w:val="20"/>
                <w:szCs w:val="20"/>
              </w:rPr>
              <w:t>--</w:t>
            </w:r>
          </w:p>
        </w:tc>
        <w:tc>
          <w:tcPr>
            <w:tcW w:w="604" w:type="dxa"/>
            <w:tcBorders>
              <w:top w:val="single" w:sz="4" w:space="0" w:color="auto"/>
              <w:bottom w:val="single" w:sz="4" w:space="0" w:color="auto"/>
            </w:tcBorders>
            <w:vAlign w:val="center"/>
          </w:tcPr>
          <w:p w14:paraId="5BE64834" w14:textId="77777777" w:rsidR="00850766" w:rsidRPr="00D40F8D" w:rsidRDefault="00850766" w:rsidP="00850766">
            <w:pPr>
              <w:jc w:val="center"/>
              <w:rPr>
                <w:b/>
                <w:sz w:val="20"/>
                <w:szCs w:val="20"/>
              </w:rPr>
            </w:pPr>
            <w:r w:rsidRPr="00D40F8D">
              <w:rPr>
                <w:b/>
                <w:sz w:val="20"/>
                <w:szCs w:val="20"/>
              </w:rPr>
              <w:t>√</w:t>
            </w:r>
          </w:p>
        </w:tc>
        <w:tc>
          <w:tcPr>
            <w:tcW w:w="604" w:type="dxa"/>
            <w:tcBorders>
              <w:top w:val="single" w:sz="4" w:space="0" w:color="auto"/>
              <w:bottom w:val="single" w:sz="4" w:space="0" w:color="auto"/>
            </w:tcBorders>
            <w:vAlign w:val="center"/>
          </w:tcPr>
          <w:p w14:paraId="2C6CCC48" w14:textId="77777777" w:rsidR="00850766" w:rsidRPr="00D40F8D" w:rsidRDefault="00850766" w:rsidP="00850766">
            <w:pPr>
              <w:jc w:val="center"/>
              <w:rPr>
                <w:b/>
                <w:sz w:val="20"/>
                <w:szCs w:val="20"/>
              </w:rPr>
            </w:pPr>
            <w:r w:rsidRPr="00D40F8D">
              <w:rPr>
                <w:b/>
                <w:sz w:val="20"/>
                <w:szCs w:val="20"/>
              </w:rPr>
              <w:t>--</w:t>
            </w:r>
          </w:p>
        </w:tc>
        <w:tc>
          <w:tcPr>
            <w:tcW w:w="459" w:type="dxa"/>
            <w:tcBorders>
              <w:top w:val="single" w:sz="4" w:space="0" w:color="auto"/>
              <w:bottom w:val="single" w:sz="4" w:space="0" w:color="auto"/>
            </w:tcBorders>
            <w:vAlign w:val="center"/>
          </w:tcPr>
          <w:p w14:paraId="64E5B461" w14:textId="77777777" w:rsidR="00850766" w:rsidRPr="00D40F8D" w:rsidRDefault="00850766" w:rsidP="00850766">
            <w:pPr>
              <w:jc w:val="center"/>
              <w:rPr>
                <w:b/>
                <w:sz w:val="20"/>
                <w:szCs w:val="20"/>
              </w:rPr>
            </w:pPr>
            <w:r w:rsidRPr="00D40F8D">
              <w:rPr>
                <w:b/>
                <w:sz w:val="20"/>
                <w:szCs w:val="20"/>
              </w:rPr>
              <w:t>--</w:t>
            </w:r>
          </w:p>
        </w:tc>
      </w:tr>
      <w:tr w:rsidR="00494D9E" w:rsidRPr="00D40F8D" w14:paraId="526CD232" w14:textId="77777777" w:rsidTr="004601C9">
        <w:trPr>
          <w:trHeight w:val="360"/>
        </w:trPr>
        <w:tc>
          <w:tcPr>
            <w:tcW w:w="1729" w:type="dxa"/>
            <w:tcBorders>
              <w:top w:val="single" w:sz="4" w:space="0" w:color="auto"/>
              <w:bottom w:val="single" w:sz="4" w:space="0" w:color="auto"/>
            </w:tcBorders>
            <w:vAlign w:val="center"/>
          </w:tcPr>
          <w:p w14:paraId="2296720A" w14:textId="47FE81BF" w:rsidR="00850766" w:rsidRPr="00D40F8D" w:rsidRDefault="00850766" w:rsidP="00850766">
            <w:pPr>
              <w:jc w:val="left"/>
              <w:rPr>
                <w:sz w:val="20"/>
                <w:szCs w:val="20"/>
              </w:rPr>
            </w:pPr>
            <w:r w:rsidRPr="00D40F8D">
              <w:rPr>
                <w:sz w:val="20"/>
                <w:szCs w:val="20"/>
              </w:rPr>
              <w:fldChar w:fldCharType="begin" w:fldLock="1"/>
            </w:r>
            <w:r>
              <w:rPr>
                <w:sz w:val="20"/>
                <w:szCs w:val="20"/>
              </w:rPr>
              <w:instrText>ADDIN CSL_CITATION {"citationItems":[{"id":"ITEM-1","itemData":{"DOI":"10.1016/j.amar.2017.06.001","ISSN":"22136657","abstract":"Road traffic crashes threaten thousands of drivers every day and significant efforts have been put forth to reduce the number and mitigate the impacts of traffic crashes. Although the last decade has witnessed substantial methodological improvements in crash prediction modelling, several methodological challenges still remain in terms of predicting crash frequencies of different injury severity levels. These challenges include spatial correlation and/or heterogeneity, temporal correlation and/or heterogeneity, and correlations between crash frequencies of different injury severity level. A framework of Bayesian multivariate space-time model is developed to address these challenges. A series of multivariate space-time models are proposed under the Full Bayesian framework with different assumptions on the spatial and temporal random effects. In addition to the ability to consider both temporal and spatial trends, the proposed framework is also capable of addressing complex correlations between crash types. It allows the underlying unobserved heterogeneity to be better captured and enables borrowing strength across spatial units and time points, as well as over crash types. The proposed methodology is illustrated using one-year daily traffic crash data from the mountainous interstate highway I70 in Colorado, which is categorized into no injury crash and injury crash. The results show that multivariate space-time model outperforms other alternatives, including multivariate random effects model and multivariate spatial models. The model comparison results highlight the importance to properly account for spatial effects, temporal effects and correlations between crash types.","author":[{"dropping-particle":"","family":"Ma","given":"Xiaoxiang","non-dropping-particle":"","parse-names":false,"suffix":""},{"dropping-particle":"","family":"Chen","given":"Suren","non-dropping-particle":"","parse-names":false,"suffix":""},{"dropping-particle":"","family":"Chen","given":"Feng","non-dropping-particle":"","parse-names":false,"suffix":""}],"container-title":"Analytic Methods in Accident Research","id":"ITEM-1","issued":{"date-parts":[["2017"]]},"page":"29-40","title":"Multivariate space-time modeling of crash frequencies by injury severity levels","type":"article-journal","volume":"15"},"uris":["http://www.mendeley.com/documents/?uuid=82734d4e-8dc0-4a89-a36f-b2ba7396bf80"]}],"mendeley":{"formattedCitation":"(Ma et al., 2017)","plainTextFormattedCitation":"(Ma et al., 2017)","previouslyFormattedCitation":"(Ma et al., 2017)"},"properties":{"noteIndex":0},"schema":"https://github.com/citation-style-language/schema/raw/master/csl-citation.json"}</w:instrText>
            </w:r>
            <w:r w:rsidRPr="00D40F8D">
              <w:rPr>
                <w:sz w:val="20"/>
                <w:szCs w:val="20"/>
              </w:rPr>
              <w:fldChar w:fldCharType="separate"/>
            </w:r>
            <w:r w:rsidRPr="00097239">
              <w:rPr>
                <w:noProof/>
                <w:sz w:val="20"/>
                <w:szCs w:val="20"/>
              </w:rPr>
              <w:t>(Ma et al., 2017)</w:t>
            </w:r>
            <w:r w:rsidRPr="00D40F8D">
              <w:rPr>
                <w:sz w:val="20"/>
                <w:szCs w:val="20"/>
              </w:rPr>
              <w:fldChar w:fldCharType="end"/>
            </w:r>
          </w:p>
        </w:tc>
        <w:tc>
          <w:tcPr>
            <w:tcW w:w="1238" w:type="dxa"/>
            <w:tcBorders>
              <w:top w:val="single" w:sz="4" w:space="0" w:color="auto"/>
              <w:bottom w:val="single" w:sz="4" w:space="0" w:color="auto"/>
            </w:tcBorders>
            <w:vAlign w:val="center"/>
          </w:tcPr>
          <w:p w14:paraId="00A1A428" w14:textId="77777777" w:rsidR="00850766" w:rsidRPr="00D40F8D" w:rsidRDefault="00850766" w:rsidP="00850766">
            <w:pPr>
              <w:jc w:val="center"/>
              <w:rPr>
                <w:sz w:val="20"/>
                <w:szCs w:val="20"/>
                <w:lang w:val="en-US"/>
              </w:rPr>
            </w:pPr>
            <w:r w:rsidRPr="00D40F8D">
              <w:rPr>
                <w:sz w:val="20"/>
                <w:szCs w:val="20"/>
                <w:lang w:val="en-US"/>
              </w:rPr>
              <w:t>Highway segment (Micro)</w:t>
            </w:r>
          </w:p>
        </w:tc>
        <w:tc>
          <w:tcPr>
            <w:tcW w:w="1416" w:type="dxa"/>
            <w:tcBorders>
              <w:top w:val="single" w:sz="4" w:space="0" w:color="auto"/>
              <w:bottom w:val="single" w:sz="4" w:space="0" w:color="auto"/>
            </w:tcBorders>
            <w:vAlign w:val="center"/>
          </w:tcPr>
          <w:p w14:paraId="542340B0" w14:textId="77777777" w:rsidR="00850766" w:rsidRPr="00D40F8D" w:rsidRDefault="00850766" w:rsidP="00850766">
            <w:pPr>
              <w:jc w:val="center"/>
              <w:rPr>
                <w:sz w:val="20"/>
                <w:szCs w:val="20"/>
              </w:rPr>
            </w:pPr>
            <w:r w:rsidRPr="00D40F8D">
              <w:rPr>
                <w:sz w:val="20"/>
                <w:szCs w:val="20"/>
              </w:rPr>
              <w:t>Interstate I70 (Colorado)</w:t>
            </w:r>
          </w:p>
        </w:tc>
        <w:tc>
          <w:tcPr>
            <w:tcW w:w="1089" w:type="dxa"/>
            <w:tcBorders>
              <w:top w:val="single" w:sz="4" w:space="0" w:color="auto"/>
              <w:bottom w:val="single" w:sz="4" w:space="0" w:color="auto"/>
            </w:tcBorders>
            <w:vAlign w:val="center"/>
          </w:tcPr>
          <w:p w14:paraId="67757594" w14:textId="77777777" w:rsidR="00850766" w:rsidRPr="00D40F8D" w:rsidRDefault="00850766" w:rsidP="00850766">
            <w:pPr>
              <w:jc w:val="center"/>
              <w:rPr>
                <w:sz w:val="20"/>
                <w:szCs w:val="20"/>
              </w:rPr>
            </w:pPr>
            <w:r w:rsidRPr="00D40F8D">
              <w:rPr>
                <w:sz w:val="20"/>
                <w:szCs w:val="20"/>
              </w:rPr>
              <w:t>Motorized Crash</w:t>
            </w:r>
          </w:p>
        </w:tc>
        <w:tc>
          <w:tcPr>
            <w:tcW w:w="2061" w:type="dxa"/>
            <w:tcBorders>
              <w:top w:val="single" w:sz="4" w:space="0" w:color="auto"/>
              <w:bottom w:val="single" w:sz="4" w:space="0" w:color="auto"/>
            </w:tcBorders>
            <w:vAlign w:val="center"/>
          </w:tcPr>
          <w:p w14:paraId="202CABAC" w14:textId="77777777" w:rsidR="00850766" w:rsidRPr="00D40F8D" w:rsidRDefault="00850766" w:rsidP="00850766">
            <w:pPr>
              <w:jc w:val="left"/>
              <w:rPr>
                <w:sz w:val="20"/>
                <w:szCs w:val="20"/>
              </w:rPr>
            </w:pPr>
            <w:r w:rsidRPr="00D40F8D">
              <w:rPr>
                <w:sz w:val="20"/>
                <w:szCs w:val="20"/>
              </w:rPr>
              <w:t>2 (injury, no injury)</w:t>
            </w:r>
          </w:p>
        </w:tc>
        <w:tc>
          <w:tcPr>
            <w:tcW w:w="1998" w:type="dxa"/>
            <w:tcBorders>
              <w:top w:val="single" w:sz="4" w:space="0" w:color="auto"/>
              <w:bottom w:val="single" w:sz="4" w:space="0" w:color="auto"/>
            </w:tcBorders>
            <w:vAlign w:val="center"/>
          </w:tcPr>
          <w:p w14:paraId="6CC2B774" w14:textId="77777777" w:rsidR="00850766" w:rsidRPr="00D40F8D" w:rsidRDefault="00850766" w:rsidP="00850766">
            <w:pPr>
              <w:jc w:val="left"/>
              <w:rPr>
                <w:sz w:val="20"/>
                <w:szCs w:val="20"/>
                <w:lang w:val="en-US"/>
              </w:rPr>
            </w:pPr>
            <w:r w:rsidRPr="00D40F8D">
              <w:rPr>
                <w:sz w:val="20"/>
                <w:szCs w:val="20"/>
                <w:lang w:val="en-US"/>
              </w:rPr>
              <w:t xml:space="preserve">Multivariate Poisson lognormal (normal, spatial and </w:t>
            </w:r>
            <w:proofErr w:type="spellStart"/>
            <w:r w:rsidRPr="00D40F8D">
              <w:rPr>
                <w:sz w:val="20"/>
                <w:szCs w:val="20"/>
                <w:lang w:val="en-US"/>
              </w:rPr>
              <w:t>spatio</w:t>
            </w:r>
            <w:proofErr w:type="spellEnd"/>
            <w:r w:rsidRPr="00D40F8D">
              <w:rPr>
                <w:sz w:val="20"/>
                <w:szCs w:val="20"/>
                <w:lang w:val="en-US"/>
              </w:rPr>
              <w:t>-temporal)</w:t>
            </w:r>
          </w:p>
        </w:tc>
        <w:tc>
          <w:tcPr>
            <w:tcW w:w="652" w:type="dxa"/>
            <w:tcBorders>
              <w:top w:val="single" w:sz="4" w:space="0" w:color="auto"/>
              <w:bottom w:val="single" w:sz="4" w:space="0" w:color="auto"/>
            </w:tcBorders>
            <w:vAlign w:val="center"/>
          </w:tcPr>
          <w:p w14:paraId="0504D268" w14:textId="77777777" w:rsidR="00850766" w:rsidRPr="00D40F8D" w:rsidRDefault="00850766" w:rsidP="00850766">
            <w:pPr>
              <w:jc w:val="center"/>
              <w:rPr>
                <w:b/>
                <w:sz w:val="20"/>
                <w:szCs w:val="20"/>
              </w:rPr>
            </w:pPr>
            <w:r w:rsidRPr="00D40F8D">
              <w:rPr>
                <w:b/>
                <w:sz w:val="20"/>
                <w:szCs w:val="20"/>
              </w:rPr>
              <w:t>√</w:t>
            </w:r>
          </w:p>
        </w:tc>
        <w:tc>
          <w:tcPr>
            <w:tcW w:w="459" w:type="dxa"/>
            <w:tcBorders>
              <w:top w:val="single" w:sz="4" w:space="0" w:color="auto"/>
              <w:bottom w:val="single" w:sz="4" w:space="0" w:color="auto"/>
            </w:tcBorders>
            <w:vAlign w:val="center"/>
          </w:tcPr>
          <w:p w14:paraId="25089D99" w14:textId="77777777" w:rsidR="00850766" w:rsidRPr="00D40F8D" w:rsidRDefault="00850766" w:rsidP="00850766">
            <w:pPr>
              <w:jc w:val="center"/>
              <w:rPr>
                <w:b/>
                <w:sz w:val="20"/>
                <w:szCs w:val="20"/>
              </w:rPr>
            </w:pPr>
            <w:r w:rsidRPr="00D40F8D">
              <w:rPr>
                <w:b/>
                <w:sz w:val="20"/>
                <w:szCs w:val="20"/>
              </w:rPr>
              <w:t>--</w:t>
            </w:r>
          </w:p>
        </w:tc>
        <w:tc>
          <w:tcPr>
            <w:tcW w:w="604" w:type="dxa"/>
            <w:tcBorders>
              <w:top w:val="single" w:sz="4" w:space="0" w:color="auto"/>
              <w:bottom w:val="single" w:sz="4" w:space="0" w:color="auto"/>
            </w:tcBorders>
            <w:vAlign w:val="center"/>
          </w:tcPr>
          <w:p w14:paraId="5692CACD" w14:textId="77777777" w:rsidR="00850766" w:rsidRPr="00D40F8D" w:rsidRDefault="00850766" w:rsidP="00850766">
            <w:pPr>
              <w:jc w:val="center"/>
              <w:rPr>
                <w:b/>
                <w:sz w:val="20"/>
                <w:szCs w:val="20"/>
              </w:rPr>
            </w:pPr>
            <w:r w:rsidRPr="00D40F8D">
              <w:rPr>
                <w:b/>
                <w:sz w:val="20"/>
                <w:szCs w:val="20"/>
              </w:rPr>
              <w:t>--</w:t>
            </w:r>
          </w:p>
        </w:tc>
        <w:tc>
          <w:tcPr>
            <w:tcW w:w="604" w:type="dxa"/>
            <w:tcBorders>
              <w:top w:val="single" w:sz="4" w:space="0" w:color="auto"/>
              <w:bottom w:val="single" w:sz="4" w:space="0" w:color="auto"/>
            </w:tcBorders>
            <w:vAlign w:val="center"/>
          </w:tcPr>
          <w:p w14:paraId="587AFA9B" w14:textId="77777777" w:rsidR="00850766" w:rsidRPr="00D40F8D" w:rsidRDefault="00850766" w:rsidP="00850766">
            <w:pPr>
              <w:jc w:val="center"/>
              <w:rPr>
                <w:b/>
                <w:sz w:val="20"/>
                <w:szCs w:val="20"/>
              </w:rPr>
            </w:pPr>
            <w:r w:rsidRPr="00D40F8D">
              <w:rPr>
                <w:b/>
                <w:sz w:val="20"/>
                <w:szCs w:val="20"/>
              </w:rPr>
              <w:t>√</w:t>
            </w:r>
          </w:p>
        </w:tc>
        <w:tc>
          <w:tcPr>
            <w:tcW w:w="604" w:type="dxa"/>
            <w:tcBorders>
              <w:top w:val="single" w:sz="4" w:space="0" w:color="auto"/>
              <w:bottom w:val="single" w:sz="4" w:space="0" w:color="auto"/>
            </w:tcBorders>
            <w:vAlign w:val="center"/>
          </w:tcPr>
          <w:p w14:paraId="00ECE7E0" w14:textId="77777777" w:rsidR="00850766" w:rsidRPr="00D40F8D" w:rsidRDefault="00850766" w:rsidP="00850766">
            <w:pPr>
              <w:jc w:val="center"/>
              <w:rPr>
                <w:b/>
                <w:sz w:val="20"/>
                <w:szCs w:val="20"/>
              </w:rPr>
            </w:pPr>
            <w:r w:rsidRPr="00D40F8D">
              <w:rPr>
                <w:b/>
                <w:sz w:val="20"/>
                <w:szCs w:val="20"/>
              </w:rPr>
              <w:t>--</w:t>
            </w:r>
          </w:p>
        </w:tc>
        <w:tc>
          <w:tcPr>
            <w:tcW w:w="459" w:type="dxa"/>
            <w:tcBorders>
              <w:top w:val="single" w:sz="4" w:space="0" w:color="auto"/>
              <w:bottom w:val="single" w:sz="4" w:space="0" w:color="auto"/>
            </w:tcBorders>
            <w:vAlign w:val="center"/>
          </w:tcPr>
          <w:p w14:paraId="1B882E81" w14:textId="77777777" w:rsidR="00850766" w:rsidRPr="00D40F8D" w:rsidRDefault="00850766" w:rsidP="00850766">
            <w:pPr>
              <w:jc w:val="center"/>
              <w:rPr>
                <w:b/>
                <w:sz w:val="20"/>
                <w:szCs w:val="20"/>
              </w:rPr>
            </w:pPr>
            <w:r w:rsidRPr="00D40F8D">
              <w:rPr>
                <w:b/>
                <w:sz w:val="20"/>
                <w:szCs w:val="20"/>
              </w:rPr>
              <w:t>√</w:t>
            </w:r>
          </w:p>
        </w:tc>
      </w:tr>
      <w:tr w:rsidR="00494D9E" w:rsidRPr="00D40F8D" w14:paraId="6F45BA93" w14:textId="77777777" w:rsidTr="004601C9">
        <w:trPr>
          <w:trHeight w:val="576"/>
        </w:trPr>
        <w:tc>
          <w:tcPr>
            <w:tcW w:w="1729" w:type="dxa"/>
            <w:vAlign w:val="center"/>
          </w:tcPr>
          <w:p w14:paraId="33C8AA82" w14:textId="7FFAB9E7" w:rsidR="00850766" w:rsidRPr="00D40F8D" w:rsidRDefault="00850766" w:rsidP="00850766">
            <w:pPr>
              <w:jc w:val="left"/>
              <w:rPr>
                <w:sz w:val="20"/>
                <w:szCs w:val="20"/>
              </w:rPr>
            </w:pPr>
            <w:r>
              <w:rPr>
                <w:sz w:val="20"/>
                <w:szCs w:val="20"/>
              </w:rPr>
              <w:fldChar w:fldCharType="begin" w:fldLock="1"/>
            </w:r>
            <w:r>
              <w:rPr>
                <w:sz w:val="20"/>
                <w:szCs w:val="20"/>
              </w:rPr>
              <w:instrText>ADDIN CSL_CITATION {"citationItems":[{"id":"ITEM-1","itemData":{"DOI":"10.1016/j.aap.2016.11.006","ISSN":"00014575","PMID":"27846421","abstract":"In an effort to improve traffic safety, there has been considerable interest in estimating crash prediction models and identifying factors contributing to crashes. To account for crash frequency variations among crash types and severities, crash prediction models have been estimated by type and severity. The univariate crash count models have been used by researchers to estimate crashes by crash type or severity, in which the crash counts by type or severity are assumed to be independent of one another and modelled separately. When considering crash types and severities simultaneously, this may neglect the potential correlations between crash counts due to the presence of shared unobserved factors across crash types or severities for a specific roadway intersection or segment, and might lead to biased parameter estimation and reduce model accuracy. The focus on this study is to estimate crashes by both crash type and crash severity using the Integrated Nested Laplace Approximation (INLA) Multivariate Poisson Lognormal (MVPLN) model, and identify the different effects of contributing factors on different crash type and severity counts on rural two-lane highways. The INLA MVPLN model can simultaneously model crash counts by crash type and crash severity by accounting for the potential correlations among them and significantly decreases the computational time compared with a fully Bayesian fitting of the MVPLN model using Markov Chain Monte Carlo (MCMC) method. This paper describes estimation of MVPLN models for three-way stop controlled (3ST) intersections, four-way stop controlled (4ST) intersections, four-way signalized (4SG) intersections, and roadway segments on rural two-lane highways. Annual Average Daily traffic (AADT) and variables describing roadway conditions (including presence of lighting, presence of left-turn/right-turn lane, lane width and shoulder width) were used as predictors. A Univariate Poisson Lognormal (UPLN) was estimated by crash type and severity for each highway facility, and their prediction results are compared with the MVPLN model based on the Average Predicted Mean Absolute Error (APMAE) statistic. A UPLN model for total crashes was also estimated to compare the coefficients of contributing factors with the models that estimate crashes by crash type and severity. The model coefficient estimates show that the signs of coefficients for presence of left-turn lane, presence of right-turn lane, land width and speed limit are diff…","author":[{"dropping-particle":"","family":"Wang","given":"Kai","non-dropping-particle":"","parse-names":false,"suffix":""},{"dropping-particle":"","family":"Ivan","given":"John N.","non-dropping-particle":"","parse-names":false,"suffix":""},{"dropping-particle":"","family":"Ravishanker","given":"Nalini","non-dropping-particle":"","parse-names":false,"suffix":""},{"dropping-particle":"","family":"Jackson","given":"Eric","non-dropping-particle":"","parse-names":false,"suffix":""}],"container-title":"Accident Analysis and Prevention","id":"ITEM-1","issued":{"date-parts":[["2017"]]},"page":"6-19","publisher":"Elsevier","title":"Multivariate poisson lognormal modeling of crashes by type and severity on rural two lane highways","type":"article-journal","volume":"99"},"uris":["http://www.mendeley.com/documents/?uuid=cd4363d3-bec3-4ad7-999f-eebed37cb49b"]}],"mendeley":{"formattedCitation":"(Wang et al., 2017)","plainTextFormattedCitation":"(Wang et al., 2017)","previouslyFormattedCitation":"(Wang et al., 2017)"},"properties":{"noteIndex":0},"schema":"https://github.com/citation-style-language/schema/raw/master/csl-citation.json"}</w:instrText>
            </w:r>
            <w:r>
              <w:rPr>
                <w:sz w:val="20"/>
                <w:szCs w:val="20"/>
              </w:rPr>
              <w:fldChar w:fldCharType="separate"/>
            </w:r>
            <w:r w:rsidRPr="00097239">
              <w:rPr>
                <w:noProof/>
                <w:sz w:val="20"/>
                <w:szCs w:val="20"/>
              </w:rPr>
              <w:t>(Wang et al., 2017)</w:t>
            </w:r>
            <w:r>
              <w:rPr>
                <w:sz w:val="20"/>
                <w:szCs w:val="20"/>
              </w:rPr>
              <w:fldChar w:fldCharType="end"/>
            </w:r>
          </w:p>
        </w:tc>
        <w:tc>
          <w:tcPr>
            <w:tcW w:w="1238" w:type="dxa"/>
            <w:vAlign w:val="center"/>
          </w:tcPr>
          <w:p w14:paraId="34421365" w14:textId="77777777" w:rsidR="00850766" w:rsidRPr="00D40F8D" w:rsidRDefault="00850766" w:rsidP="00850766">
            <w:pPr>
              <w:jc w:val="center"/>
              <w:rPr>
                <w:sz w:val="20"/>
                <w:szCs w:val="20"/>
              </w:rPr>
            </w:pPr>
            <w:r>
              <w:rPr>
                <w:sz w:val="20"/>
                <w:szCs w:val="20"/>
                <w:lang w:val="en-US"/>
              </w:rPr>
              <w:t>Road segments, intersections (Micro)</w:t>
            </w:r>
          </w:p>
        </w:tc>
        <w:tc>
          <w:tcPr>
            <w:tcW w:w="1416" w:type="dxa"/>
            <w:vAlign w:val="center"/>
          </w:tcPr>
          <w:p w14:paraId="65EEDF2F" w14:textId="77777777" w:rsidR="00850766" w:rsidRDefault="00850766" w:rsidP="00850766">
            <w:pPr>
              <w:jc w:val="center"/>
              <w:rPr>
                <w:sz w:val="20"/>
                <w:szCs w:val="20"/>
                <w:lang w:val="en-US"/>
              </w:rPr>
            </w:pPr>
            <w:r>
              <w:rPr>
                <w:sz w:val="20"/>
                <w:szCs w:val="20"/>
                <w:lang w:val="en-US"/>
              </w:rPr>
              <w:t>State</w:t>
            </w:r>
          </w:p>
          <w:p w14:paraId="17F4F195" w14:textId="77777777" w:rsidR="00850766" w:rsidRPr="00D40F8D" w:rsidRDefault="00850766" w:rsidP="00850766">
            <w:pPr>
              <w:jc w:val="center"/>
              <w:rPr>
                <w:sz w:val="20"/>
                <w:szCs w:val="20"/>
              </w:rPr>
            </w:pPr>
            <w:r>
              <w:rPr>
                <w:sz w:val="20"/>
                <w:szCs w:val="20"/>
                <w:lang w:val="en-US"/>
              </w:rPr>
              <w:t xml:space="preserve">(Minnesota, </w:t>
            </w:r>
            <w:r w:rsidRPr="00D40F8D">
              <w:rPr>
                <w:sz w:val="20"/>
                <w:szCs w:val="20"/>
              </w:rPr>
              <w:t>Washington</w:t>
            </w:r>
            <w:r>
              <w:rPr>
                <w:sz w:val="20"/>
                <w:szCs w:val="20"/>
                <w:lang w:val="en-US"/>
              </w:rPr>
              <w:t>)</w:t>
            </w:r>
          </w:p>
        </w:tc>
        <w:tc>
          <w:tcPr>
            <w:tcW w:w="1089" w:type="dxa"/>
            <w:vAlign w:val="center"/>
          </w:tcPr>
          <w:p w14:paraId="2AE49D00" w14:textId="77777777" w:rsidR="00850766" w:rsidRDefault="00850766" w:rsidP="00850766">
            <w:pPr>
              <w:jc w:val="center"/>
              <w:rPr>
                <w:sz w:val="20"/>
                <w:szCs w:val="20"/>
              </w:rPr>
            </w:pPr>
            <w:r w:rsidRPr="00D40F8D">
              <w:rPr>
                <w:sz w:val="20"/>
                <w:szCs w:val="20"/>
              </w:rPr>
              <w:t xml:space="preserve">Any </w:t>
            </w:r>
          </w:p>
          <w:p w14:paraId="1F67C180" w14:textId="77777777" w:rsidR="00850766" w:rsidRPr="00D40F8D" w:rsidRDefault="00850766" w:rsidP="00850766">
            <w:pPr>
              <w:jc w:val="center"/>
              <w:rPr>
                <w:sz w:val="20"/>
                <w:szCs w:val="20"/>
              </w:rPr>
            </w:pPr>
            <w:r w:rsidRPr="00D40F8D">
              <w:rPr>
                <w:sz w:val="20"/>
                <w:szCs w:val="20"/>
              </w:rPr>
              <w:t>Crash</w:t>
            </w:r>
          </w:p>
        </w:tc>
        <w:tc>
          <w:tcPr>
            <w:tcW w:w="2061" w:type="dxa"/>
            <w:vAlign w:val="center"/>
          </w:tcPr>
          <w:p w14:paraId="6A76FD53" w14:textId="77777777" w:rsidR="00850766" w:rsidRPr="00D40F8D" w:rsidRDefault="00850766" w:rsidP="00850766">
            <w:pPr>
              <w:jc w:val="left"/>
              <w:rPr>
                <w:sz w:val="20"/>
                <w:szCs w:val="20"/>
              </w:rPr>
            </w:pPr>
            <w:r w:rsidRPr="00D40F8D">
              <w:rPr>
                <w:sz w:val="20"/>
                <w:szCs w:val="20"/>
              </w:rPr>
              <w:t>3 (</w:t>
            </w:r>
            <w:r w:rsidRPr="00D40F8D">
              <w:rPr>
                <w:sz w:val="20"/>
                <w:szCs w:val="20"/>
                <w:lang w:val="en-US"/>
              </w:rPr>
              <w:t xml:space="preserve">no injury, possible/non-incapacitating </w:t>
            </w:r>
            <w:proofErr w:type="gramStart"/>
            <w:r w:rsidRPr="00D40F8D">
              <w:rPr>
                <w:sz w:val="20"/>
                <w:szCs w:val="20"/>
                <w:lang w:val="en-US"/>
              </w:rPr>
              <w:t>injury</w:t>
            </w:r>
            <w:proofErr w:type="gramEnd"/>
            <w:r w:rsidRPr="00D40F8D">
              <w:rPr>
                <w:sz w:val="20"/>
                <w:szCs w:val="20"/>
                <w:lang w:val="en-US"/>
              </w:rPr>
              <w:t xml:space="preserve"> and fatal/incapacitating injury crashes)</w:t>
            </w:r>
          </w:p>
        </w:tc>
        <w:tc>
          <w:tcPr>
            <w:tcW w:w="1998" w:type="dxa"/>
            <w:vAlign w:val="center"/>
          </w:tcPr>
          <w:p w14:paraId="71E15156" w14:textId="77777777" w:rsidR="00850766" w:rsidRPr="00D40F8D" w:rsidRDefault="00850766" w:rsidP="00850766">
            <w:pPr>
              <w:jc w:val="left"/>
              <w:rPr>
                <w:sz w:val="20"/>
                <w:szCs w:val="20"/>
              </w:rPr>
            </w:pPr>
            <w:r w:rsidRPr="00D40F8D">
              <w:rPr>
                <w:sz w:val="20"/>
                <w:szCs w:val="20"/>
                <w:lang w:val="en-US"/>
              </w:rPr>
              <w:t>Multivariate Poisson Lognormal model</w:t>
            </w:r>
          </w:p>
        </w:tc>
        <w:tc>
          <w:tcPr>
            <w:tcW w:w="652" w:type="dxa"/>
            <w:vAlign w:val="center"/>
          </w:tcPr>
          <w:p w14:paraId="6BFA3791" w14:textId="77777777" w:rsidR="00850766" w:rsidRPr="00D40F8D" w:rsidRDefault="00850766" w:rsidP="00850766">
            <w:pPr>
              <w:jc w:val="center"/>
              <w:rPr>
                <w:b/>
                <w:sz w:val="20"/>
                <w:szCs w:val="20"/>
              </w:rPr>
            </w:pPr>
            <w:r w:rsidRPr="00D40F8D">
              <w:rPr>
                <w:b/>
                <w:sz w:val="20"/>
                <w:szCs w:val="20"/>
              </w:rPr>
              <w:t>√</w:t>
            </w:r>
          </w:p>
        </w:tc>
        <w:tc>
          <w:tcPr>
            <w:tcW w:w="459" w:type="dxa"/>
            <w:vAlign w:val="center"/>
          </w:tcPr>
          <w:p w14:paraId="7932A218" w14:textId="77777777" w:rsidR="00850766" w:rsidRPr="00D40F8D" w:rsidRDefault="00850766" w:rsidP="00850766">
            <w:pPr>
              <w:jc w:val="center"/>
              <w:rPr>
                <w:b/>
                <w:sz w:val="20"/>
                <w:szCs w:val="20"/>
              </w:rPr>
            </w:pPr>
            <w:r w:rsidRPr="00D40F8D">
              <w:rPr>
                <w:b/>
                <w:sz w:val="20"/>
                <w:szCs w:val="20"/>
              </w:rPr>
              <w:t>--</w:t>
            </w:r>
          </w:p>
        </w:tc>
        <w:tc>
          <w:tcPr>
            <w:tcW w:w="604" w:type="dxa"/>
            <w:vAlign w:val="center"/>
          </w:tcPr>
          <w:p w14:paraId="26816CA1" w14:textId="77777777" w:rsidR="00850766" w:rsidRPr="00D40F8D" w:rsidRDefault="00850766" w:rsidP="00850766">
            <w:pPr>
              <w:jc w:val="center"/>
              <w:rPr>
                <w:b/>
                <w:sz w:val="20"/>
                <w:szCs w:val="20"/>
              </w:rPr>
            </w:pPr>
            <w:r w:rsidRPr="00D40F8D">
              <w:rPr>
                <w:b/>
                <w:sz w:val="20"/>
                <w:szCs w:val="20"/>
              </w:rPr>
              <w:t>--</w:t>
            </w:r>
          </w:p>
        </w:tc>
        <w:tc>
          <w:tcPr>
            <w:tcW w:w="604" w:type="dxa"/>
            <w:vAlign w:val="center"/>
          </w:tcPr>
          <w:p w14:paraId="4E312458" w14:textId="77777777" w:rsidR="00850766" w:rsidRPr="00D40F8D" w:rsidRDefault="00850766" w:rsidP="00850766">
            <w:pPr>
              <w:jc w:val="center"/>
              <w:rPr>
                <w:b/>
                <w:sz w:val="20"/>
                <w:szCs w:val="20"/>
              </w:rPr>
            </w:pPr>
            <w:r w:rsidRPr="00D40F8D">
              <w:rPr>
                <w:b/>
                <w:sz w:val="20"/>
                <w:szCs w:val="20"/>
              </w:rPr>
              <w:t>√</w:t>
            </w:r>
          </w:p>
        </w:tc>
        <w:tc>
          <w:tcPr>
            <w:tcW w:w="604" w:type="dxa"/>
            <w:vAlign w:val="center"/>
          </w:tcPr>
          <w:p w14:paraId="4E4C253A" w14:textId="77777777" w:rsidR="00850766" w:rsidRPr="00D40F8D" w:rsidRDefault="00850766" w:rsidP="00850766">
            <w:pPr>
              <w:jc w:val="center"/>
              <w:rPr>
                <w:b/>
                <w:sz w:val="20"/>
                <w:szCs w:val="20"/>
              </w:rPr>
            </w:pPr>
            <w:r w:rsidRPr="00D40F8D">
              <w:rPr>
                <w:b/>
                <w:sz w:val="20"/>
                <w:szCs w:val="20"/>
              </w:rPr>
              <w:t>--</w:t>
            </w:r>
          </w:p>
        </w:tc>
        <w:tc>
          <w:tcPr>
            <w:tcW w:w="459" w:type="dxa"/>
            <w:vAlign w:val="center"/>
          </w:tcPr>
          <w:p w14:paraId="5A3CF311" w14:textId="77777777" w:rsidR="00850766" w:rsidRPr="00D40F8D" w:rsidRDefault="00850766" w:rsidP="00850766">
            <w:pPr>
              <w:jc w:val="center"/>
              <w:rPr>
                <w:b/>
                <w:sz w:val="20"/>
                <w:szCs w:val="20"/>
              </w:rPr>
            </w:pPr>
            <w:r w:rsidRPr="00D40F8D">
              <w:rPr>
                <w:b/>
                <w:sz w:val="20"/>
                <w:szCs w:val="20"/>
              </w:rPr>
              <w:t>--</w:t>
            </w:r>
          </w:p>
        </w:tc>
      </w:tr>
      <w:tr w:rsidR="00494D9E" w:rsidRPr="00D40F8D" w14:paraId="7DFD3EDA" w14:textId="77777777" w:rsidTr="004601C9">
        <w:trPr>
          <w:trHeight w:val="576"/>
        </w:trPr>
        <w:tc>
          <w:tcPr>
            <w:tcW w:w="1729" w:type="dxa"/>
            <w:vAlign w:val="center"/>
          </w:tcPr>
          <w:p w14:paraId="61138CB7" w14:textId="3AC81CE1" w:rsidR="00850766" w:rsidRPr="00D40F8D" w:rsidRDefault="00850766" w:rsidP="00850766">
            <w:pPr>
              <w:jc w:val="left"/>
              <w:rPr>
                <w:sz w:val="20"/>
                <w:szCs w:val="20"/>
              </w:rPr>
            </w:pPr>
            <w:r w:rsidRPr="00D40F8D">
              <w:rPr>
                <w:sz w:val="20"/>
                <w:szCs w:val="20"/>
              </w:rPr>
              <w:fldChar w:fldCharType="begin" w:fldLock="1"/>
            </w:r>
            <w:r>
              <w:rPr>
                <w:sz w:val="20"/>
                <w:szCs w:val="20"/>
              </w:rPr>
              <w:instrText>ADDIN CSL_CITATION {"citationItems":[{"id":"ITEM-1","itemData":{"DOI":"10.1016/j.aap.2016.11.018","ISSN":"00014575","PMID":"27914307","abstract":"In this study, a multivariate random-parameters Tobit model is proposed for the analysis of crash rates by injury severity. In the model, both correlation across injury severity and unobserved heterogeneity across road-segment observations are accommodated. The proposed model is compared with a multivariate (fixed-parameters) Tobit model in the Bayesian context, by using a crash dataset collected from the Traffic Information System of Hong Kong. The dataset contains crash, road geometric and traffic information on 224 directional road segments for a five-year period (2002–2006). The multivariate random-parameters Tobit model provides a much better fit than its fixed-parameters counterpart, according to the deviance information criteria and Bayesian R2, while it reveals a higher correlation between crash rates at different severity levels. The parameter estimates show that a few risk factors (bus stop, lane changing opportunity and lane width) have heterogeneous effects on crash-injury-severity rates. For the other factors, the variances of their random parameters are insignificant at the 95% credibility level, then the random parameters are set to be fixed across observations. Nevertheless, most of these fixed coefficients are estimated with higher precisions (i.e., smaller variances) in the random-parameters model. Thus, the random-parameters Tobit model, which provides a more comprehensive understanding of the factors’ effects on crash rates by injury severity, is superior to the multivariate Tobit model and should be considered a good alternative for traffic safety analysis.","author":[{"dropping-particle":"","family":"Zeng","given":"Qiang","non-dropping-particle":"","parse-names":false,"suffix":""},{"dropping-particle":"","family":"Wen","given":"Huiying","non-dropping-particle":"","parse-names":false,"suffix":""},{"dropping-particle":"","family":"Huang","given":"Helai","non-dropping-particle":"","parse-names":false,"suffix":""},{"dropping-particle":"","family":"Pei","given":"Xin","non-dropping-particle":"","parse-names":false,"suffix":""},{"dropping-particle":"","family":"Wong","given":"S. C.","non-dropping-particle":"","parse-names":false,"suffix":""}],"container-title":"Accident Analysis and Prevention","id":"ITEM-1","issued":{"date-parts":[["2017"]]},"page":"184-191","title":"A multivariate random-parameters Tobit model for analyzing highway crash rates by injury severity","type":"article-journal","volume":"99"},"uris":["http://www.mendeley.com/documents/?uuid=1170a063-4aa6-4edd-b8fc-0bedba673193"]}],"mendeley":{"formattedCitation":"(Zeng et al., 2017)","plainTextFormattedCitation":"(Zeng et al., 2017)","previouslyFormattedCitation":"(Zeng et al., 2017)"},"properties":{"noteIndex":0},"schema":"https://github.com/citation-style-language/schema/raw/master/csl-citation.json"}</w:instrText>
            </w:r>
            <w:r w:rsidRPr="00D40F8D">
              <w:rPr>
                <w:sz w:val="20"/>
                <w:szCs w:val="20"/>
              </w:rPr>
              <w:fldChar w:fldCharType="separate"/>
            </w:r>
            <w:r w:rsidRPr="00097239">
              <w:rPr>
                <w:noProof/>
                <w:sz w:val="20"/>
                <w:szCs w:val="20"/>
              </w:rPr>
              <w:t>(Zeng et al., 2017)</w:t>
            </w:r>
            <w:r w:rsidRPr="00D40F8D">
              <w:rPr>
                <w:sz w:val="20"/>
                <w:szCs w:val="20"/>
              </w:rPr>
              <w:fldChar w:fldCharType="end"/>
            </w:r>
          </w:p>
        </w:tc>
        <w:tc>
          <w:tcPr>
            <w:tcW w:w="1238" w:type="dxa"/>
            <w:vAlign w:val="center"/>
          </w:tcPr>
          <w:p w14:paraId="460A374D" w14:textId="77777777" w:rsidR="00850766" w:rsidRPr="00D40F8D" w:rsidRDefault="00850766" w:rsidP="00850766">
            <w:pPr>
              <w:jc w:val="center"/>
              <w:rPr>
                <w:sz w:val="20"/>
                <w:szCs w:val="20"/>
                <w:lang w:val="en-US"/>
              </w:rPr>
            </w:pPr>
            <w:r w:rsidRPr="00D40F8D">
              <w:rPr>
                <w:sz w:val="20"/>
                <w:szCs w:val="20"/>
                <w:lang w:val="en-US"/>
              </w:rPr>
              <w:t>Census tract (Macro)</w:t>
            </w:r>
          </w:p>
          <w:p w14:paraId="10F85141" w14:textId="77777777" w:rsidR="00850766" w:rsidRPr="00D40F8D" w:rsidRDefault="00850766" w:rsidP="00850766">
            <w:pPr>
              <w:jc w:val="center"/>
              <w:rPr>
                <w:sz w:val="20"/>
                <w:szCs w:val="20"/>
                <w:lang w:val="en-US"/>
              </w:rPr>
            </w:pPr>
            <w:r w:rsidRPr="00D40F8D">
              <w:rPr>
                <w:sz w:val="20"/>
                <w:szCs w:val="20"/>
                <w:lang w:val="en-US"/>
              </w:rPr>
              <w:t>Roadway segment (Micro)</w:t>
            </w:r>
          </w:p>
        </w:tc>
        <w:tc>
          <w:tcPr>
            <w:tcW w:w="1416" w:type="dxa"/>
            <w:vAlign w:val="center"/>
          </w:tcPr>
          <w:p w14:paraId="2151DAA5" w14:textId="77777777" w:rsidR="00850766" w:rsidRPr="00D40F8D" w:rsidRDefault="00850766" w:rsidP="00850766">
            <w:pPr>
              <w:jc w:val="center"/>
              <w:rPr>
                <w:sz w:val="20"/>
                <w:szCs w:val="20"/>
              </w:rPr>
            </w:pPr>
            <w:r w:rsidRPr="00D40F8D">
              <w:rPr>
                <w:sz w:val="20"/>
                <w:szCs w:val="20"/>
              </w:rPr>
              <w:t>City</w:t>
            </w:r>
          </w:p>
          <w:p w14:paraId="5C3DAFFA" w14:textId="77777777" w:rsidR="00850766" w:rsidRPr="00D40F8D" w:rsidRDefault="00850766" w:rsidP="00850766">
            <w:pPr>
              <w:jc w:val="center"/>
              <w:rPr>
                <w:sz w:val="20"/>
                <w:szCs w:val="20"/>
              </w:rPr>
            </w:pPr>
            <w:r w:rsidRPr="00D40F8D">
              <w:rPr>
                <w:sz w:val="20"/>
                <w:szCs w:val="20"/>
              </w:rPr>
              <w:t>(Hong Kong)</w:t>
            </w:r>
          </w:p>
        </w:tc>
        <w:tc>
          <w:tcPr>
            <w:tcW w:w="1089" w:type="dxa"/>
            <w:vAlign w:val="center"/>
          </w:tcPr>
          <w:p w14:paraId="4594E0F6" w14:textId="77777777" w:rsidR="00850766" w:rsidRDefault="00850766" w:rsidP="00850766">
            <w:pPr>
              <w:jc w:val="center"/>
              <w:rPr>
                <w:sz w:val="20"/>
                <w:szCs w:val="20"/>
              </w:rPr>
            </w:pPr>
            <w:r w:rsidRPr="00D40F8D">
              <w:rPr>
                <w:sz w:val="20"/>
                <w:szCs w:val="20"/>
              </w:rPr>
              <w:t xml:space="preserve">Any </w:t>
            </w:r>
          </w:p>
          <w:p w14:paraId="7B8720B8" w14:textId="77777777" w:rsidR="00850766" w:rsidRPr="00D40F8D" w:rsidRDefault="00850766" w:rsidP="00850766">
            <w:pPr>
              <w:jc w:val="center"/>
              <w:rPr>
                <w:sz w:val="20"/>
                <w:szCs w:val="20"/>
              </w:rPr>
            </w:pPr>
            <w:r w:rsidRPr="00D40F8D">
              <w:rPr>
                <w:sz w:val="20"/>
                <w:szCs w:val="20"/>
              </w:rPr>
              <w:t>Crash</w:t>
            </w:r>
          </w:p>
        </w:tc>
        <w:tc>
          <w:tcPr>
            <w:tcW w:w="2061" w:type="dxa"/>
            <w:vAlign w:val="center"/>
          </w:tcPr>
          <w:p w14:paraId="09FF2D81" w14:textId="77777777" w:rsidR="00850766" w:rsidRPr="00D40F8D" w:rsidRDefault="00850766" w:rsidP="00850766">
            <w:pPr>
              <w:jc w:val="left"/>
              <w:rPr>
                <w:sz w:val="20"/>
                <w:szCs w:val="20"/>
              </w:rPr>
            </w:pPr>
            <w:r w:rsidRPr="00D40F8D">
              <w:rPr>
                <w:sz w:val="20"/>
                <w:szCs w:val="20"/>
              </w:rPr>
              <w:t>2 (</w:t>
            </w:r>
            <w:r w:rsidRPr="00D40F8D">
              <w:rPr>
                <w:sz w:val="20"/>
                <w:szCs w:val="20"/>
                <w:lang w:val="en-US"/>
              </w:rPr>
              <w:t>slight injury crash and killed/seriously injured crashes)</w:t>
            </w:r>
          </w:p>
        </w:tc>
        <w:tc>
          <w:tcPr>
            <w:tcW w:w="1998" w:type="dxa"/>
            <w:vAlign w:val="center"/>
          </w:tcPr>
          <w:p w14:paraId="1D816EAE" w14:textId="77777777" w:rsidR="00850766" w:rsidRPr="00D40F8D" w:rsidRDefault="00850766" w:rsidP="00850766">
            <w:pPr>
              <w:jc w:val="left"/>
              <w:rPr>
                <w:sz w:val="20"/>
                <w:szCs w:val="20"/>
                <w:lang w:val="en-US"/>
              </w:rPr>
            </w:pPr>
            <w:r w:rsidRPr="00D40F8D">
              <w:rPr>
                <w:sz w:val="20"/>
                <w:szCs w:val="20"/>
                <w:lang w:val="en-US"/>
              </w:rPr>
              <w:t>Multivariate Poisson-lognormal model</w:t>
            </w:r>
          </w:p>
        </w:tc>
        <w:tc>
          <w:tcPr>
            <w:tcW w:w="652" w:type="dxa"/>
            <w:vAlign w:val="center"/>
          </w:tcPr>
          <w:p w14:paraId="097FC143" w14:textId="77777777" w:rsidR="00850766" w:rsidRPr="00D40F8D" w:rsidRDefault="00850766" w:rsidP="00850766">
            <w:pPr>
              <w:jc w:val="center"/>
              <w:rPr>
                <w:b/>
                <w:sz w:val="20"/>
                <w:szCs w:val="20"/>
              </w:rPr>
            </w:pPr>
            <w:r w:rsidRPr="00D40F8D">
              <w:rPr>
                <w:b/>
                <w:sz w:val="20"/>
                <w:szCs w:val="20"/>
              </w:rPr>
              <w:t>√</w:t>
            </w:r>
          </w:p>
        </w:tc>
        <w:tc>
          <w:tcPr>
            <w:tcW w:w="459" w:type="dxa"/>
            <w:vAlign w:val="center"/>
          </w:tcPr>
          <w:p w14:paraId="0525D5B9" w14:textId="77777777" w:rsidR="00850766" w:rsidRPr="00D40F8D" w:rsidRDefault="00850766" w:rsidP="00850766">
            <w:pPr>
              <w:jc w:val="center"/>
              <w:rPr>
                <w:b/>
                <w:sz w:val="20"/>
                <w:szCs w:val="20"/>
              </w:rPr>
            </w:pPr>
            <w:r w:rsidRPr="00D40F8D">
              <w:rPr>
                <w:b/>
                <w:sz w:val="20"/>
                <w:szCs w:val="20"/>
              </w:rPr>
              <w:t>--</w:t>
            </w:r>
          </w:p>
        </w:tc>
        <w:tc>
          <w:tcPr>
            <w:tcW w:w="604" w:type="dxa"/>
            <w:vAlign w:val="center"/>
          </w:tcPr>
          <w:p w14:paraId="1784DE65" w14:textId="77777777" w:rsidR="00850766" w:rsidRPr="00D40F8D" w:rsidRDefault="00850766" w:rsidP="00850766">
            <w:pPr>
              <w:jc w:val="center"/>
              <w:rPr>
                <w:b/>
                <w:sz w:val="20"/>
                <w:szCs w:val="20"/>
              </w:rPr>
            </w:pPr>
            <w:r w:rsidRPr="00D40F8D">
              <w:rPr>
                <w:b/>
                <w:sz w:val="20"/>
                <w:szCs w:val="20"/>
              </w:rPr>
              <w:t>--</w:t>
            </w:r>
          </w:p>
        </w:tc>
        <w:tc>
          <w:tcPr>
            <w:tcW w:w="604" w:type="dxa"/>
            <w:vAlign w:val="center"/>
          </w:tcPr>
          <w:p w14:paraId="5F548768" w14:textId="77777777" w:rsidR="00850766" w:rsidRPr="00D40F8D" w:rsidRDefault="00850766" w:rsidP="00850766">
            <w:pPr>
              <w:jc w:val="center"/>
              <w:rPr>
                <w:b/>
                <w:sz w:val="20"/>
                <w:szCs w:val="20"/>
              </w:rPr>
            </w:pPr>
            <w:r w:rsidRPr="00D40F8D">
              <w:rPr>
                <w:b/>
                <w:sz w:val="20"/>
                <w:szCs w:val="20"/>
              </w:rPr>
              <w:t>√</w:t>
            </w:r>
          </w:p>
        </w:tc>
        <w:tc>
          <w:tcPr>
            <w:tcW w:w="604" w:type="dxa"/>
            <w:vAlign w:val="center"/>
          </w:tcPr>
          <w:p w14:paraId="48DB7BE5" w14:textId="77777777" w:rsidR="00850766" w:rsidRPr="00D40F8D" w:rsidRDefault="00850766" w:rsidP="00850766">
            <w:pPr>
              <w:jc w:val="center"/>
              <w:rPr>
                <w:b/>
                <w:sz w:val="20"/>
                <w:szCs w:val="20"/>
              </w:rPr>
            </w:pPr>
            <w:r w:rsidRPr="00D40F8D">
              <w:rPr>
                <w:b/>
                <w:sz w:val="20"/>
                <w:szCs w:val="20"/>
              </w:rPr>
              <w:t>--</w:t>
            </w:r>
          </w:p>
        </w:tc>
        <w:tc>
          <w:tcPr>
            <w:tcW w:w="459" w:type="dxa"/>
            <w:vAlign w:val="center"/>
          </w:tcPr>
          <w:p w14:paraId="272CD53D" w14:textId="77777777" w:rsidR="00850766" w:rsidRPr="00D40F8D" w:rsidRDefault="00850766" w:rsidP="00850766">
            <w:pPr>
              <w:jc w:val="center"/>
              <w:rPr>
                <w:b/>
                <w:sz w:val="20"/>
                <w:szCs w:val="20"/>
              </w:rPr>
            </w:pPr>
            <w:r w:rsidRPr="00D40F8D">
              <w:rPr>
                <w:b/>
                <w:sz w:val="20"/>
                <w:szCs w:val="20"/>
              </w:rPr>
              <w:t>√</w:t>
            </w:r>
          </w:p>
        </w:tc>
      </w:tr>
      <w:tr w:rsidR="00494D9E" w:rsidRPr="00D40F8D" w14:paraId="1871E8D3" w14:textId="77777777" w:rsidTr="004601C9">
        <w:trPr>
          <w:trHeight w:val="620"/>
        </w:trPr>
        <w:tc>
          <w:tcPr>
            <w:tcW w:w="1729" w:type="dxa"/>
            <w:vAlign w:val="center"/>
          </w:tcPr>
          <w:p w14:paraId="77612C26" w14:textId="411852E8" w:rsidR="00850766" w:rsidRPr="00D40F8D" w:rsidRDefault="00850766" w:rsidP="00850766">
            <w:pPr>
              <w:jc w:val="left"/>
              <w:rPr>
                <w:sz w:val="20"/>
                <w:szCs w:val="20"/>
              </w:rPr>
            </w:pPr>
            <w:r w:rsidRPr="00D40F8D">
              <w:rPr>
                <w:noProof/>
                <w:sz w:val="20"/>
                <w:szCs w:val="20"/>
              </w:rPr>
              <w:fldChar w:fldCharType="begin" w:fldLock="1"/>
            </w:r>
            <w:r>
              <w:rPr>
                <w:noProof/>
                <w:sz w:val="20"/>
                <w:szCs w:val="20"/>
              </w:rPr>
              <w:instrText>ADDIN CSL_CITATION {"citationItems":[{"id":"ITEM-1","itemData":{"DOI":"10.1016/j.amar.2018.02.001","ISSN":"22136657","abstract":"Unobserved heterogeneity across space, time, and crash type is often non-negligible in crash frequency modeling. When multiple crash types with spatial and temporal features are analyzed, multivariate spatio-temporal models should be considered. For this study, we analyzed the yearly county-level fatal, major injury, and minor injury crashes in Iowa from 2006 to 2015 using a multivariate spatio-temporal Bayesian model. The model adopted a multivariate spatial structure, a multivariate temporal structure, and a multivariate spatio-temporal interaction structure to account for possible correlations across injury severities over space, time, and spatio-temporal interaction, respectively. Income and weather indicators were found to have no significant effects on crash frequencies in the presence of vehicle miles traveled and unemployment rate. Both spatial and temporal effects were found to be important, and they played nearly the same roles for all three crash types in the studied dataset. Counties located in north and southwest Iowa were found to tend to have fewer crashes than the remaining counties. All three crash types generally showed descending trends from 2006 to 2015. They also had significantly positive correlations between each other in space but not in time. The crude crash rates and predicted crash rates were generally consistent for major injury and minor injury crashes but not for low-count fatal crashes. High-risk counties were identified using the posterior expected rank by the predicted crash cost rate, which was more able to truly represent the underlying traffic safety status than the rank by the crude crash cost rate.","author":[{"dropping-particle":"","family":"Liu","given":"Chenhui","non-dropping-particle":"","parse-names":false,"suffix":""},{"dropping-particle":"","family":"Sharma","given":"Anuj","non-dropping-particle":"","parse-names":false,"suffix":""}],"container-title":"Analytic Methods in Accident Research","id":"ITEM-1","issued":{"date-parts":[["2018"]]},"page":"14-31","title":"Using the multivariate spatio-temporal Bayesian model to analyze traffic crashes by severity","type":"article-journal","volume":"17"},"uris":["http://www.mendeley.com/documents/?uuid=dfbaeb5a-d83e-4ef4-b7ec-3bc23b07a9b9"]}],"mendeley":{"formattedCitation":"(Liu and Sharma, 2018)","plainTextFormattedCitation":"(Liu and Sharma, 2018)","previouslyFormattedCitation":"(Liu and Sharma, 2018)"},"properties":{"noteIndex":0},"schema":"https://github.com/citation-style-language/schema/raw/master/csl-citation.json"}</w:instrText>
            </w:r>
            <w:r w:rsidRPr="00D40F8D">
              <w:rPr>
                <w:noProof/>
                <w:sz w:val="20"/>
                <w:szCs w:val="20"/>
              </w:rPr>
              <w:fldChar w:fldCharType="separate"/>
            </w:r>
            <w:r w:rsidRPr="00097239">
              <w:rPr>
                <w:noProof/>
                <w:sz w:val="20"/>
                <w:szCs w:val="20"/>
              </w:rPr>
              <w:t>(Liu and Sharma, 2018)</w:t>
            </w:r>
            <w:r w:rsidRPr="00D40F8D">
              <w:rPr>
                <w:noProof/>
                <w:sz w:val="20"/>
                <w:szCs w:val="20"/>
              </w:rPr>
              <w:fldChar w:fldCharType="end"/>
            </w:r>
          </w:p>
        </w:tc>
        <w:tc>
          <w:tcPr>
            <w:tcW w:w="1238" w:type="dxa"/>
            <w:vAlign w:val="center"/>
          </w:tcPr>
          <w:p w14:paraId="65E7B0DA" w14:textId="77777777" w:rsidR="00850766" w:rsidRPr="00D40F8D" w:rsidRDefault="00850766" w:rsidP="00850766">
            <w:pPr>
              <w:jc w:val="center"/>
              <w:rPr>
                <w:sz w:val="20"/>
                <w:szCs w:val="20"/>
              </w:rPr>
            </w:pPr>
            <w:r w:rsidRPr="00D40F8D">
              <w:rPr>
                <w:sz w:val="20"/>
                <w:szCs w:val="20"/>
              </w:rPr>
              <w:t>County (macro)</w:t>
            </w:r>
          </w:p>
        </w:tc>
        <w:tc>
          <w:tcPr>
            <w:tcW w:w="1416" w:type="dxa"/>
            <w:vAlign w:val="center"/>
          </w:tcPr>
          <w:p w14:paraId="04788F90" w14:textId="77777777" w:rsidR="00850766" w:rsidRPr="00D40F8D" w:rsidRDefault="00850766" w:rsidP="00850766">
            <w:pPr>
              <w:jc w:val="center"/>
              <w:rPr>
                <w:sz w:val="20"/>
                <w:szCs w:val="20"/>
                <w:lang w:val="en-US"/>
              </w:rPr>
            </w:pPr>
            <w:r w:rsidRPr="00D40F8D">
              <w:rPr>
                <w:sz w:val="20"/>
                <w:szCs w:val="20"/>
                <w:lang w:val="en-US"/>
              </w:rPr>
              <w:t>State</w:t>
            </w:r>
          </w:p>
          <w:p w14:paraId="20283E2A" w14:textId="77777777" w:rsidR="00850766" w:rsidRPr="00D40F8D" w:rsidRDefault="00850766" w:rsidP="00850766">
            <w:pPr>
              <w:jc w:val="center"/>
              <w:rPr>
                <w:sz w:val="20"/>
                <w:szCs w:val="20"/>
                <w:lang w:val="en-US"/>
              </w:rPr>
            </w:pPr>
            <w:r w:rsidRPr="00D40F8D">
              <w:rPr>
                <w:sz w:val="20"/>
                <w:szCs w:val="20"/>
                <w:lang w:val="en-US"/>
              </w:rPr>
              <w:t>(Iowa)</w:t>
            </w:r>
          </w:p>
        </w:tc>
        <w:tc>
          <w:tcPr>
            <w:tcW w:w="1089" w:type="dxa"/>
            <w:vAlign w:val="center"/>
          </w:tcPr>
          <w:p w14:paraId="42E5833C" w14:textId="77777777" w:rsidR="00850766" w:rsidRDefault="00850766" w:rsidP="00850766">
            <w:pPr>
              <w:jc w:val="center"/>
              <w:rPr>
                <w:sz w:val="20"/>
                <w:szCs w:val="20"/>
              </w:rPr>
            </w:pPr>
            <w:r w:rsidRPr="00D40F8D">
              <w:rPr>
                <w:sz w:val="20"/>
                <w:szCs w:val="20"/>
              </w:rPr>
              <w:t xml:space="preserve">Any </w:t>
            </w:r>
          </w:p>
          <w:p w14:paraId="79E8748D" w14:textId="77777777" w:rsidR="00850766" w:rsidRPr="00D40F8D" w:rsidRDefault="00850766" w:rsidP="00850766">
            <w:pPr>
              <w:jc w:val="center"/>
              <w:rPr>
                <w:sz w:val="20"/>
                <w:szCs w:val="20"/>
                <w:lang w:val="en-US"/>
              </w:rPr>
            </w:pPr>
            <w:r w:rsidRPr="00D40F8D">
              <w:rPr>
                <w:sz w:val="20"/>
                <w:szCs w:val="20"/>
              </w:rPr>
              <w:t>Crash</w:t>
            </w:r>
          </w:p>
        </w:tc>
        <w:tc>
          <w:tcPr>
            <w:tcW w:w="2061" w:type="dxa"/>
            <w:vAlign w:val="center"/>
          </w:tcPr>
          <w:p w14:paraId="65CC4AAB" w14:textId="77777777" w:rsidR="00850766" w:rsidRPr="00D40F8D" w:rsidRDefault="00850766" w:rsidP="00850766">
            <w:pPr>
              <w:jc w:val="left"/>
              <w:rPr>
                <w:sz w:val="20"/>
                <w:szCs w:val="20"/>
                <w:lang w:val="en-US"/>
              </w:rPr>
            </w:pPr>
            <w:r w:rsidRPr="00D40F8D">
              <w:rPr>
                <w:sz w:val="20"/>
                <w:szCs w:val="20"/>
                <w:lang w:val="en-US"/>
              </w:rPr>
              <w:t>3 (Fatal crashes, major injury crashes, and minor injury crashes)</w:t>
            </w:r>
          </w:p>
        </w:tc>
        <w:tc>
          <w:tcPr>
            <w:tcW w:w="1998" w:type="dxa"/>
            <w:vAlign w:val="center"/>
          </w:tcPr>
          <w:p w14:paraId="69596F4A" w14:textId="77777777" w:rsidR="00850766" w:rsidRPr="00D40F8D" w:rsidRDefault="00850766" w:rsidP="00850766">
            <w:pPr>
              <w:jc w:val="left"/>
              <w:rPr>
                <w:sz w:val="20"/>
                <w:szCs w:val="20"/>
                <w:lang w:val="en-US"/>
              </w:rPr>
            </w:pPr>
            <w:r w:rsidRPr="00D40F8D">
              <w:rPr>
                <w:sz w:val="20"/>
                <w:szCs w:val="20"/>
                <w:lang w:val="en-US"/>
              </w:rPr>
              <w:t xml:space="preserve">Multivariate </w:t>
            </w:r>
            <w:proofErr w:type="spellStart"/>
            <w:r w:rsidRPr="00D40F8D">
              <w:rPr>
                <w:sz w:val="20"/>
                <w:szCs w:val="20"/>
                <w:lang w:val="en-US"/>
              </w:rPr>
              <w:t>spatio</w:t>
            </w:r>
            <w:proofErr w:type="spellEnd"/>
            <w:r w:rsidRPr="00D40F8D">
              <w:rPr>
                <w:sz w:val="20"/>
                <w:szCs w:val="20"/>
                <w:lang w:val="en-US"/>
              </w:rPr>
              <w:t>-temporal Bayesian model</w:t>
            </w:r>
          </w:p>
        </w:tc>
        <w:tc>
          <w:tcPr>
            <w:tcW w:w="652" w:type="dxa"/>
            <w:vAlign w:val="center"/>
          </w:tcPr>
          <w:p w14:paraId="270F5CAD" w14:textId="77777777" w:rsidR="00850766" w:rsidRPr="00D40F8D" w:rsidRDefault="00850766" w:rsidP="00850766">
            <w:pPr>
              <w:jc w:val="center"/>
              <w:rPr>
                <w:b/>
                <w:sz w:val="20"/>
                <w:szCs w:val="20"/>
              </w:rPr>
            </w:pPr>
            <w:r w:rsidRPr="00D40F8D">
              <w:rPr>
                <w:b/>
                <w:sz w:val="20"/>
                <w:szCs w:val="20"/>
              </w:rPr>
              <w:t>√</w:t>
            </w:r>
          </w:p>
        </w:tc>
        <w:tc>
          <w:tcPr>
            <w:tcW w:w="459" w:type="dxa"/>
            <w:vAlign w:val="center"/>
          </w:tcPr>
          <w:p w14:paraId="136316D1" w14:textId="77777777" w:rsidR="00850766" w:rsidRPr="00D40F8D" w:rsidRDefault="00850766" w:rsidP="00850766">
            <w:pPr>
              <w:jc w:val="center"/>
              <w:rPr>
                <w:b/>
                <w:sz w:val="20"/>
                <w:szCs w:val="20"/>
              </w:rPr>
            </w:pPr>
            <w:r w:rsidRPr="00D40F8D">
              <w:rPr>
                <w:b/>
                <w:sz w:val="20"/>
                <w:szCs w:val="20"/>
              </w:rPr>
              <w:t>--</w:t>
            </w:r>
          </w:p>
        </w:tc>
        <w:tc>
          <w:tcPr>
            <w:tcW w:w="604" w:type="dxa"/>
            <w:vAlign w:val="center"/>
          </w:tcPr>
          <w:p w14:paraId="5B6F0BB8" w14:textId="77777777" w:rsidR="00850766" w:rsidRPr="00D40F8D" w:rsidRDefault="00850766" w:rsidP="00850766">
            <w:pPr>
              <w:jc w:val="center"/>
              <w:rPr>
                <w:b/>
                <w:sz w:val="20"/>
                <w:szCs w:val="20"/>
              </w:rPr>
            </w:pPr>
            <w:r w:rsidRPr="00D40F8D">
              <w:rPr>
                <w:b/>
                <w:sz w:val="20"/>
                <w:szCs w:val="20"/>
              </w:rPr>
              <w:t>--</w:t>
            </w:r>
          </w:p>
        </w:tc>
        <w:tc>
          <w:tcPr>
            <w:tcW w:w="604" w:type="dxa"/>
            <w:vAlign w:val="center"/>
          </w:tcPr>
          <w:p w14:paraId="4E2169BC" w14:textId="77777777" w:rsidR="00850766" w:rsidRPr="00D40F8D" w:rsidRDefault="00850766" w:rsidP="00850766">
            <w:pPr>
              <w:jc w:val="center"/>
              <w:rPr>
                <w:b/>
                <w:sz w:val="20"/>
                <w:szCs w:val="20"/>
              </w:rPr>
            </w:pPr>
            <w:r w:rsidRPr="00D40F8D">
              <w:rPr>
                <w:b/>
                <w:sz w:val="20"/>
                <w:szCs w:val="20"/>
              </w:rPr>
              <w:t>√</w:t>
            </w:r>
          </w:p>
        </w:tc>
        <w:tc>
          <w:tcPr>
            <w:tcW w:w="604" w:type="dxa"/>
            <w:vAlign w:val="center"/>
          </w:tcPr>
          <w:p w14:paraId="72E22D9B" w14:textId="77777777" w:rsidR="00850766" w:rsidRPr="00D40F8D" w:rsidRDefault="00850766" w:rsidP="00850766">
            <w:pPr>
              <w:jc w:val="center"/>
              <w:rPr>
                <w:b/>
                <w:sz w:val="20"/>
                <w:szCs w:val="20"/>
              </w:rPr>
            </w:pPr>
            <w:r w:rsidRPr="00D40F8D">
              <w:rPr>
                <w:b/>
                <w:sz w:val="20"/>
                <w:szCs w:val="20"/>
              </w:rPr>
              <w:t>√</w:t>
            </w:r>
          </w:p>
        </w:tc>
        <w:tc>
          <w:tcPr>
            <w:tcW w:w="459" w:type="dxa"/>
            <w:vAlign w:val="center"/>
          </w:tcPr>
          <w:p w14:paraId="69FC8B1E" w14:textId="77777777" w:rsidR="00850766" w:rsidRPr="00D40F8D" w:rsidRDefault="00850766" w:rsidP="00850766">
            <w:pPr>
              <w:jc w:val="center"/>
              <w:rPr>
                <w:b/>
                <w:sz w:val="20"/>
                <w:szCs w:val="20"/>
              </w:rPr>
            </w:pPr>
            <w:r w:rsidRPr="00D40F8D">
              <w:rPr>
                <w:b/>
                <w:sz w:val="20"/>
                <w:szCs w:val="20"/>
              </w:rPr>
              <w:t>√</w:t>
            </w:r>
          </w:p>
        </w:tc>
      </w:tr>
      <w:tr w:rsidR="00494D9E" w:rsidRPr="00D40F8D" w14:paraId="61E35149" w14:textId="77777777" w:rsidTr="00150DB1">
        <w:trPr>
          <w:trHeight w:val="620"/>
        </w:trPr>
        <w:tc>
          <w:tcPr>
            <w:tcW w:w="1729" w:type="dxa"/>
            <w:vAlign w:val="center"/>
          </w:tcPr>
          <w:p w14:paraId="303C2C12" w14:textId="6914D16B" w:rsidR="00850766" w:rsidRPr="00D40F8D" w:rsidRDefault="00850766" w:rsidP="00850766">
            <w:pPr>
              <w:jc w:val="left"/>
              <w:rPr>
                <w:noProof/>
                <w:sz w:val="20"/>
                <w:szCs w:val="20"/>
              </w:rPr>
            </w:pPr>
            <w:r>
              <w:rPr>
                <w:noProof/>
                <w:sz w:val="20"/>
                <w:szCs w:val="20"/>
              </w:rPr>
              <w:fldChar w:fldCharType="begin" w:fldLock="1"/>
            </w:r>
            <w:r>
              <w:rPr>
                <w:noProof/>
                <w:sz w:val="20"/>
                <w:szCs w:val="20"/>
              </w:rPr>
              <w:instrText>ADDIN CSL_CITATION {"citationItems":[{"id":"ITEM-1","itemData":{"DOI":"10.1080/23249935.2017.1369469","ISSN":"23249943","abstract":"This paper proposes an innovative joint econometric framework for examining total crash count and crash proportion by different crash severity. In our proposed approach, irrespective of the number of crash frequency variables the dimensions to be investigated is ‘two’, offering substantial benefits in terms of parameter stability and computational time as opposed to the traditional multivariate approaches. The proposed model is demonstrated by employing a joint negative binomial-ordered logit fractional split model framework. The empirical analysis is conducted using zonal level crash count data for different crash severity levels from Florida for the year 2015. The results clearly highlight the superiority of the joint model in terms of data fit compared to independent model. The applicability of the proposed framework is demonstrated by generating spatial distribution of predicted motor vehicle crash frequency and predicted crash counts by severity levels.","author":[{"dropping-particle":"","family":"Yasmin","given":"Shamsunnahar","non-dropping-particle":"","parse-names":false,"suffix":""},{"dropping-particle":"","family":"Eluru","given":"Naveen","non-dropping-particle":"","parse-names":false,"suffix":""}],"container-title":"Transportmetrica A: Transport Science","id":"ITEM-1","issue":"3","issued":{"date-parts":[["2018"]]},"page":"230-255","title":"A joint econometric framework for modeling crash counts by severity","type":"article-journal","volume":"14"},"uris":["http://www.mendeley.com/documents/?uuid=9bc2c99f-31ff-4594-8ae2-8dbbb007405e"]}],"mendeley":{"formattedCitation":"(Yasmin and Eluru, 2018)","plainTextFormattedCitation":"(Yasmin and Eluru, 2018)","previouslyFormattedCitation":"(Yasmin and Eluru, 2018)"},"properties":{"noteIndex":0},"schema":"https://github.com/citation-style-language/schema/raw/master/csl-citation.json"}</w:instrText>
            </w:r>
            <w:r>
              <w:rPr>
                <w:noProof/>
                <w:sz w:val="20"/>
                <w:szCs w:val="20"/>
              </w:rPr>
              <w:fldChar w:fldCharType="separate"/>
            </w:r>
            <w:r w:rsidRPr="002C3F3A">
              <w:rPr>
                <w:noProof/>
                <w:sz w:val="20"/>
                <w:szCs w:val="20"/>
              </w:rPr>
              <w:t>(Yasmin and Eluru, 2018)</w:t>
            </w:r>
            <w:r>
              <w:rPr>
                <w:noProof/>
                <w:sz w:val="20"/>
                <w:szCs w:val="20"/>
              </w:rPr>
              <w:fldChar w:fldCharType="end"/>
            </w:r>
          </w:p>
        </w:tc>
        <w:tc>
          <w:tcPr>
            <w:tcW w:w="1238" w:type="dxa"/>
            <w:vAlign w:val="center"/>
          </w:tcPr>
          <w:p w14:paraId="0F73841C" w14:textId="76EA997C" w:rsidR="00850766" w:rsidRPr="00D40F8D" w:rsidRDefault="00850766" w:rsidP="00850766">
            <w:pPr>
              <w:jc w:val="center"/>
              <w:rPr>
                <w:sz w:val="20"/>
                <w:szCs w:val="20"/>
              </w:rPr>
            </w:pPr>
            <w:r w:rsidRPr="0078373E">
              <w:rPr>
                <w:rFonts w:cs="Times New Roman"/>
                <w:sz w:val="20"/>
                <w:szCs w:val="20"/>
                <w:lang w:val="en-US"/>
              </w:rPr>
              <w:t>STAZ (Macro)</w:t>
            </w:r>
          </w:p>
        </w:tc>
        <w:tc>
          <w:tcPr>
            <w:tcW w:w="1416" w:type="dxa"/>
            <w:vAlign w:val="center"/>
          </w:tcPr>
          <w:p w14:paraId="5D9FEA48" w14:textId="113860AC" w:rsidR="00850766" w:rsidRPr="00D40F8D" w:rsidRDefault="00850766" w:rsidP="00850766">
            <w:pPr>
              <w:jc w:val="center"/>
              <w:rPr>
                <w:sz w:val="20"/>
                <w:szCs w:val="20"/>
                <w:lang w:val="en-US"/>
              </w:rPr>
            </w:pPr>
            <w:r w:rsidRPr="0078373E">
              <w:rPr>
                <w:rFonts w:cs="Times New Roman"/>
                <w:sz w:val="20"/>
                <w:szCs w:val="20"/>
                <w:lang w:val="en-US"/>
              </w:rPr>
              <w:t>STAZ (Macro)</w:t>
            </w:r>
          </w:p>
        </w:tc>
        <w:tc>
          <w:tcPr>
            <w:tcW w:w="1089" w:type="dxa"/>
            <w:vAlign w:val="center"/>
          </w:tcPr>
          <w:p w14:paraId="5AEBAA44" w14:textId="60C77174" w:rsidR="00850766" w:rsidRPr="00D40F8D" w:rsidRDefault="00850766" w:rsidP="00850766">
            <w:pPr>
              <w:jc w:val="center"/>
              <w:rPr>
                <w:sz w:val="20"/>
                <w:szCs w:val="20"/>
              </w:rPr>
            </w:pPr>
            <w:r w:rsidRPr="00D40F8D">
              <w:rPr>
                <w:sz w:val="20"/>
                <w:szCs w:val="20"/>
              </w:rPr>
              <w:t>Motorized Crash</w:t>
            </w:r>
          </w:p>
        </w:tc>
        <w:tc>
          <w:tcPr>
            <w:tcW w:w="2061" w:type="dxa"/>
            <w:vAlign w:val="center"/>
          </w:tcPr>
          <w:p w14:paraId="1DEFD1F0" w14:textId="084116D2" w:rsidR="00850766" w:rsidRPr="00D40F8D" w:rsidRDefault="00850766" w:rsidP="00850766">
            <w:pPr>
              <w:jc w:val="left"/>
              <w:rPr>
                <w:sz w:val="20"/>
                <w:szCs w:val="20"/>
                <w:lang w:val="en-US"/>
              </w:rPr>
            </w:pPr>
            <w:r w:rsidRPr="00D40F8D">
              <w:rPr>
                <w:sz w:val="20"/>
                <w:szCs w:val="20"/>
              </w:rPr>
              <w:t>4 (</w:t>
            </w:r>
            <w:r>
              <w:rPr>
                <w:sz w:val="20"/>
                <w:szCs w:val="20"/>
              </w:rPr>
              <w:t>no injury, minor</w:t>
            </w:r>
            <w:r w:rsidRPr="00D40F8D">
              <w:rPr>
                <w:sz w:val="20"/>
                <w:szCs w:val="20"/>
              </w:rPr>
              <w:t xml:space="preserve"> injury, incapacitating injury and fata</w:t>
            </w:r>
            <w:r>
              <w:rPr>
                <w:sz w:val="20"/>
                <w:szCs w:val="20"/>
              </w:rPr>
              <w:t>l</w:t>
            </w:r>
            <w:r w:rsidRPr="00D40F8D">
              <w:rPr>
                <w:sz w:val="20"/>
                <w:szCs w:val="20"/>
              </w:rPr>
              <w:t>)</w:t>
            </w:r>
          </w:p>
        </w:tc>
        <w:tc>
          <w:tcPr>
            <w:tcW w:w="1998" w:type="dxa"/>
            <w:vAlign w:val="center"/>
          </w:tcPr>
          <w:p w14:paraId="1455B8DC" w14:textId="3D313131" w:rsidR="00850766" w:rsidRPr="00D40F8D" w:rsidRDefault="00522719" w:rsidP="00850766">
            <w:pPr>
              <w:jc w:val="left"/>
              <w:rPr>
                <w:sz w:val="20"/>
                <w:szCs w:val="20"/>
                <w:lang w:val="en-US"/>
              </w:rPr>
            </w:pPr>
            <w:r>
              <w:rPr>
                <w:sz w:val="20"/>
                <w:szCs w:val="20"/>
                <w:lang w:val="en-US"/>
              </w:rPr>
              <w:t>Joint NB-ordered fractional split model</w:t>
            </w:r>
          </w:p>
        </w:tc>
        <w:tc>
          <w:tcPr>
            <w:tcW w:w="652" w:type="dxa"/>
            <w:vAlign w:val="center"/>
          </w:tcPr>
          <w:p w14:paraId="37A18D24" w14:textId="5EB4DDED" w:rsidR="00850766" w:rsidRPr="00D40F8D" w:rsidRDefault="00850766" w:rsidP="00850766">
            <w:pPr>
              <w:jc w:val="center"/>
              <w:rPr>
                <w:b/>
                <w:sz w:val="20"/>
                <w:szCs w:val="20"/>
              </w:rPr>
            </w:pPr>
            <w:r w:rsidRPr="00FC2C1A">
              <w:rPr>
                <w:b/>
                <w:sz w:val="20"/>
                <w:szCs w:val="20"/>
              </w:rPr>
              <w:t>√</w:t>
            </w:r>
          </w:p>
        </w:tc>
        <w:tc>
          <w:tcPr>
            <w:tcW w:w="459" w:type="dxa"/>
            <w:vAlign w:val="center"/>
          </w:tcPr>
          <w:p w14:paraId="4BB060EA" w14:textId="5BB2B339" w:rsidR="00850766" w:rsidRPr="00D40F8D" w:rsidRDefault="00850766" w:rsidP="00850766">
            <w:pPr>
              <w:jc w:val="center"/>
              <w:rPr>
                <w:b/>
                <w:sz w:val="20"/>
                <w:szCs w:val="20"/>
              </w:rPr>
            </w:pPr>
            <w:r w:rsidRPr="00FC2C1A">
              <w:rPr>
                <w:b/>
                <w:sz w:val="20"/>
                <w:szCs w:val="20"/>
              </w:rPr>
              <w:t>√</w:t>
            </w:r>
          </w:p>
        </w:tc>
        <w:tc>
          <w:tcPr>
            <w:tcW w:w="604" w:type="dxa"/>
            <w:vAlign w:val="center"/>
          </w:tcPr>
          <w:p w14:paraId="4882CBBF" w14:textId="719281A6" w:rsidR="00850766" w:rsidRPr="00D40F8D" w:rsidRDefault="00850766" w:rsidP="00850766">
            <w:pPr>
              <w:jc w:val="center"/>
              <w:rPr>
                <w:b/>
                <w:sz w:val="20"/>
                <w:szCs w:val="20"/>
              </w:rPr>
            </w:pPr>
            <w:r w:rsidRPr="00FC2C1A">
              <w:rPr>
                <w:b/>
                <w:sz w:val="20"/>
                <w:szCs w:val="20"/>
              </w:rPr>
              <w:t>√</w:t>
            </w:r>
          </w:p>
        </w:tc>
        <w:tc>
          <w:tcPr>
            <w:tcW w:w="604" w:type="dxa"/>
            <w:vAlign w:val="center"/>
          </w:tcPr>
          <w:p w14:paraId="5CCF36F3" w14:textId="1C84A562" w:rsidR="00850766" w:rsidRPr="00D40F8D" w:rsidRDefault="00850766" w:rsidP="00850766">
            <w:pPr>
              <w:jc w:val="center"/>
              <w:rPr>
                <w:b/>
                <w:sz w:val="20"/>
                <w:szCs w:val="20"/>
              </w:rPr>
            </w:pPr>
            <w:r w:rsidRPr="00FC2C1A">
              <w:rPr>
                <w:b/>
                <w:sz w:val="20"/>
                <w:szCs w:val="20"/>
              </w:rPr>
              <w:t>√</w:t>
            </w:r>
          </w:p>
        </w:tc>
        <w:tc>
          <w:tcPr>
            <w:tcW w:w="604" w:type="dxa"/>
            <w:vAlign w:val="center"/>
          </w:tcPr>
          <w:p w14:paraId="147BFCF2" w14:textId="27C95F9E" w:rsidR="00850766" w:rsidRPr="00D40F8D" w:rsidRDefault="00850766" w:rsidP="00850766">
            <w:pPr>
              <w:jc w:val="center"/>
              <w:rPr>
                <w:b/>
                <w:sz w:val="20"/>
                <w:szCs w:val="20"/>
              </w:rPr>
            </w:pPr>
            <w:r w:rsidRPr="00FC2C1A">
              <w:rPr>
                <w:b/>
                <w:sz w:val="20"/>
                <w:szCs w:val="20"/>
              </w:rPr>
              <w:t>√</w:t>
            </w:r>
          </w:p>
        </w:tc>
        <w:tc>
          <w:tcPr>
            <w:tcW w:w="459" w:type="dxa"/>
            <w:vAlign w:val="center"/>
          </w:tcPr>
          <w:p w14:paraId="73A37C45" w14:textId="7503C343" w:rsidR="00850766" w:rsidRPr="00D40F8D" w:rsidRDefault="00850766" w:rsidP="00850766">
            <w:pPr>
              <w:jc w:val="center"/>
              <w:rPr>
                <w:b/>
                <w:sz w:val="20"/>
                <w:szCs w:val="20"/>
              </w:rPr>
            </w:pPr>
            <w:r w:rsidRPr="00D40F8D">
              <w:rPr>
                <w:b/>
                <w:sz w:val="20"/>
                <w:szCs w:val="20"/>
              </w:rPr>
              <w:t>--</w:t>
            </w:r>
          </w:p>
        </w:tc>
      </w:tr>
      <w:tr w:rsidR="00494D9E" w:rsidRPr="00D40F8D" w14:paraId="161D46F8" w14:textId="77777777" w:rsidTr="004601C9">
        <w:trPr>
          <w:trHeight w:val="620"/>
        </w:trPr>
        <w:tc>
          <w:tcPr>
            <w:tcW w:w="1729" w:type="dxa"/>
            <w:vAlign w:val="center"/>
          </w:tcPr>
          <w:p w14:paraId="00CF616F" w14:textId="13B5E721" w:rsidR="00850766" w:rsidRPr="00D40F8D" w:rsidRDefault="00850766" w:rsidP="00850766">
            <w:pPr>
              <w:jc w:val="left"/>
              <w:rPr>
                <w:noProof/>
                <w:sz w:val="20"/>
                <w:szCs w:val="20"/>
              </w:rPr>
            </w:pPr>
            <w:r>
              <w:rPr>
                <w:noProof/>
                <w:sz w:val="20"/>
                <w:szCs w:val="20"/>
              </w:rPr>
              <w:fldChar w:fldCharType="begin" w:fldLock="1"/>
            </w:r>
            <w:r w:rsidR="002F3C91">
              <w:rPr>
                <w:noProof/>
                <w:sz w:val="20"/>
                <w:szCs w:val="20"/>
              </w:rPr>
              <w:instrText>ADDIN CSL_CITATION {"citationItems":[{"id":"ITEM-1","itemData":{"DOI":"10.1177/0361198119845367","ISSN":"21694052","abstract":"Traffic crash hot spot analyses allow identification of roadway segments that may be of safety concern. Understanding geographic patterns of existing motor vehicle crashes is one of the primary steps for geostatistical-based hot spot analysis. Much of the current literature, however, has not paid particular attention to differentiating among cluster types based on crash severity levels. This study aims at building a framework for identifying significant spatial clustering patterns characterized by crash severity and analyzing identified clusters quantitatively. A case study using an integrated method of network-based local spatial autocorrelation and the Kernel density estimation method revealed a strong spatial relationship between crash severity clusters and geographic regions. In addition, the total aggregated distance and the density of identified clusters obtained from density estimation allowed a quantitative analysis for each cluster. The contribution of this research is incorporating crash severity into hot spot analysis thereby allowing more informed decision making with respect to highway safety.","author":[{"dropping-particle":"","family":"Lee","given":"Myungwoo","non-dropping-particle":"","parse-names":false,"suffix":""},{"dropping-particle":"","family":"Khattak","given":"Aemal J.","non-dropping-particle":"","parse-names":false,"suffix":""}],"container-title":"Transportation Research Record","id":"ITEM-1","issued":{"date-parts":[["2019"]]},"title":"Case Study of Crash Severity Spatial Pattern Identification in Hot Spot Analysis","type":"article-journal"},"uris":["http://www.mendeley.com/documents/?uuid=a586f61c-605f-4952-acb7-cb8e104e28cd"]}],"mendeley":{"formattedCitation":"(Lee and Khattak, 2019)","plainTextFormattedCitation":"(Lee and Khattak, 2019)","previouslyFormattedCitation":"(Lee and Khattak, 2019)"},"properties":{"noteIndex":0},"schema":"https://github.com/citation-style-language/schema/raw/master/csl-citation.json"}</w:instrText>
            </w:r>
            <w:r>
              <w:rPr>
                <w:noProof/>
                <w:sz w:val="20"/>
                <w:szCs w:val="20"/>
              </w:rPr>
              <w:fldChar w:fldCharType="separate"/>
            </w:r>
            <w:r w:rsidRPr="00365BCB">
              <w:rPr>
                <w:noProof/>
                <w:sz w:val="20"/>
                <w:szCs w:val="20"/>
              </w:rPr>
              <w:t>(Lee and Khattak, 2019)</w:t>
            </w:r>
            <w:r>
              <w:rPr>
                <w:noProof/>
                <w:sz w:val="20"/>
                <w:szCs w:val="20"/>
              </w:rPr>
              <w:fldChar w:fldCharType="end"/>
            </w:r>
          </w:p>
        </w:tc>
        <w:tc>
          <w:tcPr>
            <w:tcW w:w="1238" w:type="dxa"/>
            <w:vAlign w:val="center"/>
          </w:tcPr>
          <w:p w14:paraId="2ED9823E" w14:textId="7F4DCF41" w:rsidR="00850766" w:rsidRPr="00D40F8D" w:rsidRDefault="00850766" w:rsidP="00850766">
            <w:pPr>
              <w:jc w:val="center"/>
              <w:rPr>
                <w:sz w:val="20"/>
                <w:szCs w:val="20"/>
              </w:rPr>
            </w:pPr>
            <w:r>
              <w:rPr>
                <w:sz w:val="20"/>
                <w:szCs w:val="20"/>
                <w:lang w:val="en-US"/>
              </w:rPr>
              <w:t>Road segments, (Micro)</w:t>
            </w:r>
          </w:p>
        </w:tc>
        <w:tc>
          <w:tcPr>
            <w:tcW w:w="1416" w:type="dxa"/>
            <w:vAlign w:val="center"/>
          </w:tcPr>
          <w:p w14:paraId="696650B9" w14:textId="0B270507" w:rsidR="00850766" w:rsidRPr="00D40F8D" w:rsidRDefault="00850766" w:rsidP="00850766">
            <w:pPr>
              <w:jc w:val="center"/>
              <w:rPr>
                <w:sz w:val="20"/>
                <w:szCs w:val="20"/>
                <w:lang w:val="en-US"/>
              </w:rPr>
            </w:pPr>
            <w:r>
              <w:rPr>
                <w:sz w:val="20"/>
                <w:szCs w:val="20"/>
                <w:lang w:val="en-US"/>
              </w:rPr>
              <w:t>City (Lincoln)</w:t>
            </w:r>
          </w:p>
        </w:tc>
        <w:tc>
          <w:tcPr>
            <w:tcW w:w="1089" w:type="dxa"/>
            <w:vAlign w:val="center"/>
          </w:tcPr>
          <w:p w14:paraId="1533CA80" w14:textId="4979AD6E" w:rsidR="00850766" w:rsidRPr="00D40F8D" w:rsidRDefault="00850766" w:rsidP="00850766">
            <w:pPr>
              <w:jc w:val="center"/>
              <w:rPr>
                <w:sz w:val="20"/>
                <w:szCs w:val="20"/>
              </w:rPr>
            </w:pPr>
            <w:r w:rsidRPr="00D40F8D">
              <w:rPr>
                <w:sz w:val="20"/>
                <w:szCs w:val="20"/>
              </w:rPr>
              <w:t>Motorized Crash</w:t>
            </w:r>
          </w:p>
        </w:tc>
        <w:tc>
          <w:tcPr>
            <w:tcW w:w="2061" w:type="dxa"/>
            <w:vAlign w:val="center"/>
          </w:tcPr>
          <w:p w14:paraId="7EEC40E6" w14:textId="215FC9A0" w:rsidR="00850766" w:rsidRPr="00D40F8D" w:rsidRDefault="00850766" w:rsidP="00850766">
            <w:pPr>
              <w:jc w:val="left"/>
              <w:rPr>
                <w:sz w:val="20"/>
                <w:szCs w:val="20"/>
                <w:lang w:val="en-US"/>
              </w:rPr>
            </w:pPr>
            <w:r>
              <w:rPr>
                <w:sz w:val="20"/>
                <w:szCs w:val="20"/>
                <w:lang w:val="en-US"/>
              </w:rPr>
              <w:t>5 (no injury, minor injury, moderate injury, serious injury, fatal)</w:t>
            </w:r>
          </w:p>
        </w:tc>
        <w:tc>
          <w:tcPr>
            <w:tcW w:w="1998" w:type="dxa"/>
            <w:vAlign w:val="center"/>
          </w:tcPr>
          <w:p w14:paraId="516A5B64" w14:textId="70286DF9" w:rsidR="00850766" w:rsidRPr="00F07321" w:rsidRDefault="00850766" w:rsidP="00850766">
            <w:pPr>
              <w:jc w:val="left"/>
              <w:rPr>
                <w:sz w:val="20"/>
                <w:szCs w:val="20"/>
                <w:lang w:val="en-US"/>
              </w:rPr>
            </w:pPr>
            <w:r>
              <w:rPr>
                <w:sz w:val="20"/>
                <w:szCs w:val="20"/>
                <w:lang w:val="en-US"/>
              </w:rPr>
              <w:t>N</w:t>
            </w:r>
            <w:r w:rsidRPr="00F07321">
              <w:rPr>
                <w:sz w:val="20"/>
                <w:szCs w:val="20"/>
                <w:lang w:val="en-US"/>
              </w:rPr>
              <w:t>etwork-based local</w:t>
            </w:r>
          </w:p>
          <w:p w14:paraId="4882C4CB" w14:textId="7DF7216F" w:rsidR="00850766" w:rsidRPr="00D40F8D" w:rsidRDefault="00850766" w:rsidP="00850766">
            <w:pPr>
              <w:jc w:val="left"/>
              <w:rPr>
                <w:sz w:val="20"/>
                <w:szCs w:val="20"/>
                <w:lang w:val="en-US"/>
              </w:rPr>
            </w:pPr>
            <w:r w:rsidRPr="00F07321">
              <w:rPr>
                <w:sz w:val="20"/>
                <w:szCs w:val="20"/>
                <w:lang w:val="en-US"/>
              </w:rPr>
              <w:t xml:space="preserve">spatial </w:t>
            </w:r>
            <w:r>
              <w:rPr>
                <w:sz w:val="20"/>
                <w:szCs w:val="20"/>
                <w:lang w:val="en-US"/>
              </w:rPr>
              <w:t>auto-</w:t>
            </w:r>
            <w:r w:rsidRPr="00F07321">
              <w:rPr>
                <w:sz w:val="20"/>
                <w:szCs w:val="20"/>
                <w:lang w:val="en-US"/>
              </w:rPr>
              <w:t>correlation</w:t>
            </w:r>
          </w:p>
        </w:tc>
        <w:tc>
          <w:tcPr>
            <w:tcW w:w="652" w:type="dxa"/>
            <w:vAlign w:val="center"/>
          </w:tcPr>
          <w:p w14:paraId="5BC488B8" w14:textId="04EEB480" w:rsidR="00850766" w:rsidRPr="00D40F8D" w:rsidRDefault="00850766" w:rsidP="00850766">
            <w:pPr>
              <w:jc w:val="center"/>
              <w:rPr>
                <w:b/>
                <w:sz w:val="20"/>
                <w:szCs w:val="20"/>
              </w:rPr>
            </w:pPr>
            <w:r w:rsidRPr="00D40F8D">
              <w:rPr>
                <w:b/>
                <w:sz w:val="20"/>
                <w:szCs w:val="20"/>
              </w:rPr>
              <w:t>√</w:t>
            </w:r>
          </w:p>
        </w:tc>
        <w:tc>
          <w:tcPr>
            <w:tcW w:w="459" w:type="dxa"/>
            <w:vAlign w:val="center"/>
          </w:tcPr>
          <w:p w14:paraId="1DBDE70B" w14:textId="14EFD6DA" w:rsidR="00850766" w:rsidRPr="00D40F8D" w:rsidRDefault="00850766" w:rsidP="00850766">
            <w:pPr>
              <w:jc w:val="center"/>
              <w:rPr>
                <w:b/>
                <w:sz w:val="20"/>
                <w:szCs w:val="20"/>
              </w:rPr>
            </w:pPr>
            <w:r w:rsidRPr="00D40F8D">
              <w:rPr>
                <w:b/>
                <w:sz w:val="20"/>
                <w:szCs w:val="20"/>
              </w:rPr>
              <w:t>--</w:t>
            </w:r>
          </w:p>
        </w:tc>
        <w:tc>
          <w:tcPr>
            <w:tcW w:w="604" w:type="dxa"/>
            <w:vAlign w:val="center"/>
          </w:tcPr>
          <w:p w14:paraId="19554F90" w14:textId="6407CB74" w:rsidR="00850766" w:rsidRPr="00D40F8D" w:rsidRDefault="00850766" w:rsidP="00850766">
            <w:pPr>
              <w:jc w:val="center"/>
              <w:rPr>
                <w:b/>
                <w:sz w:val="20"/>
                <w:szCs w:val="20"/>
              </w:rPr>
            </w:pPr>
            <w:r w:rsidRPr="00D40F8D">
              <w:rPr>
                <w:b/>
                <w:sz w:val="20"/>
                <w:szCs w:val="20"/>
              </w:rPr>
              <w:t>--</w:t>
            </w:r>
          </w:p>
        </w:tc>
        <w:tc>
          <w:tcPr>
            <w:tcW w:w="604" w:type="dxa"/>
            <w:vAlign w:val="center"/>
          </w:tcPr>
          <w:p w14:paraId="78DA147C" w14:textId="34A201B0" w:rsidR="00850766" w:rsidRPr="00D40F8D" w:rsidRDefault="00850766" w:rsidP="00850766">
            <w:pPr>
              <w:jc w:val="center"/>
              <w:rPr>
                <w:b/>
                <w:sz w:val="20"/>
                <w:szCs w:val="20"/>
              </w:rPr>
            </w:pPr>
            <w:r w:rsidRPr="00D40F8D">
              <w:rPr>
                <w:b/>
                <w:sz w:val="20"/>
                <w:szCs w:val="20"/>
              </w:rPr>
              <w:t>√</w:t>
            </w:r>
          </w:p>
        </w:tc>
        <w:tc>
          <w:tcPr>
            <w:tcW w:w="604" w:type="dxa"/>
            <w:vAlign w:val="center"/>
          </w:tcPr>
          <w:p w14:paraId="6150DCB2" w14:textId="7862BB5E" w:rsidR="00850766" w:rsidRPr="00D40F8D" w:rsidRDefault="00850766" w:rsidP="00850766">
            <w:pPr>
              <w:jc w:val="center"/>
              <w:rPr>
                <w:b/>
                <w:sz w:val="20"/>
                <w:szCs w:val="20"/>
              </w:rPr>
            </w:pPr>
            <w:r w:rsidRPr="00D40F8D">
              <w:rPr>
                <w:b/>
                <w:sz w:val="20"/>
                <w:szCs w:val="20"/>
              </w:rPr>
              <w:t>--</w:t>
            </w:r>
          </w:p>
        </w:tc>
        <w:tc>
          <w:tcPr>
            <w:tcW w:w="459" w:type="dxa"/>
            <w:vAlign w:val="center"/>
          </w:tcPr>
          <w:p w14:paraId="762F780B" w14:textId="64F79FD3" w:rsidR="00850766" w:rsidRPr="00D40F8D" w:rsidRDefault="00850766" w:rsidP="00850766">
            <w:pPr>
              <w:jc w:val="center"/>
              <w:rPr>
                <w:b/>
                <w:sz w:val="20"/>
                <w:szCs w:val="20"/>
              </w:rPr>
            </w:pPr>
            <w:r w:rsidRPr="00D40F8D">
              <w:rPr>
                <w:b/>
                <w:sz w:val="20"/>
                <w:szCs w:val="20"/>
              </w:rPr>
              <w:t>--</w:t>
            </w:r>
          </w:p>
        </w:tc>
      </w:tr>
      <w:tr w:rsidR="00494D9E" w:rsidRPr="00D40F8D" w14:paraId="656B9E68" w14:textId="77777777" w:rsidTr="00C94A9D">
        <w:trPr>
          <w:trHeight w:val="620"/>
        </w:trPr>
        <w:tc>
          <w:tcPr>
            <w:tcW w:w="1729" w:type="dxa"/>
            <w:vAlign w:val="center"/>
          </w:tcPr>
          <w:p w14:paraId="64FDA1D8" w14:textId="12A6C5EF" w:rsidR="00850766" w:rsidRPr="00D40F8D" w:rsidRDefault="00850766" w:rsidP="00850766">
            <w:pPr>
              <w:jc w:val="left"/>
              <w:rPr>
                <w:noProof/>
                <w:sz w:val="20"/>
                <w:szCs w:val="20"/>
              </w:rPr>
            </w:pPr>
            <w:r>
              <w:rPr>
                <w:noProof/>
                <w:sz w:val="20"/>
                <w:szCs w:val="20"/>
              </w:rPr>
              <w:fldChar w:fldCharType="begin" w:fldLock="1"/>
            </w:r>
            <w:r>
              <w:rPr>
                <w:noProof/>
                <w:sz w:val="20"/>
                <w:szCs w:val="20"/>
              </w:rPr>
              <w:instrText>ADDIN CSL_CITATION {"citationItems":[{"id":"ITEM-1","itemData":{"DOI":"10.1016/j.aap.2019.05.010","ISSN":"00014575","PMID":"31177039","abstract":"The frequency and severity of traffic crashes have commonly been used as indicators of crash risk on transport networks. Comprehensive modeling of crash risk should account for both frequency and injury severity—capturing both the extent and intensity of transport risk for designing effective safety improvement programs. Previous research has revealed that crashes are correlated across severity categories because of the combined influence of risk factors, observed or unobserved. Moreover, crashes are the outcomes of a multitude of factors related to roadway design, traffic operations, pavement conditions, driver behavior, human factors, and environmental characteristics, or in more general terms: factors reflect both engineering and non-engineering risk sources. Perhaps not surprisingly, engineering risk sources have dominated the list of variables in the mainstream modeling of crashes whereas non-engineering sources, in particular, behavioral factors, are crucially omitted. It is plausible to assume that crash contributing factors from the same risk source affect crashes in a similar manner, but their influences vary across different risk sources. Conventional crash frequency modeling hypothesizes that the total crash count at any roadway site is well-approximated by a single risk source to which several explanatory variables contribute collaboratively. The conventional formulation is not capable of accounting for variations between risk sources; therefore, is unable to discriminate distinct impacts between engineering variables and non-engineering variables. To address this shortcoming, this study contributes to the development of multivariate multiple risk source regression, a robust modeling technique to model crash frequency and severity simultaneously. The multivariate multiple risk source regression method applied in this study can effectively capture the correlation between severity levels of crash counts while identifyinging the varying effects of crash contributing factors originated from distinct sources. Using crashes on Wisconsin rural two-lane highways, two risk sources – engineering and behavioral – were employed to develop proposed models. The modeling results were compared with a single equation negative binomial (NB) model, and a univariate multiple risk source model. The results show that the multivariate multiple risk source model significantly outperforms the other models in terms of statistical fit across several measures. The stud…","author":[{"dropping-particle":"","family":"Rahman Shaon","given":"Mohammad Razaur","non-dropping-particle":"","parse-names":false,"suffix":""},{"dropping-particle":"","family":"Qin","given":"Xiao","non-dropping-particle":"","parse-names":false,"suffix":""},{"dropping-particle":"","family":"Afghari","given":"Amir Pooyan","non-dropping-particle":"","parse-names":false,"suffix":""},{"dropping-particle":"","family":"Washington","given":"Simon","non-dropping-particle":"","parse-names":false,"suffix":""},{"dropping-particle":"","family":"Haque","given":"Md Mazharul","non-dropping-particle":"","parse-names":false,"suffix":""}],"container-title":"Accident Analysis and Prevention","id":"ITEM-1","issued":{"date-parts":[["2019"]]},"page":"277-288","title":"Incorporating behavioral variables into crash count prediction by severity: A multivariate multiple risk source approach","type":"article-journal","volume":"129"},"uris":["http://www.mendeley.com/documents/?uuid=3442bdb0-fc68-4c53-adee-aff7e8d41cf8"]}],"mendeley":{"formattedCitation":"(Rahman Shaon et al., 2019)","manualFormatting":"(Shaon et al., 2019)","plainTextFormattedCitation":"(Rahman Shaon et al., 2019)","previouslyFormattedCitation":"(Rahman Shaon et al., 2019)"},"properties":{"noteIndex":0},"schema":"https://github.com/citation-style-language/schema/raw/master/csl-citation.json"}</w:instrText>
            </w:r>
            <w:r>
              <w:rPr>
                <w:noProof/>
                <w:sz w:val="20"/>
                <w:szCs w:val="20"/>
              </w:rPr>
              <w:fldChar w:fldCharType="separate"/>
            </w:r>
            <w:r w:rsidRPr="00B81912">
              <w:rPr>
                <w:noProof/>
                <w:sz w:val="20"/>
                <w:szCs w:val="20"/>
              </w:rPr>
              <w:t>(Shaon et al., 2019)</w:t>
            </w:r>
            <w:r>
              <w:rPr>
                <w:noProof/>
                <w:sz w:val="20"/>
                <w:szCs w:val="20"/>
              </w:rPr>
              <w:fldChar w:fldCharType="end"/>
            </w:r>
          </w:p>
        </w:tc>
        <w:tc>
          <w:tcPr>
            <w:tcW w:w="1238" w:type="dxa"/>
            <w:vAlign w:val="center"/>
          </w:tcPr>
          <w:p w14:paraId="7136C856" w14:textId="77777777" w:rsidR="00850766" w:rsidRPr="00D40F8D" w:rsidRDefault="00850766" w:rsidP="00850766">
            <w:pPr>
              <w:jc w:val="center"/>
              <w:rPr>
                <w:sz w:val="20"/>
                <w:szCs w:val="20"/>
              </w:rPr>
            </w:pPr>
            <w:r>
              <w:rPr>
                <w:sz w:val="20"/>
                <w:szCs w:val="20"/>
                <w:lang w:val="en-US"/>
              </w:rPr>
              <w:t>H</w:t>
            </w:r>
            <w:r w:rsidRPr="00D40F8D">
              <w:rPr>
                <w:sz w:val="20"/>
                <w:szCs w:val="20"/>
                <w:lang w:val="en-US"/>
              </w:rPr>
              <w:t>ighway segment (Micro)</w:t>
            </w:r>
          </w:p>
        </w:tc>
        <w:tc>
          <w:tcPr>
            <w:tcW w:w="1416" w:type="dxa"/>
            <w:vAlign w:val="center"/>
          </w:tcPr>
          <w:p w14:paraId="5DB08885" w14:textId="77777777" w:rsidR="00850766" w:rsidRPr="00D40F8D" w:rsidRDefault="00850766" w:rsidP="00850766">
            <w:pPr>
              <w:jc w:val="center"/>
              <w:rPr>
                <w:sz w:val="20"/>
                <w:szCs w:val="20"/>
                <w:lang w:val="en-US"/>
              </w:rPr>
            </w:pPr>
            <w:r w:rsidRPr="00D40F8D">
              <w:rPr>
                <w:sz w:val="20"/>
                <w:szCs w:val="20"/>
                <w:lang w:val="en-US"/>
              </w:rPr>
              <w:t>State</w:t>
            </w:r>
          </w:p>
          <w:p w14:paraId="58724B21" w14:textId="77777777" w:rsidR="00850766" w:rsidRPr="00D40F8D" w:rsidRDefault="00850766" w:rsidP="00850766">
            <w:pPr>
              <w:jc w:val="center"/>
              <w:rPr>
                <w:sz w:val="20"/>
                <w:szCs w:val="20"/>
                <w:lang w:val="en-US"/>
              </w:rPr>
            </w:pPr>
            <w:r w:rsidRPr="00D40F8D">
              <w:rPr>
                <w:sz w:val="20"/>
                <w:szCs w:val="20"/>
                <w:lang w:val="en-US"/>
              </w:rPr>
              <w:t>(</w:t>
            </w:r>
            <w:r>
              <w:rPr>
                <w:sz w:val="20"/>
                <w:szCs w:val="20"/>
                <w:lang w:val="en-US"/>
              </w:rPr>
              <w:t>Wisconsin</w:t>
            </w:r>
            <w:r w:rsidRPr="00D40F8D">
              <w:rPr>
                <w:sz w:val="20"/>
                <w:szCs w:val="20"/>
                <w:lang w:val="en-US"/>
              </w:rPr>
              <w:t>)</w:t>
            </w:r>
          </w:p>
        </w:tc>
        <w:tc>
          <w:tcPr>
            <w:tcW w:w="1089" w:type="dxa"/>
            <w:vAlign w:val="center"/>
          </w:tcPr>
          <w:p w14:paraId="33B911A6" w14:textId="77777777" w:rsidR="00850766" w:rsidRDefault="00850766" w:rsidP="00850766">
            <w:pPr>
              <w:jc w:val="center"/>
              <w:rPr>
                <w:sz w:val="20"/>
                <w:szCs w:val="20"/>
              </w:rPr>
            </w:pPr>
            <w:r w:rsidRPr="00D40F8D">
              <w:rPr>
                <w:sz w:val="20"/>
                <w:szCs w:val="20"/>
              </w:rPr>
              <w:t xml:space="preserve">Any </w:t>
            </w:r>
          </w:p>
          <w:p w14:paraId="5DE6CCEB" w14:textId="77777777" w:rsidR="00850766" w:rsidRPr="00D40F8D" w:rsidRDefault="00850766" w:rsidP="00850766">
            <w:pPr>
              <w:jc w:val="center"/>
              <w:rPr>
                <w:sz w:val="20"/>
                <w:szCs w:val="20"/>
              </w:rPr>
            </w:pPr>
            <w:r w:rsidRPr="00D40F8D">
              <w:rPr>
                <w:sz w:val="20"/>
                <w:szCs w:val="20"/>
              </w:rPr>
              <w:t>Crash</w:t>
            </w:r>
          </w:p>
        </w:tc>
        <w:tc>
          <w:tcPr>
            <w:tcW w:w="2061" w:type="dxa"/>
            <w:vAlign w:val="center"/>
          </w:tcPr>
          <w:p w14:paraId="7A503560" w14:textId="6E51100E" w:rsidR="00850766" w:rsidRPr="00D40F8D" w:rsidRDefault="00850766" w:rsidP="00850766">
            <w:pPr>
              <w:jc w:val="left"/>
              <w:rPr>
                <w:sz w:val="20"/>
                <w:szCs w:val="20"/>
                <w:lang w:val="en-US"/>
              </w:rPr>
            </w:pPr>
            <w:r>
              <w:rPr>
                <w:sz w:val="20"/>
                <w:szCs w:val="20"/>
                <w:lang w:val="en-US"/>
              </w:rPr>
              <w:t>2 (No injury, injury)</w:t>
            </w:r>
          </w:p>
        </w:tc>
        <w:tc>
          <w:tcPr>
            <w:tcW w:w="1998" w:type="dxa"/>
            <w:vAlign w:val="center"/>
          </w:tcPr>
          <w:p w14:paraId="721C9431" w14:textId="77777777" w:rsidR="00850766" w:rsidRPr="00D40F8D" w:rsidRDefault="00850766" w:rsidP="00850766">
            <w:pPr>
              <w:jc w:val="left"/>
              <w:rPr>
                <w:sz w:val="20"/>
                <w:szCs w:val="20"/>
                <w:lang w:val="en-US"/>
              </w:rPr>
            </w:pPr>
            <w:r>
              <w:rPr>
                <w:sz w:val="20"/>
                <w:szCs w:val="20"/>
                <w:lang w:val="en-US"/>
              </w:rPr>
              <w:t>M</w:t>
            </w:r>
            <w:r w:rsidRPr="008021DB">
              <w:rPr>
                <w:sz w:val="20"/>
                <w:szCs w:val="20"/>
                <w:lang w:val="en-US"/>
              </w:rPr>
              <w:t>ultivariate multiple risk source </w:t>
            </w:r>
            <w:hyperlink r:id="rId17" w:tooltip="Learn more about Regression Model from ScienceDirect's AI-generated Topic Pages" w:history="1">
              <w:r w:rsidRPr="008021DB">
                <w:rPr>
                  <w:sz w:val="20"/>
                  <w:szCs w:val="20"/>
                  <w:lang w:val="en-US"/>
                </w:rPr>
                <w:t>regression model</w:t>
              </w:r>
            </w:hyperlink>
          </w:p>
        </w:tc>
        <w:tc>
          <w:tcPr>
            <w:tcW w:w="652" w:type="dxa"/>
            <w:vAlign w:val="center"/>
          </w:tcPr>
          <w:p w14:paraId="4D6E006E" w14:textId="77777777" w:rsidR="00850766" w:rsidRPr="00D40F8D" w:rsidRDefault="00850766" w:rsidP="00850766">
            <w:pPr>
              <w:jc w:val="center"/>
              <w:rPr>
                <w:b/>
                <w:sz w:val="20"/>
                <w:szCs w:val="20"/>
              </w:rPr>
            </w:pPr>
            <w:r w:rsidRPr="00D40F8D">
              <w:rPr>
                <w:b/>
                <w:sz w:val="20"/>
                <w:szCs w:val="20"/>
              </w:rPr>
              <w:t>√</w:t>
            </w:r>
          </w:p>
        </w:tc>
        <w:tc>
          <w:tcPr>
            <w:tcW w:w="459" w:type="dxa"/>
            <w:vAlign w:val="center"/>
          </w:tcPr>
          <w:p w14:paraId="101353B5" w14:textId="77777777" w:rsidR="00850766" w:rsidRPr="00D40F8D" w:rsidRDefault="00850766" w:rsidP="00850766">
            <w:pPr>
              <w:jc w:val="center"/>
              <w:rPr>
                <w:b/>
                <w:sz w:val="20"/>
                <w:szCs w:val="20"/>
              </w:rPr>
            </w:pPr>
            <w:r w:rsidRPr="00D40F8D">
              <w:rPr>
                <w:b/>
                <w:sz w:val="20"/>
                <w:szCs w:val="20"/>
              </w:rPr>
              <w:t>--</w:t>
            </w:r>
          </w:p>
        </w:tc>
        <w:tc>
          <w:tcPr>
            <w:tcW w:w="604" w:type="dxa"/>
            <w:vAlign w:val="center"/>
          </w:tcPr>
          <w:p w14:paraId="507EEEC4" w14:textId="77777777" w:rsidR="00850766" w:rsidRPr="00D40F8D" w:rsidRDefault="00850766" w:rsidP="00850766">
            <w:pPr>
              <w:jc w:val="center"/>
              <w:rPr>
                <w:b/>
                <w:sz w:val="20"/>
                <w:szCs w:val="20"/>
              </w:rPr>
            </w:pPr>
            <w:r w:rsidRPr="00D40F8D">
              <w:rPr>
                <w:b/>
                <w:sz w:val="20"/>
                <w:szCs w:val="20"/>
              </w:rPr>
              <w:t>--</w:t>
            </w:r>
          </w:p>
        </w:tc>
        <w:tc>
          <w:tcPr>
            <w:tcW w:w="604" w:type="dxa"/>
            <w:vAlign w:val="center"/>
          </w:tcPr>
          <w:p w14:paraId="309AAEE5" w14:textId="77777777" w:rsidR="00850766" w:rsidRPr="00D40F8D" w:rsidRDefault="00850766" w:rsidP="00850766">
            <w:pPr>
              <w:jc w:val="center"/>
              <w:rPr>
                <w:b/>
                <w:sz w:val="20"/>
                <w:szCs w:val="20"/>
              </w:rPr>
            </w:pPr>
            <w:r w:rsidRPr="00D40F8D">
              <w:rPr>
                <w:b/>
                <w:sz w:val="20"/>
                <w:szCs w:val="20"/>
              </w:rPr>
              <w:t>√</w:t>
            </w:r>
          </w:p>
        </w:tc>
        <w:tc>
          <w:tcPr>
            <w:tcW w:w="604" w:type="dxa"/>
            <w:vAlign w:val="center"/>
          </w:tcPr>
          <w:p w14:paraId="39344AED" w14:textId="77777777" w:rsidR="00850766" w:rsidRPr="00D40F8D" w:rsidRDefault="00850766" w:rsidP="00850766">
            <w:pPr>
              <w:jc w:val="center"/>
              <w:rPr>
                <w:b/>
                <w:sz w:val="20"/>
                <w:szCs w:val="20"/>
              </w:rPr>
            </w:pPr>
            <w:r w:rsidRPr="00D40F8D">
              <w:rPr>
                <w:b/>
                <w:sz w:val="20"/>
                <w:szCs w:val="20"/>
              </w:rPr>
              <w:t>--</w:t>
            </w:r>
          </w:p>
        </w:tc>
        <w:tc>
          <w:tcPr>
            <w:tcW w:w="459" w:type="dxa"/>
            <w:vAlign w:val="center"/>
          </w:tcPr>
          <w:p w14:paraId="262B47BB" w14:textId="77777777" w:rsidR="00850766" w:rsidRPr="00D40F8D" w:rsidRDefault="00850766" w:rsidP="00850766">
            <w:pPr>
              <w:jc w:val="center"/>
              <w:rPr>
                <w:b/>
                <w:sz w:val="20"/>
                <w:szCs w:val="20"/>
              </w:rPr>
            </w:pPr>
            <w:r w:rsidRPr="00D40F8D">
              <w:rPr>
                <w:b/>
                <w:sz w:val="20"/>
                <w:szCs w:val="20"/>
              </w:rPr>
              <w:t>--</w:t>
            </w:r>
          </w:p>
        </w:tc>
      </w:tr>
      <w:tr w:rsidR="00494D9E" w:rsidRPr="00D40F8D" w14:paraId="1141B142" w14:textId="77777777" w:rsidTr="005E2A8F">
        <w:trPr>
          <w:trHeight w:val="620"/>
        </w:trPr>
        <w:tc>
          <w:tcPr>
            <w:tcW w:w="1729" w:type="dxa"/>
            <w:vAlign w:val="center"/>
          </w:tcPr>
          <w:p w14:paraId="1FBCFD31" w14:textId="04A00CAD" w:rsidR="00850766" w:rsidRDefault="00850766" w:rsidP="00850766">
            <w:pPr>
              <w:jc w:val="left"/>
              <w:rPr>
                <w:noProof/>
                <w:sz w:val="20"/>
                <w:szCs w:val="20"/>
              </w:rPr>
            </w:pPr>
            <w:r>
              <w:rPr>
                <w:noProof/>
                <w:sz w:val="20"/>
                <w:szCs w:val="20"/>
              </w:rPr>
              <w:fldChar w:fldCharType="begin" w:fldLock="1"/>
            </w:r>
            <w:r w:rsidR="00991BE9">
              <w:rPr>
                <w:noProof/>
                <w:sz w:val="20"/>
                <w:szCs w:val="20"/>
              </w:rPr>
              <w:instrText>ADDIN CSL_CITATION {"citationItems":[{"id":"ITEM-1","itemData":{"DOI":"10.1016/j.aap.2018.10.009","ISSN":"00014575","PMID":"30388574","abstract":"Conventional safety models rely on the assumption of independence of crash data, which is frequently violated. This study develops a novel multivariate conditional autoregressive (MVCAR) model to account for the spatial autocorrelation of neighboring sites and the inherent correlation across different crash types. Manhattan, which is the most densely populated urban area of New York City, is used as the study area. Census tracts are used as the basic geographic units to capture crash, transportation, land use, and demo-economic data. The specification of the proposed multivariate model allows for jointly modeling counts of various crash types that are classified according to injury severity. Results of Moran's I tests show the ability of the MVCAR model to capture the multivariate spatial autocorrelation among different crash types. The MVCAR model is found to outperform the others by presenting the lowest deviance information criterion (DIC) value. It is also found that the unobserved heterogeneity was mostly attributed to spatial factors instead of non-spatial ones and there is a strong shared geographical pattern of risk among different crash types.","author":[{"dropping-particle":"","family":"Xie","given":"Kun","non-dropping-particle":"","parse-names":false,"suffix":""},{"dropping-particle":"","family":"Ozbay","given":"Kaan","non-dropping-particle":"","parse-names":false,"suffix":""},{"dropping-particle":"","family":"Yang","given":"Hong","non-dropping-particle":"","parse-names":false,"suffix":""}],"container-title":"Accident Analysis and Prevention","id":"ITEM-1","issued":{"date-parts":[["2019"]]},"page":"189-198","title":"A multivariate spatial approach to model crash counts by injury severity","type":"article-journal","volume":"122"},"uris":["http://www.mendeley.com/documents/?uuid=bceacc9c-5f74-4207-b7bf-db34430f6383"]}],"mendeley":{"formattedCitation":"(Xie et al., 2019)","plainTextFormattedCitation":"(Xie et al., 2019)","previouslyFormattedCitation":"(Xie et al., 2019)"},"properties":{"noteIndex":0},"schema":"https://github.com/citation-style-language/schema/raw/master/csl-citation.json"}</w:instrText>
            </w:r>
            <w:r>
              <w:rPr>
                <w:noProof/>
                <w:sz w:val="20"/>
                <w:szCs w:val="20"/>
              </w:rPr>
              <w:fldChar w:fldCharType="separate"/>
            </w:r>
            <w:r w:rsidRPr="00C94A9D">
              <w:rPr>
                <w:noProof/>
                <w:sz w:val="20"/>
                <w:szCs w:val="20"/>
              </w:rPr>
              <w:t>(Xie et al., 2019)</w:t>
            </w:r>
            <w:r>
              <w:rPr>
                <w:noProof/>
                <w:sz w:val="20"/>
                <w:szCs w:val="20"/>
              </w:rPr>
              <w:fldChar w:fldCharType="end"/>
            </w:r>
          </w:p>
        </w:tc>
        <w:tc>
          <w:tcPr>
            <w:tcW w:w="1238" w:type="dxa"/>
            <w:vAlign w:val="center"/>
          </w:tcPr>
          <w:p w14:paraId="573CFC4C" w14:textId="77777777" w:rsidR="00850766" w:rsidRDefault="00850766" w:rsidP="00850766">
            <w:pPr>
              <w:jc w:val="center"/>
              <w:rPr>
                <w:sz w:val="20"/>
                <w:szCs w:val="20"/>
                <w:lang w:val="en-US"/>
              </w:rPr>
            </w:pPr>
            <w:r>
              <w:rPr>
                <w:sz w:val="20"/>
                <w:szCs w:val="20"/>
                <w:lang w:val="en-US"/>
              </w:rPr>
              <w:t>Census tract</w:t>
            </w:r>
          </w:p>
          <w:p w14:paraId="304A09C8" w14:textId="43420816" w:rsidR="00850766" w:rsidRDefault="00850766" w:rsidP="00850766">
            <w:pPr>
              <w:jc w:val="center"/>
              <w:rPr>
                <w:sz w:val="20"/>
                <w:szCs w:val="20"/>
                <w:lang w:val="en-US"/>
              </w:rPr>
            </w:pPr>
            <w:r>
              <w:rPr>
                <w:sz w:val="20"/>
                <w:szCs w:val="20"/>
                <w:lang w:val="en-US"/>
              </w:rPr>
              <w:t>(macro)</w:t>
            </w:r>
          </w:p>
        </w:tc>
        <w:tc>
          <w:tcPr>
            <w:tcW w:w="1416" w:type="dxa"/>
            <w:vAlign w:val="center"/>
          </w:tcPr>
          <w:p w14:paraId="15E3AE8A" w14:textId="59E288B5" w:rsidR="00850766" w:rsidRDefault="00850766" w:rsidP="00850766">
            <w:pPr>
              <w:jc w:val="center"/>
              <w:rPr>
                <w:sz w:val="20"/>
                <w:szCs w:val="20"/>
                <w:lang w:val="en-US"/>
              </w:rPr>
            </w:pPr>
            <w:r>
              <w:rPr>
                <w:sz w:val="20"/>
                <w:szCs w:val="20"/>
                <w:lang w:val="en-US"/>
              </w:rPr>
              <w:t>City</w:t>
            </w:r>
          </w:p>
          <w:p w14:paraId="2366145A" w14:textId="3F5E0B48" w:rsidR="00850766" w:rsidRPr="00D40F8D" w:rsidRDefault="00850766" w:rsidP="00850766">
            <w:pPr>
              <w:jc w:val="center"/>
              <w:rPr>
                <w:sz w:val="20"/>
                <w:szCs w:val="20"/>
                <w:lang w:val="en-US"/>
              </w:rPr>
            </w:pPr>
            <w:r>
              <w:rPr>
                <w:sz w:val="20"/>
                <w:szCs w:val="20"/>
                <w:lang w:val="en-US"/>
              </w:rPr>
              <w:t>(Manhattan)</w:t>
            </w:r>
          </w:p>
        </w:tc>
        <w:tc>
          <w:tcPr>
            <w:tcW w:w="1089" w:type="dxa"/>
            <w:vAlign w:val="center"/>
          </w:tcPr>
          <w:p w14:paraId="65B83F05" w14:textId="77777777" w:rsidR="00E01BB3" w:rsidRDefault="00E01BB3" w:rsidP="00E01BB3">
            <w:pPr>
              <w:jc w:val="center"/>
              <w:rPr>
                <w:sz w:val="20"/>
                <w:szCs w:val="20"/>
              </w:rPr>
            </w:pPr>
            <w:r w:rsidRPr="00D40F8D">
              <w:rPr>
                <w:sz w:val="20"/>
                <w:szCs w:val="20"/>
              </w:rPr>
              <w:t xml:space="preserve">Any </w:t>
            </w:r>
          </w:p>
          <w:p w14:paraId="1E277A3E" w14:textId="68569D66" w:rsidR="00850766" w:rsidRPr="00D40F8D" w:rsidRDefault="00E01BB3" w:rsidP="00E01BB3">
            <w:pPr>
              <w:jc w:val="center"/>
              <w:rPr>
                <w:sz w:val="20"/>
                <w:szCs w:val="20"/>
              </w:rPr>
            </w:pPr>
            <w:r w:rsidRPr="00D40F8D">
              <w:rPr>
                <w:sz w:val="20"/>
                <w:szCs w:val="20"/>
              </w:rPr>
              <w:t>Crash</w:t>
            </w:r>
          </w:p>
        </w:tc>
        <w:tc>
          <w:tcPr>
            <w:tcW w:w="2061" w:type="dxa"/>
            <w:vAlign w:val="center"/>
          </w:tcPr>
          <w:p w14:paraId="6B89632E" w14:textId="51FB244B" w:rsidR="00850766" w:rsidRDefault="00850766" w:rsidP="00850766">
            <w:pPr>
              <w:jc w:val="left"/>
              <w:rPr>
                <w:sz w:val="20"/>
                <w:szCs w:val="20"/>
                <w:lang w:val="en-US"/>
              </w:rPr>
            </w:pPr>
            <w:r>
              <w:rPr>
                <w:sz w:val="20"/>
                <w:szCs w:val="20"/>
                <w:lang w:val="en-US"/>
              </w:rPr>
              <w:t>3 (no injury, serious and fatal)</w:t>
            </w:r>
          </w:p>
        </w:tc>
        <w:tc>
          <w:tcPr>
            <w:tcW w:w="1998" w:type="dxa"/>
            <w:vAlign w:val="center"/>
          </w:tcPr>
          <w:p w14:paraId="10AEC091" w14:textId="78834550" w:rsidR="00850766" w:rsidRDefault="00850766" w:rsidP="00850766">
            <w:pPr>
              <w:jc w:val="left"/>
              <w:rPr>
                <w:sz w:val="20"/>
                <w:szCs w:val="20"/>
                <w:lang w:val="en-US"/>
              </w:rPr>
            </w:pPr>
            <w:r w:rsidRPr="003F387A">
              <w:rPr>
                <w:sz w:val="20"/>
                <w:szCs w:val="20"/>
              </w:rPr>
              <w:t xml:space="preserve">Multivariate Conditional </w:t>
            </w:r>
            <w:r w:rsidRPr="003F387A">
              <w:rPr>
                <w:sz w:val="20"/>
                <w:szCs w:val="20"/>
              </w:rPr>
              <w:lastRenderedPageBreak/>
              <w:t>Autoregressive (MVCAR) model</w:t>
            </w:r>
          </w:p>
        </w:tc>
        <w:tc>
          <w:tcPr>
            <w:tcW w:w="652" w:type="dxa"/>
            <w:vAlign w:val="center"/>
          </w:tcPr>
          <w:p w14:paraId="1B1E4109" w14:textId="5CFF5985" w:rsidR="00850766" w:rsidRPr="00D40F8D" w:rsidRDefault="00850766" w:rsidP="00850766">
            <w:pPr>
              <w:jc w:val="center"/>
              <w:rPr>
                <w:b/>
                <w:sz w:val="20"/>
                <w:szCs w:val="20"/>
              </w:rPr>
            </w:pPr>
            <w:r w:rsidRPr="00D40F8D">
              <w:rPr>
                <w:b/>
                <w:sz w:val="20"/>
                <w:szCs w:val="20"/>
              </w:rPr>
              <w:lastRenderedPageBreak/>
              <w:t>√</w:t>
            </w:r>
          </w:p>
        </w:tc>
        <w:tc>
          <w:tcPr>
            <w:tcW w:w="459" w:type="dxa"/>
            <w:vAlign w:val="center"/>
          </w:tcPr>
          <w:p w14:paraId="72B1BF3F" w14:textId="6221B6D2" w:rsidR="00850766" w:rsidRPr="00D40F8D" w:rsidRDefault="00850766" w:rsidP="00850766">
            <w:pPr>
              <w:jc w:val="center"/>
              <w:rPr>
                <w:b/>
                <w:sz w:val="20"/>
                <w:szCs w:val="20"/>
              </w:rPr>
            </w:pPr>
            <w:r w:rsidRPr="00D40F8D">
              <w:rPr>
                <w:b/>
                <w:sz w:val="20"/>
                <w:szCs w:val="20"/>
              </w:rPr>
              <w:t>√</w:t>
            </w:r>
          </w:p>
        </w:tc>
        <w:tc>
          <w:tcPr>
            <w:tcW w:w="604" w:type="dxa"/>
            <w:vAlign w:val="center"/>
          </w:tcPr>
          <w:p w14:paraId="2802D0F2" w14:textId="459DC507" w:rsidR="00850766" w:rsidRPr="00D40F8D" w:rsidRDefault="00850766" w:rsidP="00850766">
            <w:pPr>
              <w:jc w:val="center"/>
              <w:rPr>
                <w:b/>
                <w:sz w:val="20"/>
                <w:szCs w:val="20"/>
              </w:rPr>
            </w:pPr>
            <w:r w:rsidRPr="00D40F8D">
              <w:rPr>
                <w:b/>
                <w:sz w:val="20"/>
                <w:szCs w:val="20"/>
              </w:rPr>
              <w:t>--</w:t>
            </w:r>
          </w:p>
        </w:tc>
        <w:tc>
          <w:tcPr>
            <w:tcW w:w="604" w:type="dxa"/>
            <w:vAlign w:val="center"/>
          </w:tcPr>
          <w:p w14:paraId="0F168D8A" w14:textId="509C8039" w:rsidR="00850766" w:rsidRPr="00D40F8D" w:rsidRDefault="00850766" w:rsidP="00850766">
            <w:pPr>
              <w:jc w:val="center"/>
              <w:rPr>
                <w:b/>
                <w:sz w:val="20"/>
                <w:szCs w:val="20"/>
              </w:rPr>
            </w:pPr>
            <w:r w:rsidRPr="00D40F8D">
              <w:rPr>
                <w:b/>
                <w:sz w:val="20"/>
                <w:szCs w:val="20"/>
              </w:rPr>
              <w:t>√</w:t>
            </w:r>
          </w:p>
        </w:tc>
        <w:tc>
          <w:tcPr>
            <w:tcW w:w="604" w:type="dxa"/>
            <w:vAlign w:val="center"/>
          </w:tcPr>
          <w:p w14:paraId="6F408E65" w14:textId="1EEFED04" w:rsidR="00850766" w:rsidRPr="00D40F8D" w:rsidRDefault="00850766" w:rsidP="00850766">
            <w:pPr>
              <w:jc w:val="center"/>
              <w:rPr>
                <w:b/>
                <w:sz w:val="20"/>
                <w:szCs w:val="20"/>
              </w:rPr>
            </w:pPr>
            <w:r w:rsidRPr="00D40F8D">
              <w:rPr>
                <w:b/>
                <w:sz w:val="20"/>
                <w:szCs w:val="20"/>
              </w:rPr>
              <w:t>--</w:t>
            </w:r>
          </w:p>
        </w:tc>
        <w:tc>
          <w:tcPr>
            <w:tcW w:w="459" w:type="dxa"/>
            <w:vAlign w:val="center"/>
          </w:tcPr>
          <w:p w14:paraId="1AA3996D" w14:textId="756471EA" w:rsidR="00850766" w:rsidRPr="00D40F8D" w:rsidRDefault="00850766" w:rsidP="00850766">
            <w:pPr>
              <w:jc w:val="center"/>
              <w:rPr>
                <w:b/>
                <w:sz w:val="20"/>
                <w:szCs w:val="20"/>
              </w:rPr>
            </w:pPr>
            <w:r w:rsidRPr="00D40F8D">
              <w:rPr>
                <w:b/>
                <w:sz w:val="20"/>
                <w:szCs w:val="20"/>
              </w:rPr>
              <w:t>--</w:t>
            </w:r>
          </w:p>
        </w:tc>
      </w:tr>
      <w:tr w:rsidR="00494D9E" w:rsidRPr="00D40F8D" w14:paraId="0E6B6E26" w14:textId="77777777" w:rsidTr="00961695">
        <w:trPr>
          <w:trHeight w:val="620"/>
        </w:trPr>
        <w:tc>
          <w:tcPr>
            <w:tcW w:w="1729" w:type="dxa"/>
            <w:vAlign w:val="center"/>
          </w:tcPr>
          <w:p w14:paraId="79D40754" w14:textId="62BFD9E1" w:rsidR="00850766" w:rsidRDefault="00850766" w:rsidP="00850766">
            <w:pPr>
              <w:jc w:val="left"/>
              <w:rPr>
                <w:noProof/>
                <w:sz w:val="20"/>
                <w:szCs w:val="20"/>
              </w:rPr>
            </w:pPr>
            <w:r>
              <w:rPr>
                <w:noProof/>
                <w:sz w:val="20"/>
                <w:szCs w:val="20"/>
              </w:rPr>
              <w:fldChar w:fldCharType="begin" w:fldLock="1"/>
            </w:r>
            <w:r w:rsidR="00991BE9">
              <w:rPr>
                <w:noProof/>
                <w:sz w:val="20"/>
                <w:szCs w:val="20"/>
              </w:rPr>
              <w:instrText>ADDIN CSL_CITATION {"citationItems":[{"id":"ITEM-1","itemData":{"DOI":"10.1080/23249935.2019.1652867","ISSN":"23249943","abstract":"This study investigates the inclusion of spatio-temporal correlation and interaction in a multivariate random-parameters Tobit model and their influence on fitting areal crash rates with different severity outcomes. The spatial correlation is specified via a multivariate conditional autoregressiv (MCAR) prior, whereas the temporal correlation is specified by a linear time trend. A spatio-temporal interaction is formulated as the product of a time trend and a spatial term with an MCAR prior. A multivariate random-parameters spatio-temporal Tobit model is developed for slight injury and killed or serious injury crash rates using one year of crash data from 131 traffic analysis zones in Hong Kong. The proposed model is estimated and assessed in the Bayesian context. The model estimation results show that spatial and temporal effects and their interactive effects are significant and that the spatial and interactive effects have strong correlations across injury severities. The proposed model outperforms a multivariate random-parameters Tobit model and a multivariate random-parameters spatial Tobit model in terms of model fit. These findings highlight the importance of appropriately accommodating spatio-temporal correlation and interaction for the joint analysis of areal crash rates by severity.","author":[{"dropping-particle":"","family":"Zeng","given":"Qiang","non-dropping-particle":"","parse-names":false,"suffix":""},{"dropping-particle":"","family":"Guo","given":"Qiang","non-dropping-particle":"","parse-names":false,"suffix":""},{"dropping-particle":"","family":"Wong","given":"S. C.","non-dropping-particle":"","parse-names":false,"suffix":""},{"dropping-particle":"","family":"Wen","given":"Huiying","non-dropping-particle":"","parse-names":false,"suffix":""},{"dropping-particle":"","family":"Huang","given":"Heilai","non-dropping-particle":"","parse-names":false,"suffix":""},{"dropping-particle":"","family":"Pei","given":"Xin","non-dropping-particle":"","parse-names":false,"suffix":""}],"container-title":"Transportmetrica A: Transport Science","id":"ITEM-1","issue":"2","issued":{"date-parts":[["2019"]]},"page":"1867-1884","title":"Jointly modeling area-level crash rates by severity: a Bayesian multivariate random-parameters spatio-temporal Tobit regression","type":"article-journal","volume":"15"},"uris":["http://www.mendeley.com/documents/?uuid=5bfed099-a58c-4525-9ebd-4ada27713405"]}],"mendeley":{"formattedCitation":"(Zeng et al., 2019)","plainTextFormattedCitation":"(Zeng et al., 2019)","previouslyFormattedCitation":"(Zeng et al., 2019)"},"properties":{"noteIndex":0},"schema":"https://github.com/citation-style-language/schema/raw/master/csl-citation.json"}</w:instrText>
            </w:r>
            <w:r>
              <w:rPr>
                <w:noProof/>
                <w:sz w:val="20"/>
                <w:szCs w:val="20"/>
              </w:rPr>
              <w:fldChar w:fldCharType="separate"/>
            </w:r>
            <w:r w:rsidRPr="005E2A8F">
              <w:rPr>
                <w:noProof/>
                <w:sz w:val="20"/>
                <w:szCs w:val="20"/>
              </w:rPr>
              <w:t>(Zeng et al., 2019)</w:t>
            </w:r>
            <w:r>
              <w:rPr>
                <w:noProof/>
                <w:sz w:val="20"/>
                <w:szCs w:val="20"/>
              </w:rPr>
              <w:fldChar w:fldCharType="end"/>
            </w:r>
          </w:p>
        </w:tc>
        <w:tc>
          <w:tcPr>
            <w:tcW w:w="1238" w:type="dxa"/>
            <w:vAlign w:val="center"/>
          </w:tcPr>
          <w:p w14:paraId="562A15F4" w14:textId="4F6764EB" w:rsidR="00850766" w:rsidRDefault="00850766" w:rsidP="00850766">
            <w:pPr>
              <w:jc w:val="center"/>
              <w:rPr>
                <w:sz w:val="20"/>
                <w:szCs w:val="20"/>
                <w:lang w:val="en-US"/>
              </w:rPr>
            </w:pPr>
            <w:r>
              <w:rPr>
                <w:sz w:val="20"/>
                <w:szCs w:val="20"/>
                <w:lang w:val="en-US"/>
              </w:rPr>
              <w:t>TAZs</w:t>
            </w:r>
            <w:r w:rsidR="00E461E0">
              <w:rPr>
                <w:sz w:val="20"/>
                <w:szCs w:val="20"/>
                <w:lang w:val="en-US"/>
              </w:rPr>
              <w:t xml:space="preserve"> (macro)</w:t>
            </w:r>
          </w:p>
        </w:tc>
        <w:tc>
          <w:tcPr>
            <w:tcW w:w="1416" w:type="dxa"/>
            <w:vAlign w:val="center"/>
          </w:tcPr>
          <w:p w14:paraId="38A193EC" w14:textId="764520AF" w:rsidR="00850766" w:rsidRDefault="00A42FCC" w:rsidP="00850766">
            <w:pPr>
              <w:jc w:val="center"/>
              <w:rPr>
                <w:sz w:val="20"/>
                <w:szCs w:val="20"/>
                <w:lang w:val="en-US"/>
              </w:rPr>
            </w:pPr>
            <w:r>
              <w:rPr>
                <w:sz w:val="20"/>
                <w:szCs w:val="20"/>
                <w:lang w:val="en-US"/>
              </w:rPr>
              <w:t>M</w:t>
            </w:r>
            <w:r w:rsidR="00850766" w:rsidRPr="00931226">
              <w:rPr>
                <w:sz w:val="20"/>
                <w:szCs w:val="20"/>
                <w:lang w:val="en-US"/>
              </w:rPr>
              <w:t>etropolitan area</w:t>
            </w:r>
            <w:r w:rsidR="00850766">
              <w:rPr>
                <w:sz w:val="20"/>
                <w:szCs w:val="20"/>
                <w:lang w:val="en-US"/>
              </w:rPr>
              <w:t xml:space="preserve"> </w:t>
            </w:r>
          </w:p>
          <w:p w14:paraId="279915F9" w14:textId="181D570F" w:rsidR="00850766" w:rsidRDefault="00850766" w:rsidP="00850766">
            <w:pPr>
              <w:jc w:val="center"/>
              <w:rPr>
                <w:sz w:val="20"/>
                <w:szCs w:val="20"/>
                <w:lang w:val="en-US"/>
              </w:rPr>
            </w:pPr>
            <w:r>
              <w:rPr>
                <w:sz w:val="20"/>
                <w:szCs w:val="20"/>
                <w:lang w:val="en-US"/>
              </w:rPr>
              <w:t>(Hong Kong</w:t>
            </w:r>
          </w:p>
        </w:tc>
        <w:tc>
          <w:tcPr>
            <w:tcW w:w="1089" w:type="dxa"/>
            <w:vAlign w:val="center"/>
          </w:tcPr>
          <w:p w14:paraId="5DE13230" w14:textId="77777777" w:rsidR="00E01BB3" w:rsidRDefault="00E01BB3" w:rsidP="00E01BB3">
            <w:pPr>
              <w:jc w:val="center"/>
              <w:rPr>
                <w:sz w:val="20"/>
                <w:szCs w:val="20"/>
              </w:rPr>
            </w:pPr>
            <w:r w:rsidRPr="00D40F8D">
              <w:rPr>
                <w:sz w:val="20"/>
                <w:szCs w:val="20"/>
              </w:rPr>
              <w:t xml:space="preserve">Any </w:t>
            </w:r>
          </w:p>
          <w:p w14:paraId="36ECAD40" w14:textId="234F3700" w:rsidR="00850766" w:rsidRPr="00D40F8D" w:rsidRDefault="00E01BB3" w:rsidP="00E01BB3">
            <w:pPr>
              <w:jc w:val="center"/>
              <w:rPr>
                <w:sz w:val="20"/>
                <w:szCs w:val="20"/>
              </w:rPr>
            </w:pPr>
            <w:r w:rsidRPr="00D40F8D">
              <w:rPr>
                <w:sz w:val="20"/>
                <w:szCs w:val="20"/>
              </w:rPr>
              <w:t>Crash</w:t>
            </w:r>
          </w:p>
        </w:tc>
        <w:tc>
          <w:tcPr>
            <w:tcW w:w="2061" w:type="dxa"/>
            <w:vAlign w:val="center"/>
          </w:tcPr>
          <w:p w14:paraId="30BF4824" w14:textId="10AA7040" w:rsidR="00850766" w:rsidRDefault="00850766" w:rsidP="00850766">
            <w:pPr>
              <w:jc w:val="left"/>
              <w:rPr>
                <w:sz w:val="20"/>
                <w:szCs w:val="20"/>
                <w:lang w:val="en-US"/>
              </w:rPr>
            </w:pPr>
            <w:r>
              <w:rPr>
                <w:sz w:val="20"/>
                <w:szCs w:val="20"/>
                <w:lang w:val="en-US"/>
              </w:rPr>
              <w:t>3 (no injury, slight and KSI</w:t>
            </w:r>
            <w:r w:rsidRPr="00E87C8C">
              <w:rPr>
                <w:sz w:val="20"/>
                <w:szCs w:val="18"/>
              </w:rPr>
              <w:t>**</w:t>
            </w:r>
            <w:r>
              <w:rPr>
                <w:sz w:val="20"/>
                <w:szCs w:val="18"/>
              </w:rPr>
              <w:t>***</w:t>
            </w:r>
            <w:r>
              <w:rPr>
                <w:sz w:val="20"/>
                <w:szCs w:val="20"/>
                <w:lang w:val="en-US"/>
              </w:rPr>
              <w:t>)</w:t>
            </w:r>
          </w:p>
        </w:tc>
        <w:tc>
          <w:tcPr>
            <w:tcW w:w="1998" w:type="dxa"/>
            <w:vAlign w:val="center"/>
          </w:tcPr>
          <w:p w14:paraId="353F6964" w14:textId="589C18E6" w:rsidR="00850766" w:rsidRPr="003F387A" w:rsidRDefault="00850766" w:rsidP="00850766">
            <w:pPr>
              <w:jc w:val="left"/>
              <w:rPr>
                <w:sz w:val="20"/>
                <w:szCs w:val="20"/>
              </w:rPr>
            </w:pPr>
            <w:r w:rsidRPr="00107E20">
              <w:rPr>
                <w:sz w:val="20"/>
                <w:szCs w:val="20"/>
              </w:rPr>
              <w:t xml:space="preserve">Bayesian multivariate random-parameters </w:t>
            </w:r>
            <w:proofErr w:type="spellStart"/>
            <w:r w:rsidRPr="00107E20">
              <w:rPr>
                <w:sz w:val="20"/>
                <w:szCs w:val="20"/>
              </w:rPr>
              <w:t>spatio</w:t>
            </w:r>
            <w:proofErr w:type="spellEnd"/>
            <w:r w:rsidRPr="00107E20">
              <w:rPr>
                <w:sz w:val="20"/>
                <w:szCs w:val="20"/>
              </w:rPr>
              <w:t>-temporal Tobit regression</w:t>
            </w:r>
          </w:p>
        </w:tc>
        <w:tc>
          <w:tcPr>
            <w:tcW w:w="652" w:type="dxa"/>
            <w:vAlign w:val="center"/>
          </w:tcPr>
          <w:p w14:paraId="5CBAF2C6" w14:textId="61F4EA42" w:rsidR="00850766" w:rsidRPr="00D40F8D" w:rsidRDefault="00850766" w:rsidP="00850766">
            <w:pPr>
              <w:jc w:val="center"/>
              <w:rPr>
                <w:b/>
                <w:sz w:val="20"/>
                <w:szCs w:val="20"/>
              </w:rPr>
            </w:pPr>
            <w:r w:rsidRPr="00D40F8D">
              <w:rPr>
                <w:b/>
                <w:sz w:val="20"/>
                <w:szCs w:val="20"/>
              </w:rPr>
              <w:t>√</w:t>
            </w:r>
          </w:p>
        </w:tc>
        <w:tc>
          <w:tcPr>
            <w:tcW w:w="459" w:type="dxa"/>
            <w:vAlign w:val="center"/>
          </w:tcPr>
          <w:p w14:paraId="0B0080C8" w14:textId="0BCBCCEE" w:rsidR="00850766" w:rsidRPr="00D40F8D" w:rsidRDefault="00850766" w:rsidP="00850766">
            <w:pPr>
              <w:jc w:val="center"/>
              <w:rPr>
                <w:b/>
                <w:sz w:val="20"/>
                <w:szCs w:val="20"/>
              </w:rPr>
            </w:pPr>
            <w:r w:rsidRPr="00D40F8D">
              <w:rPr>
                <w:b/>
                <w:sz w:val="20"/>
                <w:szCs w:val="20"/>
              </w:rPr>
              <w:t>--</w:t>
            </w:r>
          </w:p>
        </w:tc>
        <w:tc>
          <w:tcPr>
            <w:tcW w:w="604" w:type="dxa"/>
            <w:vAlign w:val="center"/>
          </w:tcPr>
          <w:p w14:paraId="2D592CE2" w14:textId="24818FF8" w:rsidR="00850766" w:rsidRPr="00D40F8D" w:rsidRDefault="00850766" w:rsidP="00850766">
            <w:pPr>
              <w:jc w:val="center"/>
              <w:rPr>
                <w:b/>
                <w:sz w:val="20"/>
                <w:szCs w:val="20"/>
              </w:rPr>
            </w:pPr>
            <w:r w:rsidRPr="00D40F8D">
              <w:rPr>
                <w:b/>
                <w:sz w:val="20"/>
                <w:szCs w:val="20"/>
              </w:rPr>
              <w:t>--</w:t>
            </w:r>
          </w:p>
        </w:tc>
        <w:tc>
          <w:tcPr>
            <w:tcW w:w="604" w:type="dxa"/>
            <w:vAlign w:val="center"/>
          </w:tcPr>
          <w:p w14:paraId="511BA4BB" w14:textId="197CD7D7" w:rsidR="00850766" w:rsidRPr="00D40F8D" w:rsidRDefault="00850766" w:rsidP="00850766">
            <w:pPr>
              <w:jc w:val="center"/>
              <w:rPr>
                <w:b/>
                <w:sz w:val="20"/>
                <w:szCs w:val="20"/>
              </w:rPr>
            </w:pPr>
            <w:r w:rsidRPr="00D40F8D">
              <w:rPr>
                <w:b/>
                <w:sz w:val="20"/>
                <w:szCs w:val="20"/>
              </w:rPr>
              <w:t>√</w:t>
            </w:r>
          </w:p>
        </w:tc>
        <w:tc>
          <w:tcPr>
            <w:tcW w:w="604" w:type="dxa"/>
            <w:vAlign w:val="center"/>
          </w:tcPr>
          <w:p w14:paraId="2C8B707A" w14:textId="6571162A" w:rsidR="00850766" w:rsidRPr="00D40F8D" w:rsidRDefault="00850766" w:rsidP="00850766">
            <w:pPr>
              <w:jc w:val="center"/>
              <w:rPr>
                <w:b/>
                <w:sz w:val="20"/>
                <w:szCs w:val="20"/>
              </w:rPr>
            </w:pPr>
            <w:r w:rsidRPr="00D40F8D">
              <w:rPr>
                <w:b/>
                <w:sz w:val="20"/>
                <w:szCs w:val="20"/>
              </w:rPr>
              <w:t>--</w:t>
            </w:r>
          </w:p>
        </w:tc>
        <w:tc>
          <w:tcPr>
            <w:tcW w:w="459" w:type="dxa"/>
            <w:vAlign w:val="center"/>
          </w:tcPr>
          <w:p w14:paraId="7C66CA4A" w14:textId="3E6C38E7" w:rsidR="00850766" w:rsidRPr="00D40F8D" w:rsidRDefault="00850766" w:rsidP="00850766">
            <w:pPr>
              <w:jc w:val="center"/>
              <w:rPr>
                <w:b/>
                <w:sz w:val="20"/>
                <w:szCs w:val="20"/>
              </w:rPr>
            </w:pPr>
            <w:r w:rsidRPr="00D40F8D">
              <w:rPr>
                <w:b/>
                <w:sz w:val="20"/>
                <w:szCs w:val="20"/>
              </w:rPr>
              <w:t>--</w:t>
            </w:r>
          </w:p>
        </w:tc>
      </w:tr>
      <w:tr w:rsidR="00494D9E" w:rsidRPr="00D40F8D" w14:paraId="587A7EBA" w14:textId="77777777" w:rsidTr="00991BE9">
        <w:trPr>
          <w:trHeight w:val="620"/>
        </w:trPr>
        <w:tc>
          <w:tcPr>
            <w:tcW w:w="1729" w:type="dxa"/>
            <w:vAlign w:val="center"/>
          </w:tcPr>
          <w:p w14:paraId="6C657389" w14:textId="019A4146" w:rsidR="00732119" w:rsidRDefault="00732119" w:rsidP="00732119">
            <w:pPr>
              <w:jc w:val="left"/>
              <w:rPr>
                <w:noProof/>
                <w:sz w:val="20"/>
                <w:szCs w:val="20"/>
              </w:rPr>
            </w:pPr>
            <w:r>
              <w:rPr>
                <w:noProof/>
                <w:sz w:val="20"/>
                <w:szCs w:val="20"/>
              </w:rPr>
              <w:fldChar w:fldCharType="begin" w:fldLock="1"/>
            </w:r>
            <w:r w:rsidR="00991BE9">
              <w:rPr>
                <w:noProof/>
                <w:sz w:val="20"/>
                <w:szCs w:val="20"/>
              </w:rPr>
              <w:instrText>ADDIN CSL_CITATION {"citationItems":[{"id":"ITEM-1","itemData":{"DOI":"10.1016/j.amar.2019.100105","ISSN":"22136657","abstract":"This study applies mixture components in a multivariate random parameters spatial model for zonal crash counts. Three different modeling formulations are employed to demonstrate the effects of mixture components and spatial heterogeneity in the goodness-of-fit in a multivariate random parameter model. The models are built for injury (i.e., possible, non-incapacitating, incapacitating, and fatal injury) and non-injury crashes using the data from 738 traffic analysis zones (TAZs) in Hillsborough County of Florida during a three-year period. The Deviance Information Criteria (DIC) is used to evaluate the performances of these models indicate the proposed model outperforms the rests. According to the estimated results, various traffic-related, demographics, and socioeconomic factors affect the occurrences of crashes for different severity levels. With regard to the effect of mixture components, it identifies two homogeneous sub-classes labeled as “stable pattern” and “unstable pattern” to better capture the heterogeneity. The standard deviation (SD) and correlation across injury and non-injury crashes are both very high in the “stable pattern” compared with its “unstable pattern” counterpart. On the other hand, the results of model comparison reveal that: (i) adding one more mixture component has no significant influences on the spatial heterogeneity and spatial correlation of different kinds of crash frequency and (ii) the consideration of spatial effects improves the accuracy of estimate results. Moreover, the multivariate random parameters spatial model with mixture components was compared with its univariate form to highlight the validity of applying multivariate structure.","author":[{"dropping-particle":"","family":"Huang","given":"Helai","non-dropping-particle":"","parse-names":false,"suffix":""},{"dropping-particle":"","family":"Chang","given":"Fangrong","non-dropping-particle":"","parse-names":false,"suffix":""},{"dropping-particle":"","family":"Zhou","given":"Hanchu","non-dropping-particle":"","parse-names":false,"suffix":""},{"dropping-particle":"","family":"Lee","given":"Jaeyoung","non-dropping-particle":"","parse-names":false,"suffix":""}],"container-title":"Analytic Methods in Accident Research","id":"ITEM-1","issued":{"date-parts":[["2019"]]},"title":"Modeling unobserved heterogeneity for zonal crash frequencies: A Bayesian multivariate random-parameters model with mixture components for spatially correlated data","type":"article-journal","volume":"24"},"uris":["http://www.mendeley.com/documents/?uuid=57d97551-f67f-4c1b-ae84-765089990d3f"]}],"mendeley":{"formattedCitation":"(Huang et al., 2019)","plainTextFormattedCitation":"(Huang et al., 2019)","previouslyFormattedCitation":"(Huang et al., 2019)"},"properties":{"noteIndex":0},"schema":"https://github.com/citation-style-language/schema/raw/master/csl-citation.json"}</w:instrText>
            </w:r>
            <w:r>
              <w:rPr>
                <w:noProof/>
                <w:sz w:val="20"/>
                <w:szCs w:val="20"/>
              </w:rPr>
              <w:fldChar w:fldCharType="separate"/>
            </w:r>
            <w:r w:rsidRPr="00A42FCC">
              <w:rPr>
                <w:noProof/>
                <w:sz w:val="20"/>
                <w:szCs w:val="20"/>
              </w:rPr>
              <w:t>(Huang et al., 2019)</w:t>
            </w:r>
            <w:r>
              <w:rPr>
                <w:noProof/>
                <w:sz w:val="20"/>
                <w:szCs w:val="20"/>
              </w:rPr>
              <w:fldChar w:fldCharType="end"/>
            </w:r>
          </w:p>
        </w:tc>
        <w:tc>
          <w:tcPr>
            <w:tcW w:w="1238" w:type="dxa"/>
            <w:vAlign w:val="center"/>
          </w:tcPr>
          <w:p w14:paraId="0B0E2F95" w14:textId="67C7B224" w:rsidR="00732119" w:rsidRDefault="00732119" w:rsidP="00732119">
            <w:pPr>
              <w:jc w:val="center"/>
              <w:rPr>
                <w:sz w:val="20"/>
                <w:szCs w:val="20"/>
                <w:lang w:val="en-US"/>
              </w:rPr>
            </w:pPr>
            <w:r>
              <w:rPr>
                <w:sz w:val="20"/>
                <w:szCs w:val="20"/>
                <w:lang w:val="en-US"/>
              </w:rPr>
              <w:t>TAZs (macro)</w:t>
            </w:r>
          </w:p>
        </w:tc>
        <w:tc>
          <w:tcPr>
            <w:tcW w:w="1416" w:type="dxa"/>
            <w:vAlign w:val="center"/>
          </w:tcPr>
          <w:p w14:paraId="3A440E51" w14:textId="3CD8CAF9" w:rsidR="00732119" w:rsidRPr="00931226" w:rsidRDefault="00732119" w:rsidP="00732119">
            <w:pPr>
              <w:jc w:val="center"/>
              <w:rPr>
                <w:sz w:val="20"/>
                <w:szCs w:val="20"/>
                <w:lang w:val="en-US"/>
              </w:rPr>
            </w:pPr>
            <w:r>
              <w:rPr>
                <w:sz w:val="20"/>
                <w:szCs w:val="20"/>
                <w:lang w:val="en-US"/>
              </w:rPr>
              <w:t>County (Florida)</w:t>
            </w:r>
          </w:p>
        </w:tc>
        <w:tc>
          <w:tcPr>
            <w:tcW w:w="1089" w:type="dxa"/>
            <w:vAlign w:val="center"/>
          </w:tcPr>
          <w:p w14:paraId="30FDD37E" w14:textId="77777777" w:rsidR="00732119" w:rsidRDefault="00732119" w:rsidP="00732119">
            <w:pPr>
              <w:jc w:val="center"/>
              <w:rPr>
                <w:sz w:val="20"/>
                <w:szCs w:val="20"/>
              </w:rPr>
            </w:pPr>
            <w:r w:rsidRPr="00D40F8D">
              <w:rPr>
                <w:sz w:val="20"/>
                <w:szCs w:val="20"/>
              </w:rPr>
              <w:t xml:space="preserve">Any </w:t>
            </w:r>
          </w:p>
          <w:p w14:paraId="5FE61330" w14:textId="14A7501C" w:rsidR="00732119" w:rsidRPr="00D40F8D" w:rsidRDefault="00732119" w:rsidP="00732119">
            <w:pPr>
              <w:jc w:val="center"/>
              <w:rPr>
                <w:sz w:val="20"/>
                <w:szCs w:val="20"/>
              </w:rPr>
            </w:pPr>
            <w:r w:rsidRPr="00D40F8D">
              <w:rPr>
                <w:sz w:val="20"/>
                <w:szCs w:val="20"/>
              </w:rPr>
              <w:t>Crash</w:t>
            </w:r>
          </w:p>
        </w:tc>
        <w:tc>
          <w:tcPr>
            <w:tcW w:w="2061" w:type="dxa"/>
            <w:vAlign w:val="center"/>
          </w:tcPr>
          <w:p w14:paraId="187B0982" w14:textId="0C811E69" w:rsidR="00732119" w:rsidRDefault="00732119" w:rsidP="00732119">
            <w:pPr>
              <w:jc w:val="left"/>
              <w:rPr>
                <w:sz w:val="20"/>
                <w:szCs w:val="20"/>
                <w:lang w:val="en-US"/>
              </w:rPr>
            </w:pPr>
            <w:r w:rsidRPr="00D40F8D">
              <w:rPr>
                <w:sz w:val="20"/>
                <w:szCs w:val="20"/>
              </w:rPr>
              <w:t>2 (</w:t>
            </w:r>
            <w:r w:rsidRPr="00D40F8D">
              <w:rPr>
                <w:sz w:val="20"/>
                <w:szCs w:val="20"/>
                <w:lang w:val="en-US"/>
              </w:rPr>
              <w:t>no injury and injury crashes</w:t>
            </w:r>
          </w:p>
        </w:tc>
        <w:tc>
          <w:tcPr>
            <w:tcW w:w="1998" w:type="dxa"/>
            <w:vAlign w:val="center"/>
          </w:tcPr>
          <w:p w14:paraId="43287760" w14:textId="27D3638E" w:rsidR="00732119" w:rsidRPr="00107E20" w:rsidRDefault="00732119" w:rsidP="00732119">
            <w:pPr>
              <w:jc w:val="left"/>
              <w:rPr>
                <w:sz w:val="20"/>
                <w:szCs w:val="20"/>
              </w:rPr>
            </w:pPr>
            <w:r w:rsidRPr="00107E20">
              <w:rPr>
                <w:sz w:val="20"/>
                <w:szCs w:val="20"/>
              </w:rPr>
              <w:t xml:space="preserve">Bayesian </w:t>
            </w:r>
            <w:r w:rsidRPr="00961695">
              <w:rPr>
                <w:sz w:val="20"/>
                <w:szCs w:val="20"/>
              </w:rPr>
              <w:t>multivariate random parameters spatial model</w:t>
            </w:r>
          </w:p>
        </w:tc>
        <w:tc>
          <w:tcPr>
            <w:tcW w:w="652" w:type="dxa"/>
            <w:vAlign w:val="center"/>
          </w:tcPr>
          <w:p w14:paraId="02786BBB" w14:textId="5000CCA0" w:rsidR="00732119" w:rsidRPr="00D40F8D" w:rsidRDefault="00732119" w:rsidP="00732119">
            <w:pPr>
              <w:jc w:val="center"/>
              <w:rPr>
                <w:b/>
                <w:sz w:val="20"/>
                <w:szCs w:val="20"/>
              </w:rPr>
            </w:pPr>
            <w:r w:rsidRPr="00D40F8D">
              <w:rPr>
                <w:b/>
                <w:sz w:val="20"/>
                <w:szCs w:val="20"/>
              </w:rPr>
              <w:t>√</w:t>
            </w:r>
          </w:p>
        </w:tc>
        <w:tc>
          <w:tcPr>
            <w:tcW w:w="459" w:type="dxa"/>
            <w:vAlign w:val="center"/>
          </w:tcPr>
          <w:p w14:paraId="60C98DD8" w14:textId="49B708C4" w:rsidR="00732119" w:rsidRPr="00D40F8D" w:rsidRDefault="00732119" w:rsidP="00732119">
            <w:pPr>
              <w:jc w:val="center"/>
              <w:rPr>
                <w:b/>
                <w:sz w:val="20"/>
                <w:szCs w:val="20"/>
              </w:rPr>
            </w:pPr>
            <w:r w:rsidRPr="00D40F8D">
              <w:rPr>
                <w:b/>
                <w:sz w:val="20"/>
                <w:szCs w:val="20"/>
              </w:rPr>
              <w:t>--</w:t>
            </w:r>
          </w:p>
        </w:tc>
        <w:tc>
          <w:tcPr>
            <w:tcW w:w="604" w:type="dxa"/>
            <w:vAlign w:val="center"/>
          </w:tcPr>
          <w:p w14:paraId="2F53780E" w14:textId="0DD81D99" w:rsidR="00732119" w:rsidRPr="00D40F8D" w:rsidRDefault="00732119" w:rsidP="00732119">
            <w:pPr>
              <w:jc w:val="center"/>
              <w:rPr>
                <w:b/>
                <w:sz w:val="20"/>
                <w:szCs w:val="20"/>
              </w:rPr>
            </w:pPr>
            <w:r w:rsidRPr="00D40F8D">
              <w:rPr>
                <w:b/>
                <w:sz w:val="20"/>
                <w:szCs w:val="20"/>
              </w:rPr>
              <w:t>--</w:t>
            </w:r>
          </w:p>
        </w:tc>
        <w:tc>
          <w:tcPr>
            <w:tcW w:w="604" w:type="dxa"/>
            <w:vAlign w:val="center"/>
          </w:tcPr>
          <w:p w14:paraId="303180BC" w14:textId="36F43A9E" w:rsidR="00732119" w:rsidRPr="00D40F8D" w:rsidRDefault="00732119" w:rsidP="00732119">
            <w:pPr>
              <w:jc w:val="center"/>
              <w:rPr>
                <w:b/>
                <w:sz w:val="20"/>
                <w:szCs w:val="20"/>
              </w:rPr>
            </w:pPr>
            <w:r w:rsidRPr="00D40F8D">
              <w:rPr>
                <w:b/>
                <w:sz w:val="20"/>
                <w:szCs w:val="20"/>
              </w:rPr>
              <w:t>√</w:t>
            </w:r>
          </w:p>
        </w:tc>
        <w:tc>
          <w:tcPr>
            <w:tcW w:w="604" w:type="dxa"/>
            <w:vAlign w:val="center"/>
          </w:tcPr>
          <w:p w14:paraId="7624895B" w14:textId="3BABAF2D" w:rsidR="00732119" w:rsidRPr="00D40F8D" w:rsidRDefault="00732119" w:rsidP="00732119">
            <w:pPr>
              <w:jc w:val="center"/>
              <w:rPr>
                <w:b/>
                <w:sz w:val="20"/>
                <w:szCs w:val="20"/>
              </w:rPr>
            </w:pPr>
            <w:r w:rsidRPr="00D40F8D">
              <w:rPr>
                <w:b/>
                <w:sz w:val="20"/>
                <w:szCs w:val="20"/>
              </w:rPr>
              <w:t>√</w:t>
            </w:r>
          </w:p>
        </w:tc>
        <w:tc>
          <w:tcPr>
            <w:tcW w:w="459" w:type="dxa"/>
            <w:vAlign w:val="center"/>
          </w:tcPr>
          <w:p w14:paraId="72B658D3" w14:textId="4978AA94" w:rsidR="00732119" w:rsidRPr="00D40F8D" w:rsidRDefault="005563B3" w:rsidP="00732119">
            <w:pPr>
              <w:jc w:val="center"/>
              <w:rPr>
                <w:b/>
                <w:sz w:val="20"/>
                <w:szCs w:val="20"/>
              </w:rPr>
            </w:pPr>
            <w:r w:rsidRPr="00D40F8D">
              <w:rPr>
                <w:b/>
                <w:sz w:val="20"/>
                <w:szCs w:val="20"/>
              </w:rPr>
              <w:t>--</w:t>
            </w:r>
          </w:p>
        </w:tc>
      </w:tr>
      <w:tr w:rsidR="00494D9E" w:rsidRPr="00D40F8D" w14:paraId="72DD7A3B" w14:textId="77777777" w:rsidTr="004601C9">
        <w:trPr>
          <w:trHeight w:val="620"/>
        </w:trPr>
        <w:tc>
          <w:tcPr>
            <w:tcW w:w="1729" w:type="dxa"/>
            <w:tcBorders>
              <w:bottom w:val="double" w:sz="4" w:space="0" w:color="auto"/>
            </w:tcBorders>
            <w:vAlign w:val="center"/>
          </w:tcPr>
          <w:p w14:paraId="7C4E4FDF" w14:textId="6CF87556" w:rsidR="00E75D24" w:rsidRDefault="00E75D24" w:rsidP="00E75D24">
            <w:pPr>
              <w:jc w:val="left"/>
              <w:rPr>
                <w:noProof/>
                <w:sz w:val="20"/>
                <w:szCs w:val="20"/>
              </w:rPr>
            </w:pPr>
            <w:r>
              <w:rPr>
                <w:noProof/>
                <w:sz w:val="20"/>
                <w:szCs w:val="20"/>
              </w:rPr>
              <w:fldChar w:fldCharType="begin" w:fldLock="1"/>
            </w:r>
            <w:r w:rsidR="00B33935">
              <w:rPr>
                <w:noProof/>
                <w:sz w:val="20"/>
                <w:szCs w:val="20"/>
              </w:rPr>
              <w:instrText>ADDIN CSL_CITATION {"citationItems":[{"id":"ITEM-1","itemData":{"DOI":"10.1016/j.aap.2020.105615","ISSN":"00014575","PMID":"32534289","abstract":"Both crash count and severity are thought to quantify crash risk at defined transport network locations (e.g. intersections, a particulate section of highway, etc.). Crash count is a measure of the likelihood of occurring a potential harmful event, whereas crash severity is a measure of the societal impact and harm to the society. As the majority of safety improvement programs are focused on preventing fatal and serious injury crashes, identification of high-risk sites—or blackspots—should ideally account for both severity and frequency of crashes. Past research efforts to incorporate crash severity into the identification of high-risk sites include multivariate crash count models, equivalent property damage only models and two-stage mixed models. These models, however, often require suitable distributional assumptions for computational efficiency, neglect the ordinal nature of crash severity, and are inadequate for capturing unobserved heterogeneity arising from possible correlations between crash counts of different severity levels. These limitations can ultimately lead to inefficient allocation of resources and misidentification of sites with high risk of fatal and serious injury crashes. Moreover, the implication of these models in blackspot identification is an important, unanswered question. While a joint econometric model of crash count and crash severity has the flexibility to account for the limitations mentioned previously, its ability to identify high-risk sites also needs to be examined. This study aims to fill this research gap by employing the joint model for blackspot identification. Using data from state-controlled roads in Queensland, Australia, a new risk score is developed based on predicted crash counts by severity, weighted by the cost ratio of severity levels. This weighted risk score is then used for identifying road segments with high risk of fatal and injury crashes. Results show that the joint model of crash count and crash severity has substantially improved prediction accuracy compared to the traditional count models. The correlation between crash counts of different severity levels captures the unobserved heterogeneity caused by the extra-variation in total crash counts and moderates the parameters in the joint model. In comparison with the traditional approaches, the proposed weighted risk score approach with the joint model of crash count and crash severity leads to the identification of a higher number of fatal and seriou…","author":[{"dropping-particle":"","family":"Afghari","given":"Amir Pooyan","non-dropping-particle":"","parse-names":false,"suffix":""},{"dropping-particle":"","family":"Haque","given":"Md Mazharul","non-dropping-particle":"","parse-names":false,"suffix":""},{"dropping-particle":"","family":"Washington","given":"Simon","non-dropping-particle":"","parse-names":false,"suffix":""}],"container-title":"Accident Analysis and Prevention","id":"ITEM-1","issued":{"date-parts":[["2020"]]},"title":"Applying a joint model of crash count and crash severity to identify road segments with high risk of fatal and serious injury crashes","type":"article-journal","volume":"144"},"uris":["http://www.mendeley.com/documents/?uuid=ffb5e5b8-d895-46e2-9719-ff774865db8b"]}],"mendeley":{"formattedCitation":"(Afghari et al., 2020)","plainTextFormattedCitation":"(Afghari et al., 2020)","previouslyFormattedCitation":"(Afghari et al., 2020)"},"properties":{"noteIndex":0},"schema":"https://github.com/citation-style-language/schema/raw/master/csl-citation.json"}</w:instrText>
            </w:r>
            <w:r>
              <w:rPr>
                <w:noProof/>
                <w:sz w:val="20"/>
                <w:szCs w:val="20"/>
              </w:rPr>
              <w:fldChar w:fldCharType="separate"/>
            </w:r>
            <w:r w:rsidRPr="00991BE9">
              <w:rPr>
                <w:noProof/>
                <w:sz w:val="20"/>
                <w:szCs w:val="20"/>
              </w:rPr>
              <w:t>(Afghari et al., 2020)</w:t>
            </w:r>
            <w:r>
              <w:rPr>
                <w:noProof/>
                <w:sz w:val="20"/>
                <w:szCs w:val="20"/>
              </w:rPr>
              <w:fldChar w:fldCharType="end"/>
            </w:r>
          </w:p>
        </w:tc>
        <w:tc>
          <w:tcPr>
            <w:tcW w:w="1238" w:type="dxa"/>
            <w:tcBorders>
              <w:bottom w:val="double" w:sz="4" w:space="0" w:color="auto"/>
            </w:tcBorders>
            <w:vAlign w:val="center"/>
          </w:tcPr>
          <w:p w14:paraId="635B0FAD" w14:textId="1039C08F" w:rsidR="00E75D24" w:rsidRDefault="00E75D24" w:rsidP="00E75D24">
            <w:pPr>
              <w:jc w:val="center"/>
              <w:rPr>
                <w:sz w:val="20"/>
                <w:szCs w:val="20"/>
                <w:lang w:val="en-US"/>
              </w:rPr>
            </w:pPr>
            <w:r w:rsidRPr="00D40F8D">
              <w:rPr>
                <w:sz w:val="20"/>
                <w:szCs w:val="20"/>
                <w:lang w:val="en-US"/>
              </w:rPr>
              <w:t>Road segment (Micro)</w:t>
            </w:r>
          </w:p>
        </w:tc>
        <w:tc>
          <w:tcPr>
            <w:tcW w:w="1416" w:type="dxa"/>
            <w:tcBorders>
              <w:bottom w:val="double" w:sz="4" w:space="0" w:color="auto"/>
            </w:tcBorders>
            <w:vAlign w:val="center"/>
          </w:tcPr>
          <w:p w14:paraId="37754ED1" w14:textId="754D3E16" w:rsidR="00E75D24" w:rsidRDefault="00211FAA" w:rsidP="00E75D24">
            <w:pPr>
              <w:jc w:val="center"/>
              <w:rPr>
                <w:sz w:val="20"/>
                <w:szCs w:val="20"/>
                <w:lang w:val="en-US"/>
              </w:rPr>
            </w:pPr>
            <w:r>
              <w:rPr>
                <w:sz w:val="20"/>
                <w:szCs w:val="20"/>
                <w:lang w:val="en-US"/>
              </w:rPr>
              <w:t>State (Queensland)</w:t>
            </w:r>
          </w:p>
        </w:tc>
        <w:tc>
          <w:tcPr>
            <w:tcW w:w="1089" w:type="dxa"/>
            <w:tcBorders>
              <w:bottom w:val="double" w:sz="4" w:space="0" w:color="auto"/>
            </w:tcBorders>
            <w:vAlign w:val="center"/>
          </w:tcPr>
          <w:p w14:paraId="18D2EA06" w14:textId="77777777" w:rsidR="004B110B" w:rsidRDefault="004B110B" w:rsidP="004B110B">
            <w:pPr>
              <w:jc w:val="center"/>
              <w:rPr>
                <w:sz w:val="20"/>
                <w:szCs w:val="20"/>
              </w:rPr>
            </w:pPr>
            <w:r w:rsidRPr="00D40F8D">
              <w:rPr>
                <w:sz w:val="20"/>
                <w:szCs w:val="20"/>
              </w:rPr>
              <w:t xml:space="preserve">Any </w:t>
            </w:r>
          </w:p>
          <w:p w14:paraId="2A5D8224" w14:textId="6E689F1A" w:rsidR="00E75D24" w:rsidRPr="00D40F8D" w:rsidRDefault="004B110B" w:rsidP="004B110B">
            <w:pPr>
              <w:jc w:val="center"/>
              <w:rPr>
                <w:sz w:val="20"/>
                <w:szCs w:val="20"/>
              </w:rPr>
            </w:pPr>
            <w:r w:rsidRPr="00D40F8D">
              <w:rPr>
                <w:sz w:val="20"/>
                <w:szCs w:val="20"/>
              </w:rPr>
              <w:t>Crash</w:t>
            </w:r>
          </w:p>
        </w:tc>
        <w:tc>
          <w:tcPr>
            <w:tcW w:w="2061" w:type="dxa"/>
            <w:tcBorders>
              <w:bottom w:val="double" w:sz="4" w:space="0" w:color="auto"/>
            </w:tcBorders>
            <w:vAlign w:val="center"/>
          </w:tcPr>
          <w:p w14:paraId="60566D3A" w14:textId="3E2EF5BD" w:rsidR="00E75D24" w:rsidRPr="00D40F8D" w:rsidRDefault="00717FF0" w:rsidP="00E75D24">
            <w:pPr>
              <w:jc w:val="left"/>
              <w:rPr>
                <w:sz w:val="20"/>
                <w:szCs w:val="20"/>
              </w:rPr>
            </w:pPr>
            <w:r>
              <w:rPr>
                <w:sz w:val="20"/>
                <w:szCs w:val="20"/>
              </w:rPr>
              <w:t>3 (minor, serious injury and fatal</w:t>
            </w:r>
            <w:r w:rsidR="00972292">
              <w:rPr>
                <w:sz w:val="20"/>
                <w:szCs w:val="20"/>
              </w:rPr>
              <w:t>)</w:t>
            </w:r>
          </w:p>
        </w:tc>
        <w:tc>
          <w:tcPr>
            <w:tcW w:w="1998" w:type="dxa"/>
            <w:tcBorders>
              <w:bottom w:val="double" w:sz="4" w:space="0" w:color="auto"/>
            </w:tcBorders>
            <w:vAlign w:val="center"/>
          </w:tcPr>
          <w:p w14:paraId="6EA93537" w14:textId="2338F008" w:rsidR="00E75D24" w:rsidRPr="00107E20" w:rsidRDefault="00E75D24" w:rsidP="00E75D24">
            <w:pPr>
              <w:jc w:val="left"/>
              <w:rPr>
                <w:sz w:val="20"/>
                <w:szCs w:val="20"/>
              </w:rPr>
            </w:pPr>
            <w:r>
              <w:rPr>
                <w:sz w:val="20"/>
                <w:szCs w:val="20"/>
                <w:lang w:val="en-US"/>
              </w:rPr>
              <w:t>Joint NB-ordered fractional split model</w:t>
            </w:r>
          </w:p>
        </w:tc>
        <w:tc>
          <w:tcPr>
            <w:tcW w:w="652" w:type="dxa"/>
            <w:tcBorders>
              <w:bottom w:val="double" w:sz="4" w:space="0" w:color="auto"/>
            </w:tcBorders>
            <w:vAlign w:val="center"/>
          </w:tcPr>
          <w:p w14:paraId="6C6B7571" w14:textId="74DA2961" w:rsidR="00E75D24" w:rsidRPr="00D40F8D" w:rsidRDefault="00E75D24" w:rsidP="00E75D24">
            <w:pPr>
              <w:jc w:val="center"/>
              <w:rPr>
                <w:b/>
                <w:sz w:val="20"/>
                <w:szCs w:val="20"/>
              </w:rPr>
            </w:pPr>
            <w:r w:rsidRPr="00D40F8D">
              <w:rPr>
                <w:b/>
                <w:sz w:val="20"/>
                <w:szCs w:val="20"/>
              </w:rPr>
              <w:t>√</w:t>
            </w:r>
          </w:p>
        </w:tc>
        <w:tc>
          <w:tcPr>
            <w:tcW w:w="459" w:type="dxa"/>
            <w:tcBorders>
              <w:bottom w:val="double" w:sz="4" w:space="0" w:color="auto"/>
            </w:tcBorders>
            <w:vAlign w:val="center"/>
          </w:tcPr>
          <w:p w14:paraId="718550A1" w14:textId="70726DD7" w:rsidR="00E75D24" w:rsidRPr="00D40F8D" w:rsidRDefault="00E75D24" w:rsidP="00E75D24">
            <w:pPr>
              <w:jc w:val="center"/>
              <w:rPr>
                <w:b/>
                <w:sz w:val="20"/>
                <w:szCs w:val="20"/>
              </w:rPr>
            </w:pPr>
            <w:r w:rsidRPr="00D40F8D">
              <w:rPr>
                <w:b/>
                <w:sz w:val="20"/>
                <w:szCs w:val="20"/>
              </w:rPr>
              <w:t>--</w:t>
            </w:r>
          </w:p>
        </w:tc>
        <w:tc>
          <w:tcPr>
            <w:tcW w:w="604" w:type="dxa"/>
            <w:tcBorders>
              <w:bottom w:val="double" w:sz="4" w:space="0" w:color="auto"/>
            </w:tcBorders>
            <w:vAlign w:val="center"/>
          </w:tcPr>
          <w:p w14:paraId="227335F0" w14:textId="70ECB7D4" w:rsidR="00E75D24" w:rsidRPr="00D40F8D" w:rsidRDefault="00E75D24" w:rsidP="00E75D24">
            <w:pPr>
              <w:jc w:val="center"/>
              <w:rPr>
                <w:b/>
                <w:sz w:val="20"/>
                <w:szCs w:val="20"/>
              </w:rPr>
            </w:pPr>
            <w:r w:rsidRPr="00D40F8D">
              <w:rPr>
                <w:b/>
                <w:sz w:val="20"/>
                <w:szCs w:val="20"/>
              </w:rPr>
              <w:t>--</w:t>
            </w:r>
          </w:p>
        </w:tc>
        <w:tc>
          <w:tcPr>
            <w:tcW w:w="604" w:type="dxa"/>
            <w:tcBorders>
              <w:bottom w:val="double" w:sz="4" w:space="0" w:color="auto"/>
            </w:tcBorders>
            <w:vAlign w:val="center"/>
          </w:tcPr>
          <w:p w14:paraId="38E8FEFF" w14:textId="4455416B" w:rsidR="00E75D24" w:rsidRPr="00D40F8D" w:rsidRDefault="00E75D24" w:rsidP="00E75D24">
            <w:pPr>
              <w:jc w:val="center"/>
              <w:rPr>
                <w:b/>
                <w:sz w:val="20"/>
                <w:szCs w:val="20"/>
              </w:rPr>
            </w:pPr>
            <w:r w:rsidRPr="00D40F8D">
              <w:rPr>
                <w:b/>
                <w:sz w:val="20"/>
                <w:szCs w:val="20"/>
              </w:rPr>
              <w:t>√</w:t>
            </w:r>
          </w:p>
        </w:tc>
        <w:tc>
          <w:tcPr>
            <w:tcW w:w="604" w:type="dxa"/>
            <w:tcBorders>
              <w:bottom w:val="double" w:sz="4" w:space="0" w:color="auto"/>
            </w:tcBorders>
            <w:vAlign w:val="center"/>
          </w:tcPr>
          <w:p w14:paraId="5D8B4910" w14:textId="01DFB3F1" w:rsidR="00E75D24" w:rsidRPr="00D40F8D" w:rsidRDefault="00FA4E1F" w:rsidP="00E75D24">
            <w:pPr>
              <w:jc w:val="center"/>
              <w:rPr>
                <w:b/>
                <w:sz w:val="20"/>
                <w:szCs w:val="20"/>
              </w:rPr>
            </w:pPr>
            <w:r w:rsidRPr="00D40F8D">
              <w:rPr>
                <w:b/>
                <w:sz w:val="20"/>
                <w:szCs w:val="20"/>
              </w:rPr>
              <w:t>--</w:t>
            </w:r>
          </w:p>
        </w:tc>
        <w:tc>
          <w:tcPr>
            <w:tcW w:w="459" w:type="dxa"/>
            <w:tcBorders>
              <w:bottom w:val="double" w:sz="4" w:space="0" w:color="auto"/>
            </w:tcBorders>
            <w:vAlign w:val="center"/>
          </w:tcPr>
          <w:p w14:paraId="437ECF24" w14:textId="535ECEF7" w:rsidR="00E75D24" w:rsidRPr="00D40F8D" w:rsidRDefault="00E75D24" w:rsidP="00E75D24">
            <w:pPr>
              <w:jc w:val="center"/>
              <w:rPr>
                <w:b/>
                <w:sz w:val="20"/>
                <w:szCs w:val="20"/>
              </w:rPr>
            </w:pPr>
            <w:r w:rsidRPr="00D40F8D">
              <w:rPr>
                <w:b/>
                <w:sz w:val="20"/>
                <w:szCs w:val="20"/>
              </w:rPr>
              <w:t>--</w:t>
            </w:r>
          </w:p>
        </w:tc>
      </w:tr>
    </w:tbl>
    <w:p w14:paraId="6CA8F4F0" w14:textId="1B857E32" w:rsidR="00CC74A8" w:rsidRPr="00E87C8C" w:rsidRDefault="00CC74A8" w:rsidP="00CC74A8">
      <w:pPr>
        <w:rPr>
          <w:sz w:val="20"/>
          <w:szCs w:val="18"/>
        </w:rPr>
        <w:sectPr w:rsidR="00CC74A8" w:rsidRPr="00E87C8C" w:rsidSect="00CC74A8">
          <w:headerReference w:type="default" r:id="rId18"/>
          <w:headerReference w:type="first" r:id="rId19"/>
          <w:pgSz w:w="15840" w:h="12240" w:orient="landscape" w:code="1"/>
          <w:pgMar w:top="1469" w:right="1440" w:bottom="1440" w:left="1440" w:header="720" w:footer="720" w:gutter="0"/>
          <w:cols w:space="708"/>
          <w:titlePg/>
          <w:docGrid w:linePitch="360"/>
        </w:sectPr>
      </w:pPr>
      <w:r w:rsidRPr="00E87C8C">
        <w:rPr>
          <w:sz w:val="20"/>
          <w:szCs w:val="18"/>
        </w:rPr>
        <w:t xml:space="preserve">*FTC = </w:t>
      </w:r>
      <w:r>
        <w:rPr>
          <w:sz w:val="20"/>
          <w:szCs w:val="18"/>
        </w:rPr>
        <w:t>F</w:t>
      </w:r>
      <w:r w:rsidRPr="00E87C8C">
        <w:rPr>
          <w:sz w:val="20"/>
          <w:szCs w:val="18"/>
        </w:rPr>
        <w:t xml:space="preserve">ollow too close; **FOTS= </w:t>
      </w:r>
      <w:r>
        <w:rPr>
          <w:sz w:val="20"/>
          <w:szCs w:val="18"/>
        </w:rPr>
        <w:t>F</w:t>
      </w:r>
      <w:r w:rsidRPr="00E87C8C">
        <w:rPr>
          <w:sz w:val="20"/>
          <w:szCs w:val="18"/>
        </w:rPr>
        <w:t>ailed to observe traffic signal; **</w:t>
      </w:r>
      <w:r>
        <w:rPr>
          <w:sz w:val="20"/>
          <w:szCs w:val="18"/>
        </w:rPr>
        <w:t>*</w:t>
      </w:r>
      <w:r w:rsidRPr="00E87C8C">
        <w:rPr>
          <w:sz w:val="20"/>
          <w:szCs w:val="18"/>
        </w:rPr>
        <w:t xml:space="preserve">SSV= </w:t>
      </w:r>
      <w:r>
        <w:rPr>
          <w:sz w:val="20"/>
          <w:szCs w:val="18"/>
        </w:rPr>
        <w:t>S</w:t>
      </w:r>
      <w:r w:rsidRPr="00E87C8C">
        <w:rPr>
          <w:sz w:val="20"/>
          <w:szCs w:val="18"/>
        </w:rPr>
        <w:t>top sign violation, **</w:t>
      </w:r>
      <w:r>
        <w:rPr>
          <w:sz w:val="20"/>
          <w:szCs w:val="18"/>
        </w:rPr>
        <w:t>**</w:t>
      </w:r>
      <w:r w:rsidRPr="00E87C8C">
        <w:rPr>
          <w:sz w:val="20"/>
          <w:szCs w:val="18"/>
        </w:rPr>
        <w:t xml:space="preserve">ILC= </w:t>
      </w:r>
      <w:r>
        <w:rPr>
          <w:sz w:val="20"/>
          <w:szCs w:val="18"/>
        </w:rPr>
        <w:t>I</w:t>
      </w:r>
      <w:r w:rsidRPr="00E87C8C">
        <w:rPr>
          <w:sz w:val="20"/>
          <w:szCs w:val="18"/>
        </w:rPr>
        <w:t>mproper lane change</w:t>
      </w:r>
      <w:r w:rsidR="006759C7">
        <w:rPr>
          <w:sz w:val="20"/>
          <w:szCs w:val="18"/>
        </w:rPr>
        <w:t xml:space="preserve"> </w:t>
      </w:r>
      <w:r w:rsidR="006759C7" w:rsidRPr="00E87C8C">
        <w:rPr>
          <w:sz w:val="20"/>
          <w:szCs w:val="18"/>
        </w:rPr>
        <w:t>**</w:t>
      </w:r>
      <w:r w:rsidR="006759C7">
        <w:rPr>
          <w:sz w:val="20"/>
          <w:szCs w:val="18"/>
        </w:rPr>
        <w:t>***KSI=killed or seriously injured</w:t>
      </w:r>
    </w:p>
    <w:p w14:paraId="678C75F4" w14:textId="0B189745" w:rsidR="00B030BC" w:rsidRPr="00AB4A39" w:rsidRDefault="00B030BC" w:rsidP="00B030BC">
      <w:pPr>
        <w:pStyle w:val="Heading2"/>
        <w:ind w:left="578" w:hanging="578"/>
      </w:pPr>
      <w:r w:rsidRPr="00BF47C9">
        <w:lastRenderedPageBreak/>
        <w:t xml:space="preserve">Current Study </w:t>
      </w:r>
      <w:r>
        <w:t>i</w:t>
      </w:r>
      <w:r w:rsidRPr="00BF47C9">
        <w:t>n Context</w:t>
      </w:r>
      <w:r w:rsidR="00AC051A">
        <w:t xml:space="preserve"> and Study Contributions</w:t>
      </w:r>
    </w:p>
    <w:p w14:paraId="129610CC" w14:textId="77777777" w:rsidR="00B030BC" w:rsidRDefault="00B030BC" w:rsidP="00B030BC">
      <w:r>
        <w:t xml:space="preserve">In multivariate count regression approaches described above, the impact of exogenous variables is quantified through the propensity component of count models. In accommodating the influence of unobserved effects, in general, these approaches partition the error components as a common term and an independent term across dependent variables (see </w:t>
      </w:r>
      <w:r>
        <w:fldChar w:fldCharType="begin" w:fldLock="1"/>
      </w:r>
      <w:r>
        <w:instrText>ADDIN CSL_CITATION {"citationItems":[{"id":"ITEM-1","itemData":{"DOI":"10.1016/j.amar.2016.04.001","ISSN":"22136657","abstract":"Highway accidents are complex events that involve a variety of human responses to external stimuli, as well as complex interactions between the vehicle, roadway features/condition, traffic-related factors, and environmental conditions. In addition, there are complexities involved in energy dissipation (once an accident has occurred) that relate to vehicle design, impact angles, the physiological characteristics of involved humans, and other factors. With such a complex process, it is impossible to have access to all of the data that could potentially determine the likelihood of a highway accident or its resulting injury severity. The absence of such important data can potentially present serious specification problems for traditional statistical analyses that can lead to biased and inconsistent parameter estimates, erroneous inferences and erroneous accident predictions. This paper presents a detailed discussion of this problem (typically referred to as unobserved heterogeneity) in the context of accident data and analysis. Various statistical approaches available to address this unobserved heterogeneity are presented along with their strengths and weaknesses. The paper concludes with a summary of the fundamental issues and directions for future methodological work that addresses unobserved heterogeneity.","author":[{"dropping-particle":"","family":"Mannering","given":"Fred L.","non-dropping-particle":"","parse-names":false,"suffix":""},{"dropping-particle":"","family":"Shankar","given":"Venky","non-dropping-particle":"","parse-names":false,"suffix":""},{"dropping-particle":"","family":"Bhat","given":"Chandra R.","non-dropping-particle":"","parse-names":false,"suffix":""}],"container-title":"Analytic Methods in Accident Research","id":"ITEM-1","issued":{"date-parts":[["2016"]]},"page":"1-16","publisher":"Elsevier","title":"Unobserved heterogeneity and the statistical analysis of highway accident data","type":"article-journal","volume":"11"},"uris":["http://www.mendeley.com/documents/?uuid=9e0575e9-cff2-4fa1-84e0-12c18b0ae279"]}],"mendeley":{"formattedCitation":"(Mannering et al., 2016)","plainTextFormattedCitation":"(Mannering et al., 2016)","previouslyFormattedCitation":"(Mannering et al., 2016)"},"properties":{"noteIndex":0},"schema":"https://github.com/citation-style-language/schema/raw/master/csl-citation.json"}</w:instrText>
      </w:r>
      <w:r>
        <w:fldChar w:fldCharType="separate"/>
      </w:r>
      <w:r w:rsidRPr="00097239">
        <w:rPr>
          <w:noProof/>
        </w:rPr>
        <w:t>(Mannering et al., 2016)</w:t>
      </w:r>
      <w:r>
        <w:fldChar w:fldCharType="end"/>
      </w:r>
      <w:r>
        <w:t xml:space="preserve"> for a detailed discussion of various methodologies). The approaches rely either on Maximum Simulated Likelihood (MSL) or </w:t>
      </w:r>
      <w:r w:rsidRPr="004B0655">
        <w:rPr>
          <w:rFonts w:eastAsia="Calibri" w:cs="Times New Roman"/>
          <w:szCs w:val="24"/>
        </w:rPr>
        <w:t xml:space="preserve">Markov Chain Monte Carlo (MCMC) approach in the Bayesian realm </w:t>
      </w:r>
      <w:r>
        <w:rPr>
          <w:rFonts w:eastAsia="Calibri" w:cs="Times New Roman"/>
          <w:szCs w:val="24"/>
        </w:rPr>
        <w:t xml:space="preserve">for model estimation. </w:t>
      </w:r>
      <w:r>
        <w:t xml:space="preserve">MSL and MCMC methods provide substantial flexibility in accommodating for unobserved heterogeneity. </w:t>
      </w:r>
    </w:p>
    <w:p w14:paraId="5538B18D" w14:textId="4CFC6681" w:rsidR="00AC051A" w:rsidRDefault="00B030BC" w:rsidP="00B030BC">
      <w:pPr>
        <w:ind w:firstLine="720"/>
      </w:pPr>
      <w:r>
        <w:t xml:space="preserve">While several research efforts have developed multivariate crash frequency models for a small number of dimensions (such as 5); there is limited adoption of multivariate approaches for count variables in the presence of larger number of dependent variables (say greater than 15).  For example, consider the development of crash frequency models by crash type (say </w:t>
      </w:r>
      <m:oMath>
        <m:r>
          <w:rPr>
            <w:rFonts w:ascii="Cambria Math" w:hAnsi="Cambria Math"/>
          </w:rPr>
          <m:t>N</m:t>
        </m:r>
      </m:oMath>
      <w:r>
        <w:t xml:space="preserve"> types) and severity level (say </w:t>
      </w:r>
      <m:oMath>
        <m:r>
          <w:rPr>
            <w:rFonts w:ascii="Cambria Math" w:hAnsi="Cambria Math"/>
          </w:rPr>
          <m:t>K</m:t>
        </m:r>
      </m:oMath>
      <w:r>
        <w:rPr>
          <w:rFonts w:eastAsiaTheme="minorEastAsia"/>
        </w:rPr>
        <w:t xml:space="preserve"> </w:t>
      </w:r>
      <w:r>
        <w:t xml:space="preserve">levels). In the currently employed approaches, the number of crash propensity equations to be estimated will be N*K. While the estimation of </w:t>
      </w:r>
      <m:oMath>
        <m:r>
          <w:rPr>
            <w:rFonts w:ascii="Cambria Math" w:eastAsiaTheme="minorEastAsia" w:hAnsi="Cambria Math"/>
          </w:rPr>
          <m:t>N*</m:t>
        </m:r>
        <m:r>
          <w:rPr>
            <w:rFonts w:ascii="Cambria Math" w:hAnsi="Cambria Math"/>
          </w:rPr>
          <m:t>K</m:t>
        </m:r>
      </m:oMath>
      <w:r>
        <w:t xml:space="preserve"> univariate model systems is repetitive, it is still feasible. However, accommodating for unobserved heterogeneity with a </w:t>
      </w:r>
      <w:r w:rsidR="00D42751">
        <w:t xml:space="preserve">large number of dependent </w:t>
      </w:r>
      <w:r w:rsidR="006C695B">
        <w:t>variables</w:t>
      </w:r>
      <w:r w:rsidR="00D42751">
        <w:t xml:space="preserve"> is substantially challenging. The probability evaluation with high dimensional integrals is </w:t>
      </w:r>
      <w:r w:rsidR="001E35D9">
        <w:t>potentially</w:t>
      </w:r>
      <w:r w:rsidR="0077215D">
        <w:t xml:space="preserve"> </w:t>
      </w:r>
      <w:r w:rsidR="00D42751">
        <w:t xml:space="preserve">affected by </w:t>
      </w:r>
      <w:r w:rsidR="0077215D">
        <w:t>several</w:t>
      </w:r>
      <w:r w:rsidR="00D42751">
        <w:t xml:space="preserve"> challenges</w:t>
      </w:r>
      <w:r w:rsidR="0077215D">
        <w:t xml:space="preserve"> including </w:t>
      </w:r>
      <w:r w:rsidR="00CA7570">
        <w:t>- requirements</w:t>
      </w:r>
      <w:r w:rsidR="0077215D">
        <w:t xml:space="preserve"> of </w:t>
      </w:r>
      <w:r w:rsidR="00D42751">
        <w:t>generating high dimensionality of random numbers, empirical identification issues due to relatively flat objective functions in larger dimensions and longer computational run times. Furthermore, the stability of the variance-covariance matrix is often sensitive to model specification and number of simulation draws</w:t>
      </w:r>
      <w:r w:rsidR="005D4F72">
        <w:t xml:space="preserve"> (Bhat, 2011)</w:t>
      </w:r>
      <w:r w:rsidR="00D42751">
        <w:t xml:space="preserve">. </w:t>
      </w:r>
    </w:p>
    <w:p w14:paraId="0F426448" w14:textId="6A777237" w:rsidR="00451CBF" w:rsidRDefault="00D42751" w:rsidP="00006FCC">
      <w:pPr>
        <w:ind w:firstLine="720"/>
        <w:rPr>
          <w:szCs w:val="24"/>
        </w:rPr>
      </w:pPr>
      <w:r>
        <w:t xml:space="preserve">The proposed research is geared toward addressing the dimensionality challenge in </w:t>
      </w:r>
      <w:r w:rsidR="0077215D">
        <w:t xml:space="preserve">the </w:t>
      </w:r>
      <w:r w:rsidR="000D5F5A">
        <w:t xml:space="preserve">traditional </w:t>
      </w:r>
      <w:r w:rsidR="0077215D">
        <w:t xml:space="preserve">multivariate </w:t>
      </w:r>
      <w:r>
        <w:t xml:space="preserve">crash frequency models. </w:t>
      </w:r>
      <w:r w:rsidR="0077215D">
        <w:t>In doing so</w:t>
      </w:r>
      <w:r w:rsidR="00642A2D">
        <w:t xml:space="preserve">, the proposed research </w:t>
      </w:r>
      <w:r w:rsidR="00015D88">
        <w:t>builds</w:t>
      </w:r>
      <w:r w:rsidR="00B0016C">
        <w:t xml:space="preserve"> on</w:t>
      </w:r>
      <w:r w:rsidR="00642A2D">
        <w:t xml:space="preserve"> recent developments in crash frequency analysis </w:t>
      </w:r>
      <w:r w:rsidR="00EB7FC5">
        <w:t xml:space="preserve">along </w:t>
      </w:r>
      <w:r w:rsidR="006C695B">
        <w:t>multiple</w:t>
      </w:r>
      <w:r w:rsidR="00EB7FC5">
        <w:t xml:space="preserve"> directions. </w:t>
      </w:r>
      <w:r w:rsidR="00EB7FC5" w:rsidRPr="006125F9">
        <w:rPr>
          <w:u w:val="single"/>
        </w:rPr>
        <w:t>First</w:t>
      </w:r>
      <w:r w:rsidR="00EB7FC5">
        <w:t xml:space="preserve">, we draw on our recent work employing fractional split modeling approach for crash frequency analysis. </w:t>
      </w:r>
      <w:r w:rsidR="00276D84">
        <w:rPr>
          <w:rFonts w:eastAsia="Calibri" w:cs="Times New Roman"/>
          <w:szCs w:val="24"/>
        </w:rPr>
        <w:t xml:space="preserve">In a fractional split approach, as opposed to modeling the count events, count proportions by different </w:t>
      </w:r>
      <w:r w:rsidR="00276D84" w:rsidRPr="00015D88">
        <w:rPr>
          <w:rFonts w:eastAsia="Calibri" w:cs="Times New Roman"/>
          <w:szCs w:val="24"/>
        </w:rPr>
        <w:t xml:space="preserve">attributes (such as injury severity, </w:t>
      </w:r>
      <w:r w:rsidR="002379B7">
        <w:rPr>
          <w:rFonts w:eastAsia="Calibri" w:cs="Times New Roman"/>
          <w:szCs w:val="24"/>
        </w:rPr>
        <w:t>crash</w:t>
      </w:r>
      <w:r w:rsidR="00276D84" w:rsidRPr="00015D88">
        <w:rPr>
          <w:rFonts w:eastAsia="Calibri" w:cs="Times New Roman"/>
          <w:szCs w:val="24"/>
        </w:rPr>
        <w:t xml:space="preserve"> type or vehicle type) for a study unit are examined.</w:t>
      </w:r>
      <w:r w:rsidR="00276D84" w:rsidRPr="00006FCC">
        <w:rPr>
          <w:szCs w:val="24"/>
        </w:rPr>
        <w:t xml:space="preserve"> Yasmin </w:t>
      </w:r>
      <w:r w:rsidR="00AE2D7C">
        <w:rPr>
          <w:szCs w:val="24"/>
        </w:rPr>
        <w:t>and Eluru, 2018</w:t>
      </w:r>
      <w:r w:rsidR="00524929">
        <w:rPr>
          <w:szCs w:val="24"/>
        </w:rPr>
        <w:t xml:space="preserve"> </w:t>
      </w:r>
      <w:r w:rsidR="00276D84" w:rsidRPr="00006FCC">
        <w:rPr>
          <w:szCs w:val="24"/>
        </w:rPr>
        <w:t xml:space="preserve">employed a joint Negative Binomial-Ordered Logit Fractional Split (NB-OLFS) model using zonal level crash records to </w:t>
      </w:r>
      <w:r w:rsidR="00276D84" w:rsidRPr="00015D88">
        <w:rPr>
          <w:szCs w:val="24"/>
        </w:rPr>
        <w:t xml:space="preserve">tie the </w:t>
      </w:r>
      <w:r w:rsidR="00EB7FC5" w:rsidRPr="00015D88">
        <w:rPr>
          <w:szCs w:val="24"/>
        </w:rPr>
        <w:t xml:space="preserve">total </w:t>
      </w:r>
      <w:r w:rsidR="00276D84" w:rsidRPr="00015D88">
        <w:rPr>
          <w:szCs w:val="24"/>
        </w:rPr>
        <w:t>crash count and severity in a single joint system.</w:t>
      </w:r>
      <w:r w:rsidR="00276D84" w:rsidRPr="00016824">
        <w:rPr>
          <w:rFonts w:eastAsia="Calibri" w:cs="Times New Roman"/>
          <w:szCs w:val="24"/>
        </w:rPr>
        <w:t xml:space="preserve"> The authors concluded that the proposed approach is more appealing relative to the </w:t>
      </w:r>
      <w:r w:rsidR="00A23669">
        <w:rPr>
          <w:rFonts w:eastAsia="Calibri" w:cs="Times New Roman"/>
          <w:szCs w:val="24"/>
        </w:rPr>
        <w:t xml:space="preserve">traditional </w:t>
      </w:r>
      <w:r w:rsidR="00276D84" w:rsidRPr="00016824">
        <w:rPr>
          <w:rFonts w:eastAsia="Calibri" w:cs="Times New Roman"/>
          <w:szCs w:val="24"/>
        </w:rPr>
        <w:t>m</w:t>
      </w:r>
      <w:r w:rsidR="00276D84" w:rsidRPr="009421F7">
        <w:rPr>
          <w:rFonts w:eastAsia="Calibri" w:cs="Times New Roman"/>
          <w:szCs w:val="24"/>
        </w:rPr>
        <w:t>ultivariate models</w:t>
      </w:r>
      <w:r w:rsidR="00276D84">
        <w:rPr>
          <w:rFonts w:eastAsia="Calibri" w:cs="Times New Roman"/>
          <w:szCs w:val="24"/>
        </w:rPr>
        <w:t xml:space="preserve"> for multiple reasons: 1) it is </w:t>
      </w:r>
      <w:r w:rsidR="00A23669">
        <w:rPr>
          <w:rFonts w:eastAsia="Calibri" w:cs="Times New Roman"/>
          <w:szCs w:val="24"/>
        </w:rPr>
        <w:t xml:space="preserve">computationally </w:t>
      </w:r>
      <w:r w:rsidR="00276D84" w:rsidRPr="00BC7D02">
        <w:t xml:space="preserve">less burdensome </w:t>
      </w:r>
      <w:r w:rsidR="00276D84">
        <w:t xml:space="preserve">as it requires </w:t>
      </w:r>
      <w:r w:rsidR="00015D88">
        <w:t>the estimation of</w:t>
      </w:r>
      <w:r w:rsidR="00276D84">
        <w:t xml:space="preserve"> only two equations irrespective of the number </w:t>
      </w:r>
      <w:r w:rsidR="00276D84" w:rsidRPr="00245452">
        <w:rPr>
          <w:szCs w:val="24"/>
        </w:rPr>
        <w:t xml:space="preserve">of crash severity levels; 2) </w:t>
      </w:r>
      <w:r w:rsidR="00276D84" w:rsidRPr="00245452">
        <w:rPr>
          <w:rFonts w:eastAsia="Calibri" w:cs="Times New Roman"/>
          <w:szCs w:val="24"/>
        </w:rPr>
        <w:t>the fractional split approach directly relates a single exogenous variable to count proportions of all attribute levels simultaneously</w:t>
      </w:r>
      <w:r w:rsidR="00A23669">
        <w:rPr>
          <w:rFonts w:eastAsia="Calibri" w:cs="Times New Roman"/>
          <w:szCs w:val="24"/>
        </w:rPr>
        <w:t>. On the contrary,</w:t>
      </w:r>
      <w:r w:rsidR="00276D84" w:rsidRPr="00245452">
        <w:rPr>
          <w:rFonts w:eastAsia="Calibri" w:cs="Times New Roman"/>
          <w:szCs w:val="24"/>
        </w:rPr>
        <w:t xml:space="preserve"> in </w:t>
      </w:r>
      <w:r w:rsidR="000D5F5A">
        <w:rPr>
          <w:rFonts w:eastAsia="Calibri" w:cs="Times New Roman"/>
          <w:szCs w:val="24"/>
        </w:rPr>
        <w:t>the</w:t>
      </w:r>
      <w:r w:rsidR="00276D84" w:rsidRPr="00245452">
        <w:rPr>
          <w:rFonts w:eastAsia="Calibri" w:cs="Times New Roman"/>
          <w:szCs w:val="24"/>
        </w:rPr>
        <w:t xml:space="preserve"> </w:t>
      </w:r>
      <w:r w:rsidR="00A23669">
        <w:rPr>
          <w:rFonts w:eastAsia="Calibri" w:cs="Times New Roman"/>
          <w:szCs w:val="24"/>
        </w:rPr>
        <w:t xml:space="preserve">traditional </w:t>
      </w:r>
      <w:r w:rsidR="00276D84" w:rsidRPr="00245452">
        <w:rPr>
          <w:rFonts w:eastAsia="Calibri" w:cs="Times New Roman"/>
          <w:szCs w:val="24"/>
        </w:rPr>
        <w:t xml:space="preserve">multivariate models, </w:t>
      </w:r>
      <w:r w:rsidR="00276D84" w:rsidRPr="00245452">
        <w:rPr>
          <w:szCs w:val="24"/>
        </w:rPr>
        <w:t xml:space="preserve">the observed variables in </w:t>
      </w:r>
      <w:r w:rsidR="000D5F5A">
        <w:rPr>
          <w:szCs w:val="24"/>
        </w:rPr>
        <w:t xml:space="preserve">different </w:t>
      </w:r>
      <w:r w:rsidR="00276D84" w:rsidRPr="00245452">
        <w:rPr>
          <w:szCs w:val="24"/>
        </w:rPr>
        <w:t>count propensity equations do not interact</w:t>
      </w:r>
      <w:r w:rsidR="000D5F5A">
        <w:rPr>
          <w:szCs w:val="24"/>
        </w:rPr>
        <w:t xml:space="preserve"> across different dimensions</w:t>
      </w:r>
      <w:r w:rsidR="00276D84" w:rsidRPr="00245452">
        <w:rPr>
          <w:szCs w:val="24"/>
        </w:rPr>
        <w:t xml:space="preserve">; and 3) the ordered fractional split framework recognize the inherent ordering for the severity </w:t>
      </w:r>
      <w:r w:rsidR="00A23669">
        <w:rPr>
          <w:szCs w:val="24"/>
        </w:rPr>
        <w:t>levels</w:t>
      </w:r>
      <w:r w:rsidR="00A23669" w:rsidRPr="00245452">
        <w:rPr>
          <w:szCs w:val="24"/>
        </w:rPr>
        <w:t xml:space="preserve"> </w:t>
      </w:r>
      <w:r w:rsidR="00276D84" w:rsidRPr="00245452">
        <w:rPr>
          <w:szCs w:val="24"/>
        </w:rPr>
        <w:t xml:space="preserve">which is ignored in the </w:t>
      </w:r>
      <w:r w:rsidR="000D5F5A">
        <w:rPr>
          <w:szCs w:val="24"/>
        </w:rPr>
        <w:t xml:space="preserve">traditional </w:t>
      </w:r>
      <w:r w:rsidR="00276D84" w:rsidRPr="00245452">
        <w:rPr>
          <w:szCs w:val="24"/>
        </w:rPr>
        <w:t xml:space="preserve">multivariate models. </w:t>
      </w:r>
      <w:r w:rsidR="00451CBF">
        <w:rPr>
          <w:szCs w:val="24"/>
        </w:rPr>
        <w:t xml:space="preserve">Building on this fractional split approach, the proposed research develops a joint system for analysing crash frequency by crash type </w:t>
      </w:r>
      <m:oMath>
        <m:r>
          <w:rPr>
            <w:rFonts w:ascii="Cambria Math" w:hAnsi="Cambria Math"/>
            <w:szCs w:val="24"/>
          </w:rPr>
          <m:t>(</m:t>
        </m:r>
        <m:r>
          <w:rPr>
            <w:rFonts w:ascii="Cambria Math" w:hAnsi="Cambria Math"/>
          </w:rPr>
          <m:t>N)</m:t>
        </m:r>
      </m:oMath>
      <w:r w:rsidR="00451CBF">
        <w:rPr>
          <w:szCs w:val="24"/>
        </w:rPr>
        <w:t xml:space="preserve"> and severity level </w:t>
      </w:r>
      <m:oMath>
        <m:r>
          <w:rPr>
            <w:rFonts w:ascii="Cambria Math" w:hAnsi="Cambria Math"/>
            <w:szCs w:val="24"/>
          </w:rPr>
          <m:t>(</m:t>
        </m:r>
        <m:r>
          <w:rPr>
            <w:rFonts w:ascii="Cambria Math" w:hAnsi="Cambria Math"/>
          </w:rPr>
          <m:t>K)</m:t>
        </m:r>
      </m:oMath>
      <w:r w:rsidR="00451CBF">
        <w:rPr>
          <w:szCs w:val="24"/>
        </w:rPr>
        <w:t xml:space="preserve"> with </w:t>
      </w:r>
      <m:oMath>
        <m:r>
          <w:rPr>
            <w:rFonts w:ascii="Cambria Math" w:hAnsi="Cambria Math"/>
            <w:szCs w:val="24"/>
          </w:rPr>
          <m:t>(N*</m:t>
        </m:r>
        <m:r>
          <w:rPr>
            <w:rFonts w:ascii="Cambria Math" w:hAnsi="Cambria Math"/>
          </w:rPr>
          <m:t>K)</m:t>
        </m:r>
      </m:oMath>
      <w:r w:rsidR="005D4F72">
        <w:rPr>
          <w:rFonts w:eastAsiaTheme="minorEastAsia"/>
        </w:rPr>
        <w:t xml:space="preserve"> </w:t>
      </w:r>
      <w:r w:rsidR="00451CBF">
        <w:rPr>
          <w:szCs w:val="24"/>
        </w:rPr>
        <w:t xml:space="preserve">dependent variables per observation as follows: The NB count model is employed to incorporate the frequency by the crash type dimension and the </w:t>
      </w:r>
      <w:r w:rsidR="001E35D9">
        <w:rPr>
          <w:szCs w:val="24"/>
        </w:rPr>
        <w:t xml:space="preserve">fractional </w:t>
      </w:r>
      <w:r w:rsidR="00451CBF">
        <w:rPr>
          <w:szCs w:val="24"/>
        </w:rPr>
        <w:t xml:space="preserve">model is employed to analyze crash severity within each crash type dimension. Thus, instead of modeling </w:t>
      </w:r>
      <m:oMath>
        <m:r>
          <w:rPr>
            <w:rFonts w:ascii="Cambria Math" w:hAnsi="Cambria Math"/>
            <w:szCs w:val="24"/>
          </w:rPr>
          <m:t>N*</m:t>
        </m:r>
        <m:r>
          <w:rPr>
            <w:rFonts w:ascii="Cambria Math" w:hAnsi="Cambria Math"/>
          </w:rPr>
          <m:t>K</m:t>
        </m:r>
      </m:oMath>
      <w:r w:rsidR="00451CBF">
        <w:rPr>
          <w:szCs w:val="24"/>
        </w:rPr>
        <w:t xml:space="preserve"> dependent variables with </w:t>
      </w:r>
      <m:oMath>
        <m:r>
          <w:rPr>
            <w:rFonts w:ascii="Cambria Math" w:hAnsi="Cambria Math"/>
            <w:szCs w:val="24"/>
          </w:rPr>
          <m:t>N*</m:t>
        </m:r>
        <m:r>
          <w:rPr>
            <w:rFonts w:ascii="Cambria Math" w:hAnsi="Cambria Math"/>
          </w:rPr>
          <m:t>K</m:t>
        </m:r>
      </m:oMath>
      <w:r w:rsidR="005D4F72">
        <w:rPr>
          <w:rFonts w:eastAsiaTheme="minorEastAsia"/>
        </w:rPr>
        <w:t xml:space="preserve"> </w:t>
      </w:r>
      <w:r w:rsidR="00451CBF">
        <w:rPr>
          <w:szCs w:val="24"/>
        </w:rPr>
        <w:t xml:space="preserve">propensity equations </w:t>
      </w:r>
      <w:r w:rsidR="00816026">
        <w:rPr>
          <w:szCs w:val="24"/>
        </w:rPr>
        <w:t>(</w:t>
      </w:r>
      <w:r w:rsidR="00451CBF">
        <w:rPr>
          <w:szCs w:val="24"/>
        </w:rPr>
        <w:t>and integration of unobserved factors of the same order</w:t>
      </w:r>
      <w:r w:rsidR="00816026">
        <w:rPr>
          <w:szCs w:val="24"/>
        </w:rPr>
        <w:t>)</w:t>
      </w:r>
      <w:r w:rsidR="00451CBF">
        <w:rPr>
          <w:szCs w:val="24"/>
        </w:rPr>
        <w:t xml:space="preserve">, we reduce the dimensionality to </w:t>
      </w:r>
      <m:oMath>
        <m:r>
          <w:rPr>
            <w:rFonts w:ascii="Cambria Math" w:hAnsi="Cambria Math"/>
            <w:szCs w:val="24"/>
          </w:rPr>
          <m:t>N*</m:t>
        </m:r>
        <m:r>
          <w:rPr>
            <w:rFonts w:ascii="Cambria Math" w:hAnsi="Cambria Math"/>
          </w:rPr>
          <m:t>2</m:t>
        </m:r>
      </m:oMath>
      <w:r w:rsidR="00451CBF">
        <w:rPr>
          <w:szCs w:val="24"/>
        </w:rPr>
        <w:t>.</w:t>
      </w:r>
      <w:r w:rsidR="003F7918">
        <w:rPr>
          <w:szCs w:val="24"/>
        </w:rPr>
        <w:t xml:space="preserve"> At this stage, if the analyst is considering </w:t>
      </w:r>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1</m:t>
            </m:r>
          </m:sub>
        </m:sSub>
      </m:oMath>
      <w:r w:rsidR="003F7918">
        <w:rPr>
          <w:szCs w:val="24"/>
        </w:rPr>
        <w:t xml:space="preserve"> observed variables and </w:t>
      </w:r>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2</m:t>
            </m:r>
          </m:sub>
        </m:sSub>
      </m:oMath>
      <w:r w:rsidR="003F7918">
        <w:rPr>
          <w:szCs w:val="24"/>
          <w:vertAlign w:val="subscript"/>
        </w:rPr>
        <w:t xml:space="preserve"> </w:t>
      </w:r>
      <w:r w:rsidR="003F7918">
        <w:rPr>
          <w:szCs w:val="24"/>
        </w:rPr>
        <w:t xml:space="preserve">unobserved parameters, the model estimation complexity has reduced to </w:t>
      </w:r>
      <m:oMath>
        <m:sSub>
          <m:sSubPr>
            <m:ctrlPr>
              <w:rPr>
                <w:rFonts w:ascii="Cambria Math" w:hAnsi="Cambria Math"/>
                <w:i/>
                <w:szCs w:val="24"/>
              </w:rPr>
            </m:ctrlPr>
          </m:sSubPr>
          <m:e>
            <m:r>
              <w:rPr>
                <w:rFonts w:ascii="Cambria Math" w:hAnsi="Cambria Math"/>
                <w:szCs w:val="24"/>
              </w:rPr>
              <m:t>N*2*(L</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2</m:t>
            </m:r>
          </m:sub>
        </m:sSub>
        <m:r>
          <w:rPr>
            <w:rFonts w:ascii="Cambria Math" w:hAnsi="Cambria Math"/>
            <w:szCs w:val="24"/>
          </w:rPr>
          <m:t>)</m:t>
        </m:r>
      </m:oMath>
      <w:r w:rsidR="00015D88">
        <w:rPr>
          <w:szCs w:val="24"/>
        </w:rPr>
        <w:t xml:space="preserve"> from </w:t>
      </w:r>
      <m:oMath>
        <m:sSub>
          <m:sSubPr>
            <m:ctrlPr>
              <w:rPr>
                <w:rFonts w:ascii="Cambria Math" w:hAnsi="Cambria Math"/>
                <w:i/>
                <w:szCs w:val="24"/>
              </w:rPr>
            </m:ctrlPr>
          </m:sSubPr>
          <m:e>
            <m:r>
              <w:rPr>
                <w:rFonts w:ascii="Cambria Math" w:hAnsi="Cambria Math"/>
                <w:szCs w:val="24"/>
              </w:rPr>
              <m:t>N*K*(L</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2</m:t>
            </m:r>
          </m:sub>
        </m:sSub>
        <m:r>
          <w:rPr>
            <w:rFonts w:ascii="Cambria Math" w:hAnsi="Cambria Math"/>
            <w:szCs w:val="24"/>
          </w:rPr>
          <m:t>)</m:t>
        </m:r>
      </m:oMath>
      <w:r w:rsidR="003F7918">
        <w:rPr>
          <w:szCs w:val="24"/>
        </w:rPr>
        <w:t xml:space="preserve">. </w:t>
      </w:r>
    </w:p>
    <w:p w14:paraId="5CB583BB" w14:textId="18D7F5E5" w:rsidR="00451CBF" w:rsidRDefault="00EB7FC5" w:rsidP="00507A82">
      <w:pPr>
        <w:ind w:firstLine="720"/>
      </w:pPr>
      <w:r w:rsidRPr="006125F9">
        <w:rPr>
          <w:szCs w:val="24"/>
          <w:u w:val="single"/>
        </w:rPr>
        <w:lastRenderedPageBreak/>
        <w:t>Second</w:t>
      </w:r>
      <w:r>
        <w:rPr>
          <w:szCs w:val="24"/>
        </w:rPr>
        <w:t xml:space="preserve">, we draw on another recent work that </w:t>
      </w:r>
      <w:r w:rsidR="00451CBF" w:rsidRPr="00612217">
        <w:rPr>
          <w:szCs w:val="24"/>
        </w:rPr>
        <w:t>recast</w:t>
      </w:r>
      <w:r w:rsidR="00451CBF">
        <w:rPr>
          <w:szCs w:val="24"/>
        </w:rPr>
        <w:t>s</w:t>
      </w:r>
      <w:r w:rsidR="00451CBF" w:rsidRPr="00612217">
        <w:rPr>
          <w:szCs w:val="24"/>
        </w:rPr>
        <w:t xml:space="preserve"> the multivariate distributional problem</w:t>
      </w:r>
      <w:r w:rsidR="00451CBF">
        <w:rPr>
          <w:szCs w:val="24"/>
        </w:rPr>
        <w:t xml:space="preserve"> (for multiple crash frequency dependent variables)</w:t>
      </w:r>
      <w:r w:rsidR="00451CBF" w:rsidRPr="00612217">
        <w:rPr>
          <w:szCs w:val="24"/>
        </w:rPr>
        <w:t xml:space="preserve"> as a repeated measure univariate problem (see </w:t>
      </w:r>
      <w:r w:rsidR="00451CBF" w:rsidRPr="00612217">
        <w:rPr>
          <w:szCs w:val="24"/>
        </w:rPr>
        <w:fldChar w:fldCharType="begin" w:fldLock="1"/>
      </w:r>
      <w:r w:rsidR="002F3C91">
        <w:rPr>
          <w:szCs w:val="24"/>
        </w:rPr>
        <w:instrText>ADDIN CSL_CITATION {"citationItems":[{"id":"ITEM-1","itemData":{"DOI":"10.1016/j.amar.2019.100107","ISSN":"22136657","abstract":"In safety literature, simulation-based multivariate framework is the most commonly employed approach for analyzing multiple crash frequency dependent variables. The current research effort contributes to literature on crash frequency analysis by suggesting an alternative and mathematically simpler approach for analyzing multiple crash frequency variables for the same study unit. The proposed recasts a multivariate distributional problem as a repeated measure univariate problem. Specifically, we employed a simpler panel random parameter based univariate model framework to analyze zonal level crash counts for different crash types. The empirical analysis is based on the traffic analysis zone (TAZ) level crash count data for both motorized and non-motorized crashes from Central Florida for the year 2016. The performance of the proposed framework is compared with the performance of the random parameter multivariate negative binomial model (RPMNB) using a host of metrics for estimation sample and hold-out sample. The resulting goodness of fit and predictive measures clearly highlight the comparable performance offered by the proposed framework relative to the commonly used RPMNB model with substantially fewer parameters. The comparison exercise is augmented by computing aggregate level elasticity effects for both PMNB and RPMNB models. The results clearly highlight the comparable performance offered by the proposed PMNB model relative to the traditional RPMNB model. In summary, the proposed framework allows for a parsimonious specification without compromising the model explanatory power and provides similar performance as the most traditional multivariate NB model for analyzing different crash dimensions.","author":[{"dropping-particle":"","family":"Bhowmik","given":"Tanmoy","non-dropping-particle":"","parse-names":false,"suffix":""},{"dropping-particle":"","family":"Yasmin","given":"Shamsunnahar","non-dropping-particle":"","parse-names":false,"suffix":""},{"dropping-particle":"","family":"Eluru","given":"Naveen","non-dropping-particle":"","parse-names":false,"suffix":""}],"container-title":"Analytic Methods in Accident Research","id":"ITEM-1","issued":{"date-parts":[["2019"]]},"title":"Do we need multivariate modeling approaches to model crash frequency by crash types? A panel mixed approach to modeling crash frequency by crash types","type":"article-journal","volume":"24"},"uris":["http://www.mendeley.com/documents/?uuid=9dc0906e-2da2-4234-a3bb-895cfabe6868"]}],"mendeley":{"formattedCitation":"(Bhowmik et al., 2019b)","manualFormatting":"(Bhowmik et al., 2019a)","plainTextFormattedCitation":"(Bhowmik et al., 2019b)","previouslyFormattedCitation":"(Bhowmik et al., 2019b)"},"properties":{"noteIndex":0},"schema":"https://github.com/citation-style-language/schema/raw/master/csl-citation.json"}</w:instrText>
      </w:r>
      <w:r w:rsidR="00451CBF" w:rsidRPr="00612217">
        <w:rPr>
          <w:szCs w:val="24"/>
        </w:rPr>
        <w:fldChar w:fldCharType="separate"/>
      </w:r>
      <w:r w:rsidR="0052670E" w:rsidRPr="0052670E">
        <w:rPr>
          <w:noProof/>
          <w:szCs w:val="24"/>
        </w:rPr>
        <w:t>(Bhowmik et al., 2019</w:t>
      </w:r>
      <w:r w:rsidR="0057793C">
        <w:rPr>
          <w:noProof/>
          <w:szCs w:val="24"/>
        </w:rPr>
        <w:t>a</w:t>
      </w:r>
      <w:r w:rsidR="0052670E" w:rsidRPr="0052670E">
        <w:rPr>
          <w:noProof/>
          <w:szCs w:val="24"/>
        </w:rPr>
        <w:t>)</w:t>
      </w:r>
      <w:r w:rsidR="00451CBF" w:rsidRPr="00612217">
        <w:rPr>
          <w:szCs w:val="24"/>
        </w:rPr>
        <w:fldChar w:fldCharType="end"/>
      </w:r>
      <w:r w:rsidR="00451CBF" w:rsidRPr="00612217">
        <w:rPr>
          <w:szCs w:val="24"/>
        </w:rPr>
        <w:t xml:space="preserve"> for detail).</w:t>
      </w:r>
      <w:r w:rsidR="00451CBF">
        <w:rPr>
          <w:szCs w:val="24"/>
        </w:rPr>
        <w:t xml:space="preserve"> For example, </w:t>
      </w:r>
      <w:r w:rsidR="00451CBF" w:rsidRPr="00612217">
        <w:rPr>
          <w:szCs w:val="24"/>
        </w:rPr>
        <w:t xml:space="preserve">crash frequency by crash type </w:t>
      </w:r>
      <w:r w:rsidR="00451CBF">
        <w:rPr>
          <w:szCs w:val="24"/>
        </w:rPr>
        <w:t xml:space="preserve">is </w:t>
      </w:r>
      <w:r w:rsidR="00451CBF" w:rsidRPr="00612217">
        <w:rPr>
          <w:szCs w:val="24"/>
        </w:rPr>
        <w:t>represent</w:t>
      </w:r>
      <w:r w:rsidR="00451CBF">
        <w:rPr>
          <w:szCs w:val="24"/>
        </w:rPr>
        <w:t>ed</w:t>
      </w:r>
      <w:r w:rsidR="00451CBF" w:rsidRPr="00612217">
        <w:rPr>
          <w:szCs w:val="24"/>
        </w:rPr>
        <w:t xml:space="preserve"> as </w:t>
      </w:r>
      <w:r w:rsidR="00451CBF">
        <w:rPr>
          <w:szCs w:val="24"/>
        </w:rPr>
        <w:t xml:space="preserve">a </w:t>
      </w:r>
      <w:r w:rsidR="00451CBF" w:rsidRPr="00612217">
        <w:rPr>
          <w:szCs w:val="24"/>
        </w:rPr>
        <w:t xml:space="preserve">repeated measure of crash frequency </w:t>
      </w:r>
      <w:r w:rsidR="00451CBF">
        <w:rPr>
          <w:szCs w:val="24"/>
        </w:rPr>
        <w:t xml:space="preserve">variable </w:t>
      </w:r>
      <w:r w:rsidR="00451CBF" w:rsidRPr="00612217">
        <w:rPr>
          <w:szCs w:val="24"/>
        </w:rPr>
        <w:t>recognizing that each repetition re</w:t>
      </w:r>
      <w:r w:rsidR="00451CBF">
        <w:rPr>
          <w:szCs w:val="24"/>
        </w:rPr>
        <w:t>presents a different crash type instead of considering it as a multivariate distribution</w:t>
      </w:r>
      <w:r w:rsidR="00451CBF" w:rsidRPr="00612217">
        <w:rPr>
          <w:szCs w:val="24"/>
        </w:rPr>
        <w:t xml:space="preserve">. </w:t>
      </w:r>
      <w:r w:rsidR="00D21953">
        <w:rPr>
          <w:szCs w:val="24"/>
        </w:rPr>
        <w:t xml:space="preserve">The recasting process allows for the estimation of a parsimonious model system </w:t>
      </w:r>
      <w:r w:rsidR="00FF4A80">
        <w:rPr>
          <w:szCs w:val="24"/>
        </w:rPr>
        <w:t xml:space="preserve">by </w:t>
      </w:r>
      <w:r w:rsidR="00D21953">
        <w:rPr>
          <w:szCs w:val="24"/>
        </w:rPr>
        <w:t>allow</w:t>
      </w:r>
      <w:r w:rsidR="00FF4A80">
        <w:rPr>
          <w:szCs w:val="24"/>
        </w:rPr>
        <w:t>ing</w:t>
      </w:r>
      <w:r w:rsidR="00D21953">
        <w:rPr>
          <w:szCs w:val="24"/>
        </w:rPr>
        <w:t xml:space="preserve"> for an improved specification </w:t>
      </w:r>
      <w:r w:rsidR="00D21953" w:rsidRPr="00245452">
        <w:rPr>
          <w:szCs w:val="24"/>
        </w:rPr>
        <w:t xml:space="preserve">testing </w:t>
      </w:r>
      <w:r w:rsidR="00D21953">
        <w:rPr>
          <w:szCs w:val="24"/>
        </w:rPr>
        <w:t xml:space="preserve">of </w:t>
      </w:r>
      <w:r w:rsidR="00D21953" w:rsidRPr="00245452">
        <w:rPr>
          <w:szCs w:val="24"/>
        </w:rPr>
        <w:t xml:space="preserve">variable </w:t>
      </w:r>
      <w:r w:rsidR="00D21953">
        <w:rPr>
          <w:szCs w:val="24"/>
        </w:rPr>
        <w:t xml:space="preserve">impacts </w:t>
      </w:r>
      <w:r w:rsidR="00D21953" w:rsidRPr="00245452">
        <w:rPr>
          <w:szCs w:val="24"/>
        </w:rPr>
        <w:t xml:space="preserve">across </w:t>
      </w:r>
      <w:r w:rsidR="00FF4A80">
        <w:rPr>
          <w:szCs w:val="24"/>
        </w:rPr>
        <w:t xml:space="preserve">different </w:t>
      </w:r>
      <w:r w:rsidR="00816026">
        <w:rPr>
          <w:szCs w:val="24"/>
        </w:rPr>
        <w:t>crash</w:t>
      </w:r>
      <w:r w:rsidR="00816026" w:rsidRPr="00245452">
        <w:rPr>
          <w:szCs w:val="24"/>
        </w:rPr>
        <w:t xml:space="preserve"> </w:t>
      </w:r>
      <w:r w:rsidR="00D21953" w:rsidRPr="00245452">
        <w:rPr>
          <w:szCs w:val="24"/>
        </w:rPr>
        <w:t xml:space="preserve">types (see </w:t>
      </w:r>
      <w:r w:rsidR="00D21953" w:rsidRPr="00245452">
        <w:rPr>
          <w:szCs w:val="24"/>
        </w:rPr>
        <w:fldChar w:fldCharType="begin" w:fldLock="1"/>
      </w:r>
      <w:r w:rsidR="00C94A9D">
        <w:rPr>
          <w:szCs w:val="24"/>
        </w:rPr>
        <w:instrText>ADDIN CSL_CITATION {"citationItems":[{"id":"ITEM-1","itemData":{"DOI":"10.1016/j.amar.2019.100107","ISSN":"22136657","abstract":"In safety literature, simulation-based multivariate framework is the most commonly employed approach for analyzing multiple crash frequency dependent variables. The current research effort contributes to literature on crash frequency analysis by suggesting an alternative and mathematically simpler approach for analyzing multiple crash frequency variables for the same study unit. The proposed recasts a multivariate distributional problem as a repeated measure univariate problem. Specifically, we employed a simpler panel random parameter based univariate model framework to analyze zonal level crash counts for different crash types. The empirical analysis is based on the traffic analysis zone (TAZ) level crash count data for both motorized and non-motorized crashes from Central Florida for the year 2016. The performance of the proposed framework is compared with the performance of the random parameter multivariate negative binomial model (RPMNB) using a host of metrics for estimation sample and hold-out sample. The resulting goodness of fit and predictive measures clearly highlight the comparable performance offered by the proposed framework relative to the commonly used RPMNB model with substantially fewer parameters. The comparison exercise is augmented by computing aggregate level elasticity effects for both PMNB and RPMNB models. The results clearly highlight the comparable performance offered by the proposed PMNB model relative to the traditional RPMNB model. In summary, the proposed framework allows for a parsimonious specification without compromising the model explanatory power and provides similar performance as the most traditional multivariate NB model for analyzing different crash dimensions.","author":[{"dropping-particle":"","family":"Bhowmik","given":"Tanmoy","non-dropping-particle":"","parse-names":false,"suffix":""},{"dropping-particle":"","family":"Yasmin","given":"Shamsunnahar","non-dropping-particle":"","parse-names":false,"suffix":""},{"dropping-particle":"","family":"Eluru","given":"Naveen","non-dropping-particle":"","parse-names":false,"suffix":""}],"container-title":"Analytic Methods in Accident Research","id":"ITEM-1","issued":{"date-parts":[["2019"]]},"title":"Do we need multivariate modeling approaches to model crash frequency by crash types? A panel mixed approach to modeling crash frequency by crash types","type":"article-journal","volume":"24"},"uris":["http://www.mendeley.com/documents/?uuid=9dc0906e-2da2-4234-a3bb-895cfabe6868"]}],"mendeley":{"formattedCitation":"(Bhowmik et al., 2019b)","manualFormatting":"Bhowmik et al., 2019a","plainTextFormattedCitation":"(Bhowmik et al., 2019b)","previouslyFormattedCitation":"(Bhowmik et al., 2019b)"},"properties":{"noteIndex":0},"schema":"https://github.com/citation-style-language/schema/raw/master/csl-citation.json"}</w:instrText>
      </w:r>
      <w:r w:rsidR="00D21953" w:rsidRPr="00245452">
        <w:rPr>
          <w:szCs w:val="24"/>
        </w:rPr>
        <w:fldChar w:fldCharType="separate"/>
      </w:r>
      <w:r w:rsidR="006454BB" w:rsidRPr="006454BB">
        <w:rPr>
          <w:noProof/>
          <w:szCs w:val="24"/>
        </w:rPr>
        <w:t>Bhowmik et al., 2019a</w:t>
      </w:r>
      <w:r w:rsidR="00D21953" w:rsidRPr="00245452">
        <w:rPr>
          <w:szCs w:val="24"/>
        </w:rPr>
        <w:fldChar w:fldCharType="end"/>
      </w:r>
      <w:r w:rsidR="00D21953" w:rsidRPr="00245452">
        <w:rPr>
          <w:szCs w:val="24"/>
        </w:rPr>
        <w:t xml:space="preserve"> for detail).</w:t>
      </w:r>
      <w:r w:rsidR="00D21953">
        <w:rPr>
          <w:szCs w:val="24"/>
        </w:rPr>
        <w:t xml:space="preserve"> </w:t>
      </w:r>
      <w:r w:rsidR="003F7918">
        <w:rPr>
          <w:szCs w:val="24"/>
        </w:rPr>
        <w:t xml:space="preserve">Using this consideration, the proposed model system enhances the efficiency of estimation </w:t>
      </w:r>
      <w:r w:rsidR="00FF4A80">
        <w:rPr>
          <w:szCs w:val="24"/>
        </w:rPr>
        <w:t>through</w:t>
      </w:r>
      <w:r w:rsidR="003F7918">
        <w:rPr>
          <w:szCs w:val="24"/>
        </w:rPr>
        <w:t xml:space="preserve"> a single crash frequency </w:t>
      </w:r>
      <w:r w:rsidR="00DD3726">
        <w:rPr>
          <w:szCs w:val="24"/>
        </w:rPr>
        <w:t xml:space="preserve">model </w:t>
      </w:r>
      <w:r w:rsidR="003F7918">
        <w:rPr>
          <w:szCs w:val="24"/>
        </w:rPr>
        <w:t xml:space="preserve">and </w:t>
      </w:r>
      <w:r w:rsidR="00FF4A80">
        <w:rPr>
          <w:szCs w:val="24"/>
        </w:rPr>
        <w:t xml:space="preserve">a single </w:t>
      </w:r>
      <w:r w:rsidR="003F7918">
        <w:rPr>
          <w:szCs w:val="24"/>
        </w:rPr>
        <w:t>crash proportion m</w:t>
      </w:r>
      <w:r w:rsidR="0057793C">
        <w:rPr>
          <w:szCs w:val="24"/>
        </w:rPr>
        <w:t>o</w:t>
      </w:r>
      <w:r w:rsidR="003F7918">
        <w:rPr>
          <w:szCs w:val="24"/>
        </w:rPr>
        <w:t>del</w:t>
      </w:r>
      <w:r w:rsidR="003000BD">
        <w:rPr>
          <w:szCs w:val="24"/>
        </w:rPr>
        <w:t>,</w:t>
      </w:r>
      <w:r w:rsidR="003F7918">
        <w:rPr>
          <w:szCs w:val="24"/>
        </w:rPr>
        <w:t xml:space="preserve"> while</w:t>
      </w:r>
      <w:r w:rsidR="003000BD">
        <w:rPr>
          <w:szCs w:val="24"/>
        </w:rPr>
        <w:t xml:space="preserve"> also</w:t>
      </w:r>
      <w:r w:rsidR="003F7918">
        <w:rPr>
          <w:szCs w:val="24"/>
        </w:rPr>
        <w:t xml:space="preserve"> allowing for parameter effects to</w:t>
      </w:r>
      <w:r w:rsidR="00031E8E">
        <w:rPr>
          <w:szCs w:val="24"/>
        </w:rPr>
        <w:t xml:space="preserve"> vary </w:t>
      </w:r>
      <w:r w:rsidR="00FF4A80">
        <w:rPr>
          <w:szCs w:val="24"/>
        </w:rPr>
        <w:t>across different crash types</w:t>
      </w:r>
      <w:r w:rsidR="00031E8E">
        <w:rPr>
          <w:szCs w:val="24"/>
        </w:rPr>
        <w:t xml:space="preserve"> th</w:t>
      </w:r>
      <w:r w:rsidR="003000BD">
        <w:rPr>
          <w:szCs w:val="24"/>
        </w:rPr>
        <w:t>r</w:t>
      </w:r>
      <w:r w:rsidR="00031E8E">
        <w:rPr>
          <w:szCs w:val="24"/>
        </w:rPr>
        <w:t xml:space="preserve">ough </w:t>
      </w:r>
      <w:r w:rsidR="00FF4A80">
        <w:rPr>
          <w:szCs w:val="24"/>
        </w:rPr>
        <w:t xml:space="preserve">crash type specific </w:t>
      </w:r>
      <w:r w:rsidR="00031E8E">
        <w:rPr>
          <w:szCs w:val="24"/>
        </w:rPr>
        <w:t xml:space="preserve">deviation terms. </w:t>
      </w:r>
      <w:r w:rsidR="003000BD">
        <w:rPr>
          <w:szCs w:val="24"/>
        </w:rPr>
        <w:t>Building</w:t>
      </w:r>
      <w:r w:rsidR="00FF4A80">
        <w:rPr>
          <w:szCs w:val="24"/>
        </w:rPr>
        <w:t xml:space="preserve"> on this study design</w:t>
      </w:r>
      <w:r w:rsidR="00031E8E">
        <w:rPr>
          <w:szCs w:val="24"/>
        </w:rPr>
        <w:t xml:space="preserve">, the </w:t>
      </w:r>
      <m:oMath>
        <m:sSub>
          <m:sSubPr>
            <m:ctrlPr>
              <w:rPr>
                <w:rFonts w:ascii="Cambria Math" w:hAnsi="Cambria Math"/>
                <w:i/>
                <w:szCs w:val="24"/>
              </w:rPr>
            </m:ctrlPr>
          </m:sSubPr>
          <m:e>
            <m:r>
              <w:rPr>
                <w:rFonts w:ascii="Cambria Math" w:hAnsi="Cambria Math"/>
                <w:szCs w:val="24"/>
              </w:rPr>
              <m:t>N*2*(L</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2</m:t>
            </m:r>
          </m:sub>
        </m:sSub>
        <m:r>
          <w:rPr>
            <w:rFonts w:ascii="Cambria Math" w:hAnsi="Cambria Math"/>
            <w:szCs w:val="24"/>
          </w:rPr>
          <m:t>)</m:t>
        </m:r>
      </m:oMath>
      <w:r w:rsidR="00031E8E">
        <w:rPr>
          <w:szCs w:val="24"/>
        </w:rPr>
        <w:t xml:space="preserve"> could potentially be reduced to </w:t>
      </w:r>
      <m:oMath>
        <m:sSub>
          <m:sSubPr>
            <m:ctrlPr>
              <w:rPr>
                <w:rFonts w:ascii="Cambria Math" w:hAnsi="Cambria Math"/>
                <w:i/>
                <w:szCs w:val="24"/>
              </w:rPr>
            </m:ctrlPr>
          </m:sSubPr>
          <m:e>
            <m:r>
              <w:rPr>
                <w:rFonts w:ascii="Cambria Math" w:hAnsi="Cambria Math"/>
                <w:szCs w:val="24"/>
              </w:rPr>
              <m:t>2*(L</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2</m:t>
            </m:r>
          </m:sub>
        </m:sSub>
        <m:r>
          <w:rPr>
            <w:rFonts w:ascii="Cambria Math" w:hAnsi="Cambria Math"/>
            <w:szCs w:val="24"/>
          </w:rPr>
          <m:t>)</m:t>
        </m:r>
      </m:oMath>
      <w:r w:rsidR="00031E8E">
        <w:rPr>
          <w:szCs w:val="24"/>
        </w:rPr>
        <w:t xml:space="preserve">. Of course, we envision </w:t>
      </w:r>
      <w:r w:rsidR="00016824">
        <w:rPr>
          <w:szCs w:val="24"/>
        </w:rPr>
        <w:t xml:space="preserve">that </w:t>
      </w:r>
      <w:r w:rsidR="00031E8E">
        <w:rPr>
          <w:szCs w:val="24"/>
        </w:rPr>
        <w:t xml:space="preserve">the exact number of parameters to be estimated </w:t>
      </w:r>
      <w:r w:rsidR="00016824">
        <w:rPr>
          <w:szCs w:val="24"/>
        </w:rPr>
        <w:t xml:space="preserve">will lie </w:t>
      </w:r>
      <w:r w:rsidR="00031E8E">
        <w:rPr>
          <w:szCs w:val="24"/>
        </w:rPr>
        <w:t xml:space="preserve">somewhere in the range between </w:t>
      </w:r>
      <m:oMath>
        <m:sSub>
          <m:sSubPr>
            <m:ctrlPr>
              <w:rPr>
                <w:rFonts w:ascii="Cambria Math" w:hAnsi="Cambria Math"/>
                <w:i/>
                <w:szCs w:val="24"/>
              </w:rPr>
            </m:ctrlPr>
          </m:sSubPr>
          <m:e>
            <m:r>
              <w:rPr>
                <w:rFonts w:ascii="Cambria Math" w:hAnsi="Cambria Math"/>
                <w:szCs w:val="24"/>
              </w:rPr>
              <m:t>2*(L</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2</m:t>
            </m:r>
          </m:sub>
        </m:sSub>
        <m:r>
          <w:rPr>
            <w:rFonts w:ascii="Cambria Math" w:hAnsi="Cambria Math"/>
            <w:szCs w:val="24"/>
          </w:rPr>
          <m:t>)</m:t>
        </m:r>
      </m:oMath>
      <w:r w:rsidR="00031E8E">
        <w:rPr>
          <w:szCs w:val="24"/>
        </w:rPr>
        <w:t xml:space="preserve"> and </w:t>
      </w:r>
      <m:oMath>
        <m:sSub>
          <m:sSubPr>
            <m:ctrlPr>
              <w:rPr>
                <w:rFonts w:ascii="Cambria Math" w:hAnsi="Cambria Math"/>
                <w:i/>
                <w:szCs w:val="24"/>
              </w:rPr>
            </m:ctrlPr>
          </m:sSubPr>
          <m:e>
            <m:r>
              <w:rPr>
                <w:rFonts w:ascii="Cambria Math" w:hAnsi="Cambria Math"/>
                <w:szCs w:val="24"/>
              </w:rPr>
              <m:t>N*2*(L</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2</m:t>
            </m:r>
          </m:sub>
        </m:sSub>
        <m:r>
          <w:rPr>
            <w:rFonts w:ascii="Cambria Math" w:hAnsi="Cambria Math"/>
            <w:szCs w:val="24"/>
          </w:rPr>
          <m:t>)</m:t>
        </m:r>
      </m:oMath>
      <w:r w:rsidR="00031E8E">
        <w:rPr>
          <w:szCs w:val="24"/>
        </w:rPr>
        <w:t xml:space="preserve">. </w:t>
      </w:r>
      <w:r w:rsidR="00AB2138">
        <w:rPr>
          <w:szCs w:val="24"/>
        </w:rPr>
        <w:t xml:space="preserve">The reduction in parameters especially for unobserved factors will contribute to substantial improvements in model efficiency and computational times. </w:t>
      </w:r>
      <w:r w:rsidR="005D4F72">
        <w:rPr>
          <w:szCs w:val="24"/>
        </w:rPr>
        <w:t xml:space="preserve">In our current study, the number of dependent variables analyzed is 24 (N=6 and K=4). </w:t>
      </w:r>
      <w:r w:rsidR="005D4F72">
        <w:t xml:space="preserve">Through our innovative adoption of the fractional split model for severity modeling and recasting of the crash frequency model from a multivariate to a repeated univariate structure we potentially reduce the number of parameters to be estimated to </w:t>
      </w:r>
      <m:oMath>
        <m:sSub>
          <m:sSubPr>
            <m:ctrlPr>
              <w:rPr>
                <w:rFonts w:ascii="Cambria Math" w:hAnsi="Cambria Math"/>
                <w:i/>
              </w:rPr>
            </m:ctrlPr>
          </m:sSubPr>
          <m:e>
            <m:r>
              <w:rPr>
                <w:rFonts w:ascii="Cambria Math" w:hAnsi="Cambria Math"/>
              </w:rPr>
              <m:t>2*(L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m:t>
        </m:r>
      </m:oMath>
      <w:r w:rsidR="005D4F72">
        <w:t xml:space="preserve"> in the best case and </w:t>
      </w:r>
      <m:oMath>
        <m:sSub>
          <m:sSubPr>
            <m:ctrlPr>
              <w:rPr>
                <w:rFonts w:ascii="Cambria Math" w:hAnsi="Cambria Math"/>
                <w:i/>
              </w:rPr>
            </m:ctrlPr>
          </m:sSubPr>
          <m:e>
            <m:r>
              <w:rPr>
                <w:rFonts w:ascii="Cambria Math" w:hAnsi="Cambria Math"/>
              </w:rPr>
              <m:t>6*2*(L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m:t>
        </m:r>
      </m:oMath>
      <w:r w:rsidR="005D4F72">
        <w:t xml:space="preserve"> in an absolute worst case. To summarize, the proposed model system results in the estimation of about </w:t>
      </w:r>
      <m:oMath>
        <m:f>
          <m:fPr>
            <m:ctrlPr>
              <w:rPr>
                <w:rFonts w:ascii="Cambria Math" w:hAnsi="Cambria Math"/>
                <w:i/>
              </w:rPr>
            </m:ctrlPr>
          </m:fPr>
          <m:num>
            <m:r>
              <w:rPr>
                <w:rFonts w:ascii="Cambria Math" w:hAnsi="Cambria Math"/>
              </w:rPr>
              <m:t>1</m:t>
            </m:r>
          </m:num>
          <m:den>
            <m:r>
              <w:rPr>
                <w:rFonts w:ascii="Cambria Math" w:hAnsi="Cambria Math"/>
              </w:rPr>
              <m:t>12</m:t>
            </m:r>
          </m:den>
        </m:f>
      </m:oMath>
      <w:r w:rsidR="005D4F72">
        <w:t xml:space="preserve"> of the model parameters in the best case and about </w:t>
      </w:r>
      <m:oMath>
        <m:f>
          <m:fPr>
            <m:ctrlPr>
              <w:rPr>
                <w:rFonts w:ascii="Cambria Math" w:hAnsi="Cambria Math"/>
                <w:i/>
              </w:rPr>
            </m:ctrlPr>
          </m:fPr>
          <m:num>
            <m:r>
              <w:rPr>
                <w:rFonts w:ascii="Cambria Math" w:hAnsi="Cambria Math"/>
              </w:rPr>
              <m:t>1</m:t>
            </m:r>
          </m:num>
          <m:den>
            <m:r>
              <w:rPr>
                <w:rFonts w:ascii="Cambria Math" w:hAnsi="Cambria Math"/>
              </w:rPr>
              <m:t>2</m:t>
            </m:r>
          </m:den>
        </m:f>
      </m:oMath>
      <w:r w:rsidR="005D4F72">
        <w:t xml:space="preserve"> in the worst case. From any metric of comparison this is a substantial improvement. </w:t>
      </w:r>
    </w:p>
    <w:p w14:paraId="327AE354" w14:textId="4E090E79" w:rsidR="005D4F72" w:rsidRDefault="005D4F72" w:rsidP="00507A82">
      <w:pPr>
        <w:ind w:firstLine="720"/>
      </w:pPr>
      <w:r w:rsidRPr="00B24BFD">
        <w:rPr>
          <w:u w:val="single"/>
        </w:rPr>
        <w:t>Third</w:t>
      </w:r>
      <w:r>
        <w:t xml:space="preserve">, the proposed approach reduces the reliance on unobserved heterogeneity by allowing for direct impact of observed variable interaction across dependent variables. To elaborate, in traditional models, the interaction between the multiple dependent variables is accommodated through unobserved error correlations. Typically, these correlations are captured through simulation based approaches or specialized dependency structures (such as copulas). For example, in our empirical setting with 6 crash types and 4 crash severities, the traditional approach will need to estimate 24 (6*4) separate equations and then test for the presence of </w:t>
      </w:r>
      <m:oMath>
        <m:r>
          <w:rPr>
            <w:rFonts w:ascii="Cambria Math" w:hAnsi="Cambria Math"/>
          </w:rPr>
          <m:t>24</m:t>
        </m:r>
        <m:sSub>
          <m:sSubPr>
            <m:ctrlPr>
              <w:rPr>
                <w:rFonts w:ascii="Cambria Math" w:hAnsi="Cambria Math"/>
                <w:i/>
              </w:rPr>
            </m:ctrlPr>
          </m:sSubPr>
          <m:e>
            <m:r>
              <w:rPr>
                <w:rFonts w:ascii="Cambria Math" w:hAnsi="Cambria Math"/>
              </w:rPr>
              <m:t>C</m:t>
            </m:r>
          </m:e>
          <m:sub>
            <m:r>
              <w:rPr>
                <w:rFonts w:ascii="Cambria Math" w:hAnsi="Cambria Math"/>
              </w:rPr>
              <m:t>2</m:t>
            </m:r>
          </m:sub>
        </m:sSub>
      </m:oMath>
      <w:r>
        <w:t xml:space="preserve"> potential correlation terms. The additional estimation and computational complexity </w:t>
      </w:r>
      <w:proofErr w:type="gramStart"/>
      <w:r>
        <w:t>explains</w:t>
      </w:r>
      <w:proofErr w:type="gramEnd"/>
      <w:r>
        <w:t xml:space="preserve"> why earlier research has focused either on crash type or crash severity only. In our approach, we allow for observed variable interaction in modeling severity proportions. Thus, we actually allow for interaction across dependent variables without needing for the introduction of simulation based error terms. Further, we consider unobserved correlations across dependent variables as needed. Given the direct interaction across the dependent variables, we are likely to have fewer parameters to test because of the model structure. This improves model estimation efficiency as maximum simulated models with large dimensions of integrals are less efficient and are prone to potential inaccuracies (see Bhat, 2011).</w:t>
      </w:r>
    </w:p>
    <w:p w14:paraId="6649762C" w14:textId="19236EE1" w:rsidR="005D4F72" w:rsidRDefault="00006FCC" w:rsidP="00116ABD">
      <w:pPr>
        <w:ind w:firstLine="578"/>
      </w:pPr>
      <w:r w:rsidRPr="003E77B3">
        <w:rPr>
          <w:u w:val="single"/>
        </w:rPr>
        <w:t>Finally</w:t>
      </w:r>
      <w:r>
        <w:t xml:space="preserve">, </w:t>
      </w:r>
      <w:r w:rsidR="005D4F72">
        <w:t xml:space="preserve">the proposed model structure allows for recognizing the potential ordering in the severity dependent variables. In the traditional model setting, with multivariate models for multiple dependent variables accommodating for such ordering is not possible. Ignoring this potential ordering can </w:t>
      </w:r>
      <w:r w:rsidR="004275FD">
        <w:t xml:space="preserve">possibly </w:t>
      </w:r>
      <w:r w:rsidR="005D4F72">
        <w:t xml:space="preserve">manifest itself through the significance of multiple unobserved variables representing correlation across dependent variables (that are actually ordered). Further, as illustrated in existing literature  (see </w:t>
      </w:r>
      <w:r w:rsidR="005D4F72">
        <w:fldChar w:fldCharType="begin" w:fldLock="1"/>
      </w:r>
      <w:r w:rsidR="002F3C91">
        <w:instrText>ADDIN CSL_CITATION {"citationItems":[{"id":"ITEM-1","itemData":{"DOI":"10.1016/j.amar.2015.04.002","ISSN":"22136657","abstract":"While there is growing application of generalized ordered outcome model variants (widely known as Generalized Ordered Logit (GOL) model and Partial Proportional Odds Logit (PPO) model) in crash injury severity analysis, there are several aspects of these approaches that are not well documented in extant safety literature. The current research note presents the relationship between these two variants of generalized ordered outcome models and elaborates on model interpretation issues. While these variants arise from different mathematical approaches employed to enhance the traditional ordered outcome model, we establish that these are mathematically identical. We also discuss how one can facilitate estimation and interpretation while building on the ordered outcome model estimates - a useful process for practitioners considering upgrading their existing traditional ordered logit/probit injury severity models. Finally, the note presents the differences within GOL and PPO model frameworks, for accommodating the effect of unobserved heterogeneity, referred to as Mixed Generalized Ordered Logit (MGOL) and Mixed Partial Proportional Odds Logit (MPPO) models while also discussing the computational difficulties that may arise in estimating these models.","author":[{"dropping-particle":"","family":"Eluru","given":"Naveen","non-dropping-particle":"","parse-names":false,"suffix":""},{"dropping-particle":"","family":"Yasmin","given":"Shamsunnahar","non-dropping-particle":"","parse-names":false,"suffix":""}],"container-title":"Analytic Methods in Accident Research","id":"ITEM-1","issued":{"date-parts":[["2015"]]},"page":"1-6","publisher":"Elsevier","title":"A note on generalized ordered outcome models","type":"article-journal","volume":"8"},"uris":["http://www.mendeley.com/documents/?uuid=168ecac0-3cb4-48ef-ab6d-2c890ec84107"]},{"id":"ITEM-2","itemData":{"DOI":"10.1016/j.amar.2017.03.002","ISSN":"22136657","abstract":"This study uses highway accident data collected in the State of Washington, between 2011 and 2013, to study the factors that affect accident injury-severities. To account for the fixed thresholds limitation of the traditional ordered probability models – which typically leads to incorrect estimation of outcome probabilities for the intermediate categories – and for the possibility of unobserved factors systematically varying across the observations, a random thresholds hierarchical ordered probit model with random parameters is estimated. This approach simultaneously allows the explanatory parameters to vary across roadway segments, and the thresholds to vary both as a function of explanatory parameters and across the observations, thus accounting for unobserved and threshold heterogeneity, respectively. Using goodness-of-fit measures, likelihood ratio tests and forecasting accuracy measures, the model estimation results are compared with the hierarchical and fixed thresholds ordered probit model counterparts, with fixed and random parameters. The comparative assessment among the ordered probit modeling approaches reveals the relative benefits and the overall statistical superiority of the random thresholds random parameters hierarchical ordered probit model.","author":[{"dropping-particle":"","family":"Fountas","given":"Grigorios","non-dropping-particle":"","parse-names":false,"suffix":""},{"dropping-particle":"","family":"Anastasopoulos","given":"Panagiotis Ch","non-dropping-particle":"","parse-names":false,"suffix":""}],"container-title":"Analytic Methods in Accident Research","id":"ITEM-2","issued":{"date-parts":[["2017"]]},"page":"1-16","title":"A random thresholds random parameters hierarchical ordered probit analysis of highway accident injury-severities","type":"article-journal","volume":"15"},"uris":["http://www.mendeley.com/documents/?uuid=044a560d-840d-4a48-a8f8-c69ef3c8d608"]},{"id":"ITEM-3","itemData":{"DOI":"10.1016/j.amar.2017.10.001","ISSN":"22136657","abstract":"Transportation infrastructure facilities and pedestrian/driver behaviors are associated with neighborhood characteristics and the built environment. However, the effects of neighborhood characteristics and the built environment on pedestrian injury severity are not well documented. To investigate and quantify the effects of neighborhood characteristics and built environment on pedestrian injury severity, a random parameters generalized ordered probit model with heterogeneity in means and variances was proposed to consider the ordinal nature of injury data and the issue of threshold and unobserved heterogeneity. A total of 3867 pedestrian-vehicle crashes that occurred in Florida Department of Transportation District 7 from 2011 to 2014 were analyzed. Based on the estimation results, three factors (African American community, school zone, and bus stop area) related to neighborhood characteristics and the built environment were identified to have significant influence on pedestrian injury severity. Pedestrian-vehicle crashes that occurred in African American community or bus stop area are less likely to involve incapacitating and fatal injuries. The presence of a school within a 0.5-km buffer from a crash leads to a decreased probability of fatal injury and an increased probability of incapacitating injury. In addition, the estimated parameter for elderly pedestrian indicator (50 &lt; age ≤ 65) was found to be random with significant heterogeneity in both mean and variance (where the mean and variance are associated with intersection-related crash indicator). Compared to younger pedestrians (age ≤ 30), 74.3% of elderly pedestrians who are involved in intersection-related crashes are more likely to suffer severe injury (fatal or incapacitating injury), while 52.4% of elderly pedestrians who are not involved in intersection-related crashes are more likely to suffer severe injury.","author":[{"dropping-particle":"","family":"Xin","given":"Chunfu","non-dropping-particle":"","parse-names":false,"suffix":""},{"dropping-particle":"","family":"Guo","given":"Rui","non-dropping-particle":"","parse-names":false,"suffix":""},{"dropping-particle":"","family":"Wang","given":"Zhenyu","non-dropping-particle":"","parse-names":false,"suffix":""},{"dropping-particle":"","family":"Lu","given":"Qing","non-dropping-particle":"","parse-names":false,"suffix":""},{"dropping-particle":"","family":"Lin","given":"Pei Sung","non-dropping-particle":"","parse-names":false,"suffix":""}],"container-title":"Analytic Methods in Accident Research","id":"ITEM-3","issued":{"date-parts":[["2017"]]},"page":"117-132","title":"The effects of neighborhood characteristics and the built environment on pedestrian injury severity: A random parameters generalized ordered probability model with heterogeneity in means and variances","type":"article-journal","volume":"16"},"uris":["http://www.mendeley.com/documents/?uuid=e966fb2c-19d0-4807-9884-455a83f080ae"]},{"id":"ITEM-4","itemData":{"DOI":"10.1016/j.amar.2018.12.001","ISSN":"22136657","abstract":"Vehicle operating speed plays a significant role in many fields of transportation engineering including safety, operation, design and management. The current research effort contributes to literature on examining vehicle speed on arterial roads methodologically and empirically. Specifically, we propose and estimate a panel mixed generalized ordered probit fractional split (PMGOPFS) model to examine critical factors contributing to vehicle operating speed on roadways. The proposed modeling framework allows for the exogenous variable impacts to vary across the alternatives. Further, the model is formulated to allow for the impact of common unobserved factors across multiple levels (roadway, segment, direction, day and time period). To the best of the authors’ knowledge, this is the first time such an econometric model is proposed and estimated in any literature (not just in transportation). The proposed model is estimated employing a maximum simulated quasi-likelihood based objective function. Vehicular speed data obtained from 8 arterial roads in Orlando for the year 2016 is used for estimating the model. The data is obtained for weekday morning and evening peak and off-peak hours for one randomly chosen week for each roadway throughout the year. The exogenous variables that are considered in the current empirical study include geometry, roadway, traffic, land use and environmental attributes. The model estimation results are further augmented by conducting elasticity analysis to highlight the important factors affecting the vehicular speed profile.","author":[{"dropping-particle":"","family":"Bhowmik","given":"Tanmoy","non-dropping-particle":"","parse-names":false,"suffix":""},{"dropping-particle":"","family":"Yasmin","given":"Shamsunnahar","non-dropping-particle":"","parse-names":false,"suffix":""},{"dropping-particle":"","family":"Eluru","given":"Naveen","non-dropping-particle":"","parse-names":false,"suffix":""}],"container-title":"Analytic Methods in Accident Research","id":"ITEM-4","issued":{"date-parts":[["2019"]]},"page":"13-31","title":"A multilevel generalized ordered probit fractional split model for analyzing vehicle speed","type":"article-journal","volume":"21"},"uris":["http://www.mendeley.com/documents/?uuid=a48a4379-0a29-4f5c-bf9d-188baafca965"]}],"mendeley":{"formattedCitation":"(Bhowmik et al., 2019c; Eluru and Yasmin, 2015; Fountas and Anastasopoulos, 2017; Xin et al., 2017)","manualFormatting":"Eluru and Yasmin, 2015; Fountas and Anastasopoulos, 2017; Xin et al., 2017; Bhowmik et al., 2019c","plainTextFormattedCitation":"(Bhowmik et al., 2019c; Eluru and Yasmin, 2015; Fountas and Anastasopoulos, 2017; Xin et al., 2017)","previouslyFormattedCitation":"(Bhowmik et al., 2019c; Eluru and Yasmin, 2015; Fountas and Anastasopoulos, 2017; Xin et al., 2017)"},"properties":{"noteIndex":0},"schema":"https://github.com/citation-style-language/schema/raw/master/csl-citation.json"}</w:instrText>
      </w:r>
      <w:r w:rsidR="005D4F72">
        <w:fldChar w:fldCharType="separate"/>
      </w:r>
      <w:r w:rsidR="005D4F72" w:rsidRPr="00645BA7">
        <w:rPr>
          <w:noProof/>
        </w:rPr>
        <w:t>Eluru and Yasmin, 2015; Fountas and Anastasopoulos, 2017; Xin et al., 2017</w:t>
      </w:r>
      <w:r w:rsidR="005D4F72">
        <w:rPr>
          <w:noProof/>
        </w:rPr>
        <w:t>;</w:t>
      </w:r>
      <w:r w:rsidR="005D4F72" w:rsidRPr="00645BA7">
        <w:rPr>
          <w:noProof/>
        </w:rPr>
        <w:t xml:space="preserve"> Bhowmik et al., 2019</w:t>
      </w:r>
      <w:r w:rsidR="002B31BD">
        <w:rPr>
          <w:noProof/>
        </w:rPr>
        <w:t>b</w:t>
      </w:r>
      <w:r w:rsidR="005D4F72">
        <w:fldChar w:fldCharType="end"/>
      </w:r>
      <w:r w:rsidR="00854CCF">
        <w:t xml:space="preserve">; </w:t>
      </w:r>
      <w:r w:rsidR="00AB5773">
        <w:t xml:space="preserve">Kabli et al., 2020; </w:t>
      </w:r>
      <w:r w:rsidR="00854CCF">
        <w:t>Wang et al., 2021</w:t>
      </w:r>
      <w:r w:rsidR="005D4F72">
        <w:t xml:space="preserve"> for detail), adopting a </w:t>
      </w:r>
      <w:r w:rsidR="005D4F72" w:rsidRPr="00612217">
        <w:rPr>
          <w:szCs w:val="24"/>
        </w:rPr>
        <w:t xml:space="preserve">generalized ordered framework </w:t>
      </w:r>
      <w:r w:rsidR="005D4F72">
        <w:rPr>
          <w:szCs w:val="24"/>
        </w:rPr>
        <w:t xml:space="preserve">that </w:t>
      </w:r>
      <w:r w:rsidR="005D4F72" w:rsidRPr="00612217">
        <w:rPr>
          <w:szCs w:val="24"/>
        </w:rPr>
        <w:t xml:space="preserve">relaxes the restrictive assumptions of the ordered </w:t>
      </w:r>
      <w:r w:rsidR="005D4F72">
        <w:rPr>
          <w:szCs w:val="24"/>
        </w:rPr>
        <w:lastRenderedPageBreak/>
        <w:t>outcome</w:t>
      </w:r>
      <w:r w:rsidR="005D4F72" w:rsidRPr="00612217">
        <w:rPr>
          <w:szCs w:val="24"/>
        </w:rPr>
        <w:t xml:space="preserve"> model</w:t>
      </w:r>
      <w:r w:rsidR="005D4F72">
        <w:rPr>
          <w:szCs w:val="24"/>
        </w:rPr>
        <w:t xml:space="preserve"> (also referred to as parallel lines assumption)</w:t>
      </w:r>
      <w:r w:rsidR="005D4F72" w:rsidRPr="00612217">
        <w:rPr>
          <w:szCs w:val="24"/>
        </w:rPr>
        <w:t xml:space="preserve"> by allowing the threshold parameters to vary in response to observational attributes</w:t>
      </w:r>
      <w:r w:rsidR="005D4F72">
        <w:rPr>
          <w:szCs w:val="24"/>
        </w:rPr>
        <w:t xml:space="preserve"> would be more representative. </w:t>
      </w:r>
      <w:r w:rsidR="004275FD">
        <w:rPr>
          <w:szCs w:val="24"/>
        </w:rPr>
        <w:t xml:space="preserve">Thus, </w:t>
      </w:r>
      <w:r w:rsidR="005D4F72">
        <w:t>in our proposed model structure, we also develop a generalized ordered model structure that also accommodates for the potential parallel line assumption documented in ordered literature.</w:t>
      </w:r>
    </w:p>
    <w:p w14:paraId="3FA79175" w14:textId="36399771" w:rsidR="000359E7" w:rsidRDefault="000359E7" w:rsidP="00B030BC">
      <w:pPr>
        <w:ind w:firstLine="576"/>
        <w:rPr>
          <w:szCs w:val="24"/>
        </w:rPr>
      </w:pPr>
      <w:r>
        <w:rPr>
          <w:szCs w:val="24"/>
        </w:rPr>
        <w:t xml:space="preserve">The model is estimated using zonal level crash count, crash type and severity data for both motorized and non-motorized crashes. The crash data is extracted </w:t>
      </w:r>
      <w:r w:rsidRPr="007D0676">
        <w:rPr>
          <w:szCs w:val="24"/>
        </w:rPr>
        <w:t>for the year</w:t>
      </w:r>
      <w:r>
        <w:rPr>
          <w:szCs w:val="24"/>
        </w:rPr>
        <w:t xml:space="preserve"> 2016 </w:t>
      </w:r>
      <w:r w:rsidRPr="007D0676">
        <w:rPr>
          <w:szCs w:val="24"/>
        </w:rPr>
        <w:t xml:space="preserve">from </w:t>
      </w:r>
      <w:r>
        <w:rPr>
          <w:szCs w:val="24"/>
        </w:rPr>
        <w:t>Central</w:t>
      </w:r>
      <w:r w:rsidRPr="007D0676">
        <w:rPr>
          <w:szCs w:val="24"/>
        </w:rPr>
        <w:t xml:space="preserve"> Florida </w:t>
      </w:r>
      <w:r>
        <w:rPr>
          <w:szCs w:val="24"/>
        </w:rPr>
        <w:t xml:space="preserve">region of the USA. The dimension of the dependent variables analysed is 24 </w:t>
      </w:r>
      <m:oMath>
        <m:r>
          <w:rPr>
            <w:rFonts w:ascii="Cambria Math" w:hAnsi="Cambria Math"/>
            <w:szCs w:val="24"/>
          </w:rPr>
          <m:t>[</m:t>
        </m:r>
        <m:d>
          <m:dPr>
            <m:ctrlPr>
              <w:rPr>
                <w:rFonts w:ascii="Cambria Math" w:hAnsi="Cambria Math"/>
                <w:i/>
                <w:szCs w:val="24"/>
              </w:rPr>
            </m:ctrlPr>
          </m:dPr>
          <m:e>
            <m:r>
              <w:rPr>
                <w:rFonts w:ascii="Cambria Math" w:hAnsi="Cambria Math"/>
                <w:szCs w:val="24"/>
              </w:rPr>
              <m:t>6*4</m:t>
            </m:r>
          </m:e>
        </m:d>
      </m:oMath>
      <w:r>
        <w:rPr>
          <w:rFonts w:eastAsiaTheme="minorEastAsia"/>
          <w:szCs w:val="24"/>
        </w:rPr>
        <w:t xml:space="preserve"> from 6 crash types (rear-end, angular, sideswipe, head-on, single vehicle and non-motorist crash) and 4 severity levels (severe (fatal and incapacitating as one category), non-incapacitating, possible injury and property damage)</w:t>
      </w:r>
      <w:r>
        <w:rPr>
          <w:szCs w:val="24"/>
        </w:rPr>
        <w:t xml:space="preserve">. </w:t>
      </w:r>
    </w:p>
    <w:p w14:paraId="39670E59" w14:textId="1B806ECB" w:rsidR="00006FCC" w:rsidRPr="00A251A1" w:rsidRDefault="00006FCC" w:rsidP="00E11E2F">
      <w:pPr>
        <w:ind w:firstLine="576"/>
        <w:rPr>
          <w:szCs w:val="24"/>
        </w:rPr>
      </w:pPr>
      <w:r>
        <w:rPr>
          <w:szCs w:val="24"/>
        </w:rPr>
        <w:t xml:space="preserve">In summary, </w:t>
      </w:r>
      <w:r>
        <w:t xml:space="preserve">the current study contributes to safety literature both methodologically and empirically by proposing a joint econometric approach for examining the count events as well as the severity outcome for different </w:t>
      </w:r>
      <w:r w:rsidR="002379B7">
        <w:t>crash</w:t>
      </w:r>
      <w:r>
        <w:t xml:space="preserve"> types. </w:t>
      </w:r>
      <w:r w:rsidRPr="00B574A5">
        <w:rPr>
          <w:szCs w:val="24"/>
          <w:u w:val="single"/>
        </w:rPr>
        <w:t>Methodologically</w:t>
      </w:r>
      <w:r>
        <w:t xml:space="preserve">, </w:t>
      </w:r>
      <w:r w:rsidR="00542048">
        <w:t xml:space="preserve">we build an integrated framework that embeds the fractional split model structure within the recasting framework to develop a joint model with high dimensionality. To be specific, </w:t>
      </w:r>
      <w:r>
        <w:t xml:space="preserve">we employ a </w:t>
      </w:r>
      <w:r w:rsidR="002B6625">
        <w:t xml:space="preserve">Joint </w:t>
      </w:r>
      <w:r>
        <w:rPr>
          <w:szCs w:val="24"/>
        </w:rPr>
        <w:t xml:space="preserve">Panel mixed Negative Binomial- Generalized Ordered </w:t>
      </w:r>
      <w:proofErr w:type="spellStart"/>
      <w:r>
        <w:rPr>
          <w:szCs w:val="24"/>
        </w:rPr>
        <w:t>Probit</w:t>
      </w:r>
      <w:proofErr w:type="spellEnd"/>
      <w:r>
        <w:rPr>
          <w:szCs w:val="24"/>
        </w:rPr>
        <w:t xml:space="preserve"> Fractional Spilt (PM</w:t>
      </w:r>
      <w:r w:rsidR="002A586D">
        <w:rPr>
          <w:szCs w:val="24"/>
        </w:rPr>
        <w:t>-</w:t>
      </w:r>
      <w:r>
        <w:rPr>
          <w:szCs w:val="24"/>
        </w:rPr>
        <w:t xml:space="preserve">NB-GOPFS) model where the first component (NB) will accommodate for crash frequency by </w:t>
      </w:r>
      <w:r w:rsidR="002379B7">
        <w:rPr>
          <w:szCs w:val="24"/>
        </w:rPr>
        <w:t>crash</w:t>
      </w:r>
      <w:r>
        <w:rPr>
          <w:szCs w:val="24"/>
        </w:rPr>
        <w:t xml:space="preserve"> type and the </w:t>
      </w:r>
      <w:r w:rsidR="00DB1063">
        <w:rPr>
          <w:szCs w:val="24"/>
        </w:rPr>
        <w:t xml:space="preserve">second </w:t>
      </w:r>
      <w:r>
        <w:rPr>
          <w:szCs w:val="24"/>
        </w:rPr>
        <w:t xml:space="preserve">component (GOPFS) will study the fraction of severity outcome for different </w:t>
      </w:r>
      <w:r w:rsidR="002379B7">
        <w:rPr>
          <w:szCs w:val="24"/>
        </w:rPr>
        <w:t>crash</w:t>
      </w:r>
      <w:r>
        <w:rPr>
          <w:szCs w:val="24"/>
        </w:rPr>
        <w:t xml:space="preserve"> types. </w:t>
      </w:r>
      <w:r w:rsidR="00024741">
        <w:t xml:space="preserve"> </w:t>
      </w:r>
      <w:r w:rsidR="00BB3C13" w:rsidDel="000359E7">
        <w:rPr>
          <w:szCs w:val="24"/>
        </w:rPr>
        <w:t xml:space="preserve"> </w:t>
      </w:r>
      <w:r w:rsidRPr="00B030BC">
        <w:rPr>
          <w:szCs w:val="24"/>
          <w:u w:val="single"/>
        </w:rPr>
        <w:t>Empirically</w:t>
      </w:r>
      <w:r>
        <w:rPr>
          <w:szCs w:val="24"/>
        </w:rPr>
        <w:t xml:space="preserve">, the proposed approach allows for flexible consideration of crashes by </w:t>
      </w:r>
      <w:r w:rsidR="00B70CFA">
        <w:rPr>
          <w:szCs w:val="24"/>
        </w:rPr>
        <w:t xml:space="preserve">crash </w:t>
      </w:r>
      <w:r>
        <w:rPr>
          <w:szCs w:val="24"/>
        </w:rPr>
        <w:t>type</w:t>
      </w:r>
      <w:r w:rsidR="00B70CFA">
        <w:rPr>
          <w:szCs w:val="24"/>
        </w:rPr>
        <w:t>s</w:t>
      </w:r>
      <w:r>
        <w:rPr>
          <w:szCs w:val="24"/>
        </w:rPr>
        <w:t xml:space="preserve"> and severity</w:t>
      </w:r>
      <w:r w:rsidR="00B70CFA">
        <w:rPr>
          <w:szCs w:val="24"/>
        </w:rPr>
        <w:t xml:space="preserve"> levels</w:t>
      </w:r>
      <w:r>
        <w:rPr>
          <w:szCs w:val="24"/>
        </w:rPr>
        <w:t xml:space="preserve"> within a single framework. Further, </w:t>
      </w:r>
      <w:r>
        <w:t xml:space="preserve">the proposed model results offer insights on important variables affecting crash frequency and severity for different </w:t>
      </w:r>
      <w:r w:rsidR="002379B7">
        <w:t>crash</w:t>
      </w:r>
      <w:r>
        <w:t xml:space="preserve"> types</w:t>
      </w:r>
      <w:r w:rsidR="00044BD6">
        <w:t xml:space="preserve"> at a zonal (macro) level</w:t>
      </w:r>
      <w:r>
        <w:t>.</w:t>
      </w:r>
    </w:p>
    <w:p w14:paraId="71BA2359" w14:textId="5FCBEEF7" w:rsidR="00006FCC" w:rsidRDefault="00006FCC" w:rsidP="00006FCC">
      <w:pPr>
        <w:ind w:firstLine="720"/>
        <w:rPr>
          <w:szCs w:val="24"/>
        </w:rPr>
      </w:pPr>
      <w:r w:rsidRPr="00E3619F">
        <w:rPr>
          <w:szCs w:val="24"/>
        </w:rPr>
        <w:t xml:space="preserve">The rest of the paper is organized as follows: </w:t>
      </w:r>
      <w:r>
        <w:rPr>
          <w:szCs w:val="24"/>
        </w:rPr>
        <w:t>The next section</w:t>
      </w:r>
      <w:r w:rsidRPr="00E3619F">
        <w:rPr>
          <w:szCs w:val="24"/>
        </w:rPr>
        <w:t xml:space="preserve"> </w:t>
      </w:r>
      <w:r>
        <w:rPr>
          <w:szCs w:val="24"/>
        </w:rPr>
        <w:t xml:space="preserve">presents the methodological framework adopted in the analysis </w:t>
      </w:r>
      <w:r w:rsidR="002A7C56">
        <w:rPr>
          <w:szCs w:val="24"/>
        </w:rPr>
        <w:t>and presents a simulation exercise to illustrate the strengths of the proposed model. T</w:t>
      </w:r>
      <w:r>
        <w:rPr>
          <w:szCs w:val="24"/>
        </w:rPr>
        <w:t xml:space="preserve">he third section provides a detailed description of the dataset. Model findings are discussed in the fourth section followed by the </w:t>
      </w:r>
      <w:r w:rsidR="005711BC">
        <w:rPr>
          <w:szCs w:val="24"/>
        </w:rPr>
        <w:t xml:space="preserve">prediction performance </w:t>
      </w:r>
      <w:r w:rsidR="008B07BD">
        <w:rPr>
          <w:szCs w:val="24"/>
        </w:rPr>
        <w:t xml:space="preserve">evaluation of the of the </w:t>
      </w:r>
      <w:r w:rsidR="00070DB2">
        <w:rPr>
          <w:szCs w:val="24"/>
        </w:rPr>
        <w:t xml:space="preserve">proposed </w:t>
      </w:r>
      <w:r w:rsidR="008B07BD">
        <w:rPr>
          <w:szCs w:val="24"/>
        </w:rPr>
        <w:t xml:space="preserve">model in section five. Finally, the </w:t>
      </w:r>
      <w:r>
        <w:rPr>
          <w:szCs w:val="24"/>
        </w:rPr>
        <w:t xml:space="preserve">concluding </w:t>
      </w:r>
      <w:r w:rsidR="004C28B3">
        <w:rPr>
          <w:szCs w:val="24"/>
        </w:rPr>
        <w:t xml:space="preserve">remarks </w:t>
      </w:r>
      <w:r w:rsidR="008B07BD">
        <w:rPr>
          <w:szCs w:val="24"/>
        </w:rPr>
        <w:t xml:space="preserve">are summarized in </w:t>
      </w:r>
      <w:r>
        <w:rPr>
          <w:szCs w:val="24"/>
        </w:rPr>
        <w:t>the last section.</w:t>
      </w:r>
    </w:p>
    <w:p w14:paraId="550002CE" w14:textId="77777777" w:rsidR="008A6788" w:rsidRDefault="008A6788" w:rsidP="00006FCC">
      <w:pPr>
        <w:ind w:firstLine="720"/>
        <w:rPr>
          <w:szCs w:val="24"/>
        </w:rPr>
      </w:pPr>
    </w:p>
    <w:p w14:paraId="2DBD0FC8" w14:textId="2E5A7510" w:rsidR="00863342" w:rsidRDefault="00863342" w:rsidP="00863342">
      <w:pPr>
        <w:pStyle w:val="Heading1"/>
        <w:ind w:left="431" w:hanging="431"/>
      </w:pPr>
      <w:r>
        <w:t>METHODOLOGY</w:t>
      </w:r>
    </w:p>
    <w:p w14:paraId="53B3C152" w14:textId="5926DCDB" w:rsidR="00863342" w:rsidRDefault="00863342" w:rsidP="00863342">
      <w:pPr>
        <w:rPr>
          <w:rFonts w:eastAsia="Times New Roman" w:cs="Times New Roman"/>
          <w:szCs w:val="24"/>
        </w:rPr>
      </w:pPr>
      <w:r>
        <w:t xml:space="preserve">In this section, we provide details of the </w:t>
      </w:r>
      <w:r w:rsidR="00BF47C9">
        <w:rPr>
          <w:szCs w:val="24"/>
        </w:rPr>
        <w:t>Panel mixed Negative Binomial</w:t>
      </w:r>
      <w:r w:rsidR="00101EE4">
        <w:rPr>
          <w:szCs w:val="24"/>
        </w:rPr>
        <w:t xml:space="preserve"> </w:t>
      </w:r>
      <w:r w:rsidR="00BF47C9">
        <w:rPr>
          <w:szCs w:val="24"/>
        </w:rPr>
        <w:t xml:space="preserve">- Generalized Ordered </w:t>
      </w:r>
      <w:proofErr w:type="spellStart"/>
      <w:r w:rsidR="00BF47C9">
        <w:rPr>
          <w:szCs w:val="24"/>
        </w:rPr>
        <w:t>Probit</w:t>
      </w:r>
      <w:proofErr w:type="spellEnd"/>
      <w:r w:rsidR="00BF47C9">
        <w:rPr>
          <w:szCs w:val="24"/>
        </w:rPr>
        <w:t xml:space="preserve"> Fractional Spilt (PMNB-GOPFS) model </w:t>
      </w:r>
      <w:r>
        <w:t>employed in our study</w:t>
      </w:r>
      <w:r w:rsidR="00EC24CA">
        <w:t>.</w:t>
      </w:r>
    </w:p>
    <w:p w14:paraId="320C395C" w14:textId="6244E736" w:rsidR="00863342" w:rsidRDefault="00863342" w:rsidP="00863342"/>
    <w:p w14:paraId="7B6BA8D2" w14:textId="340CF08F" w:rsidR="00B04307" w:rsidRDefault="00805D22" w:rsidP="00B04307">
      <w:pPr>
        <w:pStyle w:val="Heading2"/>
        <w:ind w:left="578" w:hanging="578"/>
      </w:pPr>
      <w:r>
        <w:t xml:space="preserve">Count </w:t>
      </w:r>
      <w:r w:rsidR="00B04307">
        <w:t>Model Structure</w:t>
      </w:r>
    </w:p>
    <w:p w14:paraId="460489EE" w14:textId="0C28D42B" w:rsidR="008029E7" w:rsidRDefault="008029E7" w:rsidP="008029E7">
      <w:r w:rsidRPr="0080753D">
        <w:rPr>
          <w:color w:val="000000" w:themeColor="text1"/>
        </w:rPr>
        <w:t>The focus of our study is t</w:t>
      </w:r>
      <w:r>
        <w:rPr>
          <w:color w:val="000000" w:themeColor="text1"/>
        </w:rPr>
        <w:t xml:space="preserve">o </w:t>
      </w:r>
      <w:r w:rsidR="00BF47C9">
        <w:rPr>
          <w:color w:val="000000" w:themeColor="text1"/>
        </w:rPr>
        <w:t xml:space="preserve">recast the multivariate NB count model as </w:t>
      </w:r>
      <w:r>
        <w:rPr>
          <w:color w:val="000000" w:themeColor="text1"/>
        </w:rPr>
        <w:t>a panel mixed univariate</w:t>
      </w:r>
      <w:r w:rsidRPr="0080753D">
        <w:rPr>
          <w:color w:val="000000" w:themeColor="text1"/>
        </w:rPr>
        <w:t xml:space="preserve"> NB modeling framework</w:t>
      </w:r>
      <w:r>
        <w:rPr>
          <w:color w:val="000000" w:themeColor="text1"/>
        </w:rPr>
        <w:t xml:space="preserve">. </w:t>
      </w:r>
      <w:r w:rsidR="00E80AA5">
        <w:rPr>
          <w:color w:val="000000" w:themeColor="text1"/>
        </w:rPr>
        <w:t>For this purpose</w:t>
      </w:r>
      <w:r>
        <w:rPr>
          <w:color w:val="000000" w:themeColor="text1"/>
        </w:rPr>
        <w:t xml:space="preserve">, we </w:t>
      </w:r>
      <w:r w:rsidR="00E80AA5">
        <w:rPr>
          <w:color w:val="000000" w:themeColor="text1"/>
        </w:rPr>
        <w:t xml:space="preserve">consider </w:t>
      </w:r>
      <w:r>
        <w:rPr>
          <w:color w:val="000000" w:themeColor="text1"/>
        </w:rPr>
        <w:t xml:space="preserve">the six types of crashes as repeated measures (same TAZ is repeated 6 times) of crash frequency in a univariate NB formulation while </w:t>
      </w:r>
      <w:r>
        <w:t>recognizing that each repetition represents a different crash type. The econometric framework of the proposed approach is presented in this section. Let’s assume</w:t>
      </w:r>
      <m:oMath>
        <m:r>
          <w:rPr>
            <w:rFonts w:ascii="Cambria Math" w:eastAsia="Times New Roman" w:hAnsi="Cambria Math" w:cs="Times New Roman"/>
            <w:szCs w:val="24"/>
          </w:rPr>
          <m:t xml:space="preserve"> i (i=1,2,3,…,N; N=3,815)</m:t>
        </m:r>
      </m:oMath>
      <w:r>
        <w:t xml:space="preserve"> be an index to represent observation unit</w:t>
      </w:r>
      <w:r w:rsidR="003727C4">
        <w:t xml:space="preserve"> (TAZs)</w:t>
      </w:r>
      <w:r>
        <w:t xml:space="preserve"> and </w:t>
      </w:r>
      <m:oMath>
        <m:r>
          <w:rPr>
            <w:rFonts w:ascii="Cambria Math" w:eastAsia="Times New Roman" w:hAnsi="Cambria Math" w:cs="Times New Roman"/>
            <w:szCs w:val="24"/>
          </w:rPr>
          <m:t xml:space="preserve">r </m:t>
        </m:r>
        <m:d>
          <m:dPr>
            <m:ctrlPr>
              <w:rPr>
                <w:rFonts w:ascii="Cambria Math" w:eastAsia="Times New Roman" w:hAnsi="Cambria Math" w:cs="Times New Roman"/>
                <w:i/>
                <w:szCs w:val="24"/>
              </w:rPr>
            </m:ctrlPr>
          </m:dPr>
          <m:e>
            <m:r>
              <w:rPr>
                <w:rFonts w:ascii="Cambria Math" w:eastAsia="Times New Roman" w:hAnsi="Cambria Math" w:cs="Times New Roman"/>
                <w:szCs w:val="24"/>
              </w:rPr>
              <m:t>r=1,2,…,R; R=</m:t>
            </m:r>
            <m:r>
              <w:rPr>
                <w:rFonts w:ascii="Cambria Math" w:hAnsi="Cambria Math"/>
              </w:rPr>
              <m:t>6</m:t>
            </m:r>
          </m:e>
        </m:d>
      </m:oMath>
      <w:r>
        <w:rPr>
          <w:rFonts w:eastAsiaTheme="minorEastAsia"/>
          <w:szCs w:val="24"/>
        </w:rPr>
        <w:t xml:space="preserve"> </w:t>
      </w:r>
      <w:r>
        <w:t xml:space="preserve">be an index for different </w:t>
      </w:r>
      <w:r>
        <w:rPr>
          <w:rFonts w:eastAsiaTheme="minorEastAsia"/>
        </w:rPr>
        <w:t xml:space="preserve">crash type </w:t>
      </w:r>
      <w:r w:rsidR="00A34529">
        <w:rPr>
          <w:rFonts w:eastAsiaTheme="minorEastAsia"/>
          <w:szCs w:val="24"/>
        </w:rPr>
        <w:t xml:space="preserve">and </w:t>
      </w:r>
      <m:oMath>
        <m:r>
          <w:rPr>
            <w:rFonts w:ascii="Cambria Math" w:eastAsia="Times New Roman" w:hAnsi="Cambria Math" w:cs="Times New Roman"/>
            <w:szCs w:val="24"/>
            <w:lang w:val="en-US"/>
          </w:rPr>
          <m:t>k</m:t>
        </m:r>
      </m:oMath>
      <w:r w:rsidR="00A34529" w:rsidRPr="006514CA">
        <w:rPr>
          <w:rFonts w:eastAsia="Times New Roman" w:cs="Times New Roman"/>
          <w:szCs w:val="24"/>
          <w:lang w:val="en-US"/>
        </w:rPr>
        <w:t xml:space="preserve"> </w:t>
      </w:r>
      <m:oMath>
        <m:r>
          <w:rPr>
            <w:rFonts w:ascii="Cambria Math" w:eastAsia="Times New Roman" w:hAnsi="Cambria Math" w:cs="Times New Roman"/>
            <w:szCs w:val="24"/>
            <w:lang w:val="en-US"/>
          </w:rPr>
          <m:t>(k=1,2,3,…,K;K=4)</m:t>
        </m:r>
      </m:oMath>
      <w:r w:rsidR="00A34529">
        <w:rPr>
          <w:rFonts w:eastAsia="Times New Roman" w:cs="Times New Roman"/>
          <w:szCs w:val="24"/>
          <w:lang w:val="en-US"/>
        </w:rPr>
        <w:t xml:space="preserve"> be the index to represent injury severity categories</w:t>
      </w:r>
      <w:r w:rsidR="00980BB7">
        <w:rPr>
          <w:rFonts w:eastAsia="Times New Roman" w:cs="Times New Roman"/>
          <w:szCs w:val="24"/>
          <w:lang w:val="en-US"/>
        </w:rPr>
        <w:t xml:space="preserve"> </w:t>
      </w:r>
      <w:r w:rsidR="00980BB7">
        <w:t xml:space="preserve">at observation unit </w:t>
      </w:r>
      <m:oMath>
        <m:r>
          <w:rPr>
            <w:rFonts w:ascii="Cambria Math" w:eastAsia="Times New Roman" w:hAnsi="Cambria Math" w:cs="Times New Roman"/>
            <w:szCs w:val="24"/>
          </w:rPr>
          <m:t>i</m:t>
        </m:r>
      </m:oMath>
      <w:r>
        <w:t>. Then the probability equation of the NB formulation can be rewritten as follow:</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6"/>
        <w:gridCol w:w="1215"/>
      </w:tblGrid>
      <w:tr w:rsidR="008029E7" w:rsidRPr="0010387C" w14:paraId="3AA30978" w14:textId="77777777" w:rsidTr="007B6C5C">
        <w:tc>
          <w:tcPr>
            <w:tcW w:w="4349" w:type="pct"/>
            <w:vAlign w:val="center"/>
          </w:tcPr>
          <w:p w14:paraId="372C40FC" w14:textId="3D697929" w:rsidR="008029E7" w:rsidRPr="00540B21" w:rsidRDefault="008029E7" w:rsidP="007B6C5C">
            <w:pPr>
              <w:rPr>
                <w:color w:val="000000" w:themeColor="text1"/>
              </w:rPr>
            </w:pPr>
            <m:oMathPara>
              <m:oMathParaPr>
                <m:jc m:val="left"/>
              </m:oMathParaPr>
              <m:oMath>
                <m:r>
                  <w:rPr>
                    <w:rFonts w:ascii="Cambria Math" w:eastAsia="Calibri" w:hAnsi="Cambria Math" w:cs="Times New Roman"/>
                    <w:szCs w:val="24"/>
                    <w:lang w:val="en-US"/>
                  </w:rPr>
                  <m:t>P</m:t>
                </m:r>
                <m:d>
                  <m:dPr>
                    <m:ctrlPr>
                      <w:rPr>
                        <w:rFonts w:ascii="Cambria Math" w:eastAsia="Calibri" w:hAnsi="Cambria Math" w:cs="Times New Roman"/>
                        <w:i/>
                        <w:szCs w:val="24"/>
                        <w:lang w:val="en-US"/>
                      </w:rPr>
                    </m:ctrlPr>
                  </m:d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c</m:t>
                        </m:r>
                      </m:e>
                      <m:sub>
                        <m:r>
                          <w:rPr>
                            <w:rFonts w:ascii="Cambria Math" w:eastAsia="Times New Roman" w:hAnsi="Cambria Math" w:cs="Times New Roman"/>
                            <w:szCs w:val="24"/>
                            <w:lang w:val="en-US"/>
                          </w:rPr>
                          <m:t>ir</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 xml:space="preserve">ir </m:t>
                        </m:r>
                      </m:sub>
                    </m:sSub>
                    <m:r>
                      <w:rPr>
                        <w:rFonts w:ascii="Cambria Math" w:eastAsia="Times New Roman" w:hAnsi="Cambria Math"/>
                      </w:rPr>
                      <m:t>,λ'</m:t>
                    </m:r>
                  </m:e>
                </m:d>
                <m:r>
                  <w:rPr>
                    <w:rFonts w:ascii="Cambria Math" w:eastAsia="Calibri" w:hAnsi="Cambria Math" w:cs="Times New Roman"/>
                    <w:szCs w:val="24"/>
                    <w:lang w:val="en-US"/>
                  </w:rPr>
                  <m:t xml:space="preserve">= </m:t>
                </m:r>
                <m:f>
                  <m:fPr>
                    <m:ctrlPr>
                      <w:rPr>
                        <w:rFonts w:ascii="Cambria Math" w:eastAsia="Calibri" w:hAnsi="Cambria Math" w:cs="Times New Roman"/>
                        <w:i/>
                        <w:szCs w:val="24"/>
                        <w:lang w:val="en-US"/>
                      </w:rPr>
                    </m:ctrlPr>
                  </m:fPr>
                  <m:num>
                    <m:r>
                      <m:rPr>
                        <m:sty m:val="p"/>
                      </m:rPr>
                      <w:rPr>
                        <w:rFonts w:ascii="Cambria Math" w:eastAsia="Calibri" w:hAnsi="Cambria Math" w:cs="Times New Roman"/>
                        <w:szCs w:val="24"/>
                        <w:lang w:val="en-US"/>
                      </w:rPr>
                      <m:t>Γ</m:t>
                    </m:r>
                    <m:d>
                      <m:dPr>
                        <m:ctrlPr>
                          <w:rPr>
                            <w:rFonts w:ascii="Cambria Math" w:eastAsia="Calibri" w:hAnsi="Cambria Math" w:cs="Times New Roman"/>
                            <w:i/>
                            <w:szCs w:val="24"/>
                            <w:lang w:val="en-US"/>
                          </w:rPr>
                        </m:ctrlPr>
                      </m:d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c</m:t>
                            </m:r>
                          </m:e>
                          <m:sub>
                            <m:r>
                              <w:rPr>
                                <w:rFonts w:ascii="Cambria Math" w:eastAsia="Times New Roman" w:hAnsi="Cambria Math" w:cs="Times New Roman"/>
                                <w:szCs w:val="24"/>
                                <w:lang w:val="en-US"/>
                              </w:rPr>
                              <m:t>ir</m:t>
                            </m:r>
                          </m:sub>
                        </m:sSub>
                        <m:r>
                          <w:rPr>
                            <w:rFonts w:ascii="Cambria Math" w:eastAsia="Calibri" w:hAnsi="Cambria Math" w:cs="Times New Roman"/>
                            <w:szCs w:val="24"/>
                            <w:lang w:val="en-US"/>
                          </w:rPr>
                          <m:t>+</m:t>
                        </m:r>
                        <m:f>
                          <m:fPr>
                            <m:ctrlPr>
                              <w:rPr>
                                <w:rFonts w:ascii="Cambria Math" w:eastAsia="Calibri" w:hAnsi="Cambria Math" w:cs="Times New Roman"/>
                                <w:i/>
                                <w:szCs w:val="24"/>
                                <w:lang w:val="en-US"/>
                              </w:rPr>
                            </m:ctrlPr>
                          </m:fPr>
                          <m:num>
                            <m:r>
                              <w:rPr>
                                <w:rFonts w:ascii="Cambria Math" w:eastAsia="Calibri" w:hAnsi="Cambria Math" w:cs="Times New Roman"/>
                                <w:szCs w:val="24"/>
                                <w:lang w:val="en-US"/>
                              </w:rPr>
                              <m:t>1</m:t>
                            </m:r>
                          </m:num>
                          <m:den>
                            <m:r>
                              <w:rPr>
                                <w:rFonts w:ascii="Cambria Math" w:eastAsia="Times New Roman" w:hAnsi="Cambria Math"/>
                              </w:rPr>
                              <m:t>λ'</m:t>
                            </m:r>
                          </m:den>
                        </m:f>
                      </m:e>
                    </m:d>
                  </m:num>
                  <m:den>
                    <m:r>
                      <m:rPr>
                        <m:sty m:val="p"/>
                      </m:rPr>
                      <w:rPr>
                        <w:rFonts w:ascii="Cambria Math" w:eastAsia="Calibri" w:hAnsi="Cambria Math" w:cs="Times New Roman"/>
                        <w:szCs w:val="24"/>
                        <w:lang w:val="en-US"/>
                      </w:rPr>
                      <m:t>Γ</m:t>
                    </m:r>
                    <m:d>
                      <m:dPr>
                        <m:ctrlPr>
                          <w:rPr>
                            <w:rFonts w:ascii="Cambria Math" w:eastAsia="Calibri" w:hAnsi="Cambria Math" w:cs="Times New Roman"/>
                            <w:szCs w:val="24"/>
                            <w:lang w:val="en-US"/>
                          </w:rPr>
                        </m:ctrlPr>
                      </m:d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c</m:t>
                            </m:r>
                          </m:e>
                          <m:sub>
                            <m:r>
                              <w:rPr>
                                <w:rFonts w:ascii="Cambria Math" w:eastAsia="Times New Roman" w:hAnsi="Cambria Math" w:cs="Times New Roman"/>
                                <w:szCs w:val="24"/>
                                <w:lang w:val="en-US"/>
                              </w:rPr>
                              <m:t>ir</m:t>
                            </m:r>
                          </m:sub>
                        </m:sSub>
                        <m:r>
                          <w:rPr>
                            <w:rFonts w:ascii="Cambria Math" w:eastAsia="Calibri" w:hAnsi="Cambria Math" w:cs="Times New Roman"/>
                            <w:szCs w:val="24"/>
                            <w:lang w:val="en-US"/>
                          </w:rPr>
                          <m:t>+1</m:t>
                        </m:r>
                      </m:e>
                    </m:d>
                    <m:r>
                      <m:rPr>
                        <m:sty m:val="p"/>
                      </m:rPr>
                      <w:rPr>
                        <w:rFonts w:ascii="Cambria Math" w:eastAsia="Calibri" w:hAnsi="Cambria Math" w:cs="Times New Roman"/>
                        <w:szCs w:val="24"/>
                        <w:lang w:val="en-US"/>
                      </w:rPr>
                      <m:t>Γ</m:t>
                    </m:r>
                    <m:d>
                      <m:dPr>
                        <m:ctrlPr>
                          <w:rPr>
                            <w:rFonts w:ascii="Cambria Math" w:eastAsia="Calibri" w:hAnsi="Cambria Math" w:cs="Times New Roman"/>
                            <w:szCs w:val="24"/>
                            <w:lang w:val="en-US"/>
                          </w:rPr>
                        </m:ctrlPr>
                      </m:dPr>
                      <m:e>
                        <m:f>
                          <m:fPr>
                            <m:ctrlPr>
                              <w:rPr>
                                <w:rFonts w:ascii="Cambria Math" w:eastAsia="Calibri" w:hAnsi="Cambria Math" w:cs="Times New Roman"/>
                                <w:i/>
                                <w:szCs w:val="24"/>
                                <w:lang w:val="en-US"/>
                              </w:rPr>
                            </m:ctrlPr>
                          </m:fPr>
                          <m:num>
                            <m:r>
                              <w:rPr>
                                <w:rFonts w:ascii="Cambria Math" w:eastAsia="Calibri" w:hAnsi="Cambria Math" w:cs="Times New Roman"/>
                                <w:szCs w:val="24"/>
                                <w:lang w:val="en-US"/>
                              </w:rPr>
                              <m:t>1</m:t>
                            </m:r>
                          </m:num>
                          <m:den>
                            <m:r>
                              <w:rPr>
                                <w:rFonts w:ascii="Cambria Math" w:eastAsia="Times New Roman" w:hAnsi="Cambria Math"/>
                              </w:rPr>
                              <m:t>λ'</m:t>
                            </m:r>
                          </m:den>
                        </m:f>
                      </m:e>
                    </m:d>
                  </m:den>
                </m:f>
                <m:sSup>
                  <m:sSupPr>
                    <m:ctrlPr>
                      <w:rPr>
                        <w:rFonts w:ascii="Cambria Math" w:eastAsia="Calibri" w:hAnsi="Cambria Math" w:cs="Times New Roman"/>
                        <w:i/>
                        <w:szCs w:val="24"/>
                        <w:lang w:val="en-US"/>
                      </w:rPr>
                    </m:ctrlPr>
                  </m:sSupPr>
                  <m:e>
                    <m:d>
                      <m:dPr>
                        <m:ctrlPr>
                          <w:rPr>
                            <w:rFonts w:ascii="Cambria Math" w:eastAsia="Calibri" w:hAnsi="Cambria Math" w:cs="Times New Roman"/>
                            <w:i/>
                            <w:szCs w:val="24"/>
                            <w:lang w:val="en-US"/>
                          </w:rPr>
                        </m:ctrlPr>
                      </m:dPr>
                      <m:e>
                        <m:f>
                          <m:fPr>
                            <m:ctrlPr>
                              <w:rPr>
                                <w:rFonts w:ascii="Cambria Math" w:eastAsia="Calibri" w:hAnsi="Cambria Math" w:cs="Times New Roman"/>
                                <w:i/>
                                <w:szCs w:val="24"/>
                                <w:lang w:val="en-US"/>
                              </w:rPr>
                            </m:ctrlPr>
                          </m:fPr>
                          <m:num>
                            <m:r>
                              <w:rPr>
                                <w:rFonts w:ascii="Cambria Math" w:eastAsia="Calibri" w:hAnsi="Cambria Math" w:cs="Times New Roman"/>
                                <w:szCs w:val="24"/>
                                <w:lang w:val="en-US"/>
                              </w:rPr>
                              <m:t>1</m:t>
                            </m:r>
                          </m:num>
                          <m:den>
                            <m:r>
                              <w:rPr>
                                <w:rFonts w:ascii="Cambria Math" w:eastAsia="Calibri" w:hAnsi="Cambria Math" w:cs="Times New Roman"/>
                                <w:szCs w:val="24"/>
                                <w:lang w:val="en-US"/>
                              </w:rPr>
                              <m:t>1+</m:t>
                            </m:r>
                            <m:r>
                              <w:rPr>
                                <w:rFonts w:ascii="Cambria Math" w:eastAsia="Times New Roman" w:hAnsi="Cambria Math"/>
                              </w:rPr>
                              <m:t>λ'</m:t>
                            </m:r>
                            <m:sSub>
                              <m:sSubPr>
                                <m:ctrlPr>
                                  <w:rPr>
                                    <w:rFonts w:ascii="Cambria Math" w:eastAsia="Calibri" w:hAnsi="Cambria Math" w:cs="Times New Roman"/>
                                    <w:i/>
                                    <w:szCs w:val="24"/>
                                    <w:lang w:val="en-US"/>
                                  </w:rPr>
                                </m:ctrlPr>
                              </m:sSubPr>
                              <m:e>
                                <m:r>
                                  <w:rPr>
                                    <w:rFonts w:ascii="Cambria Math" w:eastAsia="Calibri" w:hAnsi="Cambria Math" w:cs="Times New Roman"/>
                                    <w:szCs w:val="24"/>
                                    <w:lang w:val="en-US"/>
                                  </w:rPr>
                                  <m:t>v</m:t>
                                </m:r>
                              </m:e>
                              <m:sub>
                                <m:r>
                                  <w:rPr>
                                    <w:rFonts w:ascii="Cambria Math" w:eastAsia="Calibri" w:hAnsi="Cambria Math" w:cs="Times New Roman"/>
                                    <w:szCs w:val="24"/>
                                    <w:lang w:val="en-US"/>
                                  </w:rPr>
                                  <m:t>ir</m:t>
                                </m:r>
                              </m:sub>
                            </m:sSub>
                          </m:den>
                        </m:f>
                      </m:e>
                    </m:d>
                  </m:e>
                  <m:sup>
                    <m:f>
                      <m:fPr>
                        <m:ctrlPr>
                          <w:rPr>
                            <w:rFonts w:ascii="Cambria Math" w:eastAsia="Calibri" w:hAnsi="Cambria Math" w:cs="Times New Roman"/>
                            <w:i/>
                            <w:szCs w:val="24"/>
                            <w:lang w:val="en-US"/>
                          </w:rPr>
                        </m:ctrlPr>
                      </m:fPr>
                      <m:num>
                        <m:r>
                          <w:rPr>
                            <w:rFonts w:ascii="Cambria Math" w:eastAsia="Calibri" w:hAnsi="Cambria Math" w:cs="Times New Roman"/>
                            <w:szCs w:val="24"/>
                            <w:lang w:val="en-US"/>
                          </w:rPr>
                          <m:t>1</m:t>
                        </m:r>
                      </m:num>
                      <m:den>
                        <m:r>
                          <w:rPr>
                            <w:rFonts w:ascii="Cambria Math" w:eastAsia="Times New Roman" w:hAnsi="Cambria Math"/>
                          </w:rPr>
                          <m:t>λ'</m:t>
                        </m:r>
                      </m:den>
                    </m:f>
                  </m:sup>
                </m:sSup>
                <m:sSup>
                  <m:sSupPr>
                    <m:ctrlPr>
                      <w:rPr>
                        <w:rFonts w:ascii="Cambria Math" w:eastAsia="Calibri" w:hAnsi="Cambria Math" w:cs="Times New Roman"/>
                        <w:i/>
                        <w:szCs w:val="24"/>
                        <w:lang w:val="en-US"/>
                      </w:rPr>
                    </m:ctrlPr>
                  </m:sSupPr>
                  <m:e>
                    <m:d>
                      <m:dPr>
                        <m:ctrlPr>
                          <w:rPr>
                            <w:rFonts w:ascii="Cambria Math" w:eastAsia="Calibri" w:hAnsi="Cambria Math" w:cs="Times New Roman"/>
                            <w:i/>
                            <w:szCs w:val="24"/>
                            <w:lang w:val="en-US"/>
                          </w:rPr>
                        </m:ctrlPr>
                      </m:dPr>
                      <m:e>
                        <m:r>
                          <w:rPr>
                            <w:rFonts w:ascii="Cambria Math" w:eastAsia="Calibri" w:hAnsi="Cambria Math" w:cs="Times New Roman"/>
                            <w:szCs w:val="24"/>
                            <w:lang w:val="en-US"/>
                          </w:rPr>
                          <m:t>1-</m:t>
                        </m:r>
                        <m:f>
                          <m:fPr>
                            <m:ctrlPr>
                              <w:rPr>
                                <w:rFonts w:ascii="Cambria Math" w:eastAsia="Calibri" w:hAnsi="Cambria Math" w:cs="Times New Roman"/>
                                <w:i/>
                                <w:szCs w:val="24"/>
                                <w:lang w:val="en-US"/>
                              </w:rPr>
                            </m:ctrlPr>
                          </m:fPr>
                          <m:num>
                            <m:r>
                              <w:rPr>
                                <w:rFonts w:ascii="Cambria Math" w:eastAsia="Calibri" w:hAnsi="Cambria Math" w:cs="Times New Roman"/>
                                <w:szCs w:val="24"/>
                                <w:lang w:val="en-US"/>
                              </w:rPr>
                              <m:t>1</m:t>
                            </m:r>
                          </m:num>
                          <m:den>
                            <m:r>
                              <w:rPr>
                                <w:rFonts w:ascii="Cambria Math" w:eastAsia="Calibri" w:hAnsi="Cambria Math" w:cs="Times New Roman"/>
                                <w:szCs w:val="24"/>
                                <w:lang w:val="en-US"/>
                              </w:rPr>
                              <m:t>1+</m:t>
                            </m:r>
                            <m:r>
                              <w:rPr>
                                <w:rFonts w:ascii="Cambria Math" w:eastAsia="Times New Roman" w:hAnsi="Cambria Math"/>
                              </w:rPr>
                              <m:t>λ'</m:t>
                            </m:r>
                            <m:sSub>
                              <m:sSubPr>
                                <m:ctrlPr>
                                  <w:rPr>
                                    <w:rFonts w:ascii="Cambria Math" w:eastAsia="Calibri" w:hAnsi="Cambria Math" w:cs="Times New Roman"/>
                                    <w:i/>
                                    <w:szCs w:val="24"/>
                                    <w:lang w:val="en-US"/>
                                  </w:rPr>
                                </m:ctrlPr>
                              </m:sSubPr>
                              <m:e>
                                <m:r>
                                  <w:rPr>
                                    <w:rFonts w:ascii="Cambria Math" w:eastAsia="Calibri" w:hAnsi="Cambria Math" w:cs="Times New Roman"/>
                                    <w:szCs w:val="24"/>
                                    <w:lang w:val="en-US"/>
                                  </w:rPr>
                                  <m:t>v</m:t>
                                </m:r>
                              </m:e>
                              <m:sub>
                                <m:r>
                                  <w:rPr>
                                    <w:rFonts w:ascii="Cambria Math" w:eastAsia="Calibri" w:hAnsi="Cambria Math" w:cs="Times New Roman"/>
                                    <w:szCs w:val="24"/>
                                    <w:lang w:val="en-US"/>
                                  </w:rPr>
                                  <m:t>ir</m:t>
                                </m:r>
                              </m:sub>
                            </m:sSub>
                          </m:den>
                        </m:f>
                      </m:e>
                    </m:d>
                  </m:e>
                  <m:sup>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c</m:t>
                        </m:r>
                      </m:e>
                      <m:sub>
                        <m:r>
                          <w:rPr>
                            <w:rFonts w:ascii="Cambria Math" w:eastAsia="Times New Roman" w:hAnsi="Cambria Math" w:cs="Times New Roman"/>
                            <w:szCs w:val="24"/>
                            <w:lang w:val="en-US"/>
                          </w:rPr>
                          <m:t>ir</m:t>
                        </m:r>
                      </m:sub>
                    </m:sSub>
                  </m:sup>
                </m:sSup>
              </m:oMath>
            </m:oMathPara>
          </w:p>
        </w:tc>
        <w:tc>
          <w:tcPr>
            <w:tcW w:w="651" w:type="pct"/>
            <w:vAlign w:val="center"/>
          </w:tcPr>
          <w:p w14:paraId="37C5CF00" w14:textId="77777777" w:rsidR="008029E7" w:rsidRPr="0010387C" w:rsidRDefault="008029E7" w:rsidP="007B6C5C">
            <w:pPr>
              <w:numPr>
                <w:ilvl w:val="0"/>
                <w:numId w:val="11"/>
              </w:numPr>
              <w:spacing w:before="360" w:after="360"/>
              <w:contextualSpacing/>
              <w:jc w:val="right"/>
              <w:rPr>
                <w:rFonts w:ascii="Calibri" w:eastAsia="Calibri" w:hAnsi="Calibri" w:cs="Times New Roman"/>
                <w:lang w:val="en-US"/>
              </w:rPr>
            </w:pPr>
          </w:p>
        </w:tc>
      </w:tr>
    </w:tbl>
    <w:p w14:paraId="1BAF0B99" w14:textId="4AC68ED5" w:rsidR="008029E7" w:rsidRDefault="008029E7" w:rsidP="008029E7">
      <w:pPr>
        <w:rPr>
          <w:rFonts w:eastAsia="Times New Roman" w:cs="Times New Roman"/>
          <w:szCs w:val="24"/>
          <w:lang w:val="en-US"/>
        </w:rPr>
      </w:pPr>
      <w:r>
        <w:rPr>
          <w:rFonts w:eastAsia="Times New Roman" w:cs="Times New Roman"/>
          <w:szCs w:val="24"/>
          <w:lang w:val="en-US"/>
        </w:rPr>
        <w:lastRenderedPageBreak/>
        <w:t xml:space="preserve">where, </w:t>
      </w:r>
      <m:oMath>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c</m:t>
            </m:r>
          </m:e>
          <m:sub>
            <m:r>
              <w:rPr>
                <w:rFonts w:ascii="Cambria Math" w:eastAsia="Times New Roman" w:hAnsi="Cambria Math" w:cs="Times New Roman"/>
                <w:szCs w:val="24"/>
                <w:lang w:val="en-US"/>
              </w:rPr>
              <m:t>ir</m:t>
            </m:r>
          </m:sub>
        </m:sSub>
      </m:oMath>
      <w:r>
        <w:rPr>
          <w:rFonts w:eastAsia="Times New Roman" w:cs="Times New Roman"/>
          <w:szCs w:val="24"/>
          <w:lang w:val="en-US"/>
        </w:rPr>
        <w:t xml:space="preserve"> be the index for crash counts occurring over </w:t>
      </w:r>
      <w:proofErr w:type="gramStart"/>
      <w:r>
        <w:rPr>
          <w:rFonts w:eastAsia="Times New Roman" w:cs="Times New Roman"/>
          <w:szCs w:val="24"/>
          <w:lang w:val="en-US"/>
        </w:rPr>
        <w:t>a period of time</w:t>
      </w:r>
      <w:proofErr w:type="gramEnd"/>
      <w:r>
        <w:rPr>
          <w:rFonts w:eastAsia="Times New Roman" w:cs="Times New Roman"/>
          <w:szCs w:val="24"/>
          <w:lang w:val="en-US"/>
        </w:rPr>
        <w:t xml:space="preserve"> in observation unit </w:t>
      </w:r>
      <m:oMath>
        <m:r>
          <w:rPr>
            <w:rFonts w:ascii="Cambria Math" w:eastAsia="Times New Roman" w:hAnsi="Cambria Math" w:cs="Times New Roman"/>
            <w:szCs w:val="24"/>
          </w:rPr>
          <m:t xml:space="preserve"> i</m:t>
        </m:r>
      </m:oMath>
      <w:r>
        <w:rPr>
          <w:rFonts w:eastAsia="Times New Roman" w:cs="Times New Roman"/>
          <w:szCs w:val="24"/>
          <w:lang w:val="en-US"/>
        </w:rPr>
        <w:t xml:space="preserve"> and crash type </w:t>
      </w:r>
      <m:oMath>
        <m:r>
          <w:rPr>
            <w:rFonts w:ascii="Cambria Math" w:eastAsia="Times New Roman" w:hAnsi="Cambria Math" w:cs="Times New Roman"/>
            <w:szCs w:val="24"/>
          </w:rPr>
          <m:t>r</m:t>
        </m:r>
      </m:oMath>
      <w:r>
        <w:rPr>
          <w:rFonts w:eastAsia="Times New Roman" w:cs="Times New Roman"/>
          <w:szCs w:val="24"/>
        </w:rPr>
        <w:t>.</w:t>
      </w:r>
      <w:r>
        <w:rPr>
          <w:rFonts w:eastAsia="Times New Roman" w:cs="Times New Roman"/>
          <w:szCs w:val="24"/>
          <w:lang w:val="en-US"/>
        </w:rPr>
        <w:t xml:space="preserve"> </w:t>
      </w:r>
      <m:oMath>
        <m:r>
          <w:rPr>
            <w:rFonts w:ascii="Cambria Math" w:eastAsia="Calibri" w:hAnsi="Cambria Math" w:cs="Times New Roman"/>
            <w:lang w:val="en-US"/>
          </w:rPr>
          <m:t>P</m:t>
        </m:r>
        <m:d>
          <m:dPr>
            <m:ctrlPr>
              <w:rPr>
                <w:rFonts w:ascii="Cambria Math" w:eastAsia="Calibri" w:hAnsi="Cambria Math" w:cs="Times New Roman"/>
                <w:i/>
                <w:lang w:val="en-US"/>
              </w:rPr>
            </m:ctrlPr>
          </m:d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c</m:t>
                </m:r>
              </m:e>
              <m:sub>
                <m:r>
                  <w:rPr>
                    <w:rFonts w:ascii="Cambria Math" w:eastAsia="Times New Roman" w:hAnsi="Cambria Math" w:cs="Times New Roman"/>
                    <w:szCs w:val="24"/>
                    <w:lang w:val="en-US"/>
                  </w:rPr>
                  <m:t>ir</m:t>
                </m:r>
              </m:sub>
            </m:sSub>
          </m:e>
        </m:d>
      </m:oMath>
      <w:r>
        <w:rPr>
          <w:rFonts w:eastAsia="Times New Roman" w:cs="Times New Roman"/>
          <w:lang w:val="en-US"/>
        </w:rPr>
        <w:t xml:space="preserve"> is the probability that unit </w:t>
      </w:r>
      <m:oMath>
        <m:r>
          <w:rPr>
            <w:rFonts w:ascii="Cambria Math" w:eastAsia="Times New Roman" w:hAnsi="Cambria Math" w:cs="Times New Roman"/>
            <w:lang w:val="en-US"/>
          </w:rPr>
          <m:t>i</m:t>
        </m:r>
      </m:oMath>
      <w:r>
        <w:rPr>
          <w:rFonts w:eastAsia="Times New Roman" w:cs="Times New Roman"/>
          <w:szCs w:val="24"/>
          <w:lang w:val="en-US"/>
        </w:rPr>
        <w:t xml:space="preserve"> has </w:t>
      </w:r>
      <m:oMath>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c</m:t>
            </m:r>
          </m:e>
          <m:sub>
            <m:r>
              <w:rPr>
                <w:rFonts w:ascii="Cambria Math" w:eastAsia="Times New Roman" w:hAnsi="Cambria Math" w:cs="Times New Roman"/>
                <w:szCs w:val="24"/>
                <w:lang w:val="en-US"/>
              </w:rPr>
              <m:t>ir</m:t>
            </m:r>
          </m:sub>
        </m:sSub>
      </m:oMath>
      <w:r>
        <w:rPr>
          <w:rFonts w:eastAsia="Times New Roman" w:cs="Times New Roman"/>
          <w:szCs w:val="24"/>
          <w:lang w:val="en-US"/>
        </w:rPr>
        <w:t xml:space="preserve"> number of crashes for crash type </w:t>
      </w:r>
      <m:oMath>
        <m:r>
          <w:rPr>
            <w:rFonts w:ascii="Cambria Math" w:eastAsia="Times New Roman" w:hAnsi="Cambria Math" w:cs="Times New Roman"/>
            <w:szCs w:val="24"/>
          </w:rPr>
          <m:t>r</m:t>
        </m:r>
      </m:oMath>
      <w:r>
        <w:rPr>
          <w:rFonts w:eastAsia="Times New Roman" w:cs="Times New Roman"/>
          <w:szCs w:val="24"/>
          <w:lang w:val="en-US"/>
        </w:rPr>
        <w:t xml:space="preserve">. </w:t>
      </w:r>
      <m:oMath>
        <m:r>
          <w:rPr>
            <w:rFonts w:ascii="Cambria Math" w:eastAsia="Times New Roman" w:hAnsi="Cambria Math"/>
          </w:rPr>
          <m:t>λ'</m:t>
        </m:r>
      </m:oMath>
      <w:r>
        <w:rPr>
          <w:rFonts w:eastAsia="Times New Roman" w:cs="Times New Roman"/>
          <w:sz w:val="22"/>
          <w:lang w:val="en-US"/>
        </w:rPr>
        <w:t xml:space="preserve"> </w:t>
      </w:r>
      <w:r>
        <w:rPr>
          <w:rFonts w:eastAsia="Times New Roman" w:cs="Times New Roman"/>
          <w:lang w:val="en-US"/>
        </w:rPr>
        <w:t xml:space="preserve">is NB over dispersion parameter and </w:t>
      </w:r>
      <m:oMath>
        <m:sSub>
          <m:sSubPr>
            <m:ctrlPr>
              <w:rPr>
                <w:rFonts w:ascii="Cambria Math" w:eastAsia="Calibri" w:hAnsi="Cambria Math" w:cs="Times New Roman"/>
                <w:i/>
                <w:szCs w:val="24"/>
                <w:lang w:val="en-US"/>
              </w:rPr>
            </m:ctrlPr>
          </m:sSubPr>
          <m:e>
            <m:r>
              <w:rPr>
                <w:rFonts w:ascii="Cambria Math" w:eastAsia="Calibri" w:hAnsi="Cambria Math" w:cs="Times New Roman"/>
                <w:szCs w:val="24"/>
                <w:lang w:val="en-US"/>
              </w:rPr>
              <m:t>v</m:t>
            </m:r>
          </m:e>
          <m:sub>
            <m:r>
              <w:rPr>
                <w:rFonts w:ascii="Cambria Math" w:eastAsia="Calibri" w:hAnsi="Cambria Math" w:cs="Times New Roman"/>
                <w:szCs w:val="24"/>
                <w:lang w:val="en-US"/>
              </w:rPr>
              <m:t>ir</m:t>
            </m:r>
          </m:sub>
        </m:sSub>
      </m:oMath>
      <w:r>
        <w:rPr>
          <w:rFonts w:eastAsia="Times New Roman" w:cs="Times New Roman"/>
          <w:lang w:val="en-US"/>
        </w:rPr>
        <w:t xml:space="preserve"> is the expected number of crashes occurring in </w:t>
      </w:r>
      <m:oMath>
        <m:r>
          <w:rPr>
            <w:rFonts w:ascii="Cambria Math" w:eastAsia="Times New Roman" w:hAnsi="Cambria Math" w:cs="Times New Roman"/>
            <w:szCs w:val="24"/>
          </w:rPr>
          <m:t>i</m:t>
        </m:r>
      </m:oMath>
      <w:r>
        <w:rPr>
          <w:rFonts w:eastAsia="Times New Roman" w:cs="Times New Roman"/>
          <w:szCs w:val="24"/>
          <w:lang w:val="en-US"/>
        </w:rPr>
        <w:t xml:space="preserve"> over a given </w:t>
      </w:r>
      <w:proofErr w:type="gramStart"/>
      <w:r>
        <w:rPr>
          <w:rFonts w:eastAsia="Times New Roman" w:cs="Times New Roman"/>
          <w:szCs w:val="24"/>
          <w:lang w:val="en-US"/>
        </w:rPr>
        <w:t>time period</w:t>
      </w:r>
      <w:proofErr w:type="gramEnd"/>
      <w:r>
        <w:rPr>
          <w:rFonts w:eastAsia="Times New Roman" w:cs="Times New Roman"/>
          <w:szCs w:val="24"/>
          <w:lang w:val="en-US"/>
        </w:rPr>
        <w:t xml:space="preserve"> for crash type </w:t>
      </w:r>
      <m:oMath>
        <m:r>
          <w:rPr>
            <w:rFonts w:ascii="Cambria Math" w:eastAsia="Times New Roman" w:hAnsi="Cambria Math" w:cs="Times New Roman"/>
            <w:szCs w:val="24"/>
          </w:rPr>
          <m:t>r</m:t>
        </m:r>
      </m:oMath>
      <w:r>
        <w:rPr>
          <w:rFonts w:eastAsia="Times New Roman" w:cs="Times New Roman"/>
          <w:szCs w:val="24"/>
        </w:rPr>
        <w:t xml:space="preserve">. </w:t>
      </w:r>
      <w:r w:rsidR="00A57642">
        <w:rPr>
          <w:rFonts w:eastAsia="Times New Roman" w:cs="Times New Roman"/>
          <w:szCs w:val="24"/>
        </w:rPr>
        <w:t xml:space="preserve">In equation 1, we can </w:t>
      </w:r>
      <w:r w:rsidR="00E861CA">
        <w:rPr>
          <w:rFonts w:eastAsia="Times New Roman" w:cs="Times New Roman"/>
          <w:szCs w:val="24"/>
        </w:rPr>
        <w:t>express</w:t>
      </w:r>
      <w:r>
        <w:rPr>
          <w:rFonts w:eastAsia="Times New Roman" w:cs="Times New Roman"/>
          <w:szCs w:val="24"/>
        </w:rPr>
        <w:t xml:space="preserve"> </w:t>
      </w:r>
      <m:oMath>
        <m:sSub>
          <m:sSubPr>
            <m:ctrlPr>
              <w:rPr>
                <w:rFonts w:ascii="Cambria Math" w:eastAsia="Calibri" w:hAnsi="Cambria Math" w:cs="Times New Roman"/>
                <w:i/>
                <w:szCs w:val="24"/>
                <w:lang w:val="en-US"/>
              </w:rPr>
            </m:ctrlPr>
          </m:sSubPr>
          <m:e>
            <m:r>
              <w:rPr>
                <w:rFonts w:ascii="Cambria Math" w:eastAsia="Calibri" w:hAnsi="Cambria Math" w:cs="Times New Roman"/>
                <w:szCs w:val="24"/>
                <w:lang w:val="en-US"/>
              </w:rPr>
              <m:t>v</m:t>
            </m:r>
          </m:e>
          <m:sub>
            <m:r>
              <w:rPr>
                <w:rFonts w:ascii="Cambria Math" w:eastAsia="Calibri" w:hAnsi="Cambria Math" w:cs="Times New Roman"/>
                <w:szCs w:val="24"/>
                <w:lang w:val="en-US"/>
              </w:rPr>
              <m:t>ir</m:t>
            </m:r>
          </m:sub>
        </m:sSub>
      </m:oMath>
      <w:r>
        <w:rPr>
          <w:rFonts w:eastAsia="Times New Roman" w:cs="Times New Roman"/>
          <w:szCs w:val="24"/>
          <w:lang w:val="en-US"/>
        </w:rPr>
        <w:t xml:space="preserve"> as a function of explanatory variables using a log-link function as follows:</w:t>
      </w:r>
      <w:r w:rsidR="00F04B6E" w:rsidRPr="00F04B6E">
        <w:t xml:space="preserve"> </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6"/>
        <w:gridCol w:w="1215"/>
      </w:tblGrid>
      <w:tr w:rsidR="008029E7" w:rsidRPr="0010387C" w14:paraId="1DB66F9F" w14:textId="77777777" w:rsidTr="007B6C5C">
        <w:tc>
          <w:tcPr>
            <w:tcW w:w="4349" w:type="pct"/>
            <w:vAlign w:val="center"/>
          </w:tcPr>
          <w:p w14:paraId="255CBF9B" w14:textId="37B21A78" w:rsidR="008029E7" w:rsidRPr="00897164" w:rsidRDefault="00DA4C35" w:rsidP="002670B2">
            <w:pPr>
              <w:spacing w:before="360" w:after="360"/>
              <w:rPr>
                <w:rFonts w:eastAsia="Calibri" w:cs="Times New Roman"/>
                <w:szCs w:val="24"/>
                <w:lang w:val="en-US"/>
              </w:rPr>
            </w:pPr>
            <m:oMathPara>
              <m:oMathParaPr>
                <m:jc m:val="left"/>
              </m:oMathParaPr>
              <m:oMath>
                <m:sSub>
                  <m:sSubPr>
                    <m:ctrlPr>
                      <w:rPr>
                        <w:rFonts w:ascii="Cambria Math" w:eastAsia="Calibri" w:hAnsi="Cambria Math" w:cs="Times New Roman"/>
                        <w:i/>
                        <w:szCs w:val="24"/>
                        <w:lang w:val="en-US"/>
                      </w:rPr>
                    </m:ctrlPr>
                  </m:sSubPr>
                  <m:e>
                    <m:r>
                      <w:rPr>
                        <w:rFonts w:ascii="Cambria Math" w:eastAsia="Calibri" w:hAnsi="Cambria Math" w:cs="Times New Roman"/>
                        <w:szCs w:val="24"/>
                        <w:lang w:val="en-US"/>
                      </w:rPr>
                      <m:t>v</m:t>
                    </m:r>
                  </m:e>
                  <m:sub>
                    <m:r>
                      <w:rPr>
                        <w:rFonts w:ascii="Cambria Math" w:eastAsia="Calibri" w:hAnsi="Cambria Math" w:cs="Times New Roman"/>
                        <w:szCs w:val="24"/>
                        <w:lang w:val="en-US"/>
                      </w:rPr>
                      <m:t>ir</m:t>
                    </m:r>
                  </m:sub>
                </m:sSub>
                <m:r>
                  <w:rPr>
                    <w:rFonts w:ascii="Cambria Math" w:eastAsia="Times New Roman" w:hAnsi="Cambria Math" w:cs="Times New Roman"/>
                    <w:szCs w:val="24"/>
                    <w:lang w:val="en-US"/>
                  </w:rPr>
                  <m:t>=exp</m:t>
                </m:r>
                <m:d>
                  <m:dPr>
                    <m:ctrlPr>
                      <w:rPr>
                        <w:rFonts w:ascii="Cambria Math" w:eastAsia="Times New Roman" w:hAnsi="Cambria Math" w:cs="Times New Roman"/>
                        <w:i/>
                        <w:szCs w:val="24"/>
                        <w:lang w:val="en-US"/>
                      </w:rPr>
                    </m:ctrlPr>
                  </m:dPr>
                  <m:e>
                    <m:r>
                      <w:rPr>
                        <w:rFonts w:ascii="Cambria Math" w:eastAsia="Times New Roman" w:hAnsi="Cambria Math" w:cs="Times New Roman"/>
                        <w:szCs w:val="24"/>
                        <w:lang w:val="en-US"/>
                      </w:rPr>
                      <m:t>(</m:t>
                    </m:r>
                    <m:r>
                      <m:rPr>
                        <m:sty m:val="p"/>
                      </m:rPr>
                      <w:rPr>
                        <w:rFonts w:ascii="Cambria Math" w:eastAsia="Times New Roman" w:hAnsi="Cambria Math" w:cs="Times New Roman"/>
                        <w:szCs w:val="24"/>
                        <w:lang w:val="en-US"/>
                      </w:rPr>
                      <m:t>τ</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 xml:space="preserve"> + </m:t>
                        </m:r>
                        <m:r>
                          <w:rPr>
                            <w:rFonts w:ascii="Cambria Math" w:hAnsi="Cambria Math"/>
                            <w:szCs w:val="24"/>
                          </w:rPr>
                          <m:t>Φ</m:t>
                        </m:r>
                      </m:e>
                      <m:sub>
                        <m:r>
                          <w:rPr>
                            <w:rFonts w:ascii="Cambria Math" w:eastAsia="Times New Roman" w:hAnsi="Cambria Math" w:cs="Times New Roman"/>
                            <w:szCs w:val="24"/>
                            <w:lang w:val="en-US"/>
                          </w:rPr>
                          <m:t>ir</m:t>
                        </m:r>
                      </m:sub>
                    </m:sSub>
                    <m:r>
                      <w:rPr>
                        <w:rFonts w:ascii="Cambria Math" w:eastAsia="Times New Roman" w:hAnsi="Cambria Math" w:cs="Times New Roman"/>
                        <w:szCs w:val="24"/>
                        <w:lang w:val="en-US"/>
                      </w:rPr>
                      <m:t>+</m:t>
                    </m:r>
                    <m:sSub>
                      <m:sSubPr>
                        <m:ctrlPr>
                          <w:rPr>
                            <w:rFonts w:ascii="Cambria Math" w:eastAsia="Times New Roman" w:hAnsi="Cambria Math"/>
                            <w:i/>
                          </w:rPr>
                        </m:ctrlPr>
                      </m:sSubPr>
                      <m:e>
                        <m:r>
                          <w:rPr>
                            <w:rFonts w:ascii="Cambria Math" w:eastAsia="Times New Roman" w:hAnsi="Cambria Math"/>
                          </w:rPr>
                          <m:t>ϱ</m:t>
                        </m:r>
                      </m:e>
                      <m:sub>
                        <m:r>
                          <w:rPr>
                            <w:rFonts w:ascii="Cambria Math" w:eastAsia="Times New Roman" w:hAnsi="Cambria Math"/>
                          </w:rPr>
                          <m:t>i</m:t>
                        </m:r>
                      </m:sub>
                    </m:sSub>
                    <m:r>
                      <w:rPr>
                        <w:rFonts w:ascii="Cambria Math" w:eastAsia="Times New Roman" w:hAnsi="Cambria Math" w:cs="Times New Roman"/>
                        <w:szCs w:val="24"/>
                        <w:lang w:val="en-US"/>
                      </w:rPr>
                      <m:t>+</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η</m:t>
                        </m:r>
                      </m:e>
                      <m:sub>
                        <m:r>
                          <w:rPr>
                            <w:rFonts w:ascii="Cambria Math" w:eastAsia="Times New Roman" w:hAnsi="Cambria Math" w:cs="Times New Roman"/>
                            <w:szCs w:val="24"/>
                            <w:lang w:val="en-US"/>
                          </w:rPr>
                          <m:t>irk</m:t>
                        </m:r>
                      </m:sub>
                    </m:sSub>
                    <m:r>
                      <w:rPr>
                        <w:rFonts w:ascii="Cambria Math" w:eastAsia="Times New Roman" w:hAnsi="Cambria Math" w:cs="Times New Roman"/>
                        <w:szCs w:val="24"/>
                        <w:lang w:val="en-US"/>
                      </w:rPr>
                      <m:t>)</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x</m:t>
                        </m:r>
                      </m:e>
                      <m:sub>
                        <m:r>
                          <w:rPr>
                            <w:rFonts w:ascii="Cambria Math" w:eastAsia="Times New Roman" w:hAnsi="Cambria Math" w:cs="Times New Roman"/>
                            <w:szCs w:val="24"/>
                            <w:lang w:val="en-US"/>
                          </w:rPr>
                          <m:t>ir</m:t>
                        </m:r>
                      </m:sub>
                    </m:sSub>
                    <m:r>
                      <w:rPr>
                        <w:rFonts w:ascii="Cambria Math" w:eastAsia="Times New Roman" w:hAnsi="Cambria Math" w:cs="Times New Roman"/>
                        <w:szCs w:val="24"/>
                        <w:lang w:val="en-US"/>
                      </w:rPr>
                      <m:t>+</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ε</m:t>
                        </m:r>
                      </m:e>
                      <m:sub>
                        <m:r>
                          <w:rPr>
                            <w:rFonts w:ascii="Cambria Math" w:eastAsia="Times New Roman" w:hAnsi="Cambria Math" w:cs="Times New Roman"/>
                            <w:szCs w:val="24"/>
                            <w:lang w:val="en-US"/>
                          </w:rPr>
                          <m:t>ir</m:t>
                        </m:r>
                      </m:sub>
                    </m:sSub>
                  </m:e>
                </m:d>
              </m:oMath>
            </m:oMathPara>
          </w:p>
        </w:tc>
        <w:tc>
          <w:tcPr>
            <w:tcW w:w="651" w:type="pct"/>
            <w:vAlign w:val="center"/>
          </w:tcPr>
          <w:p w14:paraId="722F5AAC" w14:textId="77777777" w:rsidR="008029E7" w:rsidRPr="0010387C" w:rsidRDefault="008029E7" w:rsidP="007B6C5C">
            <w:pPr>
              <w:numPr>
                <w:ilvl w:val="0"/>
                <w:numId w:val="11"/>
              </w:numPr>
              <w:spacing w:before="360" w:after="360"/>
              <w:contextualSpacing/>
              <w:jc w:val="right"/>
              <w:rPr>
                <w:rFonts w:ascii="Calibri" w:eastAsia="Calibri" w:hAnsi="Calibri" w:cs="Times New Roman"/>
                <w:lang w:val="en-US"/>
              </w:rPr>
            </w:pPr>
          </w:p>
        </w:tc>
      </w:tr>
    </w:tbl>
    <w:p w14:paraId="7AE4F968" w14:textId="263C6767" w:rsidR="008029E7" w:rsidRPr="00575FB8" w:rsidRDefault="008029E7" w:rsidP="008029E7">
      <w:pPr>
        <w:rPr>
          <w:rFonts w:eastAsia="Times New Roman" w:cs="Times New Roman"/>
          <w:lang w:val="en-US"/>
        </w:rPr>
      </w:pPr>
      <w:r w:rsidRPr="00575FB8">
        <w:rPr>
          <w:rFonts w:eastAsia="Times New Roman" w:cs="Times New Roman"/>
          <w:lang w:val="en-US"/>
        </w:rPr>
        <w:t xml:space="preserve">where,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x</m:t>
            </m:r>
          </m:e>
          <m:sub>
            <m:r>
              <w:rPr>
                <w:rFonts w:ascii="Cambria Math" w:eastAsia="Times New Roman" w:hAnsi="Cambria Math" w:cs="Times New Roman"/>
                <w:lang w:val="en-US"/>
              </w:rPr>
              <m:t>ir</m:t>
            </m:r>
          </m:sub>
        </m:sSub>
      </m:oMath>
      <w:r w:rsidRPr="00575FB8">
        <w:rPr>
          <w:rFonts w:eastAsia="Times New Roman" w:cs="Times New Roman"/>
          <w:lang w:val="en-US"/>
        </w:rPr>
        <w:t xml:space="preserve"> is a vector of explanatory variables associated with </w:t>
      </w:r>
      <w:r>
        <w:rPr>
          <w:rFonts w:eastAsia="Times New Roman" w:cs="Times New Roman"/>
          <w:lang w:val="en-US"/>
        </w:rPr>
        <w:t xml:space="preserve">observations </w:t>
      </w:r>
      <m:oMath>
        <m:r>
          <w:rPr>
            <w:rFonts w:ascii="Cambria Math" w:eastAsia="Times New Roman" w:hAnsi="Cambria Math" w:cs="Times New Roman"/>
            <w:lang w:val="en-US"/>
          </w:rPr>
          <m:t>i</m:t>
        </m:r>
      </m:oMath>
      <w:r w:rsidRPr="00575FB8">
        <w:rPr>
          <w:rFonts w:eastAsia="Times New Roman" w:cs="Times New Roman"/>
          <w:lang w:val="en-US"/>
        </w:rPr>
        <w:t xml:space="preserve"> for crash type </w:t>
      </w:r>
      <m:oMath>
        <m:r>
          <w:rPr>
            <w:rFonts w:ascii="Cambria Math" w:eastAsia="Times New Roman" w:hAnsi="Cambria Math" w:cs="Times New Roman"/>
            <w:szCs w:val="24"/>
          </w:rPr>
          <m:t>r</m:t>
        </m:r>
      </m:oMath>
      <w:r>
        <w:rPr>
          <w:rFonts w:eastAsia="Times New Roman" w:cs="Times New Roman"/>
          <w:lang w:val="en-US"/>
        </w:rPr>
        <w:t>.</w:t>
      </w:r>
      <w:r w:rsidRPr="00575FB8">
        <w:rPr>
          <w:rFonts w:eastAsia="Times New Roman" w:cs="Times New Roman"/>
          <w:lang w:val="en-US"/>
        </w:rPr>
        <w:t xml:space="preserve"> </w:t>
      </w:r>
      <w:r w:rsidR="00220539">
        <w:rPr>
          <w:rFonts w:ascii="Cambria Math" w:eastAsia="Times New Roman" w:hAnsi="Cambria Math" w:cs="Times New Roman"/>
          <w:szCs w:val="24"/>
          <w:lang w:val="en-US"/>
        </w:rPr>
        <w:t>𝝉</w:t>
      </w:r>
      <w:r w:rsidRPr="00575FB8">
        <w:rPr>
          <w:rFonts w:eastAsia="Times New Roman" w:cs="Times New Roman"/>
          <w:lang w:val="en-US"/>
        </w:rPr>
        <w:t xml:space="preserve"> is a vector of coefficients to be estimated.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Φ</m:t>
            </m:r>
          </m:e>
          <m:sub>
            <m:r>
              <w:rPr>
                <w:rFonts w:ascii="Cambria Math" w:eastAsia="Times New Roman" w:hAnsi="Cambria Math" w:cs="Times New Roman"/>
                <w:lang w:val="en-US"/>
              </w:rPr>
              <m:t>ir</m:t>
            </m:r>
          </m:sub>
        </m:sSub>
      </m:oMath>
      <w:r w:rsidRPr="00575FB8">
        <w:rPr>
          <w:rFonts w:eastAsia="Times New Roman" w:cs="Times New Roman"/>
          <w:lang w:val="en-US"/>
        </w:rPr>
        <w:t xml:space="preserve"> is a vector of unobserved factors moderating the influence of attributes in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x</m:t>
            </m:r>
          </m:e>
          <m:sub>
            <m:r>
              <w:rPr>
                <w:rFonts w:ascii="Cambria Math" w:eastAsia="Times New Roman" w:hAnsi="Cambria Math" w:cs="Times New Roman"/>
                <w:lang w:val="en-US"/>
              </w:rPr>
              <m:t>ir</m:t>
            </m:r>
          </m:sub>
        </m:sSub>
      </m:oMath>
      <w:r w:rsidRPr="00575FB8">
        <w:rPr>
          <w:rFonts w:eastAsia="Times New Roman" w:cs="Times New Roman"/>
          <w:lang w:val="en-US"/>
        </w:rPr>
        <w:t xml:space="preserve"> on the crash count propensity for analysis unit </w:t>
      </w:r>
      <m:oMath>
        <m:r>
          <w:rPr>
            <w:rFonts w:ascii="Cambria Math" w:eastAsia="Times New Roman" w:hAnsi="Cambria Math" w:cs="Times New Roman"/>
            <w:lang w:val="en-US"/>
          </w:rPr>
          <m:t>i</m:t>
        </m:r>
      </m:oMath>
      <w:r w:rsidRPr="00575FB8">
        <w:rPr>
          <w:rFonts w:eastAsia="Times New Roman" w:cs="Times New Roman"/>
          <w:lang w:val="en-US"/>
        </w:rPr>
        <w:t xml:space="preserve">,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ϱ</m:t>
            </m:r>
          </m:e>
          <m:sub>
            <m:r>
              <w:rPr>
                <w:rFonts w:ascii="Cambria Math" w:eastAsia="Times New Roman" w:hAnsi="Cambria Math" w:cs="Times New Roman"/>
                <w:lang w:val="en-US"/>
              </w:rPr>
              <m:t>i</m:t>
            </m:r>
          </m:sub>
        </m:sSub>
      </m:oMath>
      <w:r w:rsidRPr="00575FB8">
        <w:rPr>
          <w:rFonts w:eastAsia="Times New Roman" w:cs="Times New Roman"/>
          <w:lang w:val="en-US"/>
        </w:rPr>
        <w:t xml:space="preserve"> is a vector of unobserved effects specific to crash type </w:t>
      </w:r>
      <m:oMath>
        <m:r>
          <w:rPr>
            <w:rFonts w:ascii="Cambria Math" w:eastAsia="Times New Roman" w:hAnsi="Cambria Math" w:cs="Times New Roman"/>
            <w:lang w:val="en-US"/>
          </w:rPr>
          <m:t>r</m:t>
        </m:r>
      </m:oMath>
      <w:r w:rsidRPr="00575FB8">
        <w:rPr>
          <w:rFonts w:eastAsia="Times New Roman" w:cs="Times New Roman"/>
          <w:lang w:val="en-US"/>
        </w:rPr>
        <w:t xml:space="preserve">. </w:t>
      </w:r>
      <w:r w:rsidR="00575FB8" w:rsidRPr="00575FB8">
        <w:rPr>
          <w:rFonts w:eastAsia="Times New Roman" w:cs="Times New Roman"/>
          <w:lang w:val="en-US"/>
        </w:rPr>
        <w:t xml:space="preserve">This </w:t>
      </w:r>
      <m:oMath>
        <m:sSub>
          <m:sSubPr>
            <m:ctrlPr>
              <w:rPr>
                <w:rFonts w:ascii="Cambria Math" w:eastAsia="Times New Roman" w:hAnsi="Cambria Math" w:cs="Times New Roman"/>
                <w:lang w:val="en-US"/>
              </w:rPr>
            </m:ctrlPr>
          </m:sSubPr>
          <m:e>
            <m:r>
              <m:rPr>
                <m:sty m:val="bi"/>
              </m:rPr>
              <w:rPr>
                <w:rFonts w:ascii="Cambria Math" w:eastAsia="Times New Roman" w:hAnsi="Cambria Math" w:cs="Times New Roman"/>
                <w:lang w:val="en-US"/>
              </w:rPr>
              <m:t>ϱ</m:t>
            </m:r>
          </m:e>
          <m:sub>
            <m:r>
              <w:rPr>
                <w:rFonts w:ascii="Cambria Math" w:eastAsia="Times New Roman" w:hAnsi="Cambria Math" w:cs="Times New Roman"/>
                <w:lang w:val="en-US"/>
              </w:rPr>
              <m:t>i</m:t>
            </m:r>
          </m:sub>
        </m:sSub>
      </m:oMath>
      <w:r w:rsidR="00575FB8" w:rsidRPr="00575FB8">
        <w:rPr>
          <w:rFonts w:eastAsia="Times New Roman" w:cs="Times New Roman"/>
          <w:lang w:val="en-US"/>
        </w:rPr>
        <w:t xml:space="preserve"> will be same across crash types in our case and thus the unobserved heterogeneity across crash types will be captured.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ε</m:t>
            </m:r>
          </m:e>
          <m:sub>
            <m:r>
              <w:rPr>
                <w:rFonts w:ascii="Cambria Math" w:eastAsia="Times New Roman" w:hAnsi="Cambria Math" w:cs="Times New Roman"/>
                <w:lang w:val="en-US"/>
              </w:rPr>
              <m:t>ir</m:t>
            </m:r>
          </m:sub>
        </m:sSub>
      </m:oMath>
      <w:r w:rsidRPr="00575FB8">
        <w:rPr>
          <w:rFonts w:eastAsia="Times New Roman" w:cs="Times New Roman"/>
          <w:lang w:val="en-US"/>
        </w:rPr>
        <w:t xml:space="preserve"> is a gamma distributed error term with mean 1 and variance </w:t>
      </w:r>
      <m:oMath>
        <m:r>
          <w:rPr>
            <w:rFonts w:ascii="Cambria Math" w:eastAsia="Times New Roman" w:hAnsi="Cambria Math" w:cs="Times New Roman"/>
            <w:lang w:val="en-US"/>
          </w:rPr>
          <m:t>λ</m:t>
        </m:r>
        <m:r>
          <m:rPr>
            <m:sty m:val="p"/>
          </m:rPr>
          <w:rPr>
            <w:rFonts w:ascii="Cambria Math" w:eastAsia="Times New Roman" w:hAnsi="Cambria Math" w:cs="Times New Roman"/>
            <w:lang w:val="en-US"/>
          </w:rPr>
          <m:t>'</m:t>
        </m:r>
      </m:oMath>
      <w:r>
        <w:rPr>
          <w:rFonts w:eastAsia="Times New Roman" w:cs="Times New Roman"/>
          <w:lang w:val="en-US"/>
        </w:rPr>
        <w:t xml:space="preserve">.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η</m:t>
            </m:r>
          </m:e>
          <m:sub>
            <m:r>
              <w:rPr>
                <w:rFonts w:ascii="Cambria Math" w:eastAsia="Times New Roman" w:hAnsi="Cambria Math" w:cs="Times New Roman"/>
                <w:lang w:val="en-US"/>
              </w:rPr>
              <m:t>irk</m:t>
            </m:r>
          </m:sub>
        </m:sSub>
      </m:oMath>
      <w:r w:rsidR="00D7495D" w:rsidRPr="00575FB8">
        <w:rPr>
          <w:rFonts w:eastAsia="Times New Roman" w:cs="Times New Roman"/>
          <w:lang w:val="en-US"/>
        </w:rPr>
        <w:t xml:space="preserve"> captures unobserved factors that simultaneously impact number of crashes </w:t>
      </w:r>
      <w:r w:rsidR="00E80AA5">
        <w:rPr>
          <w:rFonts w:eastAsia="Times New Roman" w:cs="Times New Roman"/>
          <w:lang w:val="en-US"/>
        </w:rPr>
        <w:t xml:space="preserve">by crash type </w:t>
      </w:r>
      <w:r w:rsidR="00D7495D" w:rsidRPr="00575FB8">
        <w:rPr>
          <w:rFonts w:eastAsia="Times New Roman" w:cs="Times New Roman"/>
          <w:lang w:val="en-US"/>
        </w:rPr>
        <w:t xml:space="preserve">and proportion of crashes by severity </w:t>
      </w:r>
      <w:r w:rsidR="004B0853" w:rsidRPr="00575FB8">
        <w:rPr>
          <w:rFonts w:eastAsia="Times New Roman" w:cs="Times New Roman"/>
          <w:lang w:val="en-US"/>
        </w:rPr>
        <w:t xml:space="preserve">for different crash types </w:t>
      </w:r>
      <w:r w:rsidR="00D7495D" w:rsidRPr="00575FB8">
        <w:rPr>
          <w:rFonts w:eastAsia="Times New Roman" w:cs="Times New Roman"/>
          <w:lang w:val="en-US"/>
        </w:rPr>
        <w:t xml:space="preserve">for </w:t>
      </w:r>
      <w:r w:rsidR="00153D26">
        <w:rPr>
          <w:rFonts w:eastAsia="Times New Roman" w:cs="Times New Roman"/>
          <w:lang w:val="en-US"/>
        </w:rPr>
        <w:t xml:space="preserve">unit </w:t>
      </w:r>
      <m:oMath>
        <m:r>
          <w:rPr>
            <w:rFonts w:ascii="Cambria Math" w:eastAsia="Times New Roman" w:hAnsi="Cambria Math" w:cs="Times New Roman"/>
            <w:lang w:val="en-US"/>
          </w:rPr>
          <m:t>i</m:t>
        </m:r>
      </m:oMath>
      <w:r w:rsidR="00347D15" w:rsidRPr="00575FB8">
        <w:rPr>
          <w:rFonts w:eastAsia="Times New Roman" w:cs="Times New Roman"/>
          <w:lang w:val="en-US"/>
        </w:rPr>
        <w:t>.</w:t>
      </w:r>
    </w:p>
    <w:p w14:paraId="61C03FE9" w14:textId="77777777" w:rsidR="008F6B82" w:rsidRDefault="008F6B82" w:rsidP="008029E7">
      <w:pPr>
        <w:rPr>
          <w:rFonts w:eastAsiaTheme="minorEastAsia" w:cs="Times New Roman"/>
          <w:szCs w:val="24"/>
          <w:lang w:val="en-US"/>
        </w:rPr>
      </w:pPr>
    </w:p>
    <w:p w14:paraId="4875B027" w14:textId="4895AFBE" w:rsidR="00970273" w:rsidRDefault="00970273" w:rsidP="00970273">
      <w:pPr>
        <w:pStyle w:val="Heading2"/>
        <w:ind w:left="578" w:hanging="578"/>
      </w:pPr>
      <w:r>
        <w:t>Severity Model Structure</w:t>
      </w:r>
    </w:p>
    <w:p w14:paraId="4AAF4392" w14:textId="5B3D1FF2" w:rsidR="00BE44F6" w:rsidRDefault="00BE44F6" w:rsidP="00F368C5">
      <w:pPr>
        <w:rPr>
          <w:rFonts w:cs="Times New Roman"/>
          <w:lang w:val="en-US"/>
        </w:rPr>
      </w:pPr>
      <w:r w:rsidRPr="000A3BA7">
        <w:rPr>
          <w:rFonts w:cs="Times New Roman"/>
          <w:lang w:val="en-US"/>
        </w:rPr>
        <w:t xml:space="preserve">In the </w:t>
      </w:r>
      <w:r w:rsidRPr="000A3BA7">
        <w:rPr>
          <w:rFonts w:eastAsia="Times New Roman" w:cs="Times New Roman"/>
          <w:szCs w:val="24"/>
          <w:lang w:val="en-US"/>
        </w:rPr>
        <w:t>joint</w:t>
      </w:r>
      <w:r w:rsidRPr="000A3BA7">
        <w:rPr>
          <w:rFonts w:cs="Times New Roman"/>
          <w:lang w:val="en-US"/>
        </w:rPr>
        <w:t xml:space="preserve"> model</w:t>
      </w:r>
      <w:r>
        <w:rPr>
          <w:rFonts w:cs="Times New Roman"/>
          <w:lang w:val="en-US"/>
        </w:rPr>
        <w:t xml:space="preserve"> framework, the modeling of crash proportions by severity levels </w:t>
      </w:r>
      <w:r w:rsidR="000313F6">
        <w:rPr>
          <w:rFonts w:cs="Times New Roman"/>
          <w:lang w:val="en-US"/>
        </w:rPr>
        <w:t xml:space="preserve">across different crash types </w:t>
      </w:r>
      <w:r>
        <w:rPr>
          <w:rFonts w:cs="Times New Roman"/>
          <w:lang w:val="en-US"/>
        </w:rPr>
        <w:t xml:space="preserve">is undertaken using the </w:t>
      </w:r>
      <w:r w:rsidR="00C538F7">
        <w:rPr>
          <w:rFonts w:cs="Times New Roman"/>
          <w:lang w:val="en-US"/>
        </w:rPr>
        <w:t xml:space="preserve">Generalized </w:t>
      </w:r>
      <w:r>
        <w:rPr>
          <w:rFonts w:cs="Times New Roman"/>
          <w:lang w:val="en-US"/>
        </w:rPr>
        <w:t xml:space="preserve">Ordered </w:t>
      </w:r>
      <w:proofErr w:type="spellStart"/>
      <w:r w:rsidR="00C538F7">
        <w:rPr>
          <w:rFonts w:cs="Times New Roman"/>
          <w:lang w:val="en-US"/>
        </w:rPr>
        <w:t>Prob</w:t>
      </w:r>
      <w:r w:rsidR="00E80AA5">
        <w:rPr>
          <w:rFonts w:cs="Times New Roman"/>
          <w:lang w:val="en-US"/>
        </w:rPr>
        <w:t>i</w:t>
      </w:r>
      <w:r w:rsidR="00C538F7">
        <w:rPr>
          <w:rFonts w:cs="Times New Roman"/>
          <w:lang w:val="en-US"/>
        </w:rPr>
        <w:t>t</w:t>
      </w:r>
      <w:proofErr w:type="spellEnd"/>
      <w:r>
        <w:rPr>
          <w:rFonts w:cs="Times New Roman"/>
          <w:lang w:val="en-US"/>
        </w:rPr>
        <w:t xml:space="preserve"> Fractional Split (</w:t>
      </w:r>
      <w:r w:rsidR="00F90BB8">
        <w:rPr>
          <w:rFonts w:cs="Times New Roman"/>
          <w:lang w:val="en-US"/>
        </w:rPr>
        <w:t>GOP</w:t>
      </w:r>
      <w:r>
        <w:rPr>
          <w:rFonts w:cs="Times New Roman"/>
          <w:lang w:val="en-US"/>
        </w:rPr>
        <w:t>FS) model</w:t>
      </w:r>
      <w:r w:rsidR="00A34529">
        <w:rPr>
          <w:rFonts w:cs="Times New Roman"/>
          <w:lang w:val="en-US"/>
        </w:rPr>
        <w:t xml:space="preserve">. </w:t>
      </w:r>
      <w:r>
        <w:rPr>
          <w:rFonts w:cs="Times New Roman"/>
          <w:lang w:val="en-US"/>
        </w:rPr>
        <w:t xml:space="preserve">In the ordered outcome framework, the actual injury severity proportions </w:t>
      </w:r>
      <m:oMath>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y</m:t>
                </m:r>
              </m:e>
              <m:sub>
                <m:r>
                  <w:rPr>
                    <w:rFonts w:ascii="Cambria Math" w:hAnsi="Cambria Math" w:cs="Times New Roman"/>
                    <w:lang w:val="en-US"/>
                  </w:rPr>
                  <m:t>irk</m:t>
                </m:r>
              </m:sub>
            </m:sSub>
          </m:e>
        </m:d>
      </m:oMath>
      <w:r>
        <w:rPr>
          <w:rFonts w:eastAsiaTheme="minorEastAsia" w:cs="Times New Roman"/>
          <w:lang w:val="en-US"/>
        </w:rPr>
        <w:t xml:space="preserve"> are assumed to be associated with an underlying continuous latent variable </w:t>
      </w:r>
      <m:oMath>
        <m:d>
          <m:dPr>
            <m:ctrlPr>
              <w:rPr>
                <w:rFonts w:ascii="Cambria Math" w:hAnsi="Cambria Math" w:cs="Times New Roman"/>
                <w:i/>
                <w:lang w:val="en-US"/>
              </w:rPr>
            </m:ctrlPr>
          </m:dPr>
          <m:e>
            <m:sSubSup>
              <m:sSubSupPr>
                <m:ctrlPr>
                  <w:rPr>
                    <w:rFonts w:ascii="Cambria Math" w:hAnsi="Cambria Math" w:cs="Times New Roman"/>
                    <w:i/>
                    <w:lang w:val="en-US"/>
                  </w:rPr>
                </m:ctrlPr>
              </m:sSubSupPr>
              <m:e>
                <m:r>
                  <w:rPr>
                    <w:rFonts w:ascii="Cambria Math" w:hAnsi="Cambria Math" w:cs="Times New Roman"/>
                    <w:lang w:val="en-US"/>
                  </w:rPr>
                  <m:t>y</m:t>
                </m:r>
              </m:e>
              <m:sub>
                <m:r>
                  <w:rPr>
                    <w:rFonts w:ascii="Cambria Math" w:hAnsi="Cambria Math" w:cs="Times New Roman"/>
                    <w:lang w:val="en-US"/>
                  </w:rPr>
                  <m:t>ir</m:t>
                </m:r>
              </m:sub>
              <m:sup>
                <m:r>
                  <w:rPr>
                    <w:rFonts w:ascii="Cambria Math" w:hAnsi="Cambria Math" w:cs="Times New Roman"/>
                    <w:lang w:val="en-US"/>
                  </w:rPr>
                  <m:t>*</m:t>
                </m:r>
              </m:sup>
            </m:sSubSup>
          </m:e>
        </m:d>
      </m:oMath>
      <w:r>
        <w:rPr>
          <w:rFonts w:eastAsiaTheme="minorEastAsia" w:cs="Times New Roman"/>
          <w:lang w:val="en-US"/>
        </w:rPr>
        <w:t>. The latent propensity equation is typically specified as the following linear function:</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6"/>
        <w:gridCol w:w="1215"/>
      </w:tblGrid>
      <w:tr w:rsidR="00BE44F6" w:rsidRPr="0010387C" w14:paraId="2D9CAEDA" w14:textId="77777777" w:rsidTr="007B6C5C">
        <w:tc>
          <w:tcPr>
            <w:tcW w:w="4349" w:type="pct"/>
            <w:vAlign w:val="center"/>
          </w:tcPr>
          <w:p w14:paraId="40C01A92" w14:textId="0125A6C8" w:rsidR="00BE44F6" w:rsidRPr="0010387C" w:rsidRDefault="00DA4C35" w:rsidP="00834B1B">
            <w:pPr>
              <w:spacing w:before="360" w:after="360"/>
              <w:rPr>
                <w:rFonts w:eastAsia="Calibri" w:cs="Times New Roman"/>
                <w:lang w:val="en-US"/>
              </w:rPr>
            </w:pPr>
            <m:oMath>
              <m:sSubSup>
                <m:sSubSupPr>
                  <m:ctrlPr>
                    <w:rPr>
                      <w:rFonts w:ascii="Cambria Math" w:eastAsia="Calibri" w:hAnsi="Cambria Math" w:cs="Times New Roman"/>
                      <w:i/>
                      <w:lang w:val="en-US"/>
                    </w:rPr>
                  </m:ctrlPr>
                </m:sSubSupPr>
                <m:e>
                  <m:r>
                    <w:rPr>
                      <w:rFonts w:ascii="Cambria Math" w:eastAsia="Calibri" w:hAnsi="Cambria Math" w:cs="Times New Roman"/>
                      <w:lang w:val="en-US"/>
                    </w:rPr>
                    <m:t>y</m:t>
                  </m:r>
                </m:e>
                <m:sub>
                  <m:r>
                    <w:rPr>
                      <w:rFonts w:ascii="Cambria Math" w:eastAsia="Calibri" w:hAnsi="Cambria Math" w:cs="Times New Roman"/>
                      <w:lang w:val="en-US"/>
                    </w:rPr>
                    <m:t>ir</m:t>
                  </m:r>
                </m:sub>
                <m:sup>
                  <m:r>
                    <w:rPr>
                      <w:rFonts w:ascii="Cambria Math" w:eastAsia="Calibri" w:hAnsi="Cambria Math" w:cs="Times New Roman"/>
                      <w:lang w:val="en-US"/>
                    </w:rPr>
                    <m:t>*</m:t>
                  </m:r>
                </m:sup>
              </m:sSubSup>
              <m:r>
                <w:rPr>
                  <w:rFonts w:ascii="Cambria Math" w:eastAsia="Calibri" w:hAnsi="Cambria Math" w:cs="Times New Roman"/>
                  <w:lang w:val="en-US"/>
                </w:rPr>
                <m:t>=</m:t>
              </m:r>
              <m:d>
                <m:dPr>
                  <m:ctrlPr>
                    <w:rPr>
                      <w:rFonts w:ascii="Cambria Math" w:eastAsia="Calibri" w:hAnsi="Cambria Math" w:cs="Times New Roman"/>
                      <w:i/>
                      <w:lang w:val="en-US"/>
                    </w:rPr>
                  </m:ctrlPr>
                </m:dPr>
                <m:e>
                  <m:sSub>
                    <m:sSubPr>
                      <m:ctrlPr>
                        <w:rPr>
                          <w:rFonts w:ascii="Cambria Math" w:eastAsia="Calibri" w:hAnsi="Cambria Math" w:cs="Times New Roman"/>
                          <w:i/>
                          <w:lang w:val="en-US"/>
                        </w:rPr>
                      </m:ctrlPr>
                    </m:sSubPr>
                    <m:e>
                      <m:r>
                        <w:rPr>
                          <w:rFonts w:ascii="Cambria Math" w:eastAsia="Calibri" w:hAnsi="Cambria Math" w:cs="Times New Roman"/>
                          <w:lang w:val="en-US"/>
                        </w:rPr>
                        <m:t>α</m:t>
                      </m:r>
                    </m:e>
                    <m:sub>
                      <m:r>
                        <w:rPr>
                          <w:rFonts w:ascii="Cambria Math" w:eastAsia="Calibri" w:hAnsi="Cambria Math" w:cs="Times New Roman"/>
                          <w:lang w:val="en-US"/>
                        </w:rPr>
                        <m:t>r</m:t>
                      </m:r>
                    </m:sub>
                  </m:sSub>
                  <m:r>
                    <w:rPr>
                      <w:rFonts w:ascii="Cambria Math" w:eastAsia="Calibri" w:hAnsi="Cambria Math" w:cs="Times New Roman"/>
                      <w:lang w:val="en-US"/>
                    </w:rPr>
                    <m:t>+</m:t>
                  </m:r>
                  <m:sSub>
                    <m:sSubPr>
                      <m:ctrlPr>
                        <w:rPr>
                          <w:rFonts w:ascii="Cambria Math" w:eastAsia="Calibri" w:hAnsi="Cambria Math" w:cs="Times New Roman"/>
                          <w:i/>
                          <w:lang w:val="en-US"/>
                        </w:rPr>
                      </m:ctrlPr>
                    </m:sSubPr>
                    <m:e>
                      <m:r>
                        <w:rPr>
                          <w:rFonts w:ascii="Cambria Math" w:eastAsiaTheme="minorEastAsia" w:hAnsi="Cambria Math" w:cs="Times New Roman"/>
                          <w:szCs w:val="24"/>
                          <w:lang w:eastAsia="en-CA"/>
                        </w:rPr>
                        <m:t>γ</m:t>
                      </m:r>
                    </m:e>
                    <m:sub>
                      <m:r>
                        <w:rPr>
                          <w:rFonts w:ascii="Cambria Math" w:eastAsia="Calibri" w:hAnsi="Cambria Math" w:cs="Times New Roman"/>
                          <w:lang w:val="en-US"/>
                        </w:rPr>
                        <m:t>irk</m:t>
                      </m:r>
                    </m:sub>
                  </m:sSub>
                  <m:r>
                    <w:rPr>
                      <w:rFonts w:ascii="Cambria Math" w:eastAsia="Times New Roman" w:hAnsi="Cambria Math" w:cs="Times New Roman"/>
                      <w:szCs w:val="24"/>
                      <w:lang w:val="en-US"/>
                    </w:rPr>
                    <m:t>+</m:t>
                  </m:r>
                  <m:sSub>
                    <m:sSubPr>
                      <m:ctrlPr>
                        <w:rPr>
                          <w:rFonts w:ascii="Cambria Math" w:eastAsia="Calibri" w:hAnsi="Cambria Math" w:cs="Times New Roman"/>
                          <w:i/>
                          <w:lang w:val="en-US"/>
                        </w:rPr>
                      </m:ctrlPr>
                    </m:sSubPr>
                    <m:e>
                      <m:r>
                        <w:rPr>
                          <w:rFonts w:ascii="Cambria Math" w:eastAsia="Calibri" w:hAnsi="Cambria Math" w:cs="Times New Roman"/>
                          <w:lang w:val="en-US"/>
                        </w:rPr>
                        <m:t>δ</m:t>
                      </m:r>
                    </m:e>
                    <m:sub>
                      <m:r>
                        <w:rPr>
                          <w:rFonts w:ascii="Cambria Math" w:eastAsia="Calibri" w:hAnsi="Cambria Math" w:cs="Times New Roman"/>
                          <w:lang w:val="en-US"/>
                        </w:rPr>
                        <m:t>ir</m:t>
                      </m:r>
                    </m:sub>
                  </m:sSub>
                  <m:r>
                    <w:rPr>
                      <w:rFonts w:ascii="Cambria Math" w:eastAsia="Times New Roman" w:hAnsi="Cambria Math" w:cs="Times New Roman"/>
                      <w:szCs w:val="24"/>
                      <w:lang w:val="en-US"/>
                    </w:rPr>
                    <m:t>+</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η</m:t>
                      </m:r>
                    </m:e>
                    <m:sub>
                      <m:r>
                        <w:rPr>
                          <w:rFonts w:ascii="Cambria Math" w:eastAsia="Times New Roman" w:hAnsi="Cambria Math" w:cs="Times New Roman"/>
                          <w:szCs w:val="24"/>
                          <w:lang w:val="en-US"/>
                        </w:rPr>
                        <m:t>irk</m:t>
                      </m:r>
                    </m:sub>
                  </m:sSub>
                </m:e>
              </m:d>
              <m:sSub>
                <m:sSubPr>
                  <m:ctrlPr>
                    <w:rPr>
                      <w:rFonts w:ascii="Cambria Math" w:eastAsia="Calibri" w:hAnsi="Cambria Math" w:cs="Times New Roman"/>
                      <w:i/>
                      <w:lang w:val="en-US"/>
                    </w:rPr>
                  </m:ctrlPr>
                </m:sSubPr>
                <m:e>
                  <m:r>
                    <w:rPr>
                      <w:rFonts w:ascii="Cambria Math" w:eastAsia="Calibri" w:hAnsi="Cambria Math" w:cs="Times New Roman"/>
                      <w:lang w:val="en-US"/>
                    </w:rPr>
                    <m:t>z</m:t>
                  </m:r>
                </m:e>
                <m:sub>
                  <m:r>
                    <w:rPr>
                      <w:rFonts w:ascii="Cambria Math" w:eastAsia="Calibri" w:hAnsi="Cambria Math" w:cs="Times New Roman"/>
                      <w:lang w:val="en-US"/>
                    </w:rPr>
                    <m:t>ir</m:t>
                  </m:r>
                </m:sub>
              </m:sSub>
              <m:r>
                <w:rPr>
                  <w:rFonts w:ascii="Cambria Math" w:eastAsia="Calibri" w:hAnsi="Cambria Math" w:cs="Times New Roman"/>
                  <w:lang w:val="en-US"/>
                </w:rPr>
                <m:t xml:space="preserve">+ </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ξ</m:t>
                  </m:r>
                </m:e>
                <m:sub>
                  <m:r>
                    <w:rPr>
                      <w:rFonts w:ascii="Cambria Math" w:eastAsia="Times New Roman" w:hAnsi="Cambria Math" w:cs="Times New Roman"/>
                      <w:szCs w:val="24"/>
                      <w:lang w:val="en-US"/>
                    </w:rPr>
                    <m:t>irk</m:t>
                  </m:r>
                </m:sub>
              </m:sSub>
            </m:oMath>
            <w:r w:rsidR="00BE44F6">
              <w:rPr>
                <w:rFonts w:eastAsia="Calibri" w:cs="Times New Roman"/>
                <w:szCs w:val="24"/>
                <w:lang w:val="en-US"/>
              </w:rPr>
              <w:t xml:space="preserve"> </w:t>
            </w:r>
          </w:p>
        </w:tc>
        <w:tc>
          <w:tcPr>
            <w:tcW w:w="651" w:type="pct"/>
            <w:vAlign w:val="center"/>
          </w:tcPr>
          <w:p w14:paraId="24C82769" w14:textId="77777777" w:rsidR="00BE44F6" w:rsidRPr="0010387C" w:rsidRDefault="00BE44F6" w:rsidP="00077C8C">
            <w:pPr>
              <w:numPr>
                <w:ilvl w:val="0"/>
                <w:numId w:val="11"/>
              </w:numPr>
              <w:spacing w:before="360" w:after="360"/>
              <w:contextualSpacing/>
              <w:jc w:val="right"/>
              <w:rPr>
                <w:rFonts w:ascii="Calibri" w:eastAsia="Calibri" w:hAnsi="Calibri" w:cs="Times New Roman"/>
                <w:lang w:val="en-US"/>
              </w:rPr>
            </w:pPr>
          </w:p>
        </w:tc>
      </w:tr>
    </w:tbl>
    <w:p w14:paraId="66270131" w14:textId="1C7BE874" w:rsidR="00895CF0" w:rsidRPr="00BC3CCF" w:rsidRDefault="00895CF0" w:rsidP="00895CF0">
      <w:pPr>
        <w:ind w:firstLine="720"/>
        <w:rPr>
          <w:szCs w:val="24"/>
        </w:rPr>
      </w:pPr>
      <w:r w:rsidRPr="00BC3CCF">
        <w:rPr>
          <w:szCs w:val="24"/>
        </w:rPr>
        <w:t xml:space="preserve">This latent propensity </w:t>
      </w:r>
      <m:oMath>
        <m:sSubSup>
          <m:sSubSupPr>
            <m:ctrlPr>
              <w:rPr>
                <w:rFonts w:ascii="Cambria Math" w:hAnsi="Cambria Math"/>
                <w:szCs w:val="24"/>
              </w:rPr>
            </m:ctrlPr>
          </m:sSubSupPr>
          <m:e>
            <m:r>
              <w:rPr>
                <w:rFonts w:ascii="Cambria Math" w:hAnsi="Cambria Math"/>
                <w:szCs w:val="24"/>
              </w:rPr>
              <m:t>y</m:t>
            </m:r>
          </m:e>
          <m:sub>
            <m:r>
              <w:rPr>
                <w:rFonts w:ascii="Cambria Math" w:hAnsi="Cambria Math"/>
                <w:szCs w:val="24"/>
              </w:rPr>
              <m:t>ir</m:t>
            </m:r>
          </m:sub>
          <m:sup>
            <m:r>
              <m:rPr>
                <m:sty m:val="p"/>
              </m:rPr>
              <w:rPr>
                <w:rFonts w:ascii="Cambria Math" w:hAnsi="Cambria Math"/>
                <w:szCs w:val="24"/>
              </w:rPr>
              <m:t>*</m:t>
            </m:r>
          </m:sup>
        </m:sSubSup>
      </m:oMath>
      <w:r w:rsidRPr="00BC3CCF">
        <w:rPr>
          <w:szCs w:val="24"/>
        </w:rPr>
        <w:t xml:space="preserve"> is mapped to the actual </w:t>
      </w:r>
      <w:r>
        <w:rPr>
          <w:rFonts w:cs="Times New Roman"/>
          <w:lang w:val="en-US"/>
        </w:rPr>
        <w:t xml:space="preserve">severity proportion categories </w:t>
      </w:r>
      <m:oMath>
        <m:sSub>
          <m:sSubPr>
            <m:ctrlPr>
              <w:rPr>
                <w:rFonts w:ascii="Cambria Math" w:hAnsi="Cambria Math"/>
                <w:szCs w:val="24"/>
              </w:rPr>
            </m:ctrlPr>
          </m:sSubPr>
          <m:e>
            <m:r>
              <w:rPr>
                <w:rFonts w:ascii="Cambria Math" w:hAnsi="Cambria Math"/>
                <w:szCs w:val="24"/>
              </w:rPr>
              <m:t>y</m:t>
            </m:r>
          </m:e>
          <m:sub>
            <m:r>
              <w:rPr>
                <w:rFonts w:ascii="Cambria Math" w:hAnsi="Cambria Math"/>
                <w:szCs w:val="24"/>
              </w:rPr>
              <m:t>ik</m:t>
            </m:r>
          </m:sub>
        </m:sSub>
      </m:oMath>
      <w:r w:rsidRPr="00BC3CCF">
        <w:rPr>
          <w:szCs w:val="24"/>
        </w:rPr>
        <w:t xml:space="preserve">  by the </w:t>
      </w:r>
      <m:oMath>
        <m:sSub>
          <m:sSubPr>
            <m:ctrlPr>
              <w:rPr>
                <w:rFonts w:ascii="Cambria Math" w:eastAsia="Calibri" w:hAnsi="Cambria Math" w:cs="Times New Roman"/>
                <w:i/>
                <w:lang w:val="en-US"/>
              </w:rPr>
            </m:ctrlPr>
          </m:sSubPr>
          <m:e>
            <m:r>
              <w:rPr>
                <w:rFonts w:ascii="Cambria Math" w:hAnsi="Cambria Math"/>
                <w:szCs w:val="24"/>
              </w:rPr>
              <m:t>ψ</m:t>
            </m:r>
          </m:e>
          <m:sub>
            <m:r>
              <w:rPr>
                <w:rFonts w:ascii="Cambria Math" w:eastAsia="Calibri" w:hAnsi="Cambria Math" w:cs="Times New Roman"/>
                <w:lang w:val="en-US"/>
              </w:rPr>
              <m:t>r</m:t>
            </m:r>
          </m:sub>
        </m:sSub>
      </m:oMath>
      <w:r w:rsidRPr="00BC3CCF">
        <w:rPr>
          <w:szCs w:val="24"/>
        </w:rPr>
        <w:t xml:space="preserve"> thresholds (</w:t>
      </w:r>
      <m:oMath>
        <m:sSub>
          <m:sSubPr>
            <m:ctrlPr>
              <w:rPr>
                <w:rFonts w:ascii="Cambria Math" w:eastAsia="Calibri" w:hAnsi="Cambria Math" w:cs="Times New Roman"/>
                <w:i/>
                <w:lang w:val="en-US"/>
              </w:rPr>
            </m:ctrlPr>
          </m:sSubPr>
          <m:e>
            <m:r>
              <w:rPr>
                <w:rFonts w:ascii="Cambria Math" w:hAnsi="Cambria Math"/>
                <w:szCs w:val="24"/>
              </w:rPr>
              <m:t>ψ</m:t>
            </m:r>
          </m:e>
          <m:sub>
            <m:r>
              <w:rPr>
                <w:rFonts w:ascii="Cambria Math" w:eastAsia="Calibri" w:hAnsi="Cambria Math" w:cs="Times New Roman"/>
                <w:lang w:val="en-US"/>
              </w:rPr>
              <m:t>r0</m:t>
            </m:r>
          </m:sub>
        </m:sSub>
      </m:oMath>
      <w:r w:rsidRPr="00BC3CCF">
        <w:rPr>
          <w:szCs w:val="24"/>
        </w:rPr>
        <w:t xml:space="preserve"> =-∞ and </w:t>
      </w:r>
      <m:oMath>
        <m:sSub>
          <m:sSubPr>
            <m:ctrlPr>
              <w:rPr>
                <w:rFonts w:ascii="Cambria Math" w:hAnsi="Cambria Math"/>
                <w:szCs w:val="24"/>
              </w:rPr>
            </m:ctrlPr>
          </m:sSubPr>
          <m:e>
            <m:r>
              <w:rPr>
                <w:rFonts w:ascii="Cambria Math" w:hAnsi="Cambria Math"/>
                <w:szCs w:val="24"/>
              </w:rPr>
              <m:t>ψr</m:t>
            </m:r>
          </m:e>
          <m:sub>
            <m:r>
              <w:rPr>
                <w:rFonts w:ascii="Cambria Math" w:hAnsi="Cambria Math"/>
                <w:szCs w:val="24"/>
              </w:rPr>
              <m:t>k</m:t>
            </m:r>
          </m:sub>
        </m:sSub>
      </m:oMath>
      <w:r w:rsidRPr="00BC3CCF">
        <w:rPr>
          <w:szCs w:val="24"/>
        </w:rPr>
        <w:t xml:space="preserve">= ∞). </w:t>
      </w:r>
      <m:oMath>
        <m:sSub>
          <m:sSubPr>
            <m:ctrlPr>
              <w:rPr>
                <w:rFonts w:ascii="Cambria Math" w:hAnsi="Cambria Math"/>
                <w:szCs w:val="24"/>
              </w:rPr>
            </m:ctrlPr>
          </m:sSubPr>
          <m:e>
            <m:r>
              <w:rPr>
                <w:rFonts w:ascii="Cambria Math" w:hAnsi="Cambria Math"/>
                <w:szCs w:val="24"/>
              </w:rPr>
              <m:t>z</m:t>
            </m:r>
          </m:e>
          <m:sub>
            <m:r>
              <w:rPr>
                <w:rFonts w:ascii="Cambria Math" w:hAnsi="Cambria Math"/>
                <w:szCs w:val="24"/>
              </w:rPr>
              <m:t>ir</m:t>
            </m:r>
          </m:sub>
        </m:sSub>
      </m:oMath>
      <w:r w:rsidRPr="00BC3CCF">
        <w:rPr>
          <w:szCs w:val="24"/>
        </w:rPr>
        <w:t xml:space="preserve"> is a vector of attributes that influences the propensity associated with </w:t>
      </w:r>
      <w:r w:rsidR="00502AF0">
        <w:rPr>
          <w:szCs w:val="24"/>
        </w:rPr>
        <w:t>crash severities</w:t>
      </w:r>
      <w:r w:rsidRPr="00BC3CCF">
        <w:rPr>
          <w:szCs w:val="24"/>
        </w:rPr>
        <w:t xml:space="preserve">. </w:t>
      </w:r>
      <m:oMath>
        <m:sSub>
          <m:sSubPr>
            <m:ctrlPr>
              <w:rPr>
                <w:rFonts w:ascii="Cambria Math" w:eastAsia="Calibri" w:hAnsi="Cambria Math" w:cs="Times New Roman"/>
                <w:i/>
                <w:lang w:val="en-US"/>
              </w:rPr>
            </m:ctrlPr>
          </m:sSubPr>
          <m:e>
            <m:r>
              <w:rPr>
                <w:rFonts w:ascii="Cambria Math" w:eastAsia="Calibri" w:hAnsi="Cambria Math" w:cs="Times New Roman"/>
                <w:lang w:val="en-US"/>
              </w:rPr>
              <m:t>α</m:t>
            </m:r>
          </m:e>
          <m:sub>
            <m:r>
              <w:rPr>
                <w:rFonts w:ascii="Cambria Math" w:eastAsia="Calibri" w:hAnsi="Cambria Math" w:cs="Times New Roman"/>
                <w:lang w:val="en-US"/>
              </w:rPr>
              <m:t>r</m:t>
            </m:r>
          </m:sub>
        </m:sSub>
      </m:oMath>
      <w:r w:rsidRPr="00BC3CCF">
        <w:rPr>
          <w:szCs w:val="24"/>
        </w:rPr>
        <w:t xml:space="preserve"> is a corresponding vector of mean effects</w:t>
      </w:r>
      <w:r w:rsidR="00E0612D">
        <w:rPr>
          <w:szCs w:val="24"/>
        </w:rPr>
        <w:t xml:space="preserve"> specific to </w:t>
      </w:r>
      <m:oMath>
        <m:r>
          <w:rPr>
            <w:rFonts w:ascii="Cambria Math" w:hAnsi="Cambria Math"/>
          </w:rPr>
          <m:t>r</m:t>
        </m:r>
      </m:oMath>
      <w:r w:rsidRPr="00BC3CCF">
        <w:rPr>
          <w:szCs w:val="24"/>
        </w:rPr>
        <w:t xml:space="preserve">, and </w:t>
      </w:r>
      <m:oMath>
        <m:sSub>
          <m:sSubPr>
            <m:ctrlPr>
              <w:rPr>
                <w:rFonts w:ascii="Cambria Math" w:hAnsi="Cambria Math"/>
                <w:szCs w:val="24"/>
              </w:rPr>
            </m:ctrlPr>
          </m:sSubPr>
          <m:e>
            <m:r>
              <w:rPr>
                <w:rFonts w:ascii="Cambria Math" w:hAnsi="Cambria Math"/>
                <w:szCs w:val="24"/>
              </w:rPr>
              <m:t>γ</m:t>
            </m:r>
          </m:e>
          <m:sub>
            <m:r>
              <w:rPr>
                <w:rFonts w:ascii="Cambria Math" w:hAnsi="Cambria Math"/>
                <w:szCs w:val="24"/>
              </w:rPr>
              <m:t>irk</m:t>
            </m:r>
          </m:sub>
        </m:sSub>
      </m:oMath>
      <w:r w:rsidRPr="00BC3CCF">
        <w:rPr>
          <w:szCs w:val="24"/>
        </w:rPr>
        <w:t xml:space="preserve"> </w:t>
      </w:r>
      <w:r w:rsidR="000E1121">
        <w:rPr>
          <w:rFonts w:eastAsia="Times New Roman" w:cs="Times New Roman"/>
          <w:szCs w:val="24"/>
          <w:lang w:val="en-US"/>
        </w:rPr>
        <w:t xml:space="preserve">is a vector of unobserved factors on severity proportion propensity for TAZ </w:t>
      </w:r>
      <m:oMath>
        <m:r>
          <w:rPr>
            <w:rFonts w:ascii="Cambria Math" w:hAnsi="Cambria Math"/>
          </w:rPr>
          <m:t>i</m:t>
        </m:r>
      </m:oMath>
      <w:r w:rsidR="00E0612D">
        <w:rPr>
          <w:rFonts w:eastAsia="Times New Roman" w:cs="Times New Roman"/>
          <w:szCs w:val="24"/>
          <w:lang w:val="en-US"/>
        </w:rPr>
        <w:t xml:space="preserve"> </w:t>
      </w:r>
      <w:r w:rsidR="00B24BFD">
        <w:rPr>
          <w:rFonts w:eastAsia="Times New Roman" w:cs="Times New Roman"/>
          <w:szCs w:val="24"/>
          <w:lang w:val="en-US"/>
        </w:rPr>
        <w:t xml:space="preserve">specific to crash type </w:t>
      </w:r>
      <m:oMath>
        <m:r>
          <w:rPr>
            <w:rFonts w:ascii="Cambria Math" w:hAnsi="Cambria Math"/>
          </w:rPr>
          <m:t>r</m:t>
        </m:r>
      </m:oMath>
      <w:r w:rsidR="00B24BFD">
        <w:rPr>
          <w:rFonts w:eastAsia="Times New Roman" w:cs="Times New Roman"/>
          <w:szCs w:val="24"/>
          <w:lang w:val="en-US"/>
        </w:rPr>
        <w:t xml:space="preserve"> </w:t>
      </w:r>
      <w:r w:rsidR="000E1121">
        <w:rPr>
          <w:rFonts w:eastAsia="Times New Roman" w:cs="Times New Roman"/>
          <w:szCs w:val="24"/>
          <w:lang w:val="en-US"/>
        </w:rPr>
        <w:t xml:space="preserve">and its associated zonal characteristics assumed to be a realization from standard normal distribution: </w:t>
      </w:r>
      <m:oMath>
        <m:r>
          <m:rPr>
            <m:sty m:val="bi"/>
          </m:rPr>
          <w:rPr>
            <w:rFonts w:ascii="Cambria Math" w:eastAsia="Times New Roman" w:hAnsi="Cambria Math" w:cs="Times New Roman"/>
            <w:szCs w:val="24"/>
            <w:lang w:val="en-US"/>
          </w:rPr>
          <m:t>ρ</m:t>
        </m:r>
        <m:r>
          <w:rPr>
            <w:rFonts w:ascii="Cambria Math" w:eastAsia="Times New Roman" w:hAnsi="Cambria Math" w:cs="Times New Roman"/>
            <w:szCs w:val="24"/>
            <w:lang w:val="en-US"/>
          </w:rPr>
          <m:t xml:space="preserve">~N(0, </m:t>
        </m:r>
        <m:sSup>
          <m:sSupPr>
            <m:ctrlPr>
              <w:rPr>
                <w:rFonts w:ascii="Cambria Math" w:eastAsia="Times New Roman" w:hAnsi="Cambria Math" w:cs="Times New Roman"/>
                <w:i/>
                <w:szCs w:val="24"/>
                <w:lang w:val="en-US"/>
              </w:rPr>
            </m:ctrlPr>
          </m:sSupPr>
          <m:e>
            <m:r>
              <m:rPr>
                <m:sty m:val="bi"/>
              </m:rPr>
              <w:rPr>
                <w:rFonts w:ascii="Cambria Math" w:eastAsia="Times New Roman" w:hAnsi="Cambria Math" w:cs="Times New Roman"/>
                <w:szCs w:val="24"/>
                <w:lang w:val="en-US"/>
              </w:rPr>
              <m:t>σ</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oMath>
      <w:r w:rsidR="000E1121">
        <w:rPr>
          <w:rFonts w:eastAsia="Times New Roman" w:cs="Times New Roman"/>
          <w:szCs w:val="24"/>
          <w:lang w:val="en-US"/>
        </w:rPr>
        <w:t>.</w:t>
      </w:r>
      <w:r w:rsidRPr="00BC3CCF">
        <w:rPr>
          <w:szCs w:val="24"/>
        </w:rPr>
        <w:t xml:space="preserve"> </w:t>
      </w:r>
      <m:oMath>
        <m:sSub>
          <m:sSubPr>
            <m:ctrlPr>
              <w:rPr>
                <w:rFonts w:ascii="Cambria Math" w:hAnsi="Cambria Math"/>
                <w:szCs w:val="24"/>
              </w:rPr>
            </m:ctrlPr>
          </m:sSubPr>
          <m:e>
            <m:r>
              <w:rPr>
                <w:rFonts w:ascii="Cambria Math" w:hAnsi="Cambria Math"/>
                <w:szCs w:val="24"/>
              </w:rPr>
              <m:t>δ</m:t>
            </m:r>
          </m:e>
          <m:sub>
            <m:r>
              <w:rPr>
                <w:rFonts w:ascii="Cambria Math" w:hAnsi="Cambria Math"/>
                <w:szCs w:val="24"/>
              </w:rPr>
              <m:t>ir</m:t>
            </m:r>
          </m:sub>
        </m:sSub>
      </m:oMath>
      <w:r w:rsidRPr="00BC3CCF">
        <w:rPr>
          <w:szCs w:val="24"/>
        </w:rPr>
        <w:t xml:space="preserve"> is a vector of unobserved effects specific to </w:t>
      </w:r>
      <w:r w:rsidR="002A5ADD">
        <w:rPr>
          <w:rFonts w:eastAsiaTheme="minorEastAsia" w:cs="Times New Roman"/>
          <w:szCs w:val="24"/>
          <w:lang w:eastAsia="en-CA"/>
        </w:rPr>
        <w:t xml:space="preserve">crash type </w:t>
      </w:r>
      <m:oMath>
        <m:r>
          <w:rPr>
            <w:rFonts w:ascii="Cambria Math" w:hAnsi="Cambria Math"/>
          </w:rPr>
          <m:t>r</m:t>
        </m:r>
      </m:oMath>
      <w:r w:rsidRPr="00BC3CCF">
        <w:rPr>
          <w:szCs w:val="24"/>
        </w:rPr>
        <w:t>.</w:t>
      </w:r>
      <w:r w:rsidR="0027706C" w:rsidRPr="0027706C">
        <w:rPr>
          <w:rFonts w:eastAsiaTheme="minorEastAsia" w:cs="Times New Roman"/>
          <w:szCs w:val="24"/>
          <w:lang w:val="en-US"/>
        </w:rPr>
        <w:t xml:space="preserve"> </w:t>
      </w:r>
      <w:r w:rsidR="0027706C">
        <w:rPr>
          <w:rFonts w:eastAsiaTheme="minorEastAsia" w:cs="Times New Roman"/>
          <w:szCs w:val="24"/>
          <w:lang w:val="en-US"/>
        </w:rPr>
        <w:t xml:space="preserve">This </w:t>
      </w:r>
      <m:oMath>
        <m:sSub>
          <m:sSubPr>
            <m:ctrlPr>
              <w:rPr>
                <w:rFonts w:ascii="Cambria Math" w:hAnsi="Cambria Math"/>
                <w:szCs w:val="24"/>
              </w:rPr>
            </m:ctrlPr>
          </m:sSubPr>
          <m:e>
            <m:r>
              <w:rPr>
                <w:rFonts w:ascii="Cambria Math" w:hAnsi="Cambria Math"/>
                <w:szCs w:val="24"/>
              </w:rPr>
              <m:t>δ</m:t>
            </m:r>
          </m:e>
          <m:sub>
            <m:r>
              <w:rPr>
                <w:rFonts w:ascii="Cambria Math" w:hAnsi="Cambria Math"/>
                <w:szCs w:val="24"/>
              </w:rPr>
              <m:t>ir</m:t>
            </m:r>
          </m:sub>
        </m:sSub>
      </m:oMath>
      <w:r w:rsidR="0027706C">
        <w:rPr>
          <w:rFonts w:eastAsiaTheme="minorEastAsia" w:cs="Times New Roman"/>
        </w:rPr>
        <w:t xml:space="preserve"> will be same across severity proportion</w:t>
      </w:r>
      <w:r w:rsidR="003F2D3F">
        <w:rPr>
          <w:rFonts w:eastAsiaTheme="minorEastAsia" w:cs="Times New Roman"/>
        </w:rPr>
        <w:t>s</w:t>
      </w:r>
      <w:r w:rsidR="0027706C">
        <w:rPr>
          <w:rFonts w:eastAsiaTheme="minorEastAsia" w:cs="Times New Roman"/>
        </w:rPr>
        <w:t xml:space="preserve"> </w:t>
      </w:r>
      <w:r w:rsidR="00030ED3">
        <w:rPr>
          <w:rFonts w:eastAsiaTheme="minorEastAsia" w:cs="Times New Roman"/>
        </w:rPr>
        <w:t xml:space="preserve">in any TAZ </w:t>
      </w:r>
      <w:r w:rsidR="0027706C">
        <w:rPr>
          <w:rFonts w:eastAsiaTheme="minorEastAsia" w:cs="Times New Roman"/>
        </w:rPr>
        <w:t xml:space="preserve">and thus the unobserved heterogeneity across </w:t>
      </w:r>
      <w:r w:rsidR="005E4542">
        <w:rPr>
          <w:rFonts w:eastAsiaTheme="minorEastAsia" w:cs="Times New Roman"/>
        </w:rPr>
        <w:t>the severity proportions</w:t>
      </w:r>
      <w:r w:rsidR="0027706C">
        <w:rPr>
          <w:rFonts w:eastAsiaTheme="minorEastAsia" w:cs="Times New Roman"/>
        </w:rPr>
        <w:t xml:space="preserve"> will be captured</w:t>
      </w:r>
      <w:r w:rsidR="00E0612D">
        <w:rPr>
          <w:rFonts w:eastAsiaTheme="minorEastAsia" w:cs="Times New Roman"/>
        </w:rPr>
        <w:t>.</w:t>
      </w:r>
      <w:r w:rsidRPr="00BC3CCF">
        <w:rPr>
          <w:szCs w:val="24"/>
        </w:rPr>
        <w:t xml:space="preserve"> </w:t>
      </w:r>
      <m:oMath>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ξ</m:t>
            </m:r>
          </m:e>
          <m:sub>
            <m:r>
              <w:rPr>
                <w:rFonts w:ascii="Cambria Math" w:eastAsia="Times New Roman" w:hAnsi="Cambria Math" w:cs="Times New Roman"/>
                <w:szCs w:val="24"/>
                <w:lang w:val="en-US"/>
              </w:rPr>
              <m:t>irk</m:t>
            </m:r>
          </m:sub>
        </m:sSub>
      </m:oMath>
      <w:r w:rsidRPr="00BC3CCF">
        <w:rPr>
          <w:szCs w:val="24"/>
        </w:rPr>
        <w:t xml:space="preserve"> is an idiosyncratic random error term assumed to be identically and independently standard normal distributed across </w:t>
      </w:r>
      <w:r w:rsidR="007423A4">
        <w:rPr>
          <w:szCs w:val="24"/>
        </w:rPr>
        <w:t>TAZ</w:t>
      </w:r>
      <w:r w:rsidRPr="00BC3CCF">
        <w:rPr>
          <w:szCs w:val="24"/>
        </w:rPr>
        <w:t xml:space="preserve"> </w:t>
      </w:r>
      <m:oMath>
        <m:r>
          <w:rPr>
            <w:rFonts w:ascii="Cambria Math" w:hAnsi="Cambria Math"/>
          </w:rPr>
          <m:t>i</m:t>
        </m:r>
      </m:oMath>
      <w:r w:rsidRPr="00BC3CCF">
        <w:rPr>
          <w:szCs w:val="24"/>
        </w:rPr>
        <w:t>.</w:t>
      </w:r>
      <m:oMath>
        <m:r>
          <w:rPr>
            <w:rFonts w:ascii="Cambria Math" w:eastAsia="Times New Roman" w:hAnsi="Cambria Math" w:cs="Times New Roman"/>
            <w:szCs w:val="24"/>
            <w:lang w:val="en-US"/>
          </w:rPr>
          <m:t xml:space="preserve"> </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η</m:t>
            </m:r>
          </m:e>
          <m:sub>
            <m:r>
              <w:rPr>
                <w:rFonts w:ascii="Cambria Math" w:eastAsia="Times New Roman" w:hAnsi="Cambria Math" w:cs="Times New Roman"/>
                <w:szCs w:val="24"/>
                <w:lang w:val="en-US"/>
              </w:rPr>
              <m:t>irk</m:t>
            </m:r>
          </m:sub>
        </m:sSub>
      </m:oMath>
      <w:r w:rsidR="00347D15">
        <w:rPr>
          <w:rFonts w:eastAsia="Times New Roman" w:cs="Times New Roman"/>
          <w:szCs w:val="24"/>
          <w:lang w:val="en-US"/>
        </w:rPr>
        <w:t xml:space="preserve"> term generates the correlation between equations for total number of crashes and crash proportions by severity levels for different </w:t>
      </w:r>
      <w:r w:rsidR="002379B7">
        <w:rPr>
          <w:rFonts w:eastAsia="Times New Roman" w:cs="Times New Roman"/>
          <w:szCs w:val="24"/>
          <w:lang w:val="en-US"/>
        </w:rPr>
        <w:t>crash</w:t>
      </w:r>
      <w:r w:rsidR="00347D15">
        <w:rPr>
          <w:rFonts w:eastAsia="Times New Roman" w:cs="Times New Roman"/>
          <w:szCs w:val="24"/>
          <w:lang w:val="en-US"/>
        </w:rPr>
        <w:t xml:space="preserve"> type.</w:t>
      </w:r>
    </w:p>
    <w:p w14:paraId="2CB619B1" w14:textId="17A88AF6" w:rsidR="001B01B5" w:rsidRDefault="001B01B5" w:rsidP="00977F4B">
      <w:pPr>
        <w:ind w:firstLine="720"/>
        <w:rPr>
          <w:rFonts w:eastAsia="Times New Roman" w:cs="Times New Roman"/>
          <w:szCs w:val="24"/>
          <w:lang w:val="en-US"/>
        </w:rPr>
      </w:pPr>
      <w:r w:rsidRPr="00977F4B">
        <w:rPr>
          <w:rFonts w:eastAsia="Times New Roman" w:cs="Times New Roman"/>
          <w:szCs w:val="24"/>
          <w:lang w:val="en-US"/>
        </w:rPr>
        <w:t>The GOPFS model relaxes the constant threshold across observation to provide a flexible form of the OPFS model. The basic idea of the GOPFS is to represent the threshold parameters as a linear function of exogenous variables. Thus, the thresholds are expressed as:</w:t>
      </w:r>
    </w:p>
    <w:tbl>
      <w:tblPr>
        <w:tblStyle w:val="TableGrid"/>
        <w:tblW w:w="4962"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3"/>
        <w:gridCol w:w="1067"/>
      </w:tblGrid>
      <w:tr w:rsidR="005430A9" w:rsidRPr="0010387C" w14:paraId="1E820FCA" w14:textId="77777777" w:rsidTr="00192C8C">
        <w:tc>
          <w:tcPr>
            <w:tcW w:w="4424" w:type="pct"/>
          </w:tcPr>
          <w:p w14:paraId="3ADB1C6C" w14:textId="463ECE38" w:rsidR="005430A9" w:rsidRPr="005430A9" w:rsidRDefault="00DA4C35" w:rsidP="007B6C5C">
            <w:pPr>
              <w:spacing w:before="360" w:after="360"/>
              <w:rPr>
                <w:rFonts w:eastAsia="Calibri" w:cs="Times New Roman"/>
                <w:lang w:val="en-US"/>
              </w:rPr>
            </w:pPr>
            <m:oMathPara>
              <m:oMathParaPr>
                <m:jc m:val="left"/>
              </m:oMathParaPr>
              <m:oMath>
                <m:sSub>
                  <m:sSubPr>
                    <m:ctrlPr>
                      <w:rPr>
                        <w:rFonts w:ascii="Cambria Math" w:eastAsia="Times New Roman" w:hAnsi="Cambria Math" w:cs="Times New Roman"/>
                        <w:sz w:val="22"/>
                        <w:lang w:val="en-US"/>
                      </w:rPr>
                    </m:ctrlPr>
                  </m:sSubPr>
                  <m:e>
                    <m:r>
                      <w:rPr>
                        <w:rFonts w:ascii="Cambria Math" w:eastAsia="Times New Roman" w:hAnsi="Cambria Math" w:cs="Times New Roman"/>
                        <w:sz w:val="22"/>
                        <w:lang w:val="en-US"/>
                      </w:rPr>
                      <m:t>ψ</m:t>
                    </m:r>
                  </m:e>
                  <m:sub>
                    <m:r>
                      <w:rPr>
                        <w:rFonts w:ascii="Cambria Math" w:eastAsia="Times New Roman" w:cs="Times New Roman"/>
                        <w:sz w:val="22"/>
                        <w:lang w:val="en-US"/>
                      </w:rPr>
                      <m:t>rk</m:t>
                    </m:r>
                  </m:sub>
                </m:sSub>
                <m:r>
                  <m:rPr>
                    <m:sty m:val="p"/>
                  </m:rPr>
                  <w:rPr>
                    <w:rFonts w:ascii="Cambria Math" w:eastAsia="Times New Roman" w:cs="Times New Roman"/>
                    <w:sz w:val="22"/>
                    <w:lang w:val="en-US"/>
                  </w:rPr>
                  <m:t>=</m:t>
                </m:r>
                <m:r>
                  <w:rPr>
                    <w:rFonts w:ascii="Cambria Math" w:eastAsia="Times New Roman" w:hAnsi="Cambria Math" w:cs="Times New Roman"/>
                    <w:sz w:val="22"/>
                    <w:lang w:val="en-US"/>
                  </w:rPr>
                  <m:t>fn</m:t>
                </m:r>
                <m:r>
                  <m:rPr>
                    <m:sty m:val="p"/>
                  </m:rPr>
                  <w:rPr>
                    <w:rFonts w:ascii="Cambria Math" w:eastAsia="Times New Roman" w:cs="Times New Roman"/>
                    <w:sz w:val="22"/>
                    <w:lang w:val="en-US"/>
                  </w:rPr>
                  <m:t>(</m:t>
                </m:r>
                <m:sSub>
                  <m:sSubPr>
                    <m:ctrlPr>
                      <w:rPr>
                        <w:rFonts w:ascii="Cambria Math" w:eastAsia="Times New Roman" w:hAnsi="Cambria Math" w:cs="Times New Roman"/>
                        <w:sz w:val="22"/>
                        <w:lang w:val="en-US"/>
                      </w:rPr>
                    </m:ctrlPr>
                  </m:sSubPr>
                  <m:e>
                    <m:r>
                      <w:rPr>
                        <w:rFonts w:ascii="Cambria Math" w:eastAsia="Times New Roman" w:hAnsi="Cambria Math" w:cs="Times New Roman"/>
                        <w:sz w:val="22"/>
                        <w:lang w:val="en-US"/>
                      </w:rPr>
                      <m:t>s</m:t>
                    </m:r>
                  </m:e>
                  <m:sub>
                    <m:r>
                      <w:rPr>
                        <w:rFonts w:ascii="Cambria Math" w:eastAsia="Times New Roman" w:cs="Times New Roman"/>
                        <w:sz w:val="22"/>
                        <w:lang w:val="en-US"/>
                      </w:rPr>
                      <m:t>irk</m:t>
                    </m:r>
                  </m:sub>
                </m:sSub>
                <m:r>
                  <m:rPr>
                    <m:sty m:val="p"/>
                  </m:rPr>
                  <w:rPr>
                    <w:rFonts w:ascii="Cambria Math" w:eastAsia="Times New Roman" w:cs="Times New Roman"/>
                    <w:sz w:val="22"/>
                    <w:lang w:val="en-US"/>
                  </w:rPr>
                  <m:t>)</m:t>
                </m:r>
              </m:oMath>
            </m:oMathPara>
          </w:p>
        </w:tc>
        <w:tc>
          <w:tcPr>
            <w:tcW w:w="576" w:type="pct"/>
            <w:vAlign w:val="center"/>
          </w:tcPr>
          <w:p w14:paraId="02DE2019" w14:textId="77777777" w:rsidR="005430A9" w:rsidRPr="0010387C" w:rsidRDefault="005430A9" w:rsidP="005430A9">
            <w:pPr>
              <w:numPr>
                <w:ilvl w:val="0"/>
                <w:numId w:val="11"/>
              </w:numPr>
              <w:spacing w:before="360" w:after="360"/>
              <w:contextualSpacing/>
              <w:jc w:val="right"/>
              <w:rPr>
                <w:rFonts w:ascii="Calibri" w:eastAsia="Calibri" w:hAnsi="Calibri" w:cs="Times New Roman"/>
                <w:lang w:val="en-US"/>
              </w:rPr>
            </w:pPr>
          </w:p>
        </w:tc>
      </w:tr>
    </w:tbl>
    <w:p w14:paraId="04BCA6E5" w14:textId="283A0C2F" w:rsidR="001B01B5" w:rsidRDefault="001B01B5" w:rsidP="0081510F">
      <w:pPr>
        <w:rPr>
          <w:szCs w:val="24"/>
        </w:rPr>
      </w:pPr>
      <w:r w:rsidRPr="00A31127">
        <w:rPr>
          <w:szCs w:val="24"/>
        </w:rPr>
        <w:lastRenderedPageBreak/>
        <w:t xml:space="preserve">where, </w:t>
      </w:r>
      <m:oMath>
        <m:sSub>
          <m:sSubPr>
            <m:ctrlPr>
              <w:rPr>
                <w:rFonts w:ascii="Cambria Math" w:hAnsi="Cambria Math"/>
                <w:szCs w:val="24"/>
              </w:rPr>
            </m:ctrlPr>
          </m:sSubPr>
          <m:e>
            <m:r>
              <w:rPr>
                <w:rFonts w:ascii="Cambria Math" w:hAnsi="Cambria Math"/>
                <w:szCs w:val="24"/>
              </w:rPr>
              <m:t>s</m:t>
            </m:r>
          </m:e>
          <m:sub>
            <m:r>
              <w:rPr>
                <w:rFonts w:ascii="Cambria Math"/>
                <w:szCs w:val="24"/>
              </w:rPr>
              <m:t>irk</m:t>
            </m:r>
          </m:sub>
        </m:sSub>
      </m:oMath>
      <w:r w:rsidRPr="00A31127">
        <w:rPr>
          <w:szCs w:val="24"/>
        </w:rPr>
        <w:t xml:space="preserve"> is a set of exogenous variables (including a constant) associated with </w:t>
      </w:r>
      <m:oMath>
        <m:r>
          <w:rPr>
            <w:rFonts w:ascii="Cambria Math" w:hAnsi="Cambria Math"/>
            <w:szCs w:val="24"/>
          </w:rPr>
          <m:t>k</m:t>
        </m:r>
        <m:r>
          <m:rPr>
            <m:sty m:val="p"/>
          </m:rPr>
          <w:rPr>
            <w:rFonts w:ascii="Cambria Math"/>
            <w:szCs w:val="24"/>
          </w:rPr>
          <m:t xml:space="preserve"> th</m:t>
        </m:r>
      </m:oMath>
      <w:r w:rsidRPr="00A31127">
        <w:rPr>
          <w:szCs w:val="24"/>
        </w:rPr>
        <w:t xml:space="preserve"> threshold. Further, to ensure the accepted ordering of observed </w:t>
      </w:r>
      <w:r w:rsidR="00DB5121">
        <w:rPr>
          <w:szCs w:val="24"/>
        </w:rPr>
        <w:t>crash severity</w:t>
      </w:r>
      <w:r w:rsidRPr="00A31127">
        <w:rPr>
          <w:szCs w:val="24"/>
        </w:rPr>
        <w:t xml:space="preserve"> proportion </w:t>
      </w:r>
      <m:oMath>
        <m:d>
          <m:dPr>
            <m:ctrlPr>
              <w:rPr>
                <w:rFonts w:ascii="Cambria Math" w:hAnsi="Cambria Math"/>
                <w:szCs w:val="24"/>
              </w:rPr>
            </m:ctrlPr>
          </m:dPr>
          <m:e>
            <m:r>
              <m:rPr>
                <m:sty m:val="p"/>
              </m:rPr>
              <w:rPr>
                <w:rFonts w:ascii="Cambria Math"/>
                <w:szCs w:val="24"/>
              </w:rPr>
              <m:t>-∞</m:t>
            </m:r>
            <m:r>
              <m:rPr>
                <m:sty m:val="p"/>
              </m:rPr>
              <w:rPr>
                <w:rFonts w:ascii="Cambria Math"/>
                <w:szCs w:val="24"/>
              </w:rPr>
              <m:t>&lt;</m:t>
            </m:r>
            <m:sSub>
              <m:sSubPr>
                <m:ctrlPr>
                  <w:rPr>
                    <w:rFonts w:ascii="Cambria Math" w:hAnsi="Cambria Math"/>
                    <w:szCs w:val="24"/>
                  </w:rPr>
                </m:ctrlPr>
              </m:sSubPr>
              <m:e>
                <m:r>
                  <w:rPr>
                    <w:rFonts w:ascii="Cambria Math" w:hAnsi="Cambria Math"/>
                    <w:szCs w:val="24"/>
                  </w:rPr>
                  <m:t>ψ</m:t>
                </m:r>
              </m:e>
              <m:sub>
                <m:r>
                  <m:rPr>
                    <m:sty m:val="p"/>
                  </m:rPr>
                  <w:rPr>
                    <w:rFonts w:ascii="Cambria Math"/>
                    <w:szCs w:val="24"/>
                  </w:rPr>
                  <m:t>r1</m:t>
                </m:r>
              </m:sub>
            </m:sSub>
            <m:r>
              <m:rPr>
                <m:sty m:val="p"/>
              </m:rPr>
              <w:rPr>
                <w:rFonts w:ascii="Cambria Math"/>
                <w:szCs w:val="24"/>
              </w:rPr>
              <m:t>&lt;</m:t>
            </m:r>
            <m:sSub>
              <m:sSubPr>
                <m:ctrlPr>
                  <w:rPr>
                    <w:rFonts w:ascii="Cambria Math" w:hAnsi="Cambria Math"/>
                    <w:szCs w:val="24"/>
                  </w:rPr>
                </m:ctrlPr>
              </m:sSubPr>
              <m:e>
                <m:r>
                  <w:rPr>
                    <w:rFonts w:ascii="Cambria Math" w:hAnsi="Cambria Math"/>
                    <w:szCs w:val="24"/>
                  </w:rPr>
                  <m:t>ψ</m:t>
                </m:r>
              </m:e>
              <m:sub>
                <m:r>
                  <m:rPr>
                    <m:sty m:val="p"/>
                  </m:rPr>
                  <w:rPr>
                    <w:rFonts w:ascii="Cambria Math"/>
                    <w:szCs w:val="24"/>
                  </w:rPr>
                  <m:t>r2</m:t>
                </m:r>
              </m:sub>
            </m:sSub>
            <m:r>
              <m:rPr>
                <m:sty m:val="p"/>
              </m:rPr>
              <w:rPr>
                <w:rFonts w:ascii="Cambria Math"/>
                <w:szCs w:val="24"/>
              </w:rPr>
              <m:t xml:space="preserve">&lt; </m:t>
            </m:r>
            <m:r>
              <m:rPr>
                <m:sty m:val="p"/>
              </m:rPr>
              <w:rPr>
                <w:rFonts w:ascii="Cambria Math"/>
                <w:szCs w:val="24"/>
              </w:rPr>
              <m:t>………</m:t>
            </m:r>
            <m:r>
              <m:rPr>
                <m:sty m:val="p"/>
              </m:rPr>
              <w:rPr>
                <w:rFonts w:ascii="Cambria Math"/>
                <w:szCs w:val="24"/>
              </w:rPr>
              <m:t>&lt;</m:t>
            </m:r>
            <m:sSub>
              <m:sSubPr>
                <m:ctrlPr>
                  <w:rPr>
                    <w:rFonts w:ascii="Cambria Math" w:hAnsi="Cambria Math"/>
                    <w:szCs w:val="24"/>
                  </w:rPr>
                </m:ctrlPr>
              </m:sSubPr>
              <m:e>
                <m:r>
                  <w:rPr>
                    <w:rFonts w:ascii="Cambria Math" w:hAnsi="Cambria Math"/>
                    <w:szCs w:val="24"/>
                  </w:rPr>
                  <m:t>ψ</m:t>
                </m:r>
              </m:e>
              <m:sub>
                <m:r>
                  <m:rPr>
                    <m:sty m:val="p"/>
                  </m:rPr>
                  <w:rPr>
                    <w:rFonts w:ascii="Cambria Math" w:hAnsi="Cambria Math"/>
                    <w:szCs w:val="24"/>
                  </w:rPr>
                  <m:t>rK-</m:t>
                </m:r>
                <m:r>
                  <m:rPr>
                    <m:sty m:val="p"/>
                  </m:rPr>
                  <w:rPr>
                    <w:rFonts w:ascii="Cambria Math"/>
                    <w:szCs w:val="24"/>
                  </w:rPr>
                  <m:t>1</m:t>
                </m:r>
              </m:sub>
            </m:sSub>
            <m:r>
              <m:rPr>
                <m:sty m:val="p"/>
              </m:rPr>
              <w:rPr>
                <w:rFonts w:ascii="Cambria Math"/>
                <w:szCs w:val="24"/>
              </w:rPr>
              <m:t>&lt;+</m:t>
            </m:r>
            <m:r>
              <m:rPr>
                <m:sty m:val="p"/>
              </m:rPr>
              <w:rPr>
                <w:rFonts w:ascii="Cambria Math"/>
                <w:szCs w:val="24"/>
              </w:rPr>
              <m:t>∞</m:t>
            </m:r>
          </m:e>
        </m:d>
      </m:oMath>
      <w:r w:rsidRPr="00A31127">
        <w:rPr>
          <w:szCs w:val="24"/>
        </w:rPr>
        <w:t>, we employ the following parametric form as employed by Eluru et al.</w:t>
      </w:r>
      <w:r w:rsidR="008A35C3">
        <w:rPr>
          <w:szCs w:val="24"/>
        </w:rPr>
        <w:fldChar w:fldCharType="begin" w:fldLock="1"/>
      </w:r>
      <w:r w:rsidR="00B81912">
        <w:rPr>
          <w:szCs w:val="24"/>
        </w:rPr>
        <w:instrText>ADDIN CSL_CITATION {"citationItems":[{"id":"ITEM-1","itemData":{"DOI":"10.1016/j.aap.2007.11.010","ISBN":"0001-4575","ISSN":"00014575","PMID":"18460372","abstract":"This paper proposes an econometric structure for injury severity analysis at the level of individual accidents that recognizes the ordinal nature of the categories in which injury severity are recorded, while also allowing flexibility in capturing the effects of explanatory variables on each ordinal category and allowing heterogeneity in the effects of contributing factors due to the moderating influence of unobserved factors. The model developed here, referred to as the mixed generalized ordered response logit (MGORL) model, generalizes the standard ordered response models used in the extant literature for injury severity analysis. To our knowledge, this is the first such formulation to be proposed and applied in the econometric literature in general, and in the safety analysis literature in particular. The MGORL model is applied to examine non-motorist injury severity in accidents in the USA, using the 2004 General Estimates System (GES) database. The empirical findings emphasize the inconsistent results obtained from the standard ordered response model. An important policy result from our analysis is that the general pattern and relative magnitude of elasticity effects of injury severity determinants are similar for pedestrians and bicyclists. The analysis also suggests that the most important variables influencing non-motorist injury severity are the age of the individual (the elderly are more injury-prone), the speed limit on the roadway (higher speed limits lead to higher injury severity levels), location of crashes (those at signalized intersections are less severe than those elsewhere), and time-of-day (darker periods lead to higher injury severity). © 2007 Elsevier Ltd. All rights reserved.","author":[{"dropping-particle":"","family":"Eluru","given":"Naveen","non-dropping-particle":"","parse-names":false,"suffix":""},{"dropping-particle":"","family":"Bhat","given":"Chandra R.","non-dropping-particle":"","parse-names":false,"suffix":""},{"dropping-particle":"","family":"Hensher","given":"David A.","non-dropping-particle":"","parse-names":false,"suffix":""}],"container-title":"Accident Analysis and Prevention","id":"ITEM-1","issue":"3","issued":{"date-parts":[["2008"]]},"page":"1033-1054","publisher":"Elsevier","title":"A mixed generalized ordered response model for examining pedestrian and bicyclist injury severity level in traffic crashes","type":"article-journal","volume":"40"},"uris":["http://www.mendeley.com/documents/?uuid=f9336cb9-b86b-43b8-9086-33f5b0bb75bf"]}],"mendeley":{"formattedCitation":"(Eluru et al., 2008)","plainTextFormattedCitation":"(Eluru et al., 2008)","previouslyFormattedCitation":"(Eluru et al., 2008)"},"properties":{"noteIndex":0},"schema":"https://github.com/citation-style-language/schema/raw/master/csl-citation.json"}</w:instrText>
      </w:r>
      <w:r w:rsidR="008A35C3">
        <w:rPr>
          <w:szCs w:val="24"/>
        </w:rPr>
        <w:fldChar w:fldCharType="separate"/>
      </w:r>
      <w:r w:rsidR="008A35C3" w:rsidRPr="008A35C3">
        <w:rPr>
          <w:noProof/>
          <w:szCs w:val="24"/>
        </w:rPr>
        <w:t>(Eluru et al., 2008)</w:t>
      </w:r>
      <w:r w:rsidR="008A35C3">
        <w:rPr>
          <w:szCs w:val="24"/>
        </w:rPr>
        <w:fldChar w:fldCharType="end"/>
      </w:r>
      <w:r w:rsidRPr="00A31127">
        <w:rPr>
          <w:szCs w:val="24"/>
        </w:rPr>
        <w:t>:</w:t>
      </w:r>
    </w:p>
    <w:tbl>
      <w:tblPr>
        <w:tblStyle w:val="TableGrid"/>
        <w:tblW w:w="5094"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5"/>
        <w:gridCol w:w="1401"/>
      </w:tblGrid>
      <w:tr w:rsidR="00972517" w:rsidRPr="0010387C" w14:paraId="6C5812C8" w14:textId="77777777" w:rsidTr="00F56679">
        <w:tc>
          <w:tcPr>
            <w:tcW w:w="4263" w:type="pct"/>
          </w:tcPr>
          <w:p w14:paraId="7D40CFAF" w14:textId="789EDA32" w:rsidR="00972517" w:rsidRPr="005430A9" w:rsidRDefault="00DA4C35" w:rsidP="00B67ABB">
            <w:pPr>
              <w:spacing w:before="360" w:after="360"/>
              <w:rPr>
                <w:rFonts w:eastAsia="Calibri" w:cs="Times New Roman"/>
                <w:lang w:val="en-US"/>
              </w:rPr>
            </w:pPr>
            <m:oMathPara>
              <m:oMathParaPr>
                <m:jc m:val="left"/>
              </m:oMathParaPr>
              <m:oMath>
                <m:sSub>
                  <m:sSubPr>
                    <m:ctrlPr>
                      <w:rPr>
                        <w:rFonts w:ascii="Cambria Math" w:hAnsi="Cambria Math"/>
                        <w:sz w:val="22"/>
                      </w:rPr>
                    </m:ctrlPr>
                  </m:sSubPr>
                  <m:e>
                    <m:r>
                      <w:rPr>
                        <w:rFonts w:ascii="Cambria Math" w:hAnsi="Cambria Math"/>
                        <w:sz w:val="22"/>
                      </w:rPr>
                      <m:t>ψ</m:t>
                    </m:r>
                  </m:e>
                  <m:sub>
                    <m:r>
                      <w:rPr>
                        <w:rFonts w:ascii="Cambria Math"/>
                        <w:sz w:val="22"/>
                      </w:rPr>
                      <m:t>rk</m:t>
                    </m:r>
                  </m:sub>
                </m:sSub>
                <m:r>
                  <m:rPr>
                    <m:sty m:val="p"/>
                  </m:rPr>
                  <w:rPr>
                    <w:rFonts w:ascii="Cambria Math"/>
                    <w:sz w:val="22"/>
                  </w:rPr>
                  <m:t>=</m:t>
                </m:r>
                <m:sSub>
                  <m:sSubPr>
                    <m:ctrlPr>
                      <w:rPr>
                        <w:rFonts w:ascii="Cambria Math" w:hAnsi="Cambria Math"/>
                        <w:sz w:val="22"/>
                      </w:rPr>
                    </m:ctrlPr>
                  </m:sSubPr>
                  <m:e>
                    <m:r>
                      <w:rPr>
                        <w:rFonts w:ascii="Cambria Math" w:hAnsi="Cambria Math"/>
                        <w:sz w:val="22"/>
                      </w:rPr>
                      <m:t>ψ</m:t>
                    </m:r>
                  </m:e>
                  <m:sub>
                    <m:r>
                      <w:rPr>
                        <w:rFonts w:ascii="Cambria Math"/>
                        <w:sz w:val="22"/>
                      </w:rPr>
                      <m:t>r,k</m:t>
                    </m:r>
                    <m:r>
                      <m:rPr>
                        <m:sty m:val="p"/>
                      </m:rPr>
                      <w:rPr>
                        <w:rFonts w:ascii="Cambria Math"/>
                        <w:sz w:val="22"/>
                      </w:rPr>
                      <m:t>-</m:t>
                    </m:r>
                    <m:r>
                      <m:rPr>
                        <m:sty m:val="p"/>
                      </m:rPr>
                      <w:rPr>
                        <w:rFonts w:ascii="Cambria Math"/>
                        <w:sz w:val="22"/>
                      </w:rPr>
                      <m:t>1</m:t>
                    </m:r>
                  </m:sub>
                </m:sSub>
                <m:r>
                  <m:rPr>
                    <m:sty m:val="p"/>
                  </m:rPr>
                  <w:rPr>
                    <w:rFonts w:ascii="Cambria Math"/>
                    <w:sz w:val="22"/>
                  </w:rPr>
                  <m:t>+</m:t>
                </m:r>
                <m:r>
                  <w:rPr>
                    <w:rFonts w:ascii="Cambria Math" w:hAnsi="Cambria Math"/>
                    <w:sz w:val="22"/>
                  </w:rPr>
                  <m:t>exp</m:t>
                </m:r>
                <m:r>
                  <m:rPr>
                    <m:sty m:val="p"/>
                  </m:rPr>
                  <w:rPr>
                    <w:rFonts w:ascii="Cambria Math"/>
                    <w:sz w:val="22"/>
                  </w:rPr>
                  <m:t>((</m:t>
                </m:r>
                <m:sSub>
                  <m:sSubPr>
                    <m:ctrlPr>
                      <w:rPr>
                        <w:rFonts w:ascii="Cambria Math" w:hAnsi="Cambria Math"/>
                        <w:sz w:val="22"/>
                      </w:rPr>
                    </m:ctrlPr>
                  </m:sSubPr>
                  <m:e>
                    <m:sSub>
                      <m:sSubPr>
                        <m:ctrlPr>
                          <w:rPr>
                            <w:rFonts w:ascii="Cambria Math" w:hAnsi="Cambria Math"/>
                            <w:sz w:val="22"/>
                          </w:rPr>
                        </m:ctrlPr>
                      </m:sSubPr>
                      <m:e>
                        <m:r>
                          <w:rPr>
                            <w:rFonts w:ascii="Cambria Math" w:hAnsi="Cambria Math"/>
                            <w:sz w:val="22"/>
                          </w:rPr>
                          <m:t>β</m:t>
                        </m:r>
                      </m:e>
                      <m:sub>
                        <m:r>
                          <w:rPr>
                            <w:rFonts w:ascii="Cambria Math"/>
                            <w:sz w:val="22"/>
                          </w:rPr>
                          <m:t>rk</m:t>
                        </m:r>
                      </m:sub>
                    </m:sSub>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θ</m:t>
                        </m:r>
                      </m:e>
                      <m:sub>
                        <m:r>
                          <w:rPr>
                            <w:rFonts w:ascii="Cambria Math" w:hAnsi="Cambria Math"/>
                            <w:sz w:val="22"/>
                          </w:rPr>
                          <m:t>irk</m:t>
                        </m:r>
                      </m:sub>
                    </m:sSub>
                    <m:r>
                      <w:rPr>
                        <w:rFonts w:ascii="Cambria Math" w:eastAsia="Times New Roman" w:hAnsi="Cambria Math" w:cs="Times New Roman"/>
                        <w:szCs w:val="24"/>
                        <w:lang w:val="en-US"/>
                      </w:rPr>
                      <m:t>+</m:t>
                    </m:r>
                    <m:sSub>
                      <m:sSubPr>
                        <m:ctrlPr>
                          <w:rPr>
                            <w:rFonts w:ascii="Cambria Math" w:hAnsi="Cambria Math"/>
                            <w:sz w:val="22"/>
                          </w:rPr>
                        </m:ctrlPr>
                      </m:sSubPr>
                      <m:e>
                        <m:r>
                          <w:rPr>
                            <w:rFonts w:ascii="Cambria Math" w:hAnsi="Cambria Math"/>
                            <w:sz w:val="22"/>
                          </w:rPr>
                          <m:t>ς</m:t>
                        </m:r>
                      </m:e>
                      <m:sub>
                        <m:r>
                          <w:rPr>
                            <w:rFonts w:ascii="Cambria Math" w:hAnsi="Cambria Math"/>
                            <w:sz w:val="22"/>
                          </w:rPr>
                          <m:t>ir</m:t>
                        </m:r>
                      </m:sub>
                    </m:sSub>
                    <m:r>
                      <w:rPr>
                        <w:rFonts w:ascii="Cambria Math" w:eastAsia="Times New Roman" w:hAnsi="Cambria Math" w:cs="Times New Roman"/>
                        <w:szCs w:val="24"/>
                        <w:lang w:val="en-US"/>
                      </w:rPr>
                      <m:t>+</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η</m:t>
                        </m:r>
                      </m:e>
                      <m:sub>
                        <m:r>
                          <w:rPr>
                            <w:rFonts w:ascii="Cambria Math" w:eastAsia="Times New Roman" w:hAnsi="Cambria Math" w:cs="Times New Roman"/>
                            <w:szCs w:val="24"/>
                            <w:lang w:val="en-US"/>
                          </w:rPr>
                          <m:t>irk</m:t>
                        </m:r>
                      </m:sub>
                    </m:sSub>
                    <m:r>
                      <m:rPr>
                        <m:sty m:val="p"/>
                      </m:rPr>
                      <w:rPr>
                        <w:rFonts w:ascii="Cambria Math" w:hAnsi="Cambria Math"/>
                        <w:sz w:val="22"/>
                      </w:rPr>
                      <m:t>)</m:t>
                    </m:r>
                    <m:r>
                      <w:rPr>
                        <w:rFonts w:ascii="Cambria Math" w:hAnsi="Cambria Math"/>
                        <w:sz w:val="22"/>
                      </w:rPr>
                      <m:t>s</m:t>
                    </m:r>
                  </m:e>
                  <m:sub>
                    <m:r>
                      <w:rPr>
                        <w:rFonts w:ascii="Cambria Math"/>
                        <w:sz w:val="22"/>
                      </w:rPr>
                      <m:t>irk</m:t>
                    </m:r>
                  </m:sub>
                </m:sSub>
                <m:r>
                  <m:rPr>
                    <m:sty m:val="p"/>
                  </m:rPr>
                  <w:rPr>
                    <w:rFonts w:ascii="Cambria Math"/>
                    <w:sz w:val="22"/>
                  </w:rPr>
                  <m:t>)</m:t>
                </m:r>
              </m:oMath>
            </m:oMathPara>
          </w:p>
        </w:tc>
        <w:tc>
          <w:tcPr>
            <w:tcW w:w="737" w:type="pct"/>
            <w:vAlign w:val="center"/>
          </w:tcPr>
          <w:p w14:paraId="3A6C6B2B" w14:textId="77777777" w:rsidR="00972517" w:rsidRPr="0010387C" w:rsidRDefault="00972517" w:rsidP="00972517">
            <w:pPr>
              <w:numPr>
                <w:ilvl w:val="0"/>
                <w:numId w:val="11"/>
              </w:numPr>
              <w:spacing w:before="360" w:after="360"/>
              <w:contextualSpacing/>
              <w:jc w:val="right"/>
              <w:rPr>
                <w:rFonts w:ascii="Calibri" w:eastAsia="Calibri" w:hAnsi="Calibri" w:cs="Times New Roman"/>
                <w:lang w:val="en-US"/>
              </w:rPr>
            </w:pPr>
          </w:p>
        </w:tc>
      </w:tr>
    </w:tbl>
    <w:p w14:paraId="008070D8" w14:textId="3D2A81B7" w:rsidR="00977F4B" w:rsidRDefault="00977F4B" w:rsidP="0081510F">
      <w:pPr>
        <w:rPr>
          <w:szCs w:val="24"/>
        </w:rPr>
      </w:pPr>
      <w:r>
        <w:rPr>
          <w:szCs w:val="24"/>
        </w:rPr>
        <w:t xml:space="preserve">where, </w:t>
      </w:r>
      <m:oMath>
        <m:sSub>
          <m:sSubPr>
            <m:ctrlPr>
              <w:rPr>
                <w:rFonts w:ascii="Cambria Math" w:hAnsi="Cambria Math"/>
                <w:szCs w:val="24"/>
              </w:rPr>
            </m:ctrlPr>
          </m:sSubPr>
          <m:e>
            <m:r>
              <w:rPr>
                <w:rFonts w:ascii="Cambria Math" w:hAnsi="Cambria Math"/>
                <w:szCs w:val="24"/>
              </w:rPr>
              <m:t>β</m:t>
            </m:r>
          </m:e>
          <m:sub>
            <m:r>
              <w:rPr>
                <w:rFonts w:ascii="Cambria Math"/>
                <w:szCs w:val="24"/>
              </w:rPr>
              <m:t>rk</m:t>
            </m:r>
          </m:sub>
        </m:sSub>
      </m:oMath>
      <w:r w:rsidRPr="00A34928">
        <w:rPr>
          <w:szCs w:val="24"/>
        </w:rPr>
        <w:t xml:space="preserve"> is a vector of parameters to be estimated. </w:t>
      </w:r>
      <m:oMath>
        <m:sSub>
          <m:sSubPr>
            <m:ctrlPr>
              <w:rPr>
                <w:rFonts w:ascii="Cambria Math" w:hAnsi="Cambria Math"/>
                <w:szCs w:val="24"/>
              </w:rPr>
            </m:ctrlPr>
          </m:sSubPr>
          <m:e>
            <m:r>
              <w:rPr>
                <w:rFonts w:ascii="Cambria Math" w:hAnsi="Cambria Math"/>
                <w:szCs w:val="24"/>
              </w:rPr>
              <m:t>θ</m:t>
            </m:r>
          </m:e>
          <m:sub>
            <m:r>
              <w:rPr>
                <w:rFonts w:ascii="Cambria Math" w:hAnsi="Cambria Math"/>
                <w:szCs w:val="24"/>
              </w:rPr>
              <m:t>irk</m:t>
            </m:r>
          </m:sub>
        </m:sSub>
      </m:oMath>
      <w:r w:rsidRPr="00A31127">
        <w:rPr>
          <w:szCs w:val="24"/>
        </w:rPr>
        <w:t xml:space="preserve"> is another vector of unobserved factors moderating the influence of attributes in </w:t>
      </w:r>
      <m:oMath>
        <m:sSub>
          <m:sSubPr>
            <m:ctrlPr>
              <w:rPr>
                <w:rFonts w:ascii="Cambria Math" w:hAnsi="Cambria Math"/>
                <w:szCs w:val="24"/>
              </w:rPr>
            </m:ctrlPr>
          </m:sSubPr>
          <m:e>
            <m:r>
              <w:rPr>
                <w:rFonts w:ascii="Cambria Math" w:hAnsi="Cambria Math"/>
                <w:szCs w:val="24"/>
              </w:rPr>
              <m:t>s</m:t>
            </m:r>
          </m:e>
          <m:sub>
            <m:r>
              <w:rPr>
                <w:rFonts w:ascii="Cambria Math"/>
                <w:szCs w:val="24"/>
              </w:rPr>
              <m:t>irk</m:t>
            </m:r>
          </m:sub>
        </m:sSub>
      </m:oMath>
      <w:r w:rsidRPr="00A31127">
        <w:rPr>
          <w:szCs w:val="24"/>
        </w:rPr>
        <w:t xml:space="preserve"> on the </w:t>
      </w:r>
      <w:r w:rsidR="0050214C">
        <w:rPr>
          <w:szCs w:val="24"/>
        </w:rPr>
        <w:t>severity proportions</w:t>
      </w:r>
      <w:r w:rsidRPr="00A31127">
        <w:rPr>
          <w:szCs w:val="24"/>
        </w:rPr>
        <w:t xml:space="preserve"> for analysis unit </w:t>
      </w:r>
      <m:oMath>
        <m:r>
          <w:rPr>
            <w:rFonts w:ascii="Cambria Math" w:hAnsi="Cambria Math"/>
          </w:rPr>
          <m:t>i</m:t>
        </m:r>
      </m:oMath>
      <w:r w:rsidRPr="00A31127">
        <w:rPr>
          <w:szCs w:val="24"/>
        </w:rPr>
        <w:t xml:space="preserve"> </w:t>
      </w:r>
      <w:r w:rsidR="00834B1B">
        <w:rPr>
          <w:szCs w:val="24"/>
        </w:rPr>
        <w:t xml:space="preserve">, crash type </w:t>
      </w:r>
      <w:r w:rsidR="00834B1B" w:rsidRPr="000226E9">
        <w:rPr>
          <w:i/>
          <w:szCs w:val="24"/>
        </w:rPr>
        <w:t>r</w:t>
      </w:r>
      <w:r w:rsidR="00834B1B">
        <w:rPr>
          <w:szCs w:val="24"/>
        </w:rPr>
        <w:t xml:space="preserve"> </w:t>
      </w:r>
      <w:r>
        <w:rPr>
          <w:szCs w:val="24"/>
        </w:rPr>
        <w:t xml:space="preserve">and </w:t>
      </w:r>
      <w:r w:rsidR="0050214C">
        <w:rPr>
          <w:rFonts w:eastAsia="Times New Roman" w:cs="Times New Roman"/>
          <w:szCs w:val="24"/>
          <w:lang w:val="en-US"/>
        </w:rPr>
        <w:t xml:space="preserve">injury severity category </w:t>
      </w:r>
      <m:oMath>
        <m:r>
          <w:rPr>
            <w:rFonts w:ascii="Cambria Math" w:hAnsi="Cambria Math"/>
          </w:rPr>
          <m:t>k</m:t>
        </m:r>
      </m:oMath>
      <w:r w:rsidRPr="00A31127">
        <w:rPr>
          <w:szCs w:val="24"/>
        </w:rPr>
        <w:t>.</w:t>
      </w:r>
      <w:r>
        <w:rPr>
          <w:szCs w:val="24"/>
        </w:rPr>
        <w:t xml:space="preserve"> </w:t>
      </w:r>
      <m:oMath>
        <m:sSub>
          <m:sSubPr>
            <m:ctrlPr>
              <w:rPr>
                <w:rFonts w:ascii="Cambria Math" w:hAnsi="Cambria Math"/>
                <w:sz w:val="22"/>
              </w:rPr>
            </m:ctrlPr>
          </m:sSubPr>
          <m:e>
            <m:r>
              <w:rPr>
                <w:rFonts w:ascii="Cambria Math" w:hAnsi="Cambria Math"/>
                <w:sz w:val="22"/>
              </w:rPr>
              <m:t>ς</m:t>
            </m:r>
          </m:e>
          <m:sub>
            <m:r>
              <w:rPr>
                <w:rFonts w:ascii="Cambria Math" w:hAnsi="Cambria Math"/>
                <w:sz w:val="22"/>
              </w:rPr>
              <m:t>ir</m:t>
            </m:r>
          </m:sub>
        </m:sSub>
      </m:oMath>
      <w:r w:rsidR="00771A37" w:rsidRPr="00BC3CCF">
        <w:rPr>
          <w:szCs w:val="24"/>
        </w:rPr>
        <w:t xml:space="preserve"> is a vector of unobserved effects specific to </w:t>
      </w:r>
      <w:r w:rsidR="00771A37">
        <w:rPr>
          <w:rFonts w:eastAsiaTheme="minorEastAsia" w:cs="Times New Roman"/>
          <w:szCs w:val="24"/>
          <w:lang w:eastAsia="en-CA"/>
        </w:rPr>
        <w:t xml:space="preserve">crash type </w:t>
      </w:r>
      <m:oMath>
        <m:r>
          <w:rPr>
            <w:rFonts w:ascii="Cambria Math" w:hAnsi="Cambria Math"/>
          </w:rPr>
          <m:t>r</m:t>
        </m:r>
      </m:oMath>
      <w:r w:rsidR="00771A37" w:rsidRPr="00BC3CCF">
        <w:rPr>
          <w:szCs w:val="24"/>
        </w:rPr>
        <w:t>.</w:t>
      </w:r>
      <w:r w:rsidR="00771A37" w:rsidRPr="0027706C">
        <w:rPr>
          <w:rFonts w:eastAsiaTheme="minorEastAsia" w:cs="Times New Roman"/>
          <w:szCs w:val="24"/>
          <w:lang w:val="en-US"/>
        </w:rPr>
        <w:t xml:space="preserve"> </w:t>
      </w:r>
      <w:r w:rsidR="00771A37">
        <w:rPr>
          <w:rFonts w:eastAsiaTheme="minorEastAsia" w:cs="Times New Roman"/>
          <w:szCs w:val="24"/>
          <w:lang w:val="en-US"/>
        </w:rPr>
        <w:t xml:space="preserve">This </w:t>
      </w:r>
      <m:oMath>
        <m:sSub>
          <m:sSubPr>
            <m:ctrlPr>
              <w:rPr>
                <w:rFonts w:ascii="Cambria Math" w:hAnsi="Cambria Math"/>
                <w:sz w:val="22"/>
              </w:rPr>
            </m:ctrlPr>
          </m:sSubPr>
          <m:e>
            <m:r>
              <w:rPr>
                <w:rFonts w:ascii="Cambria Math" w:hAnsi="Cambria Math"/>
                <w:sz w:val="22"/>
              </w:rPr>
              <m:t>ς</m:t>
            </m:r>
          </m:e>
          <m:sub>
            <m:r>
              <w:rPr>
                <w:rFonts w:ascii="Cambria Math" w:hAnsi="Cambria Math"/>
                <w:sz w:val="22"/>
              </w:rPr>
              <m:t>ir</m:t>
            </m:r>
          </m:sub>
        </m:sSub>
      </m:oMath>
      <w:r w:rsidR="00771A37">
        <w:rPr>
          <w:rFonts w:eastAsiaTheme="minorEastAsia" w:cs="Times New Roman"/>
        </w:rPr>
        <w:t xml:space="preserve"> will be same across </w:t>
      </w:r>
      <w:r w:rsidR="00DD62B1">
        <w:rPr>
          <w:rFonts w:eastAsiaTheme="minorEastAsia" w:cs="Times New Roman"/>
        </w:rPr>
        <w:t>the threshold parameters</w:t>
      </w:r>
      <w:r w:rsidR="002A6428">
        <w:rPr>
          <w:rFonts w:eastAsiaTheme="minorEastAsia" w:cs="Times New Roman"/>
        </w:rPr>
        <w:t xml:space="preserve"> (upper severity categories)</w:t>
      </w:r>
      <w:r w:rsidR="00771A37">
        <w:rPr>
          <w:rFonts w:eastAsiaTheme="minorEastAsia" w:cs="Times New Roman"/>
        </w:rPr>
        <w:t xml:space="preserve"> in any TAZ and thus the unobserved heterogeneity across the </w:t>
      </w:r>
      <w:r w:rsidR="00DD62B1">
        <w:rPr>
          <w:rFonts w:eastAsiaTheme="minorEastAsia" w:cs="Times New Roman"/>
        </w:rPr>
        <w:t xml:space="preserve">threshold parameters </w:t>
      </w:r>
      <w:r w:rsidR="00771A37">
        <w:rPr>
          <w:rFonts w:eastAsiaTheme="minorEastAsia" w:cs="Times New Roman"/>
        </w:rPr>
        <w:t>will be captured.</w:t>
      </w:r>
    </w:p>
    <w:p w14:paraId="6EECB483" w14:textId="4E91430E" w:rsidR="00BE44F6" w:rsidRDefault="00BE44F6" w:rsidP="00077C8C">
      <w:pPr>
        <w:ind w:firstLine="720"/>
        <w:rPr>
          <w:rFonts w:cs="Times New Roman"/>
          <w:lang w:val="en-US"/>
        </w:rPr>
      </w:pPr>
      <w:r>
        <w:rPr>
          <w:rFonts w:eastAsia="Times New Roman" w:cs="Times New Roman"/>
          <w:szCs w:val="24"/>
          <w:lang w:val="en-US"/>
        </w:rPr>
        <w:t>To estimate the model presented in equation 3, we assume that:</w:t>
      </w:r>
      <w:r>
        <w:rPr>
          <w:rFonts w:eastAsiaTheme="minorEastAsia" w:cs="Times New Roman"/>
          <w:szCs w:val="24"/>
          <w:lang w:val="en-US"/>
        </w:rPr>
        <w:t xml:space="preserve">   </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6"/>
        <w:gridCol w:w="1215"/>
      </w:tblGrid>
      <w:tr w:rsidR="00BE44F6" w:rsidRPr="0010387C" w14:paraId="686A8901" w14:textId="77777777" w:rsidTr="007B6C5C">
        <w:tc>
          <w:tcPr>
            <w:tcW w:w="4349" w:type="pct"/>
            <w:vAlign w:val="center"/>
          </w:tcPr>
          <w:p w14:paraId="09D60532" w14:textId="6A5593F9" w:rsidR="00BE44F6" w:rsidRPr="0010387C" w:rsidRDefault="00BE44F6" w:rsidP="00834B1B">
            <w:pPr>
              <w:spacing w:before="360" w:after="360"/>
              <w:rPr>
                <w:rFonts w:eastAsia="Calibri" w:cs="Times New Roman"/>
                <w:lang w:val="en-US"/>
              </w:rPr>
            </w:pPr>
            <m:oMath>
              <m:r>
                <w:rPr>
                  <w:rFonts w:ascii="Cambria Math" w:eastAsia="Times New Roman" w:hAnsi="Cambria Math" w:cs="Times New Roman"/>
                  <w:szCs w:val="24"/>
                  <w:lang w:val="en-US"/>
                </w:rPr>
                <m:t>E</m:t>
              </m:r>
              <m:d>
                <m:dPr>
                  <m:ctrlPr>
                    <w:rPr>
                      <w:rFonts w:ascii="Cambria Math" w:eastAsia="Times New Roman" w:hAnsi="Cambria Math" w:cs="Times New Roman"/>
                      <w:i/>
                      <w:szCs w:val="24"/>
                      <w:lang w:val="en-US"/>
                    </w:rPr>
                  </m:ctrlPr>
                </m:d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y</m:t>
                      </m:r>
                    </m:e>
                    <m:sub>
                      <m:r>
                        <w:rPr>
                          <w:rFonts w:ascii="Cambria Math" w:eastAsia="Times New Roman" w:hAnsi="Cambria Math" w:cs="Times New Roman"/>
                          <w:szCs w:val="24"/>
                          <w:lang w:val="en-US"/>
                        </w:rPr>
                        <m:t>irk</m:t>
                      </m:r>
                    </m:sub>
                  </m:sSub>
                  <m:r>
                    <w:rPr>
                      <w:rFonts w:ascii="Cambria Math" w:eastAsia="Times New Roman" w:hAnsi="Cambria Math" w:cs="Times New Roman"/>
                      <w:szCs w:val="24"/>
                      <w:lang w:val="en-US"/>
                    </w:rPr>
                    <m:t>|</m:t>
                  </m:r>
                  <m:sSub>
                    <m:sSubPr>
                      <m:ctrlPr>
                        <w:rPr>
                          <w:rFonts w:ascii="Cambria Math" w:eastAsia="Calibri" w:hAnsi="Cambria Math" w:cs="Times New Roman"/>
                          <w:i/>
                          <w:lang w:val="en-US"/>
                        </w:rPr>
                      </m:ctrlPr>
                    </m:sSubPr>
                    <m:e>
                      <m:r>
                        <w:rPr>
                          <w:rFonts w:ascii="Cambria Math" w:eastAsia="Calibri" w:hAnsi="Cambria Math" w:cs="Times New Roman"/>
                          <w:lang w:val="en-US"/>
                        </w:rPr>
                        <m:t>Z</m:t>
                      </m:r>
                    </m:e>
                    <m:sub>
                      <m:r>
                        <w:rPr>
                          <w:rFonts w:ascii="Cambria Math" w:eastAsia="Calibri" w:hAnsi="Cambria Math" w:cs="Times New Roman"/>
                          <w:lang w:val="en-US"/>
                        </w:rPr>
                        <m:t>irk</m:t>
                      </m:r>
                    </m:sub>
                  </m:sSub>
                </m:e>
              </m:d>
              <m:r>
                <w:rPr>
                  <w:rFonts w:ascii="Cambria Math" w:eastAsia="Times New Roman" w:hAnsi="Cambria Math" w:cs="Times New Roman"/>
                  <w:szCs w:val="24"/>
                  <w:lang w:val="en-US"/>
                </w:rPr>
                <m:t>=</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H</m:t>
                  </m:r>
                </m:e>
                <m:sub>
                  <m:r>
                    <w:rPr>
                      <w:rFonts w:ascii="Cambria Math" w:eastAsia="Times New Roman" w:hAnsi="Cambria Math" w:cs="Times New Roman"/>
                      <w:szCs w:val="24"/>
                      <w:lang w:val="en-US"/>
                    </w:rPr>
                    <m:t>irk</m:t>
                  </m:r>
                </m:sub>
              </m:sSub>
              <m:d>
                <m:dPr>
                  <m:ctrlPr>
                    <w:rPr>
                      <w:rFonts w:ascii="Cambria Math" w:eastAsia="Times New Roman" w:hAnsi="Cambria Math" w:cs="Times New Roman"/>
                      <w:i/>
                      <w:szCs w:val="24"/>
                      <w:lang w:val="en-US"/>
                    </w:rPr>
                  </m:ctrlPr>
                </m:dPr>
                <m:e>
                  <m:sSub>
                    <m:sSubPr>
                      <m:ctrlPr>
                        <w:rPr>
                          <w:rFonts w:ascii="Cambria Math" w:eastAsia="Calibri" w:hAnsi="Cambria Math" w:cs="Times New Roman"/>
                          <w:i/>
                          <w:lang w:val="en-US"/>
                        </w:rPr>
                      </m:ctrlPr>
                    </m:sSubPr>
                    <m:e>
                      <m:r>
                        <w:rPr>
                          <w:rFonts w:ascii="Cambria Math" w:eastAsia="Calibri" w:hAnsi="Cambria Math" w:cs="Times New Roman"/>
                          <w:lang w:val="en-US"/>
                        </w:rPr>
                        <m:t>α</m:t>
                      </m:r>
                    </m:e>
                    <m:sub>
                      <m:r>
                        <w:rPr>
                          <w:rFonts w:ascii="Cambria Math" w:eastAsia="Calibri" w:hAnsi="Cambria Math" w:cs="Times New Roman"/>
                          <w:lang w:val="en-US"/>
                        </w:rPr>
                        <m:t>r</m:t>
                      </m:r>
                    </m:sub>
                  </m:sSub>
                  <m:r>
                    <w:rPr>
                      <w:rFonts w:ascii="Cambria Math" w:eastAsia="Times New Roman" w:hAnsi="Cambria Math" w:cs="Times New Roman"/>
                      <w:szCs w:val="24"/>
                      <w:lang w:val="en-US"/>
                    </w:rPr>
                    <m:t xml:space="preserve">, </m:t>
                  </m:r>
                  <m:sSub>
                    <m:sSubPr>
                      <m:ctrlPr>
                        <w:rPr>
                          <w:rFonts w:ascii="Cambria Math" w:eastAsia="Calibri" w:hAnsi="Cambria Math" w:cs="Times New Roman"/>
                          <w:i/>
                          <w:lang w:val="en-US"/>
                        </w:rPr>
                      </m:ctrlPr>
                    </m:sSubPr>
                    <m:e>
                      <m:r>
                        <w:rPr>
                          <w:rFonts w:ascii="Cambria Math" w:hAnsi="Cambria Math"/>
                          <w:szCs w:val="24"/>
                        </w:rPr>
                        <m:t>ψ</m:t>
                      </m:r>
                    </m:e>
                    <m:sub>
                      <m:r>
                        <w:rPr>
                          <w:rFonts w:ascii="Cambria Math" w:eastAsia="Calibri" w:hAnsi="Cambria Math" w:cs="Times New Roman"/>
                          <w:lang w:val="en-US"/>
                        </w:rPr>
                        <m:t>rk</m:t>
                      </m:r>
                    </m:sub>
                  </m:sSub>
                  <m:r>
                    <w:rPr>
                      <w:rFonts w:ascii="Cambria Math" w:eastAsia="Times New Roman" w:hAnsi="Cambria Math" w:cs="Times New Roman"/>
                      <w:szCs w:val="24"/>
                      <w:lang w:val="en-US"/>
                    </w:rPr>
                    <m:t xml:space="preserve">, </m:t>
                  </m:r>
                  <m:sSub>
                    <m:sSubPr>
                      <m:ctrlPr>
                        <w:rPr>
                          <w:rFonts w:ascii="Cambria Math" w:eastAsia="Calibri" w:hAnsi="Cambria Math" w:cs="Times New Roman"/>
                          <w:i/>
                          <w:lang w:val="en-US"/>
                        </w:rPr>
                      </m:ctrlPr>
                    </m:sSubPr>
                    <m:e>
                      <m:r>
                        <w:rPr>
                          <w:rFonts w:ascii="Cambria Math" w:eastAsia="Calibri" w:hAnsi="Cambria Math" w:cs="Times New Roman"/>
                          <w:lang w:val="en-US"/>
                        </w:rPr>
                        <m:t>δ</m:t>
                      </m:r>
                    </m:e>
                    <m:sub>
                      <m:r>
                        <w:rPr>
                          <w:rFonts w:ascii="Cambria Math" w:eastAsia="Calibri" w:hAnsi="Cambria Math" w:cs="Times New Roman"/>
                          <w:lang w:val="en-US"/>
                        </w:rPr>
                        <m:t>ir</m:t>
                      </m:r>
                    </m:sub>
                  </m:sSub>
                  <m:r>
                    <w:rPr>
                      <w:rFonts w:ascii="Cambria Math" w:eastAsia="Calibri" w:hAnsi="Cambria Math" w:cs="Times New Roman"/>
                      <w:lang w:val="en-US"/>
                    </w:rPr>
                    <m:t>,</m:t>
                  </m:r>
                  <m:sSub>
                    <m:sSubPr>
                      <m:ctrlPr>
                        <w:rPr>
                          <w:rFonts w:ascii="Cambria Math" w:hAnsi="Cambria Math"/>
                          <w:i/>
                          <w:sz w:val="24"/>
                          <w:szCs w:val="24"/>
                        </w:rPr>
                      </m:ctrlPr>
                    </m:sSubPr>
                    <m:e>
                      <m:r>
                        <w:rPr>
                          <w:rFonts w:ascii="Cambria Math" w:hAnsi="Cambria Math"/>
                          <w:szCs w:val="24"/>
                        </w:rPr>
                        <m:t>θ</m:t>
                      </m:r>
                    </m:e>
                    <m:sub>
                      <m:r>
                        <w:rPr>
                          <w:rFonts w:ascii="Cambria Math" w:hAnsi="Cambria Math"/>
                          <w:szCs w:val="24"/>
                        </w:rPr>
                        <m:t>irk</m:t>
                      </m:r>
                    </m:sub>
                  </m:sSub>
                </m:e>
              </m:d>
            </m:oMath>
            <w:r>
              <w:rPr>
                <w:rFonts w:eastAsia="Calibri" w:cs="Times New Roman"/>
                <w:szCs w:val="24"/>
                <w:lang w:val="en-US"/>
              </w:rPr>
              <w:t xml:space="preserve">, </w:t>
            </w:r>
            <m:oMath>
              <m:r>
                <w:rPr>
                  <w:rFonts w:ascii="Cambria Math" w:hAnsi="Cambria Math" w:cs="Times New Roman"/>
                  <w:lang w:val="en-US"/>
                </w:rPr>
                <m:t>0≤</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H</m:t>
                  </m:r>
                </m:e>
                <m:sub>
                  <m:r>
                    <w:rPr>
                      <w:rFonts w:ascii="Cambria Math" w:eastAsia="Times New Roman" w:hAnsi="Cambria Math" w:cs="Times New Roman"/>
                      <w:szCs w:val="24"/>
                      <w:lang w:val="en-US"/>
                    </w:rPr>
                    <m:t>irk</m:t>
                  </m:r>
                </m:sub>
              </m:sSub>
              <m:r>
                <w:rPr>
                  <w:rFonts w:ascii="Cambria Math" w:eastAsia="Times New Roman" w:hAnsi="Cambria Math" w:cs="Times New Roman"/>
                  <w:szCs w:val="24"/>
                  <w:lang w:val="en-US"/>
                </w:rPr>
                <m:t xml:space="preserve">≤1, </m:t>
              </m:r>
              <m:nary>
                <m:naryPr>
                  <m:chr m:val="∑"/>
                  <m:limLoc m:val="undOvr"/>
                  <m:ctrlPr>
                    <w:rPr>
                      <w:rFonts w:ascii="Cambria Math" w:eastAsia="Times New Roman" w:hAnsi="Cambria Math" w:cs="Times New Roman"/>
                      <w:i/>
                      <w:szCs w:val="24"/>
                      <w:lang w:val="en-US"/>
                    </w:rPr>
                  </m:ctrlPr>
                </m:naryPr>
                <m:sub>
                  <m:r>
                    <w:rPr>
                      <w:rFonts w:ascii="Cambria Math" w:eastAsia="Times New Roman" w:hAnsi="Cambria Math" w:cs="Times New Roman"/>
                      <w:szCs w:val="24"/>
                      <w:lang w:val="en-US"/>
                    </w:rPr>
                    <m:t>rk=1</m:t>
                  </m:r>
                </m:sub>
                <m:sup>
                  <m:r>
                    <w:rPr>
                      <w:rFonts w:ascii="Cambria Math" w:eastAsia="Times New Roman" w:hAnsi="Cambria Math" w:cs="Times New Roman"/>
                      <w:szCs w:val="24"/>
                      <w:lang w:val="en-US"/>
                    </w:rPr>
                    <m:t>rK</m:t>
                  </m:r>
                </m:sup>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H</m:t>
                      </m:r>
                    </m:e>
                    <m:sub>
                      <m:r>
                        <w:rPr>
                          <w:rFonts w:ascii="Cambria Math" w:eastAsia="Times New Roman" w:hAnsi="Cambria Math" w:cs="Times New Roman"/>
                          <w:szCs w:val="24"/>
                          <w:lang w:val="en-US"/>
                        </w:rPr>
                        <m:t>irk</m:t>
                      </m:r>
                    </m:sub>
                  </m:sSub>
                  <m:r>
                    <w:rPr>
                      <w:rFonts w:ascii="Cambria Math" w:eastAsia="Times New Roman" w:hAnsi="Cambria Math" w:cs="Times New Roman"/>
                      <w:szCs w:val="24"/>
                      <w:lang w:val="en-US"/>
                    </w:rPr>
                    <m:t>=1</m:t>
                  </m:r>
                </m:e>
              </m:nary>
            </m:oMath>
          </w:p>
        </w:tc>
        <w:tc>
          <w:tcPr>
            <w:tcW w:w="651" w:type="pct"/>
            <w:vAlign w:val="center"/>
          </w:tcPr>
          <w:p w14:paraId="72920F86" w14:textId="77777777" w:rsidR="00BE44F6" w:rsidRPr="0010387C" w:rsidRDefault="00BE44F6" w:rsidP="004C5578">
            <w:pPr>
              <w:numPr>
                <w:ilvl w:val="0"/>
                <w:numId w:val="11"/>
              </w:numPr>
              <w:spacing w:before="360" w:after="360"/>
              <w:contextualSpacing/>
              <w:jc w:val="right"/>
              <w:rPr>
                <w:rFonts w:ascii="Calibri" w:eastAsia="Calibri" w:hAnsi="Calibri" w:cs="Times New Roman"/>
                <w:lang w:val="en-US"/>
              </w:rPr>
            </w:pPr>
          </w:p>
        </w:tc>
      </w:tr>
    </w:tbl>
    <w:p w14:paraId="5A16D8FB" w14:textId="2523980D" w:rsidR="00BE44F6" w:rsidRPr="00352A7E" w:rsidRDefault="0098234B" w:rsidP="0098234B">
      <w:pPr>
        <w:rPr>
          <w:rFonts w:eastAsia="Times New Roman" w:cs="Times New Roman"/>
          <w:szCs w:val="24"/>
          <w:lang w:val="en-US"/>
        </w:rPr>
      </w:pPr>
      <w:r w:rsidRPr="00352A7E">
        <w:rPr>
          <w:rFonts w:eastAsia="Times New Roman" w:cs="Times New Roman"/>
          <w:szCs w:val="24"/>
          <w:lang w:val="en-US"/>
        </w:rPr>
        <w:t xml:space="preserve">where </w:t>
      </w:r>
      <m:oMath>
        <m:sSub>
          <m:sSubPr>
            <m:ctrlPr>
              <w:rPr>
                <w:rFonts w:ascii="Cambria Math" w:eastAsia="Times New Roman" w:hAnsi="Cambria Math" w:cs="Times New Roman"/>
                <w:szCs w:val="24"/>
                <w:lang w:val="en-US"/>
              </w:rPr>
            </m:ctrlPr>
          </m:sSubPr>
          <m:e>
            <m:r>
              <w:rPr>
                <w:rFonts w:ascii="Cambria Math" w:eastAsia="Times New Roman" w:hAnsi="Cambria Math" w:cs="Times New Roman"/>
                <w:szCs w:val="24"/>
                <w:lang w:val="en-US"/>
              </w:rPr>
              <m:t>H</m:t>
            </m:r>
          </m:e>
          <m:sub>
            <m:r>
              <w:rPr>
                <w:rFonts w:ascii="Cambria Math" w:eastAsia="Times New Roman" w:hAnsi="Cambria Math" w:cs="Times New Roman"/>
                <w:szCs w:val="24"/>
                <w:lang w:val="en-US"/>
              </w:rPr>
              <m:t>irk</m:t>
            </m:r>
          </m:sub>
        </m:sSub>
      </m:oMath>
      <w:r w:rsidR="00BE44F6" w:rsidRPr="00352A7E">
        <w:rPr>
          <w:rFonts w:eastAsia="Times New Roman" w:cs="Times New Roman"/>
          <w:szCs w:val="24"/>
          <w:lang w:val="en-US"/>
        </w:rPr>
        <w:t xml:space="preserve"> in our model takes the </w:t>
      </w:r>
      <w:r w:rsidR="001E13D4">
        <w:rPr>
          <w:rFonts w:eastAsia="Times New Roman" w:cs="Times New Roman"/>
          <w:szCs w:val="24"/>
          <w:lang w:val="en-US"/>
        </w:rPr>
        <w:t xml:space="preserve">generalized </w:t>
      </w:r>
      <w:r w:rsidR="00BE44F6" w:rsidRPr="00352A7E">
        <w:rPr>
          <w:rFonts w:eastAsia="Times New Roman" w:cs="Times New Roman"/>
          <w:szCs w:val="24"/>
          <w:lang w:val="en-US"/>
        </w:rPr>
        <w:t xml:space="preserve">ordered </w:t>
      </w:r>
      <w:proofErr w:type="spellStart"/>
      <w:r w:rsidR="001C451D">
        <w:rPr>
          <w:rFonts w:eastAsia="Times New Roman" w:cs="Times New Roman"/>
          <w:szCs w:val="24"/>
          <w:lang w:val="en-US"/>
        </w:rPr>
        <w:t>probit</w:t>
      </w:r>
      <w:proofErr w:type="spellEnd"/>
      <w:r w:rsidR="00BE44F6" w:rsidRPr="00352A7E">
        <w:rPr>
          <w:rFonts w:eastAsia="Times New Roman" w:cs="Times New Roman"/>
          <w:szCs w:val="24"/>
          <w:lang w:val="en-US"/>
        </w:rPr>
        <w:t xml:space="preserve"> probability form for the severity category </w:t>
      </w:r>
      <m:oMath>
        <m:r>
          <w:rPr>
            <w:rFonts w:ascii="Cambria Math" w:eastAsia="Times New Roman" w:hAnsi="Cambria Math" w:cs="Times New Roman"/>
            <w:szCs w:val="24"/>
            <w:lang w:val="en-US"/>
          </w:rPr>
          <m:t>k</m:t>
        </m:r>
      </m:oMath>
      <w:r w:rsidR="004F52B6">
        <w:rPr>
          <w:rFonts w:eastAsia="Times New Roman" w:cs="Times New Roman"/>
          <w:szCs w:val="24"/>
          <w:lang w:val="en-US"/>
        </w:rPr>
        <w:t xml:space="preserve"> specific to crash type </w:t>
      </w:r>
      <m:oMath>
        <m:r>
          <w:rPr>
            <w:rFonts w:ascii="Cambria Math" w:eastAsia="Calibri" w:hAnsi="Cambria Math" w:cs="Times New Roman"/>
            <w:lang w:val="en-US"/>
          </w:rPr>
          <m:t>r</m:t>
        </m:r>
      </m:oMath>
      <w:r w:rsidR="00BE44F6" w:rsidRPr="00352A7E">
        <w:rPr>
          <w:rFonts w:eastAsia="Times New Roman" w:cs="Times New Roman"/>
          <w:szCs w:val="24"/>
          <w:lang w:val="en-US"/>
        </w:rPr>
        <w:t xml:space="preserve">. Given these relationships across different parameters, the resulting probability for the </w:t>
      </w:r>
      <w:r w:rsidR="00E63ED6" w:rsidRPr="00352A7E">
        <w:rPr>
          <w:rFonts w:eastAsia="Times New Roman" w:cs="Times New Roman"/>
          <w:szCs w:val="24"/>
          <w:lang w:val="en-US"/>
        </w:rPr>
        <w:t>GOPFS</w:t>
      </w:r>
      <w:r w:rsidR="00BE44F6" w:rsidRPr="00352A7E">
        <w:rPr>
          <w:rFonts w:eastAsia="Times New Roman" w:cs="Times New Roman"/>
          <w:szCs w:val="24"/>
          <w:lang w:val="en-US"/>
        </w:rPr>
        <w:t xml:space="preserve"> model takes the following form: </w:t>
      </w:r>
    </w:p>
    <w:tbl>
      <w:tblPr>
        <w:tblStyle w:val="TableGrid2"/>
        <w:tblW w:w="491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1080"/>
      </w:tblGrid>
      <w:tr w:rsidR="000E7FF2" w:rsidRPr="0010387C" w14:paraId="433E6B25" w14:textId="77777777" w:rsidTr="00054118">
        <w:tc>
          <w:tcPr>
            <w:tcW w:w="4412" w:type="pct"/>
            <w:vAlign w:val="center"/>
          </w:tcPr>
          <w:p w14:paraId="398F0B6C" w14:textId="1D7FFB97" w:rsidR="00455289" w:rsidRPr="00455289" w:rsidRDefault="00DA4C35" w:rsidP="000E7FF2">
            <w:pPr>
              <w:spacing w:before="360" w:after="360"/>
              <w:rPr>
                <w:rFonts w:eastAsia="Calibri" w:cs="Times New Roman"/>
                <w:lang w:val="en-US"/>
              </w:rPr>
            </w:pPr>
            <m:oMath>
              <m:sSub>
                <m:sSubPr>
                  <m:ctrlPr>
                    <w:rPr>
                      <w:rFonts w:ascii="Cambria Math" w:eastAsia="Calibri" w:hAnsi="Cambria Math" w:cs="Times New Roman"/>
                      <w:i/>
                      <w:lang w:val="en-US"/>
                    </w:rPr>
                  </m:ctrlPr>
                </m:sSubPr>
                <m:e>
                  <m:r>
                    <w:rPr>
                      <w:rFonts w:ascii="Cambria Math" w:eastAsia="Calibri" w:hAnsi="Cambria Math" w:cs="Times New Roman"/>
                      <w:lang w:val="en-US"/>
                    </w:rPr>
                    <m:t>P</m:t>
                  </m:r>
                </m:e>
                <m:sub>
                  <m:r>
                    <w:rPr>
                      <w:rFonts w:ascii="Cambria Math" w:eastAsia="Calibri" w:hAnsi="Cambria Math" w:cs="Times New Roman"/>
                      <w:lang w:val="en-US"/>
                    </w:rPr>
                    <m:t>irk</m:t>
                  </m:r>
                </m:sub>
              </m:sSub>
              <m:r>
                <w:rPr>
                  <w:rFonts w:ascii="Cambria Math" w:eastAsia="Calibri" w:hAnsi="Cambria Math" w:cs="Times New Roman"/>
                  <w:lang w:val="en-US"/>
                </w:rPr>
                <m:t>=G [</m:t>
              </m:r>
              <m:sSub>
                <m:sSubPr>
                  <m:ctrlPr>
                    <w:rPr>
                      <w:rFonts w:ascii="Cambria Math" w:hAnsi="Cambria Math"/>
                      <w:i/>
                      <w:szCs w:val="24"/>
                    </w:rPr>
                  </m:ctrlPr>
                </m:sSubPr>
                <m:e>
                  <m:r>
                    <w:rPr>
                      <w:rFonts w:ascii="Cambria Math" w:eastAsia="Times New Roman" w:hAnsi="Cambria Math" w:cs="Times New Roman"/>
                      <w:szCs w:val="24"/>
                      <w:lang w:val="en-US"/>
                    </w:rPr>
                    <m:t>(ψ</m:t>
                  </m:r>
                </m:e>
                <m:sub>
                  <m:r>
                    <w:rPr>
                      <w:rFonts w:ascii="Cambria Math"/>
                      <w:szCs w:val="24"/>
                    </w:rPr>
                    <m:t>rk</m:t>
                  </m:r>
                </m:sub>
              </m:sSub>
              <m:r>
                <w:rPr>
                  <w:rFonts w:ascii="Cambria Math" w:eastAsia="Times New Roman" w:hAnsi="Cambria Math" w:cs="Times New Roman"/>
                  <w:szCs w:val="24"/>
                  <w:lang w:val="en-US"/>
                </w:rPr>
                <m:t>-{</m:t>
              </m:r>
              <m:d>
                <m:dPr>
                  <m:ctrlPr>
                    <w:rPr>
                      <w:rFonts w:ascii="Cambria Math" w:eastAsia="Times New Roman" w:hAnsi="Cambria Math" w:cs="Times New Roman"/>
                      <w:i/>
                      <w:szCs w:val="24"/>
                      <w:lang w:val="en-US"/>
                    </w:rPr>
                  </m:ctrlPr>
                </m:dPr>
                <m:e>
                  <m:r>
                    <w:rPr>
                      <w:rFonts w:ascii="Cambria Math" w:eastAsia="Calibri" w:hAnsi="Cambria Math" w:cs="Times New Roman"/>
                      <w:lang w:val="en-US"/>
                    </w:rPr>
                    <m:t>α+</m:t>
                  </m:r>
                  <m:sSub>
                    <m:sSubPr>
                      <m:ctrlPr>
                        <w:rPr>
                          <w:rFonts w:ascii="Cambria Math" w:eastAsia="Calibri" w:hAnsi="Cambria Math" w:cs="Times New Roman"/>
                          <w:i/>
                          <w:lang w:val="en-US"/>
                        </w:rPr>
                      </m:ctrlPr>
                    </m:sSubPr>
                    <m:e>
                      <m:r>
                        <w:rPr>
                          <w:rFonts w:ascii="Cambria Math" w:eastAsiaTheme="minorEastAsia" w:hAnsi="Cambria Math" w:cs="Times New Roman"/>
                          <w:szCs w:val="24"/>
                          <w:lang w:eastAsia="en-CA"/>
                        </w:rPr>
                        <m:t>γ</m:t>
                      </m:r>
                    </m:e>
                    <m:sub>
                      <m:r>
                        <w:rPr>
                          <w:rFonts w:ascii="Cambria Math" w:eastAsia="Calibri" w:hAnsi="Cambria Math" w:cs="Times New Roman"/>
                          <w:lang w:val="en-US"/>
                        </w:rPr>
                        <m:t>irk</m:t>
                      </m:r>
                    </m:sub>
                  </m:sSub>
                  <m:r>
                    <w:rPr>
                      <w:rFonts w:ascii="Cambria Math" w:eastAsia="Times New Roman" w:hAnsi="Cambria Math" w:cs="Times New Roman"/>
                      <w:szCs w:val="24"/>
                      <w:lang w:val="en-US"/>
                    </w:rPr>
                    <m:t>+</m:t>
                  </m:r>
                  <m:sSub>
                    <m:sSubPr>
                      <m:ctrlPr>
                        <w:rPr>
                          <w:rFonts w:ascii="Cambria Math" w:eastAsia="Calibri" w:hAnsi="Cambria Math" w:cs="Times New Roman"/>
                          <w:i/>
                          <w:lang w:val="en-US"/>
                        </w:rPr>
                      </m:ctrlPr>
                    </m:sSubPr>
                    <m:e>
                      <m:r>
                        <w:rPr>
                          <w:rFonts w:ascii="Cambria Math" w:eastAsia="Calibri" w:hAnsi="Cambria Math" w:cs="Times New Roman"/>
                          <w:lang w:val="en-US"/>
                        </w:rPr>
                        <m:t>δ</m:t>
                      </m:r>
                    </m:e>
                    <m:sub>
                      <m:r>
                        <w:rPr>
                          <w:rFonts w:ascii="Cambria Math" w:eastAsia="Calibri" w:hAnsi="Cambria Math" w:cs="Times New Roman"/>
                          <w:lang w:val="en-US"/>
                        </w:rPr>
                        <m:t>ir</m:t>
                      </m:r>
                    </m:sub>
                  </m:sSub>
                  <m:r>
                    <w:rPr>
                      <w:rFonts w:ascii="Cambria Math" w:eastAsia="Times New Roman" w:hAnsi="Cambria Math" w:cs="Times New Roman"/>
                      <w:szCs w:val="24"/>
                      <w:lang w:val="en-US"/>
                    </w:rPr>
                    <m:t>+</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η</m:t>
                      </m:r>
                    </m:e>
                    <m:sub>
                      <m:r>
                        <w:rPr>
                          <w:rFonts w:ascii="Cambria Math" w:eastAsia="Times New Roman" w:hAnsi="Cambria Math" w:cs="Times New Roman"/>
                          <w:szCs w:val="24"/>
                          <w:lang w:val="en-US"/>
                        </w:rPr>
                        <m:t>irk</m:t>
                      </m:r>
                    </m:sub>
                  </m:sSub>
                  <m:ctrlPr>
                    <w:rPr>
                      <w:rFonts w:ascii="Cambria Math" w:eastAsia="Calibri" w:hAnsi="Cambria Math" w:cs="Times New Roman"/>
                      <w:i/>
                      <w:lang w:val="en-US"/>
                    </w:rPr>
                  </m:ctrlPr>
                </m:e>
              </m:d>
              <m:sSub>
                <m:sSubPr>
                  <m:ctrlPr>
                    <w:rPr>
                      <w:rFonts w:ascii="Cambria Math" w:eastAsia="Calibri" w:hAnsi="Cambria Math" w:cs="Times New Roman"/>
                      <w:i/>
                      <w:lang w:val="en-US"/>
                    </w:rPr>
                  </m:ctrlPr>
                </m:sSubPr>
                <m:e>
                  <m:r>
                    <w:rPr>
                      <w:rFonts w:ascii="Cambria Math" w:eastAsia="Calibri" w:hAnsi="Cambria Math" w:cs="Times New Roman"/>
                      <w:lang w:val="en-US"/>
                    </w:rPr>
                    <m:t>z</m:t>
                  </m:r>
                </m:e>
                <m:sub>
                  <m:r>
                    <w:rPr>
                      <w:rFonts w:ascii="Cambria Math" w:eastAsia="Calibri" w:hAnsi="Cambria Math" w:cs="Times New Roman"/>
                      <w:lang w:val="en-US"/>
                    </w:rPr>
                    <m:t>ir</m:t>
                  </m:r>
                </m:sub>
              </m:sSub>
              <m:r>
                <w:rPr>
                  <w:rFonts w:ascii="Cambria Math" w:eastAsia="Calibri" w:hAnsi="Cambria Math" w:cs="Times New Roman"/>
                  <w:lang w:val="en-US"/>
                </w:rPr>
                <m:t>} ]</m:t>
              </m:r>
            </m:oMath>
            <w:r w:rsidR="000E7FF2">
              <w:rPr>
                <w:rFonts w:eastAsia="Calibri" w:cs="Times New Roman"/>
                <w:lang w:val="en-US"/>
              </w:rPr>
              <w:t xml:space="preserve"> </w:t>
            </w:r>
            <m:oMath>
              <m:r>
                <w:rPr>
                  <w:rFonts w:ascii="Cambria Math" w:eastAsia="Times New Roman" w:hAnsi="Cambria Math" w:cs="Times New Roman"/>
                  <w:szCs w:val="24"/>
                  <w:lang w:val="en-US"/>
                </w:rPr>
                <m:t>-</m:t>
              </m:r>
            </m:oMath>
            <w:r w:rsidR="000E7FF2">
              <w:rPr>
                <w:rFonts w:eastAsia="Calibri" w:cs="Times New Roman"/>
                <w:lang w:val="en-US"/>
              </w:rPr>
              <w:t xml:space="preserve"> </w:t>
            </w:r>
            <m:oMath>
              <m:r>
                <w:rPr>
                  <w:rFonts w:ascii="Cambria Math" w:eastAsia="Calibri" w:hAnsi="Cambria Math" w:cs="Times New Roman"/>
                  <w:lang w:val="en-US"/>
                </w:rPr>
                <m:t>G [</m:t>
              </m:r>
              <m:sSub>
                <m:sSubPr>
                  <m:ctrlPr>
                    <w:rPr>
                      <w:rFonts w:ascii="Cambria Math" w:hAnsi="Cambria Math"/>
                      <w:i/>
                      <w:szCs w:val="24"/>
                    </w:rPr>
                  </m:ctrlPr>
                </m:sSubPr>
                <m:e>
                  <m:r>
                    <w:rPr>
                      <w:rFonts w:ascii="Cambria Math" w:eastAsia="Times New Roman" w:hAnsi="Cambria Math" w:cs="Times New Roman"/>
                      <w:szCs w:val="24"/>
                      <w:lang w:val="en-US"/>
                    </w:rPr>
                    <m:t>(ψ</m:t>
                  </m:r>
                </m:e>
                <m:sub>
                  <m:r>
                    <w:rPr>
                      <w:rFonts w:ascii="Cambria Math"/>
                      <w:szCs w:val="24"/>
                    </w:rPr>
                    <m:t>r,k</m:t>
                  </m:r>
                  <m:r>
                    <w:rPr>
                      <w:rFonts w:ascii="Cambria Math"/>
                      <w:szCs w:val="24"/>
                    </w:rPr>
                    <m:t>-</m:t>
                  </m:r>
                  <m:r>
                    <w:rPr>
                      <w:rFonts w:ascii="Cambria Math"/>
                      <w:szCs w:val="24"/>
                    </w:rPr>
                    <m:t>1</m:t>
                  </m:r>
                </m:sub>
              </m:sSub>
              <m:r>
                <w:rPr>
                  <w:rFonts w:ascii="Cambria Math" w:eastAsia="Times New Roman" w:hAnsi="Cambria Math" w:cs="Times New Roman"/>
                  <w:szCs w:val="24"/>
                  <w:lang w:val="en-US"/>
                </w:rPr>
                <m:t>-</m:t>
              </m:r>
              <m:d>
                <m:dPr>
                  <m:begChr m:val="{"/>
                  <m:endChr m:val="}"/>
                  <m:ctrlPr>
                    <w:rPr>
                      <w:rFonts w:ascii="Cambria Math" w:eastAsia="Times New Roman" w:hAnsi="Cambria Math" w:cs="Times New Roman"/>
                      <w:i/>
                      <w:szCs w:val="24"/>
                      <w:lang w:val="en-US"/>
                    </w:rPr>
                  </m:ctrlPr>
                </m:dPr>
                <m:e>
                  <m:d>
                    <m:dPr>
                      <m:ctrlPr>
                        <w:rPr>
                          <w:rFonts w:ascii="Cambria Math" w:eastAsia="Times New Roman" w:hAnsi="Cambria Math" w:cs="Times New Roman"/>
                          <w:i/>
                          <w:szCs w:val="24"/>
                          <w:lang w:val="en-US"/>
                        </w:rPr>
                      </m:ctrlPr>
                    </m:dPr>
                    <m:e>
                      <m:r>
                        <w:rPr>
                          <w:rFonts w:ascii="Cambria Math" w:eastAsia="Calibri" w:hAnsi="Cambria Math" w:cs="Times New Roman"/>
                          <w:lang w:val="en-US"/>
                        </w:rPr>
                        <m:t>α+</m:t>
                      </m:r>
                      <m:sSub>
                        <m:sSubPr>
                          <m:ctrlPr>
                            <w:rPr>
                              <w:rFonts w:ascii="Cambria Math" w:eastAsia="Calibri" w:hAnsi="Cambria Math" w:cs="Times New Roman"/>
                              <w:i/>
                              <w:lang w:val="en-US"/>
                            </w:rPr>
                          </m:ctrlPr>
                        </m:sSubPr>
                        <m:e>
                          <m:r>
                            <w:rPr>
                              <w:rFonts w:ascii="Cambria Math" w:eastAsiaTheme="minorEastAsia" w:hAnsi="Cambria Math" w:cs="Times New Roman"/>
                              <w:szCs w:val="24"/>
                              <w:lang w:eastAsia="en-CA"/>
                            </w:rPr>
                            <m:t>γ</m:t>
                          </m:r>
                        </m:e>
                        <m:sub>
                          <m:r>
                            <w:rPr>
                              <w:rFonts w:ascii="Cambria Math" w:eastAsia="Calibri" w:hAnsi="Cambria Math" w:cs="Times New Roman"/>
                              <w:lang w:val="en-US"/>
                            </w:rPr>
                            <m:t>irk</m:t>
                          </m:r>
                        </m:sub>
                      </m:sSub>
                      <m:r>
                        <w:rPr>
                          <w:rFonts w:ascii="Cambria Math" w:eastAsia="Times New Roman" w:hAnsi="Cambria Math" w:cs="Times New Roman"/>
                          <w:szCs w:val="24"/>
                          <w:lang w:val="en-US"/>
                        </w:rPr>
                        <m:t>+</m:t>
                      </m:r>
                      <m:sSub>
                        <m:sSubPr>
                          <m:ctrlPr>
                            <w:rPr>
                              <w:rFonts w:ascii="Cambria Math" w:eastAsia="Calibri" w:hAnsi="Cambria Math" w:cs="Times New Roman"/>
                              <w:i/>
                              <w:lang w:val="en-US"/>
                            </w:rPr>
                          </m:ctrlPr>
                        </m:sSubPr>
                        <m:e>
                          <m:r>
                            <w:rPr>
                              <w:rFonts w:ascii="Cambria Math" w:eastAsia="Calibri" w:hAnsi="Cambria Math" w:cs="Times New Roman"/>
                              <w:lang w:val="en-US"/>
                            </w:rPr>
                            <m:t>δ</m:t>
                          </m:r>
                        </m:e>
                        <m:sub>
                          <m:r>
                            <w:rPr>
                              <w:rFonts w:ascii="Cambria Math" w:eastAsia="Calibri" w:hAnsi="Cambria Math" w:cs="Times New Roman"/>
                              <w:lang w:val="en-US"/>
                            </w:rPr>
                            <m:t>ir</m:t>
                          </m:r>
                        </m:sub>
                      </m:sSub>
                      <m:r>
                        <w:rPr>
                          <w:rFonts w:ascii="Cambria Math" w:eastAsia="Times New Roman" w:hAnsi="Cambria Math" w:cs="Times New Roman"/>
                          <w:szCs w:val="24"/>
                          <w:lang w:val="en-US"/>
                        </w:rPr>
                        <m:t>+</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η</m:t>
                          </m:r>
                        </m:e>
                        <m:sub>
                          <m:r>
                            <w:rPr>
                              <w:rFonts w:ascii="Cambria Math" w:eastAsia="Times New Roman" w:hAnsi="Cambria Math" w:cs="Times New Roman"/>
                              <w:szCs w:val="24"/>
                              <w:lang w:val="en-US"/>
                            </w:rPr>
                            <m:t>irk</m:t>
                          </m:r>
                        </m:sub>
                      </m:sSub>
                      <m:ctrlPr>
                        <w:rPr>
                          <w:rFonts w:ascii="Cambria Math" w:eastAsia="Calibri" w:hAnsi="Cambria Math" w:cs="Times New Roman"/>
                          <w:i/>
                          <w:lang w:val="en-US"/>
                        </w:rPr>
                      </m:ctrlPr>
                    </m:e>
                  </m:d>
                  <m:sSub>
                    <m:sSubPr>
                      <m:ctrlPr>
                        <w:rPr>
                          <w:rFonts w:ascii="Cambria Math" w:eastAsia="Calibri" w:hAnsi="Cambria Math" w:cs="Times New Roman"/>
                          <w:i/>
                          <w:lang w:val="en-US"/>
                        </w:rPr>
                      </m:ctrlPr>
                    </m:sSubPr>
                    <m:e>
                      <m:r>
                        <w:rPr>
                          <w:rFonts w:ascii="Cambria Math" w:eastAsia="Calibri" w:hAnsi="Cambria Math" w:cs="Times New Roman"/>
                          <w:lang w:val="en-US"/>
                        </w:rPr>
                        <m:t>z</m:t>
                      </m:r>
                    </m:e>
                    <m:sub>
                      <m:r>
                        <w:rPr>
                          <w:rFonts w:ascii="Cambria Math" w:eastAsia="Calibri" w:hAnsi="Cambria Math" w:cs="Times New Roman"/>
                          <w:lang w:val="en-US"/>
                        </w:rPr>
                        <m:t>ir</m:t>
                      </m:r>
                    </m:sub>
                  </m:sSub>
                  <m:ctrlPr>
                    <w:rPr>
                      <w:rFonts w:ascii="Cambria Math" w:eastAsia="Calibri" w:hAnsi="Cambria Math" w:cs="Times New Roman"/>
                      <w:i/>
                      <w:lang w:val="en-US"/>
                    </w:rPr>
                  </m:ctrlPr>
                </m:e>
              </m:d>
              <m:r>
                <w:rPr>
                  <w:rFonts w:ascii="Cambria Math" w:eastAsia="Calibri" w:hAnsi="Cambria Math" w:cs="Times New Roman"/>
                  <w:lang w:val="en-US"/>
                </w:rPr>
                <m:t>]</m:t>
              </m:r>
            </m:oMath>
          </w:p>
        </w:tc>
        <w:tc>
          <w:tcPr>
            <w:tcW w:w="588" w:type="pct"/>
            <w:vAlign w:val="center"/>
          </w:tcPr>
          <w:p w14:paraId="3FB5F9D6" w14:textId="77777777" w:rsidR="000E7FF2" w:rsidRPr="0010387C" w:rsidRDefault="000E7FF2" w:rsidP="000E7FF2">
            <w:pPr>
              <w:numPr>
                <w:ilvl w:val="0"/>
                <w:numId w:val="11"/>
              </w:numPr>
              <w:spacing w:before="360" w:after="360"/>
              <w:contextualSpacing/>
              <w:jc w:val="right"/>
              <w:rPr>
                <w:rFonts w:ascii="Calibri" w:eastAsia="Calibri" w:hAnsi="Calibri" w:cs="Times New Roman"/>
                <w:lang w:val="en-US"/>
              </w:rPr>
            </w:pPr>
          </w:p>
        </w:tc>
      </w:tr>
    </w:tbl>
    <w:p w14:paraId="69A5AE17" w14:textId="4FF68E9C" w:rsidR="004C046D" w:rsidRDefault="00BE44F6" w:rsidP="00077C8C">
      <w:pPr>
        <w:rPr>
          <w:rFonts w:eastAsia="Times New Roman" w:cs="Times New Roman"/>
          <w:szCs w:val="24"/>
          <w:lang w:val="en-US"/>
        </w:rPr>
      </w:pPr>
      <w:r>
        <w:rPr>
          <w:rFonts w:cs="Times New Roman"/>
          <w:lang w:val="en-US"/>
        </w:rPr>
        <w:t xml:space="preserve">where, </w:t>
      </w:r>
      <m:oMath>
        <m:r>
          <m:rPr>
            <m:sty m:val="p"/>
          </m:rPr>
          <w:rPr>
            <w:rFonts w:ascii="Cambria Math" w:eastAsia="Times New Roman" w:hAnsi="Cambria Math" w:cs="Times New Roman"/>
            <w:szCs w:val="24"/>
            <w:lang w:val="en-US"/>
          </w:rPr>
          <m:t>G(∙)</m:t>
        </m:r>
      </m:oMath>
      <w:r>
        <w:rPr>
          <w:rFonts w:eastAsiaTheme="minorEastAsia" w:cs="Times New Roman"/>
          <w:szCs w:val="24"/>
          <w:lang w:val="en-US"/>
        </w:rPr>
        <w:t xml:space="preserve"> is the standard </w:t>
      </w:r>
      <w:r w:rsidR="00504178">
        <w:rPr>
          <w:rFonts w:eastAsiaTheme="minorEastAsia" w:cs="Times New Roman"/>
          <w:szCs w:val="24"/>
          <w:lang w:val="en-US"/>
        </w:rPr>
        <w:t>normal</w:t>
      </w:r>
      <w:r>
        <w:rPr>
          <w:rFonts w:eastAsiaTheme="minorEastAsia" w:cs="Times New Roman"/>
          <w:szCs w:val="24"/>
          <w:lang w:val="en-US"/>
        </w:rPr>
        <w:t xml:space="preserve"> cumulative distribution function</w:t>
      </w:r>
      <w:r w:rsidR="00426D3B">
        <w:rPr>
          <w:rFonts w:eastAsiaTheme="minorEastAsia" w:cs="Times New Roman"/>
          <w:szCs w:val="24"/>
          <w:lang w:val="en-US"/>
        </w:rPr>
        <w:t xml:space="preserve"> </w:t>
      </w:r>
      <w:r w:rsidR="002515E0">
        <w:rPr>
          <w:rFonts w:eastAsiaTheme="minorEastAsia" w:cs="Times New Roman"/>
          <w:szCs w:val="24"/>
          <w:lang w:val="en-US"/>
        </w:rPr>
        <w:fldChar w:fldCharType="begin" w:fldLock="1"/>
      </w:r>
      <w:r w:rsidR="000305C6">
        <w:rPr>
          <w:rFonts w:eastAsiaTheme="minorEastAsia" w:cs="Times New Roman"/>
          <w:szCs w:val="24"/>
          <w:lang w:val="en-US"/>
        </w:rPr>
        <w:instrText>ADDIN CSL_CITATION {"citationItems":[{"id":"ITEM-1","itemData":{"DOI":"10.1002/(SICI)1099-1255(199611)11:6&lt;619::AID-JAE418&gt;3.0.CO;2-1","ISSN":"08837252","abstract":"We develop attractive functional forms and simple quasi-likelihood estimation methods for regression models with a fractional dependent variable. Compared with log-odds type procedures, there is no difficulty in recovering the regression function for the fractional variable, and there is no need to use ad hoc transformations to handle data at the extreme values of zero and one. We also offer some new, robust specification tests by nesting the logit or probit function in a more general functional form. We apply these methods to a data set of employee participation rates in 401 (k) pension plans. © 1996 by John Wiley &amp; Sons, Ltd.","author":[{"dropping-particle":"","family":"Papke","given":"Leslie E.","non-dropping-particle":"","parse-names":false,"suffix":""}],"container-title":"Journal of Applied Econometrics","id":"ITEM-1","issue":"6","issued":{"date-parts":[["1996"]]},"page":"619-632","publisher":"National Bureau of Economic Research Cambridge, Mass., USA","title":"Econometric methods for fractional response variables with an application to 401 (k) plan participation rates","type":"article-journal","volume":"11"},"uris":["http://www.mendeley.com/documents/?uuid=3cd5646a-b409-4997-a19f-fbcf6981e977"]},{"id":"ITEM-2","itemData":{"DOI":"10.1016/j.aap.2013.05.016","ISSN":"00014575","PMID":"23792611","abstract":"Vehicle operating speed measured on roadways is a critical component for a host of analysis in the transportation field including transportation safety, traffic flow modeling, roadway geometric design, vehicle emissions modeling, and road user route decisions. The current research effort contributes to the literature on examining vehicle speed on urban roads methodologically and substantively. In terms of methodology, we formulate a new econometric model framework for examining speed profiles. The proposed model is an ordered response formulation of a fractional split model. The ordered nature of the speed variable allows us to propose an ordered variant of the fractional split model in the literature. The proposed formulation allows us to model the proportion of vehicles traveling in each speed interval for the entire segment of roadway. We extend the model to allow the influence of exogenous variables to vary across the population. Further, we develop a panel mixed version of the fractional split model to account for the influence of site-specific unobserved effects. The paper contributes substantively by estimating the proposed model using a unique dataset from Montreal consisting of weekly speed data (collected in hourly intervals) for about 50 local roads and 70 arterial roads. We estimate separate models for local roads and arterial roads. The model estimation exercise considers a whole host of variables including geometric design attributes, roadway attributes, traffic characteristics and environmental factors. The model results highlight the role of various street characteristics including number of lanes, presence of parking, presence of sidewalks, vertical grade, and bicycle route on vehicle speed proportions. The results also highlight the presence of site-specific unobserved effects influencing the speed distribution. The parameters from the modeling exercise are validated using a hold-out sample not considered for model estimation. The results indicate that the proposed panel mixed ordered probit fractional split model offers promise for modeling such proportional ordinal variables. © 2013 Elsevier Ltd. All rights reserved.","author":[{"dropping-particle":"","family":"Eluru","given":"Naveen","non-dropping-particle":"","parse-names":false,"suffix":""},{"dropping-particle":"","family":"Chakour","given":"Vincent","non-dropping-particle":"","parse-names":false,"suffix":""},{"dropping-particle":"","family":"Chamberlain","given":"Morgan","non-dropping-particle":"","parse-names":false,"suffix":""},{"dropping-particle":"","family":"Miranda-Moreno","given":"Luis F.","non-dropping-particle":"","parse-names":false,"suffix":""}],"container-title":"Accident Analysis and Prevention","id":"ITEM-2","issued":{"date-parts":[["2013"]]},"page":"125-134","publisher":"Elsevier","title":"Modeling vehicle operating speed on urban roads in Montreal: A panel mixed ordered probit fractional split model","type":"article-journal","volume":"59"},"uris":["http://www.mendeley.com/documents/?uuid=035bd6ec-ac12-4309-b5b9-26c7084a786a"]}],"mendeley":{"formattedCitation":"(Eluru et al., 2013; Papke, 1996)","plainTextFormattedCitation":"(Eluru et al., 2013; Papke, 1996)","previouslyFormattedCitation":"(Eluru et al., 2013; Papke, 1996)"},"properties":{"noteIndex":0},"schema":"https://github.com/citation-style-language/schema/raw/master/csl-citation.json"}</w:instrText>
      </w:r>
      <w:r w:rsidR="002515E0">
        <w:rPr>
          <w:rFonts w:eastAsiaTheme="minorEastAsia" w:cs="Times New Roman"/>
          <w:szCs w:val="24"/>
          <w:lang w:val="en-US"/>
        </w:rPr>
        <w:fldChar w:fldCharType="separate"/>
      </w:r>
      <w:r w:rsidR="00B81912" w:rsidRPr="00B81912">
        <w:rPr>
          <w:rFonts w:eastAsiaTheme="minorEastAsia" w:cs="Times New Roman"/>
          <w:noProof/>
          <w:szCs w:val="24"/>
          <w:lang w:val="en-US"/>
        </w:rPr>
        <w:t>(Eluru et al., 2013; Papke, 1996)</w:t>
      </w:r>
      <w:r w:rsidR="002515E0">
        <w:rPr>
          <w:rFonts w:eastAsiaTheme="minorEastAsia" w:cs="Times New Roman"/>
          <w:szCs w:val="24"/>
          <w:lang w:val="en-US"/>
        </w:rPr>
        <w:fldChar w:fldCharType="end"/>
      </w:r>
      <w:r>
        <w:rPr>
          <w:rFonts w:eastAsiaTheme="minorEastAsia" w:cs="Times New Roman"/>
          <w:szCs w:val="24"/>
          <w:lang w:val="en-US"/>
        </w:rPr>
        <w:t xml:space="preserve">. </w:t>
      </w:r>
      <w:r w:rsidR="00426D3B">
        <w:t xml:space="preserve">The proposed model </w:t>
      </w:r>
      <w:r w:rsidR="00426D3B" w:rsidRPr="004F7715">
        <w:rPr>
          <w:szCs w:val="24"/>
        </w:rPr>
        <w:t>ensures</w:t>
      </w:r>
      <w:r w:rsidR="00426D3B">
        <w:t xml:space="preserve"> that the proportion for each </w:t>
      </w:r>
      <w:r w:rsidR="004F032E">
        <w:t>severity</w:t>
      </w:r>
      <w:r w:rsidR="00426D3B">
        <w:t xml:space="preserve"> </w:t>
      </w:r>
      <w:r w:rsidR="00426D3B">
        <w:rPr>
          <w:szCs w:val="24"/>
        </w:rPr>
        <w:t>category</w:t>
      </w:r>
      <w:r w:rsidR="00426D3B">
        <w:t xml:space="preserve"> is between 0 and 1 (including the limits). </w:t>
      </w:r>
      <w:r>
        <w:rPr>
          <w:rFonts w:eastAsia="Times New Roman" w:cs="Times New Roman"/>
          <w:szCs w:val="24"/>
          <w:lang w:val="en-US"/>
        </w:rPr>
        <w:t xml:space="preserve"> </w:t>
      </w:r>
    </w:p>
    <w:p w14:paraId="37333694" w14:textId="77777777" w:rsidR="00274ECC" w:rsidRDefault="00274ECC" w:rsidP="00077C8C">
      <w:pPr>
        <w:rPr>
          <w:rFonts w:eastAsia="Times New Roman" w:cs="Times New Roman"/>
          <w:szCs w:val="24"/>
          <w:lang w:val="en-US"/>
        </w:rPr>
      </w:pPr>
    </w:p>
    <w:p w14:paraId="5A7D36BF" w14:textId="22781809" w:rsidR="004C046D" w:rsidRDefault="004C046D" w:rsidP="004C046D">
      <w:pPr>
        <w:pStyle w:val="Heading2"/>
        <w:rPr>
          <w:rFonts w:cs="Times New Roman"/>
          <w:b w:val="0"/>
          <w:lang w:val="en-US"/>
        </w:rPr>
      </w:pPr>
      <w:r>
        <w:t>Correlation Structure</w:t>
      </w:r>
    </w:p>
    <w:p w14:paraId="58F3D659" w14:textId="51E39A69" w:rsidR="003D4075" w:rsidRDefault="001A2648" w:rsidP="00077C8C">
      <w:pPr>
        <w:rPr>
          <w:rFonts w:eastAsia="Times New Roman" w:cs="Times New Roman"/>
          <w:szCs w:val="24"/>
          <w:lang w:val="en-US"/>
        </w:rPr>
      </w:pPr>
      <w:r>
        <w:rPr>
          <w:rFonts w:eastAsia="Times New Roman" w:cs="Times New Roman"/>
          <w:szCs w:val="24"/>
          <w:lang w:val="en-US"/>
        </w:rPr>
        <w:t>I</w:t>
      </w:r>
      <w:r w:rsidR="00BF2789" w:rsidRPr="00BF2789">
        <w:rPr>
          <w:rFonts w:eastAsia="Times New Roman" w:cs="Times New Roman"/>
          <w:szCs w:val="24"/>
          <w:lang w:val="en-US"/>
        </w:rPr>
        <w:t xml:space="preserve">n the current research effort, </w:t>
      </w:r>
      <w:r w:rsidR="00834B1B">
        <w:rPr>
          <w:rFonts w:eastAsia="Times New Roman" w:cs="Times New Roman"/>
          <w:szCs w:val="24"/>
          <w:lang w:val="en-US"/>
        </w:rPr>
        <w:t>several unobserved factors are considered. At the observation level (TAZ), we consider influence of common unobserved factors across crash frequency (</w:t>
      </w:r>
      <m:oMath>
        <m:sSub>
          <m:sSubPr>
            <m:ctrlPr>
              <w:rPr>
                <w:rFonts w:ascii="Cambria Math" w:eastAsia="Times New Roman" w:hAnsi="Cambria Math" w:cs="Times New Roman"/>
                <w:i/>
                <w:szCs w:val="24"/>
                <w:lang w:val="en-US"/>
              </w:rPr>
            </m:ctrlPr>
          </m:sSubPr>
          <m:e>
            <m:r>
              <w:rPr>
                <w:rFonts w:ascii="Cambria Math" w:hAnsi="Cambria Math"/>
                <w:szCs w:val="24"/>
              </w:rPr>
              <m:t>Φ</m:t>
            </m:r>
          </m:e>
          <m:sub>
            <m:r>
              <w:rPr>
                <w:rFonts w:ascii="Cambria Math" w:eastAsia="Times New Roman" w:hAnsi="Cambria Math" w:cs="Times New Roman"/>
                <w:szCs w:val="24"/>
                <w:lang w:val="en-US"/>
              </w:rPr>
              <m:t>ir</m:t>
            </m:r>
          </m:sub>
        </m:sSub>
      </m:oMath>
      <w:r w:rsidR="00834B1B">
        <w:rPr>
          <w:rFonts w:eastAsia="Times New Roman" w:cs="Times New Roman"/>
          <w:szCs w:val="24"/>
          <w:lang w:val="en-US"/>
        </w:rPr>
        <w:t>) and crash severity (</w:t>
      </w:r>
      <m:oMath>
        <m:sSub>
          <m:sSubPr>
            <m:ctrlPr>
              <w:rPr>
                <w:rFonts w:ascii="Cambria Math" w:eastAsia="Calibri" w:hAnsi="Cambria Math" w:cs="Times New Roman"/>
                <w:i/>
                <w:lang w:val="en-US"/>
              </w:rPr>
            </m:ctrlPr>
          </m:sSubPr>
          <m:e>
            <m:r>
              <w:rPr>
                <w:rFonts w:ascii="Cambria Math" w:eastAsiaTheme="minorEastAsia" w:hAnsi="Cambria Math" w:cs="Times New Roman"/>
                <w:szCs w:val="24"/>
                <w:lang w:eastAsia="en-CA"/>
              </w:rPr>
              <m:t>γ</m:t>
            </m:r>
          </m:e>
          <m:sub>
            <m:r>
              <w:rPr>
                <w:rFonts w:ascii="Cambria Math" w:eastAsia="Calibri" w:hAnsi="Cambria Math" w:cs="Times New Roman"/>
                <w:lang w:val="en-US"/>
              </w:rPr>
              <m:t>irk</m:t>
            </m:r>
          </m:sub>
        </m:sSub>
      </m:oMath>
      <w:r w:rsidR="00834B1B">
        <w:rPr>
          <w:rFonts w:eastAsia="Times New Roman" w:cs="Times New Roman"/>
          <w:lang w:val="en-US"/>
        </w:rPr>
        <w:t xml:space="preserve">, </w:t>
      </w:r>
      <m:oMath>
        <m:sSub>
          <m:sSubPr>
            <m:ctrlPr>
              <w:rPr>
                <w:rFonts w:ascii="Cambria Math" w:hAnsi="Cambria Math"/>
                <w:sz w:val="22"/>
              </w:rPr>
            </m:ctrlPr>
          </m:sSubPr>
          <m:e>
            <m:r>
              <w:rPr>
                <w:rFonts w:ascii="Cambria Math" w:hAnsi="Cambria Math"/>
                <w:sz w:val="22"/>
              </w:rPr>
              <m:t>θ</m:t>
            </m:r>
          </m:e>
          <m:sub>
            <m:r>
              <w:rPr>
                <w:rFonts w:ascii="Cambria Math" w:hAnsi="Cambria Math"/>
                <w:sz w:val="22"/>
              </w:rPr>
              <m:t>irk</m:t>
            </m:r>
          </m:sub>
        </m:sSub>
      </m:oMath>
      <w:r w:rsidR="00834B1B">
        <w:rPr>
          <w:rFonts w:eastAsia="Times New Roman" w:cs="Times New Roman"/>
          <w:szCs w:val="24"/>
          <w:lang w:val="en-US"/>
        </w:rPr>
        <w:t xml:space="preserve">). In addition to this, </w:t>
      </w:r>
      <w:r w:rsidR="00BF2789" w:rsidRPr="00BF2789">
        <w:rPr>
          <w:rFonts w:eastAsia="Times New Roman" w:cs="Times New Roman"/>
          <w:szCs w:val="24"/>
          <w:lang w:val="en-US"/>
        </w:rPr>
        <w:t xml:space="preserve">a number of correlation </w:t>
      </w:r>
      <w:r w:rsidR="00834B1B">
        <w:rPr>
          <w:rFonts w:eastAsia="Times New Roman" w:cs="Times New Roman"/>
          <w:szCs w:val="24"/>
          <w:lang w:val="en-US"/>
        </w:rPr>
        <w:t>terms</w:t>
      </w:r>
      <w:r w:rsidR="00834B1B" w:rsidRPr="00BF2789">
        <w:rPr>
          <w:rFonts w:eastAsia="Times New Roman" w:cs="Times New Roman"/>
          <w:szCs w:val="24"/>
          <w:lang w:val="en-US"/>
        </w:rPr>
        <w:t xml:space="preserve"> </w:t>
      </w:r>
      <w:r w:rsidR="00BF2789" w:rsidRPr="00BF2789">
        <w:rPr>
          <w:rFonts w:eastAsia="Times New Roman" w:cs="Times New Roman"/>
          <w:szCs w:val="24"/>
          <w:lang w:val="en-US"/>
        </w:rPr>
        <w:t xml:space="preserve">are tested including: 1) common unobserved factors </w:t>
      </w:r>
      <w:r w:rsidR="00AE2DCD" w:rsidRPr="00BF2789">
        <w:rPr>
          <w:rFonts w:eastAsia="Times New Roman" w:cs="Times New Roman"/>
          <w:szCs w:val="24"/>
          <w:lang w:val="en-US"/>
        </w:rPr>
        <w:t>simultaneously</w:t>
      </w:r>
      <w:r w:rsidR="00AE2DCD">
        <w:rPr>
          <w:rFonts w:eastAsia="Times New Roman" w:cs="Times New Roman"/>
          <w:szCs w:val="24"/>
          <w:lang w:val="en-US"/>
        </w:rPr>
        <w:t xml:space="preserve"> </w:t>
      </w:r>
      <w:r w:rsidR="00BF2789" w:rsidRPr="00BF2789">
        <w:rPr>
          <w:rFonts w:eastAsia="Times New Roman" w:cs="Times New Roman"/>
          <w:szCs w:val="24"/>
          <w:lang w:val="en-US"/>
        </w:rPr>
        <w:t xml:space="preserve">affecting crash counts of different crash types </w:t>
      </w:r>
      <w:r w:rsidR="00341C63">
        <w:rPr>
          <w:rFonts w:eastAsia="Times New Roman" w:cs="Times New Roman"/>
          <w:szCs w:val="24"/>
          <w:lang w:val="en-US"/>
        </w:rPr>
        <w:t>(</w:t>
      </w:r>
      <m:oMath>
        <m:sSub>
          <m:sSubPr>
            <m:ctrlPr>
              <w:rPr>
                <w:rFonts w:ascii="Cambria Math" w:eastAsia="Times New Roman" w:hAnsi="Cambria Math" w:cs="Times New Roman"/>
                <w:lang w:val="en-US"/>
              </w:rPr>
            </m:ctrlPr>
          </m:sSubPr>
          <m:e>
            <m:r>
              <m:rPr>
                <m:sty m:val="bi"/>
              </m:rPr>
              <w:rPr>
                <w:rFonts w:ascii="Cambria Math" w:eastAsia="Times New Roman" w:hAnsi="Cambria Math" w:cs="Times New Roman"/>
                <w:lang w:val="en-US"/>
              </w:rPr>
              <m:t>ϱ</m:t>
            </m:r>
          </m:e>
          <m:sub>
            <m:r>
              <w:rPr>
                <w:rFonts w:ascii="Cambria Math" w:eastAsia="Times New Roman" w:hAnsi="Cambria Math" w:cs="Times New Roman"/>
                <w:lang w:val="en-US"/>
              </w:rPr>
              <m:t>i</m:t>
            </m:r>
          </m:sub>
        </m:sSub>
      </m:oMath>
      <w:r w:rsidR="00341C63">
        <w:rPr>
          <w:rFonts w:eastAsia="Times New Roman" w:cs="Times New Roman"/>
          <w:lang w:val="en-US"/>
        </w:rPr>
        <w:t>)</w:t>
      </w:r>
      <w:r w:rsidR="00BF2789" w:rsidRPr="00BF2789">
        <w:rPr>
          <w:rFonts w:eastAsia="Times New Roman" w:cs="Times New Roman"/>
          <w:szCs w:val="24"/>
          <w:lang w:val="en-US"/>
        </w:rPr>
        <w:t xml:space="preserve">; 2) common unobserved factors </w:t>
      </w:r>
      <w:r w:rsidR="00AE2DCD" w:rsidRPr="00BF2789">
        <w:rPr>
          <w:rFonts w:eastAsia="Times New Roman" w:cs="Times New Roman"/>
          <w:szCs w:val="24"/>
          <w:lang w:val="en-US"/>
        </w:rPr>
        <w:t>simultaneously</w:t>
      </w:r>
      <w:r w:rsidR="00AE2DCD">
        <w:rPr>
          <w:rFonts w:eastAsia="Times New Roman" w:cs="Times New Roman"/>
          <w:szCs w:val="24"/>
          <w:lang w:val="en-US"/>
        </w:rPr>
        <w:t xml:space="preserve"> </w:t>
      </w:r>
      <w:r w:rsidR="00BF2789" w:rsidRPr="00BF2789">
        <w:rPr>
          <w:rFonts w:eastAsia="Times New Roman" w:cs="Times New Roman"/>
          <w:szCs w:val="24"/>
          <w:lang w:val="en-US"/>
        </w:rPr>
        <w:t xml:space="preserve">affecting crash severity proportions of different crash types </w:t>
      </w:r>
      <w:r w:rsidR="00341C63">
        <w:rPr>
          <w:rFonts w:eastAsia="Times New Roman" w:cs="Times New Roman"/>
          <w:szCs w:val="24"/>
          <w:lang w:val="en-US"/>
        </w:rPr>
        <w:t>(</w:t>
      </w:r>
      <m:oMath>
        <m:sSub>
          <m:sSubPr>
            <m:ctrlPr>
              <w:rPr>
                <w:rFonts w:ascii="Cambria Math" w:hAnsi="Cambria Math"/>
                <w:szCs w:val="24"/>
              </w:rPr>
            </m:ctrlPr>
          </m:sSubPr>
          <m:e>
            <m:r>
              <w:rPr>
                <w:rFonts w:ascii="Cambria Math" w:hAnsi="Cambria Math"/>
                <w:szCs w:val="24"/>
              </w:rPr>
              <m:t>δ</m:t>
            </m:r>
          </m:e>
          <m:sub>
            <m:r>
              <w:rPr>
                <w:rFonts w:ascii="Cambria Math" w:hAnsi="Cambria Math"/>
                <w:szCs w:val="24"/>
              </w:rPr>
              <m:t>ir</m:t>
            </m:r>
          </m:sub>
        </m:sSub>
        <m:r>
          <w:rPr>
            <w:rFonts w:ascii="Cambria Math" w:hAnsi="Cambria Math"/>
            <w:szCs w:val="24"/>
          </w:rPr>
          <m:t>,</m:t>
        </m:r>
        <m:sSub>
          <m:sSubPr>
            <m:ctrlPr>
              <w:rPr>
                <w:rFonts w:ascii="Cambria Math" w:hAnsi="Cambria Math"/>
                <w:sz w:val="22"/>
              </w:rPr>
            </m:ctrlPr>
          </m:sSubPr>
          <m:e>
            <m:r>
              <w:rPr>
                <w:rFonts w:ascii="Cambria Math" w:hAnsi="Cambria Math"/>
                <w:sz w:val="22"/>
              </w:rPr>
              <m:t>ς</m:t>
            </m:r>
          </m:e>
          <m:sub>
            <m:r>
              <w:rPr>
                <w:rFonts w:ascii="Cambria Math" w:hAnsi="Cambria Math"/>
                <w:sz w:val="22"/>
              </w:rPr>
              <m:t>ir</m:t>
            </m:r>
          </m:sub>
        </m:sSub>
        <m:r>
          <w:rPr>
            <w:rFonts w:ascii="Cambria Math" w:hAnsi="Cambria Math"/>
            <w:szCs w:val="24"/>
          </w:rPr>
          <m:t xml:space="preserve"> </m:t>
        </m:r>
      </m:oMath>
      <w:r w:rsidR="00341C63">
        <w:rPr>
          <w:rFonts w:eastAsia="Times New Roman" w:cs="Times New Roman"/>
          <w:lang w:val="en-US"/>
        </w:rPr>
        <w:t>)</w:t>
      </w:r>
      <w:r w:rsidR="00341C63" w:rsidRPr="00BF2789">
        <w:rPr>
          <w:rFonts w:eastAsia="Times New Roman" w:cs="Times New Roman"/>
          <w:szCs w:val="24"/>
          <w:lang w:val="en-US"/>
        </w:rPr>
        <w:t xml:space="preserve">; </w:t>
      </w:r>
      <w:r w:rsidR="00BF2789" w:rsidRPr="00BF2789">
        <w:rPr>
          <w:rFonts w:eastAsia="Times New Roman" w:cs="Times New Roman"/>
          <w:szCs w:val="24"/>
          <w:lang w:val="en-US"/>
        </w:rPr>
        <w:t xml:space="preserve"> and 3) common unobserved factors that simultaneously impact crash counts and severity proportions by different crash types</w:t>
      </w:r>
      <w:r w:rsidR="00341C63">
        <w:rPr>
          <w:rFonts w:eastAsia="Times New Roman" w:cs="Times New Roman"/>
          <w:szCs w:val="24"/>
          <w:lang w:val="en-US"/>
        </w:rPr>
        <w:t xml:space="preserve"> (</w:t>
      </w:r>
      <m:oMath>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η</m:t>
            </m:r>
          </m:e>
          <m:sub>
            <m:r>
              <w:rPr>
                <w:rFonts w:ascii="Cambria Math" w:eastAsia="Times New Roman" w:hAnsi="Cambria Math" w:cs="Times New Roman"/>
                <w:szCs w:val="24"/>
                <w:lang w:val="en-US"/>
              </w:rPr>
              <m:t>irk</m:t>
            </m:r>
          </m:sub>
        </m:sSub>
      </m:oMath>
      <w:r w:rsidR="00341C63">
        <w:rPr>
          <w:rFonts w:eastAsia="Times New Roman" w:cs="Times New Roman"/>
          <w:lang w:val="en-US"/>
        </w:rPr>
        <w:t>)</w:t>
      </w:r>
      <w:r w:rsidR="00BF2789" w:rsidRPr="00BF2789">
        <w:rPr>
          <w:rFonts w:eastAsia="Times New Roman" w:cs="Times New Roman"/>
          <w:szCs w:val="24"/>
          <w:lang w:val="en-US"/>
        </w:rPr>
        <w:t>.</w:t>
      </w:r>
      <w:r w:rsidR="00BF2789">
        <w:rPr>
          <w:rFonts w:eastAsia="Times New Roman" w:cs="Times New Roman"/>
          <w:szCs w:val="24"/>
          <w:lang w:val="en-US"/>
        </w:rPr>
        <w:t xml:space="preserve"> </w:t>
      </w:r>
      <w:r w:rsidR="00090BA0">
        <w:rPr>
          <w:rFonts w:eastAsia="Times New Roman" w:cs="Times New Roman"/>
          <w:szCs w:val="24"/>
          <w:lang w:val="en-US"/>
        </w:rPr>
        <w:t xml:space="preserve">A discussion of these correlation structures </w:t>
      </w:r>
      <w:proofErr w:type="gramStart"/>
      <w:r w:rsidR="00090BA0">
        <w:rPr>
          <w:rFonts w:eastAsia="Times New Roman" w:cs="Times New Roman"/>
          <w:szCs w:val="24"/>
          <w:lang w:val="en-US"/>
        </w:rPr>
        <w:t>are</w:t>
      </w:r>
      <w:proofErr w:type="gramEnd"/>
      <w:r w:rsidR="00090BA0">
        <w:rPr>
          <w:rFonts w:eastAsia="Times New Roman" w:cs="Times New Roman"/>
          <w:szCs w:val="24"/>
          <w:lang w:val="en-US"/>
        </w:rPr>
        <w:t xml:space="preserve"> presented below: </w:t>
      </w:r>
    </w:p>
    <w:tbl>
      <w:tblPr>
        <w:tblStyle w:val="TableGrid"/>
        <w:tblW w:w="5094"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0"/>
        <w:gridCol w:w="2456"/>
      </w:tblGrid>
      <w:tr w:rsidR="00F265E3" w:rsidRPr="0010387C" w14:paraId="77390798" w14:textId="77777777" w:rsidTr="00140C9F">
        <w:tc>
          <w:tcPr>
            <w:tcW w:w="3708" w:type="pct"/>
          </w:tcPr>
          <w:p w14:paraId="23CDE429" w14:textId="30A5B5E5" w:rsidR="00F265E3" w:rsidRPr="005430A9" w:rsidRDefault="00A846BB" w:rsidP="00064D2A">
            <w:pPr>
              <w:spacing w:before="360" w:after="360"/>
              <w:ind w:left="-100"/>
              <w:rPr>
                <w:rFonts w:eastAsia="Calibri" w:cs="Times New Roman"/>
                <w:lang w:val="en-US"/>
              </w:rPr>
            </w:pPr>
            <w:r>
              <w:rPr>
                <w:rFonts w:eastAsia="Calibri" w:cs="Times New Roman"/>
                <w:noProof/>
                <w:lang w:val="en-US"/>
              </w:rPr>
              <w:lastRenderedPageBreak/>
              <w:drawing>
                <wp:inline distT="0" distB="0" distL="0" distR="0" wp14:anchorId="0D596817" wp14:editId="52C02704">
                  <wp:extent cx="3017520" cy="15970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7520" cy="1597025"/>
                          </a:xfrm>
                          <a:prstGeom prst="rect">
                            <a:avLst/>
                          </a:prstGeom>
                          <a:noFill/>
                        </pic:spPr>
                      </pic:pic>
                    </a:graphicData>
                  </a:graphic>
                </wp:inline>
              </w:drawing>
            </w:r>
          </w:p>
        </w:tc>
        <w:tc>
          <w:tcPr>
            <w:tcW w:w="1292" w:type="pct"/>
            <w:vAlign w:val="center"/>
          </w:tcPr>
          <w:p w14:paraId="2CB6ADDF" w14:textId="77777777" w:rsidR="00F265E3" w:rsidRPr="0010387C" w:rsidRDefault="00F265E3" w:rsidP="00CA0A7B">
            <w:pPr>
              <w:numPr>
                <w:ilvl w:val="0"/>
                <w:numId w:val="11"/>
              </w:numPr>
              <w:spacing w:before="360" w:after="360"/>
              <w:contextualSpacing/>
              <w:jc w:val="right"/>
              <w:rPr>
                <w:rFonts w:ascii="Calibri" w:eastAsia="Calibri" w:hAnsi="Calibri" w:cs="Times New Roman"/>
                <w:lang w:val="en-US"/>
              </w:rPr>
            </w:pPr>
          </w:p>
        </w:tc>
      </w:tr>
    </w:tbl>
    <w:p w14:paraId="503940C9" w14:textId="18B8C2B8" w:rsidR="00DE5D48" w:rsidRDefault="00090BA0" w:rsidP="003B7CDB">
      <w:pPr>
        <w:ind w:firstLine="720"/>
        <w:rPr>
          <w:rFonts w:eastAsiaTheme="minorEastAsia"/>
          <w:lang w:val="en-US"/>
        </w:rPr>
      </w:pPr>
      <w:r>
        <w:t>Equation 8 provides the overall structure of the correlation matrix. The order of the correlation matrix is provided by the total number of crash type and crash severity levels (N+K).</w:t>
      </w:r>
      <w:r w:rsidR="00543314">
        <w:t xml:space="preserve"> </w:t>
      </w:r>
      <w:r w:rsidR="00833028">
        <w:rPr>
          <w:rFonts w:eastAsiaTheme="minorEastAsia"/>
          <w:lang w:val="en-US"/>
        </w:rPr>
        <w:t xml:space="preserve">The reader would note that </w:t>
      </w:r>
      <w:r w:rsidR="00E26932">
        <w:rPr>
          <w:rFonts w:eastAsiaTheme="minorEastAsia"/>
          <w:lang w:val="en-US"/>
        </w:rPr>
        <w:t xml:space="preserve">unobserved factors affecting crash type and severity might have </w:t>
      </w:r>
      <w:r w:rsidR="00833028">
        <w:rPr>
          <w:rFonts w:eastAsiaTheme="minorEastAsia"/>
          <w:lang w:val="en-US"/>
        </w:rPr>
        <w:t xml:space="preserve">a positive (negative) association i.e. unobserved factors increasing crashes by a type also increase (decrease) severity proportion for that type. </w:t>
      </w:r>
      <w:r w:rsidR="00E26932">
        <w:rPr>
          <w:rFonts w:eastAsiaTheme="minorEastAsia"/>
          <w:lang w:val="en-US"/>
        </w:rPr>
        <w:t xml:space="preserve"> </w:t>
      </w:r>
      <w:r w:rsidR="00833028">
        <w:rPr>
          <w:rFonts w:eastAsiaTheme="minorEastAsia"/>
          <w:lang w:val="en-US"/>
        </w:rPr>
        <w:t xml:space="preserve">Thus, it is not hard to recognize a large possibility of combinations of positive and negative correlations. The matrix </w:t>
      </w:r>
      <m:oMath>
        <m:r>
          <w:rPr>
            <w:rFonts w:ascii="Cambria Math" w:hAnsi="Cambria Math"/>
            <w:lang w:val="en-US"/>
          </w:rPr>
          <m:t>Þ</m:t>
        </m:r>
      </m:oMath>
      <w:r w:rsidR="00833028">
        <w:rPr>
          <w:rFonts w:eastAsiaTheme="minorEastAsia"/>
          <w:lang w:val="en-US"/>
        </w:rPr>
        <w:t xml:space="preserve"> is introduced to recognize that the common unobserved factors between crash type, severity and type and severity combination can either be positive or negative. </w:t>
      </w:r>
      <m:oMath>
        <m:r>
          <w:rPr>
            <w:rFonts w:ascii="Cambria Math" w:hAnsi="Cambria Math"/>
            <w:lang w:val="en-US"/>
          </w:rPr>
          <m:t>Þ</m:t>
        </m:r>
      </m:oMath>
      <w:r w:rsidR="00833028">
        <w:rPr>
          <w:rFonts w:eastAsiaTheme="minorEastAsia"/>
          <w:lang w:val="en-US"/>
        </w:rPr>
        <w:t xml:space="preserve"> is an appropriately concatenated matrix composed of three matrices </w:t>
      </w:r>
      <m:oMath>
        <m:r>
          <w:rPr>
            <w:rFonts w:ascii="Cambria Math" w:hAnsi="Cambria Math" w:cs="Times New Roman"/>
            <w:szCs w:val="24"/>
          </w:rPr>
          <m:t>(</m:t>
        </m:r>
        <m:sSub>
          <m:sSubPr>
            <m:ctrlPr>
              <w:rPr>
                <w:rFonts w:ascii="Cambria Math" w:hAnsi="Cambria Math"/>
                <w:i/>
                <w:lang w:val="en-US"/>
              </w:rPr>
            </m:ctrlPr>
          </m:sSubPr>
          <m:e>
            <m:r>
              <w:rPr>
                <w:rFonts w:ascii="Cambria Math" w:hAnsi="Cambria Math"/>
                <w:lang w:val="en-US"/>
              </w:rPr>
              <m:t>þ</m:t>
            </m:r>
          </m:e>
          <m:sub>
            <m:r>
              <w:rPr>
                <w:rFonts w:ascii="Cambria Math" w:hAnsi="Cambria Math"/>
                <w:lang w:val="en-US"/>
              </w:rPr>
              <m:t>r</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þ</m:t>
            </m:r>
          </m:e>
          <m:sub>
            <m:r>
              <w:rPr>
                <w:rFonts w:ascii="Cambria Math" w:hAnsi="Cambria Math"/>
                <w:lang w:val="en-US"/>
              </w:rPr>
              <m:t>k</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þ</m:t>
            </m:r>
          </m:e>
          <m:sub>
            <m:r>
              <w:rPr>
                <w:rFonts w:ascii="Cambria Math" w:hAnsi="Cambria Math"/>
                <w:lang w:val="en-US"/>
              </w:rPr>
              <m:t>rk</m:t>
            </m:r>
          </m:sub>
        </m:sSub>
        <m:r>
          <w:rPr>
            <w:rFonts w:ascii="Cambria Math" w:hAnsi="Cambria Math"/>
            <w:lang w:val="en-US"/>
          </w:rPr>
          <m:t>)</m:t>
        </m:r>
      </m:oMath>
      <w:r w:rsidR="00833028">
        <w:rPr>
          <w:rFonts w:eastAsiaTheme="minorEastAsia"/>
          <w:lang w:val="en-US"/>
        </w:rPr>
        <w:t xml:space="preserve">. </w:t>
      </w:r>
      <w:r w:rsidR="00B06FFF">
        <w:rPr>
          <w:rFonts w:eastAsiaTheme="minorEastAsia"/>
          <w:lang w:val="en-US"/>
        </w:rPr>
        <w:t xml:space="preserve">The </w:t>
      </w:r>
      <m:oMath>
        <m:r>
          <w:rPr>
            <w:rFonts w:ascii="Cambria Math" w:hAnsi="Cambria Math"/>
            <w:lang w:val="en-US"/>
          </w:rPr>
          <m:t>Þ</m:t>
        </m:r>
      </m:oMath>
      <w:r w:rsidR="00B06FFF">
        <w:rPr>
          <w:rFonts w:eastAsiaTheme="minorEastAsia"/>
          <w:lang w:val="en-US"/>
        </w:rPr>
        <w:t xml:space="preserve"> matrix allows us to generate the various possible combinations of positive and negative associations between these correlations. </w:t>
      </w:r>
    </w:p>
    <w:p w14:paraId="524E48C6" w14:textId="6BDF5A30" w:rsidR="00F265E3" w:rsidRDefault="003D6D95" w:rsidP="00EB0560">
      <w:pPr>
        <w:ind w:firstLine="720"/>
      </w:pPr>
      <w:r>
        <w:rPr>
          <w:rFonts w:ascii="Cambria Math" w:hAnsi="Cambria Math"/>
          <w:i/>
          <w:vertAlign w:val="subscript"/>
          <w:lang w:val="en-US"/>
        </w:rPr>
        <w:t xml:space="preserve"> </w:t>
      </w:r>
      <w:r w:rsidR="00090BA0">
        <w:t xml:space="preserve">To elaborate on the structure, we discuss the three main components of the matrix. </w:t>
      </w:r>
      <w:r w:rsidR="00AC7F21">
        <w:t xml:space="preserve">The top left part represents the correlation matrix </w:t>
      </w:r>
      <w:r w:rsidR="005A2E83">
        <w:t>for the crash type only</w:t>
      </w:r>
      <w:r w:rsidR="00117466">
        <w:rPr>
          <w:rFonts w:eastAsiaTheme="minorEastAsia"/>
        </w:rPr>
        <w:t>:</w:t>
      </w:r>
    </w:p>
    <w:tbl>
      <w:tblPr>
        <w:tblStyle w:val="TableGrid"/>
        <w:tblW w:w="5094"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5"/>
        <w:gridCol w:w="1401"/>
      </w:tblGrid>
      <w:tr w:rsidR="00FB5C85" w:rsidRPr="0010387C" w14:paraId="098BD6F7" w14:textId="77777777" w:rsidTr="00441D52">
        <w:tc>
          <w:tcPr>
            <w:tcW w:w="4263" w:type="pct"/>
          </w:tcPr>
          <w:p w14:paraId="0D53C7AF" w14:textId="7A4AC8BC" w:rsidR="00FB5C85" w:rsidRPr="005430A9" w:rsidRDefault="000105E1" w:rsidP="00441D52">
            <w:pPr>
              <w:spacing w:before="360" w:after="360"/>
              <w:rPr>
                <w:rFonts w:eastAsia="Calibri" w:cs="Times New Roman"/>
                <w:lang w:val="en-US"/>
              </w:rPr>
            </w:pPr>
            <w:r>
              <w:rPr>
                <w:rFonts w:eastAsia="Calibri" w:cs="Times New Roman"/>
                <w:noProof/>
                <w:lang w:val="en-US"/>
              </w:rPr>
              <w:drawing>
                <wp:inline distT="0" distB="0" distL="0" distR="0" wp14:anchorId="390024ED" wp14:editId="5E9E4F08">
                  <wp:extent cx="3213100" cy="17494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3100" cy="1749425"/>
                          </a:xfrm>
                          <a:prstGeom prst="rect">
                            <a:avLst/>
                          </a:prstGeom>
                          <a:noFill/>
                        </pic:spPr>
                      </pic:pic>
                    </a:graphicData>
                  </a:graphic>
                </wp:inline>
              </w:drawing>
            </w:r>
          </w:p>
        </w:tc>
        <w:tc>
          <w:tcPr>
            <w:tcW w:w="737" w:type="pct"/>
            <w:vAlign w:val="center"/>
          </w:tcPr>
          <w:p w14:paraId="62203B32" w14:textId="77777777" w:rsidR="00FB5C85" w:rsidRPr="0010387C" w:rsidRDefault="00FB5C85" w:rsidP="00E26250">
            <w:pPr>
              <w:numPr>
                <w:ilvl w:val="0"/>
                <w:numId w:val="11"/>
              </w:numPr>
              <w:spacing w:before="360" w:after="360"/>
              <w:contextualSpacing/>
              <w:jc w:val="right"/>
              <w:rPr>
                <w:rFonts w:ascii="Calibri" w:eastAsia="Calibri" w:hAnsi="Calibri" w:cs="Times New Roman"/>
                <w:lang w:val="en-US"/>
              </w:rPr>
            </w:pPr>
          </w:p>
        </w:tc>
      </w:tr>
    </w:tbl>
    <w:p w14:paraId="6FD9D2AB" w14:textId="3037A924" w:rsidR="00090BA0" w:rsidRDefault="00090BA0" w:rsidP="00210385">
      <w:r>
        <w:t xml:space="preserve">As described in Equation 9, these terms represent the correlation between crash types. </w:t>
      </w:r>
      <w:r w:rsidR="00003D04">
        <w:t xml:space="preserve">For example, </w:t>
      </w:r>
      <w:r w:rsidR="005A2E83" w:rsidRPr="005A2E83">
        <w:t xml:space="preserve">the correlation parameter </w:t>
      </w:r>
      <m:oMath>
        <m:sSub>
          <m:sSubPr>
            <m:ctrlPr>
              <w:rPr>
                <w:rFonts w:ascii="Cambria Math" w:hAnsi="Cambria Math"/>
              </w:rPr>
            </m:ctrlPr>
          </m:sSubPr>
          <m:e>
            <m:r>
              <w:rPr>
                <w:rFonts w:ascii="Cambria Math" w:hAnsi="Cambria Math"/>
                <w:lang w:val="az-Cyrl-AZ"/>
              </w:rPr>
              <m:t>я</m:t>
            </m:r>
          </m:e>
          <m:sub>
            <m:r>
              <m:rPr>
                <m:sty m:val="p"/>
              </m:rPr>
              <w:rPr>
                <w:rFonts w:ascii="Cambria Math" w:hAnsi="Cambria Math"/>
              </w:rPr>
              <m:t>12</m:t>
            </m:r>
          </m:sub>
        </m:sSub>
      </m:oMath>
      <w:r w:rsidR="005A2E83" w:rsidRPr="005A2E83">
        <w:t xml:space="preserve"> </w:t>
      </w:r>
      <w:r w:rsidR="00BC6690">
        <w:t xml:space="preserve"> in equation 9 </w:t>
      </w:r>
      <w:r w:rsidR="005A2E83" w:rsidRPr="005A2E83">
        <w:t>captures the common unobserved factors affecting the crash counts of crash type 1 and crash type 2 (which is rear-end and angular for the current study context) simultaneously</w:t>
      </w:r>
      <w:r w:rsidR="00003D04">
        <w:t xml:space="preserve"> while </w:t>
      </w:r>
      <m:oMath>
        <m:sSub>
          <m:sSubPr>
            <m:ctrlPr>
              <w:rPr>
                <w:rFonts w:ascii="Cambria Math" w:hAnsi="Cambria Math"/>
              </w:rPr>
            </m:ctrlPr>
          </m:sSubPr>
          <m:e>
            <m:r>
              <w:rPr>
                <w:rFonts w:ascii="Cambria Math" w:hAnsi="Cambria Math"/>
                <w:lang w:val="az-Cyrl-AZ"/>
              </w:rPr>
              <m:t>я</m:t>
            </m:r>
          </m:e>
          <m:sub>
            <m:r>
              <m:rPr>
                <m:sty m:val="p"/>
              </m:rPr>
              <w:rPr>
                <w:rFonts w:ascii="Cambria Math" w:hAnsi="Cambria Math"/>
              </w:rPr>
              <m:t>2J</m:t>
            </m:r>
          </m:sub>
        </m:sSub>
      </m:oMath>
      <w:r w:rsidR="00003D04">
        <w:t xml:space="preserve"> represents the potential correlation between crash type 2 and crash type J. </w:t>
      </w:r>
      <m:oMath>
        <m:sSub>
          <m:sSubPr>
            <m:ctrlPr>
              <w:rPr>
                <w:rFonts w:ascii="Cambria Math" w:hAnsi="Cambria Math"/>
                <w:i/>
                <w:lang w:val="en-US"/>
              </w:rPr>
            </m:ctrlPr>
          </m:sSubPr>
          <m:e>
            <m:r>
              <w:rPr>
                <w:rFonts w:ascii="Cambria Math" w:hAnsi="Cambria Math"/>
                <w:lang w:val="en-US"/>
              </w:rPr>
              <m:t>þ</m:t>
            </m:r>
          </m:e>
          <m:sub>
            <m:r>
              <w:rPr>
                <w:rFonts w:ascii="Cambria Math" w:hAnsi="Cambria Math"/>
                <w:lang w:val="en-US"/>
              </w:rPr>
              <m:t>r</m:t>
            </m:r>
          </m:sub>
        </m:sSub>
      </m:oMath>
      <w:r w:rsidR="00B06FFF">
        <w:rPr>
          <w:rFonts w:eastAsiaTheme="minorEastAsia"/>
          <w:lang w:val="en-US"/>
        </w:rPr>
        <w:t xml:space="preserve"> matrix will be +1 if the association is positive, -1 if association is negative and 0 if no association is considered. </w:t>
      </w:r>
    </w:p>
    <w:p w14:paraId="3CBF4B00" w14:textId="01BF0977" w:rsidR="00CA0A7B" w:rsidRDefault="0029022E" w:rsidP="006B1C2B">
      <w:pPr>
        <w:ind w:firstLine="720"/>
      </w:pPr>
      <w:r>
        <w:t>Equation 10 represents the lower right part of the correlation matrix in equation 8 that accommodates for the common unobserved heterogeneity across the crash severity proportions.</w:t>
      </w:r>
    </w:p>
    <w:tbl>
      <w:tblPr>
        <w:tblStyle w:val="TableGrid"/>
        <w:tblW w:w="5094"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5"/>
        <w:gridCol w:w="1401"/>
      </w:tblGrid>
      <w:tr w:rsidR="00CA0A7B" w:rsidRPr="0010387C" w14:paraId="72C8A81D" w14:textId="77777777" w:rsidTr="00884164">
        <w:tc>
          <w:tcPr>
            <w:tcW w:w="4263" w:type="pct"/>
            <w:vAlign w:val="center"/>
          </w:tcPr>
          <w:p w14:paraId="11AD13BF" w14:textId="032BBF97" w:rsidR="00CA0A7B" w:rsidRPr="005430A9" w:rsidRDefault="005C5763" w:rsidP="00884164">
            <w:pPr>
              <w:spacing w:before="360" w:after="360"/>
              <w:jc w:val="left"/>
              <w:rPr>
                <w:rFonts w:eastAsia="Calibri" w:cs="Times New Roman"/>
                <w:lang w:val="en-US"/>
              </w:rPr>
            </w:pPr>
            <w:r>
              <w:rPr>
                <w:rFonts w:eastAsia="Calibri" w:cs="Times New Roman"/>
                <w:noProof/>
                <w:lang w:val="en-US"/>
              </w:rPr>
              <w:lastRenderedPageBreak/>
              <w:drawing>
                <wp:inline distT="0" distB="0" distL="0" distR="0" wp14:anchorId="465695B8" wp14:editId="5B987776">
                  <wp:extent cx="2908300" cy="14814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8300" cy="1481455"/>
                          </a:xfrm>
                          <a:prstGeom prst="rect">
                            <a:avLst/>
                          </a:prstGeom>
                          <a:noFill/>
                        </pic:spPr>
                      </pic:pic>
                    </a:graphicData>
                  </a:graphic>
                </wp:inline>
              </w:drawing>
            </w:r>
          </w:p>
        </w:tc>
        <w:tc>
          <w:tcPr>
            <w:tcW w:w="737" w:type="pct"/>
            <w:vAlign w:val="center"/>
          </w:tcPr>
          <w:p w14:paraId="37DB4A93" w14:textId="77777777" w:rsidR="00CA0A7B" w:rsidRPr="0010387C" w:rsidRDefault="00CA0A7B" w:rsidP="00884164">
            <w:pPr>
              <w:numPr>
                <w:ilvl w:val="0"/>
                <w:numId w:val="11"/>
              </w:numPr>
              <w:spacing w:before="360" w:after="360"/>
              <w:contextualSpacing/>
              <w:jc w:val="right"/>
              <w:rPr>
                <w:rFonts w:ascii="Calibri" w:eastAsia="Calibri" w:hAnsi="Calibri" w:cs="Times New Roman"/>
                <w:lang w:val="en-US"/>
              </w:rPr>
            </w:pPr>
          </w:p>
        </w:tc>
      </w:tr>
    </w:tbl>
    <w:p w14:paraId="5B40CBB1" w14:textId="2DB37ED4" w:rsidR="00E95F71" w:rsidRPr="00B24BFD" w:rsidRDefault="00090BA0" w:rsidP="00E95F71">
      <w:pPr>
        <w:rPr>
          <w:rFonts w:eastAsiaTheme="minorEastAsia"/>
        </w:rPr>
      </w:pPr>
      <w:r>
        <w:t xml:space="preserve">To elaborate, </w:t>
      </w:r>
      <w:r w:rsidR="001027F0" w:rsidRPr="001027F0">
        <w:t xml:space="preserve">the correlation parameter </w:t>
      </w:r>
      <m:oMath>
        <m:sSub>
          <m:sSubPr>
            <m:ctrlPr>
              <w:rPr>
                <w:rFonts w:ascii="Cambria Math" w:hAnsi="Cambria Math"/>
                <w:i/>
              </w:rPr>
            </m:ctrlPr>
          </m:sSubPr>
          <m:e>
            <m:r>
              <w:rPr>
                <w:rFonts w:ascii="Cambria Math" w:hAnsi="Cambria Math"/>
              </w:rPr>
              <m:t>џ</m:t>
            </m:r>
          </m:e>
          <m:sub>
            <m:r>
              <w:rPr>
                <w:rFonts w:ascii="Cambria Math" w:hAnsi="Cambria Math"/>
              </w:rPr>
              <m:t>1K”</m:t>
            </m:r>
          </m:sub>
        </m:sSub>
      </m:oMath>
      <w:r w:rsidR="001027F0" w:rsidRPr="001027F0">
        <w:rPr>
          <w:rFonts w:eastAsiaTheme="minorEastAsia"/>
        </w:rPr>
        <w:t xml:space="preserve"> captures the presence of common unobserved factors between the crash proportion of severity category 1 and K (which is no and severe injury for the current analysis). </w:t>
      </w:r>
      <m:oMath>
        <m:sSub>
          <m:sSubPr>
            <m:ctrlPr>
              <w:rPr>
                <w:rFonts w:ascii="Cambria Math" w:hAnsi="Cambria Math"/>
                <w:i/>
                <w:lang w:val="en-US"/>
              </w:rPr>
            </m:ctrlPr>
          </m:sSubPr>
          <m:e>
            <m:r>
              <w:rPr>
                <w:rFonts w:ascii="Cambria Math" w:hAnsi="Cambria Math"/>
                <w:lang w:val="en-US"/>
              </w:rPr>
              <m:t>þ</m:t>
            </m:r>
          </m:e>
          <m:sub>
            <m:r>
              <w:rPr>
                <w:rFonts w:ascii="Cambria Math" w:hAnsi="Cambria Math"/>
                <w:lang w:val="en-US"/>
              </w:rPr>
              <m:t>k</m:t>
            </m:r>
          </m:sub>
        </m:sSub>
      </m:oMath>
      <w:r w:rsidR="00077860">
        <w:rPr>
          <w:rFonts w:eastAsiaTheme="minorEastAsia"/>
          <w:lang w:val="en-US"/>
        </w:rPr>
        <w:t>follows similar notation as earlier.</w:t>
      </w:r>
    </w:p>
    <w:p w14:paraId="75E59A8B" w14:textId="414DCA44" w:rsidR="00E26250" w:rsidRPr="001027F0" w:rsidRDefault="00090BA0" w:rsidP="00BE4E81">
      <w:pPr>
        <w:ind w:firstLine="720"/>
        <w:rPr>
          <w:sz w:val="22"/>
          <w:szCs w:val="20"/>
        </w:rPr>
      </w:pPr>
      <w:r>
        <w:rPr>
          <w:rFonts w:eastAsiaTheme="minorEastAsia"/>
        </w:rPr>
        <w:t>Equation 11, representing the b</w:t>
      </w:r>
      <w:r w:rsidR="00512A15">
        <w:rPr>
          <w:rFonts w:eastAsiaTheme="minorEastAsia"/>
        </w:rPr>
        <w:t xml:space="preserve">ottom left or top right parts in the correlation matrix from equation 8 captures the potential correlation between a crash type and its’ corresponding severity proportion. </w:t>
      </w:r>
    </w:p>
    <w:tbl>
      <w:tblPr>
        <w:tblStyle w:val="TableGrid"/>
        <w:tblW w:w="5094"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5"/>
        <w:gridCol w:w="1401"/>
      </w:tblGrid>
      <w:tr w:rsidR="00E26250" w:rsidRPr="0010387C" w14:paraId="483C4E22" w14:textId="77777777" w:rsidTr="00DD3726">
        <w:tc>
          <w:tcPr>
            <w:tcW w:w="4263" w:type="pct"/>
          </w:tcPr>
          <w:p w14:paraId="0466C98D" w14:textId="6371D009" w:rsidR="00E26250" w:rsidRPr="005430A9" w:rsidRDefault="00B10EAB" w:rsidP="00DD3726">
            <w:pPr>
              <w:spacing w:before="360" w:after="360"/>
              <w:rPr>
                <w:rFonts w:eastAsia="Calibri" w:cs="Times New Roman"/>
                <w:lang w:val="en-US"/>
              </w:rPr>
            </w:pPr>
            <w:r>
              <w:rPr>
                <w:rFonts w:eastAsia="Calibri" w:cs="Times New Roman"/>
                <w:noProof/>
                <w:lang w:val="en-US"/>
              </w:rPr>
              <w:drawing>
                <wp:inline distT="0" distB="0" distL="0" distR="0" wp14:anchorId="7E3FF46E" wp14:editId="0B5BFFD2">
                  <wp:extent cx="3023870" cy="14141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3870" cy="1414145"/>
                          </a:xfrm>
                          <a:prstGeom prst="rect">
                            <a:avLst/>
                          </a:prstGeom>
                          <a:noFill/>
                        </pic:spPr>
                      </pic:pic>
                    </a:graphicData>
                  </a:graphic>
                </wp:inline>
              </w:drawing>
            </w:r>
          </w:p>
        </w:tc>
        <w:tc>
          <w:tcPr>
            <w:tcW w:w="737" w:type="pct"/>
            <w:vAlign w:val="center"/>
          </w:tcPr>
          <w:p w14:paraId="764ECDDB" w14:textId="77777777" w:rsidR="00E26250" w:rsidRPr="0010387C" w:rsidRDefault="00E26250" w:rsidP="00E26250">
            <w:pPr>
              <w:numPr>
                <w:ilvl w:val="0"/>
                <w:numId w:val="11"/>
              </w:numPr>
              <w:spacing w:before="360" w:after="360"/>
              <w:contextualSpacing/>
              <w:jc w:val="right"/>
              <w:rPr>
                <w:rFonts w:ascii="Calibri" w:eastAsia="Calibri" w:hAnsi="Calibri" w:cs="Times New Roman"/>
                <w:lang w:val="en-US"/>
              </w:rPr>
            </w:pPr>
          </w:p>
        </w:tc>
      </w:tr>
    </w:tbl>
    <w:p w14:paraId="14E976A7" w14:textId="6FAACF60" w:rsidR="00B4062B" w:rsidRPr="00B030BC" w:rsidRDefault="00090BA0" w:rsidP="00F21ABE">
      <w:pPr>
        <w:ind w:firstLine="720"/>
        <w:rPr>
          <w:rFonts w:eastAsiaTheme="minorEastAsia"/>
        </w:rPr>
      </w:pPr>
      <w:r>
        <w:rPr>
          <w:rFonts w:eastAsia="Times New Roman" w:cs="Times New Roman"/>
          <w:sz w:val="22"/>
          <w:lang w:val="en-US"/>
        </w:rPr>
        <w:t>Specifically</w:t>
      </w:r>
      <w:r w:rsidR="00BB6D50" w:rsidRPr="001900B9">
        <w:rPr>
          <w:rFonts w:eastAsia="Times New Roman" w:cs="Times New Roman"/>
          <w:sz w:val="22"/>
          <w:lang w:val="en-US"/>
        </w:rPr>
        <w:t xml:space="preserve">, </w:t>
      </w:r>
      <w:r w:rsidR="001900B9" w:rsidRPr="001900B9">
        <w:t xml:space="preserve">the correlation parameter </w:t>
      </w:r>
      <m:oMath>
        <m:sSub>
          <m:sSubPr>
            <m:ctrlPr>
              <w:rPr>
                <w:rFonts w:ascii="Cambria Math" w:hAnsi="Cambria Math"/>
                <w:i/>
              </w:rPr>
            </m:ctrlPr>
          </m:sSubPr>
          <m:e>
            <m:r>
              <w:rPr>
                <w:rFonts w:ascii="Cambria Math" w:hAnsi="Cambria Math"/>
                <w:lang w:val="az-Cyrl-AZ"/>
              </w:rPr>
              <m:t>ѓ</m:t>
            </m:r>
          </m:e>
          <m:sub>
            <m:r>
              <w:rPr>
                <w:rFonts w:ascii="Cambria Math" w:hAnsi="Cambria Math"/>
              </w:rPr>
              <m:t>11</m:t>
            </m:r>
          </m:sub>
        </m:sSub>
      </m:oMath>
      <w:r w:rsidR="001900B9" w:rsidRPr="001900B9">
        <w:rPr>
          <w:rFonts w:eastAsiaTheme="minorEastAsia"/>
        </w:rPr>
        <w:t xml:space="preserve"> captures the presence of potential correlation between the crash counts of crash type 1 and crash proportion of severity category 1</w:t>
      </w:r>
      <w:r w:rsidR="008F6EDF">
        <w:rPr>
          <w:rFonts w:eastAsiaTheme="minorEastAsia"/>
        </w:rPr>
        <w:t>.</w:t>
      </w:r>
      <w:r w:rsidR="001900B9" w:rsidRPr="001900B9">
        <w:rPr>
          <w:rFonts w:eastAsiaTheme="minorEastAsia"/>
        </w:rPr>
        <w:t xml:space="preserve"> </w:t>
      </w:r>
      <w:r w:rsidR="00291189">
        <w:rPr>
          <w:rFonts w:eastAsiaTheme="minorEastAsia"/>
        </w:rPr>
        <w:t xml:space="preserve">It is important to note that the correlation structure presented is applicable to each independent variable examined in the model (including constants). </w:t>
      </w:r>
      <m:oMath>
        <m:sSub>
          <m:sSubPr>
            <m:ctrlPr>
              <w:rPr>
                <w:rFonts w:ascii="Cambria Math" w:hAnsi="Cambria Math"/>
                <w:i/>
                <w:lang w:val="en-US"/>
              </w:rPr>
            </m:ctrlPr>
          </m:sSubPr>
          <m:e>
            <m:r>
              <w:rPr>
                <w:rFonts w:ascii="Cambria Math" w:hAnsi="Cambria Math"/>
                <w:lang w:val="en-US"/>
              </w:rPr>
              <m:t>þ</m:t>
            </m:r>
          </m:e>
          <m:sub>
            <m:r>
              <w:rPr>
                <w:rFonts w:ascii="Cambria Math" w:hAnsi="Cambria Math"/>
                <w:lang w:val="en-US"/>
              </w:rPr>
              <m:t>rk</m:t>
            </m:r>
          </m:sub>
        </m:sSub>
      </m:oMath>
      <w:r w:rsidR="005831CE">
        <w:rPr>
          <w:rFonts w:eastAsiaTheme="minorEastAsia"/>
          <w:lang w:val="en-US"/>
        </w:rPr>
        <w:t xml:space="preserve"> </w:t>
      </w:r>
      <w:r w:rsidR="00077860">
        <w:rPr>
          <w:rFonts w:eastAsiaTheme="minorEastAsia"/>
          <w:lang w:val="en-US"/>
        </w:rPr>
        <w:t xml:space="preserve">follows similar notation as earlier. </w:t>
      </w:r>
      <w:r w:rsidR="00291189">
        <w:rPr>
          <w:rFonts w:eastAsiaTheme="minorEastAsia"/>
        </w:rPr>
        <w:t>This indicates that potentially (N+</w:t>
      </w:r>
      <w:proofErr w:type="gramStart"/>
      <w:r w:rsidR="00291189">
        <w:rPr>
          <w:rFonts w:eastAsiaTheme="minorEastAsia"/>
        </w:rPr>
        <w:t>K)*</w:t>
      </w:r>
      <w:proofErr w:type="gramEnd"/>
      <w:r w:rsidR="00291189">
        <w:rPr>
          <w:rFonts w:eastAsiaTheme="minorEastAsia"/>
        </w:rPr>
        <w:t xml:space="preserve"> (N+K)/2 elements can be estimated for each variable. While theoretically this is possible, it is important to conduct the estimation judiciously to avoid identification issues. </w:t>
      </w:r>
      <w:r w:rsidR="00B66B6D">
        <w:rPr>
          <w:rFonts w:eastAsia="Times New Roman" w:cs="Times New Roman"/>
          <w:lang w:val="en-US"/>
        </w:rPr>
        <w:t xml:space="preserve">For ease of following </w:t>
      </w:r>
      <m:oMath>
        <m:r>
          <w:rPr>
            <w:rFonts w:ascii="Cambria Math" w:hAnsi="Cambria Math"/>
            <w:lang w:val="en-US"/>
          </w:rPr>
          <m:t>þ</m:t>
        </m:r>
      </m:oMath>
      <w:r w:rsidR="00B66B6D">
        <w:rPr>
          <w:rFonts w:eastAsia="Times New Roman" w:cs="Times New Roman"/>
          <w:lang w:val="en-US"/>
        </w:rPr>
        <w:t xml:space="preserve"> matrix, a</w:t>
      </w:r>
      <w:r w:rsidR="00077860">
        <w:rPr>
          <w:rFonts w:eastAsia="Times New Roman" w:cs="Times New Roman"/>
          <w:lang w:val="en-US"/>
        </w:rPr>
        <w:t>n example realization is provided in the Appendix</w:t>
      </w:r>
      <w:r w:rsidR="00B66B6D">
        <w:rPr>
          <w:rFonts w:eastAsia="Times New Roman" w:cs="Times New Roman"/>
          <w:lang w:val="en-US"/>
        </w:rPr>
        <w:t xml:space="preserve"> A</w:t>
      </w:r>
      <w:r w:rsidR="00077860">
        <w:rPr>
          <w:rFonts w:eastAsia="Times New Roman" w:cs="Times New Roman"/>
          <w:lang w:val="en-US"/>
        </w:rPr>
        <w:t xml:space="preserve">. </w:t>
      </w:r>
      <w:r w:rsidR="00B66B6D">
        <w:rPr>
          <w:rFonts w:eastAsia="Times New Roman" w:cs="Times New Roman"/>
          <w:lang w:val="en-US"/>
        </w:rPr>
        <w:t>As is apparent, i</w:t>
      </w:r>
      <w:r w:rsidR="00077860">
        <w:rPr>
          <w:rFonts w:eastAsia="Times New Roman" w:cs="Times New Roman"/>
          <w:lang w:val="en-US"/>
        </w:rPr>
        <w:t xml:space="preserve">t is possible to test </w:t>
      </w:r>
      <w:proofErr w:type="gramStart"/>
      <w:r w:rsidR="00077860">
        <w:rPr>
          <w:rFonts w:eastAsia="Times New Roman" w:cs="Times New Roman"/>
          <w:lang w:val="en-US"/>
        </w:rPr>
        <w:t>a large number of</w:t>
      </w:r>
      <w:proofErr w:type="gramEnd"/>
      <w:r w:rsidR="00077860">
        <w:rPr>
          <w:rFonts w:eastAsia="Times New Roman" w:cs="Times New Roman"/>
          <w:lang w:val="en-US"/>
        </w:rPr>
        <w:t xml:space="preserve"> combinations of the </w:t>
      </w:r>
      <m:oMath>
        <m:r>
          <w:rPr>
            <w:rFonts w:ascii="Cambria Math" w:hAnsi="Cambria Math"/>
            <w:lang w:val="en-US"/>
          </w:rPr>
          <m:t>þ</m:t>
        </m:r>
      </m:oMath>
      <w:r w:rsidR="00B66B6D">
        <w:rPr>
          <w:rFonts w:eastAsia="Times New Roman" w:cs="Times New Roman"/>
          <w:lang w:val="en-US"/>
        </w:rPr>
        <w:t xml:space="preserve"> </w:t>
      </w:r>
      <w:r w:rsidR="00077860">
        <w:rPr>
          <w:rFonts w:eastAsia="Times New Roman" w:cs="Times New Roman"/>
          <w:lang w:val="en-US"/>
        </w:rPr>
        <w:t xml:space="preserve">matrix. However, as opposed to running all possibilities, the estimation is judiciously conducted for expected relationships. </w:t>
      </w:r>
      <w:r w:rsidR="00B4062B">
        <w:rPr>
          <w:rFonts w:eastAsia="Times New Roman" w:cs="Times New Roman"/>
          <w:szCs w:val="24"/>
          <w:lang w:val="en-US"/>
        </w:rPr>
        <w:t>The model structure that offers the superior data fit is considered as the final model.</w:t>
      </w:r>
    </w:p>
    <w:p w14:paraId="06E98695" w14:textId="5B79A7A7" w:rsidR="00A24218" w:rsidRDefault="00A24218" w:rsidP="00A24218">
      <w:pPr>
        <w:rPr>
          <w:rFonts w:eastAsia="Times New Roman" w:cs="Times New Roman"/>
          <w:szCs w:val="24"/>
          <w:lang w:val="en-US"/>
        </w:rPr>
      </w:pPr>
    </w:p>
    <w:p w14:paraId="63BACBA0" w14:textId="6E113F52" w:rsidR="00BE44F6" w:rsidRDefault="00DB33E4" w:rsidP="00B556B9">
      <w:pPr>
        <w:pStyle w:val="Heading2"/>
        <w:tabs>
          <w:tab w:val="left" w:pos="720"/>
          <w:tab w:val="left" w:pos="1440"/>
          <w:tab w:val="left" w:pos="2160"/>
          <w:tab w:val="left" w:pos="2880"/>
          <w:tab w:val="left" w:pos="3600"/>
          <w:tab w:val="left" w:pos="4320"/>
          <w:tab w:val="left" w:pos="5355"/>
        </w:tabs>
        <w:rPr>
          <w:rFonts w:cs="Times New Roman"/>
          <w:b w:val="0"/>
          <w:lang w:val="en-US"/>
        </w:rPr>
      </w:pPr>
      <w:r>
        <w:t xml:space="preserve">Joint </w:t>
      </w:r>
      <w:r w:rsidR="008C2336">
        <w:t>(</w:t>
      </w:r>
      <w:r w:rsidR="00D92FA6">
        <w:t>NB-GOPFS</w:t>
      </w:r>
      <w:r w:rsidR="008C2336">
        <w:t>)</w:t>
      </w:r>
      <w:r w:rsidR="00D92FA6">
        <w:t xml:space="preserve"> </w:t>
      </w:r>
      <w:r w:rsidR="00BE44F6" w:rsidRPr="00AE123A">
        <w:t>Model</w:t>
      </w:r>
      <w:r w:rsidR="00BE44F6" w:rsidRPr="00107514">
        <w:rPr>
          <w:rFonts w:cs="Times New Roman"/>
          <w:lang w:val="en-US"/>
        </w:rPr>
        <w:t xml:space="preserve"> </w:t>
      </w:r>
      <w:r w:rsidR="00BE44F6">
        <w:rPr>
          <w:rFonts w:cs="Times New Roman"/>
          <w:lang w:val="en-US"/>
        </w:rPr>
        <w:t>Estimatio</w:t>
      </w:r>
      <w:r w:rsidR="00C63407">
        <w:rPr>
          <w:rFonts w:cs="Times New Roman"/>
          <w:lang w:val="en-US"/>
        </w:rPr>
        <w:t>n</w:t>
      </w:r>
      <w:r w:rsidR="00B556B9">
        <w:rPr>
          <w:rFonts w:cs="Times New Roman"/>
          <w:lang w:val="en-US"/>
        </w:rPr>
        <w:tab/>
      </w:r>
    </w:p>
    <w:p w14:paraId="76B86CBC" w14:textId="2859A440" w:rsidR="008970B2" w:rsidRDefault="00045373" w:rsidP="008970B2">
      <w:pPr>
        <w:rPr>
          <w:rFonts w:eastAsiaTheme="minorEastAsia" w:cs="Times New Roman"/>
          <w:szCs w:val="24"/>
          <w:lang w:val="en-US"/>
        </w:rPr>
      </w:pPr>
      <w:r>
        <w:rPr>
          <w:rFonts w:eastAsia="Times New Roman" w:cs="Times New Roman"/>
          <w:lang w:val="en-US"/>
        </w:rPr>
        <w:t>I</w:t>
      </w:r>
      <w:r w:rsidRPr="000606CA">
        <w:rPr>
          <w:rFonts w:cs="Times New Roman"/>
          <w:lang w:val="en-US"/>
        </w:rPr>
        <w:t xml:space="preserve">n </w:t>
      </w:r>
      <w:r>
        <w:rPr>
          <w:rFonts w:cs="Times New Roman"/>
          <w:lang w:val="en-US"/>
        </w:rPr>
        <w:t xml:space="preserve">estimating the model, it is necessary to specify the structure for the unobserved vectors </w:t>
      </w:r>
      <m:oMath>
        <m:r>
          <w:rPr>
            <w:rFonts w:ascii="Cambria Math" w:hAnsi="Cambria Math"/>
            <w:szCs w:val="24"/>
          </w:rPr>
          <m:t>Φ</m:t>
        </m:r>
        <m:r>
          <w:rPr>
            <w:rFonts w:ascii="Cambria Math" w:eastAsiaTheme="minorEastAsia" w:hAnsi="Cambria Math" w:cs="Times New Roman"/>
            <w:szCs w:val="24"/>
            <w:lang w:eastAsia="en-CA"/>
          </w:rPr>
          <m:t>,</m:t>
        </m:r>
        <m:r>
          <w:rPr>
            <w:rFonts w:ascii="Cambria Math" w:eastAsia="Times New Roman" w:hAnsi="Cambria Math" w:cs="Times New Roman"/>
            <w:szCs w:val="24"/>
            <w:lang w:val="en-US"/>
          </w:rPr>
          <m:t xml:space="preserve"> </m:t>
        </m:r>
        <m:r>
          <w:rPr>
            <w:rFonts w:ascii="Cambria Math" w:eastAsia="Times New Roman" w:hAnsi="Cambria Math"/>
          </w:rPr>
          <m:t>ϱ,</m:t>
        </m:r>
        <m:r>
          <w:rPr>
            <w:rFonts w:ascii="Cambria Math" w:eastAsia="Times New Roman" w:hAnsi="Cambria Math" w:cs="Times New Roman"/>
            <w:szCs w:val="24"/>
            <w:lang w:val="en-US"/>
          </w:rPr>
          <m:t xml:space="preserve">γ and </m:t>
        </m:r>
        <m:r>
          <w:rPr>
            <w:rFonts w:ascii="Cambria Math" w:eastAsia="Calibri" w:hAnsi="Cambria Math" w:cs="Times New Roman"/>
            <w:lang w:val="en-US"/>
          </w:rPr>
          <m:t>δ</m:t>
        </m:r>
      </m:oMath>
      <w:r>
        <w:rPr>
          <w:rFonts w:eastAsiaTheme="minorEastAsia" w:cs="Times New Roman"/>
          <w:szCs w:val="24"/>
          <w:lang w:val="en-US"/>
        </w:rPr>
        <w:t xml:space="preserve"> represented by </w:t>
      </w:r>
      <w:r w:rsidR="008970B2">
        <w:rPr>
          <w:rFonts w:eastAsiaTheme="minorEastAsia" w:cs="Times New Roman"/>
          <w:szCs w:val="24"/>
          <w:lang w:val="en-US"/>
        </w:rPr>
        <w:t>Ω</w:t>
      </w:r>
      <w:r>
        <w:rPr>
          <w:rFonts w:eastAsiaTheme="minorEastAsia" w:cs="Times New Roman"/>
          <w:szCs w:val="24"/>
          <w:lang w:val="en-US"/>
        </w:rPr>
        <w:t xml:space="preserve">. In this </w:t>
      </w:r>
      <w:r w:rsidR="00541CA4">
        <w:rPr>
          <w:rFonts w:eastAsiaTheme="minorEastAsia" w:cs="Times New Roman"/>
          <w:szCs w:val="24"/>
          <w:lang w:val="en-US"/>
        </w:rPr>
        <w:t>study</w:t>
      </w:r>
      <w:r>
        <w:rPr>
          <w:rFonts w:eastAsiaTheme="minorEastAsia" w:cs="Times New Roman"/>
          <w:szCs w:val="24"/>
          <w:lang w:val="en-US"/>
        </w:rPr>
        <w:t xml:space="preserve">, it is assumed that these elements are drawn from independent </w:t>
      </w:r>
      <w:r>
        <w:rPr>
          <w:rFonts w:eastAsia="Times New Roman" w:cs="Times New Roman"/>
          <w:szCs w:val="24"/>
          <w:lang w:val="en-US"/>
        </w:rPr>
        <w:t xml:space="preserve">normal distribution: </w:t>
      </w:r>
      <w:r w:rsidR="008970B2">
        <w:rPr>
          <w:rFonts w:eastAsiaTheme="minorEastAsia" w:cs="Times New Roman"/>
          <w:szCs w:val="24"/>
          <w:lang w:val="en-US"/>
        </w:rPr>
        <w:t>Ω</w:t>
      </w:r>
      <m:oMath>
        <m:r>
          <w:rPr>
            <w:rFonts w:ascii="Cambria Math" w:eastAsia="Times New Roman" w:hAnsi="Cambria Math" w:cs="Times New Roman"/>
            <w:szCs w:val="24"/>
            <w:lang w:val="en-US"/>
          </w:rPr>
          <m:t>~N(0, (</m:t>
        </m:r>
        <m:sSup>
          <m:sSupPr>
            <m:ctrlPr>
              <w:rPr>
                <w:rFonts w:ascii="Cambria Math" w:eastAsiaTheme="minorEastAsia" w:hAnsi="Cambria Math" w:cs="Times New Roman"/>
                <w:bCs/>
                <w:i/>
                <w:lang w:val="en-US"/>
              </w:rPr>
            </m:ctrlPr>
          </m:sSupPr>
          <m:e>
            <m:r>
              <w:rPr>
                <w:rFonts w:ascii="Cambria Math" w:eastAsiaTheme="minorEastAsia" w:hAnsi="Cambria Math" w:cs="Times New Roman"/>
                <w:lang w:val="en-US"/>
              </w:rPr>
              <m:t>π</m:t>
            </m:r>
          </m:e>
          <m:sup>
            <m:r>
              <w:rPr>
                <w:rFonts w:ascii="Cambria Math" w:eastAsiaTheme="minorEastAsia" w:hAnsi="Cambria Math" w:cs="Times New Roman"/>
                <w:lang w:val="en-US"/>
              </w:rPr>
              <m:t>2</m:t>
            </m:r>
          </m:sup>
        </m:sSup>
        <m:r>
          <m:rPr>
            <m:sty m:val="p"/>
          </m:rPr>
          <w:rPr>
            <w:rFonts w:ascii="Cambria Math" w:eastAsiaTheme="minorEastAsia" w:hAnsi="Cambria Math" w:cs="Times New Roman"/>
            <w:lang w:val="en-US"/>
          </w:rPr>
          <m:t xml:space="preserve">, </m:t>
        </m:r>
        <m:sSup>
          <m:sSupPr>
            <m:ctrlPr>
              <w:rPr>
                <w:rFonts w:ascii="Cambria Math" w:eastAsiaTheme="minorEastAsia" w:hAnsi="Cambria Math" w:cs="Times New Roman"/>
                <w:bCs/>
                <w:i/>
                <w:lang w:val="en-US"/>
              </w:rPr>
            </m:ctrlPr>
          </m:sSupPr>
          <m:e>
            <m:r>
              <w:rPr>
                <w:rFonts w:ascii="Cambria Math" w:eastAsiaTheme="minorEastAsia" w:hAnsi="Cambria Math" w:cs="Times New Roman"/>
                <w:lang w:val="en-US"/>
              </w:rPr>
              <m:t>σ</m:t>
            </m:r>
          </m:e>
          <m:sup>
            <m:r>
              <w:rPr>
                <w:rFonts w:ascii="Cambria Math" w:eastAsiaTheme="minorEastAsia" w:hAnsi="Cambria Math" w:cs="Times New Roman"/>
                <w:lang w:val="en-US"/>
              </w:rPr>
              <m:t>2</m:t>
            </m:r>
          </m:sup>
        </m:sSup>
        <m:r>
          <m:rPr>
            <m:sty m:val="p"/>
          </m:rPr>
          <w:rPr>
            <w:rFonts w:ascii="Cambria Math" w:eastAsiaTheme="minorEastAsia" w:hAnsi="Cambria Math" w:cs="Times New Roman"/>
            <w:lang w:val="en-US"/>
          </w:rPr>
          <m:t xml:space="preserve"> </m:t>
        </m:r>
        <m:sSup>
          <m:sSupPr>
            <m:ctrlPr>
              <w:rPr>
                <w:rFonts w:ascii="Cambria Math" w:eastAsia="Times New Roman" w:hAnsi="Cambria Math" w:cs="Times New Roman"/>
                <w:bCs/>
                <w:i/>
                <w:szCs w:val="24"/>
                <w:lang w:val="en-US"/>
              </w:rPr>
            </m:ctrlPr>
          </m:sSupPr>
          <m:e>
            <m:r>
              <w:rPr>
                <w:rFonts w:ascii="Cambria Math" w:eastAsia="Times New Roman" w:hAnsi="Cambria Math" w:cs="Times New Roman"/>
                <w:szCs w:val="24"/>
                <w:lang w:val="en-US"/>
              </w:rPr>
              <m:t>ν</m:t>
            </m:r>
          </m:e>
          <m:sup>
            <m:r>
              <w:rPr>
                <w:rFonts w:ascii="Cambria Math" w:eastAsia="Times New Roman" w:hAnsi="Cambria Math" w:cs="Times New Roman"/>
                <w:szCs w:val="24"/>
                <w:lang w:val="en-US"/>
              </w:rPr>
              <m:t>2</m:t>
            </m:r>
          </m:sup>
        </m:sSup>
        <m:r>
          <w:rPr>
            <w:rFonts w:ascii="Cambria Math" w:eastAsiaTheme="minorEastAsia" w:hAnsi="Cambria Math" w:cs="Times New Roman"/>
            <w:szCs w:val="24"/>
            <w:lang w:val="en-US"/>
          </w:rPr>
          <m:t>))</m:t>
        </m:r>
      </m:oMath>
      <w:r w:rsidR="008970B2">
        <w:rPr>
          <w:rFonts w:eastAsiaTheme="minorEastAsia" w:cs="Times New Roman"/>
          <w:szCs w:val="24"/>
          <w:lang w:val="en-US"/>
        </w:rPr>
        <w:t>. Thus, conditional on Ω, the likelihood function for the joint probability can be expressed as:</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6"/>
        <w:gridCol w:w="1215"/>
      </w:tblGrid>
      <w:tr w:rsidR="00F65DDC" w:rsidRPr="0010387C" w14:paraId="00688540" w14:textId="77777777" w:rsidTr="007B6C5C">
        <w:tc>
          <w:tcPr>
            <w:tcW w:w="4349" w:type="pct"/>
            <w:vAlign w:val="center"/>
          </w:tcPr>
          <w:p w14:paraId="22F10B30" w14:textId="5997A67F" w:rsidR="00F65DDC" w:rsidRPr="0010387C" w:rsidRDefault="00DA4C35" w:rsidP="007B6C5C">
            <w:pPr>
              <w:spacing w:before="360" w:after="360" w:line="276" w:lineRule="auto"/>
              <w:rPr>
                <w:rFonts w:eastAsia="Calibri" w:cs="Times New Roman"/>
                <w:lang w:val="en-US"/>
              </w:rPr>
            </w:pPr>
            <m:oMathPara>
              <m:oMathParaPr>
                <m:jc m:val="left"/>
              </m:oMathParaPr>
              <m:oMath>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L</m:t>
                    </m:r>
                  </m:e>
                  <m:sub>
                    <m:r>
                      <w:rPr>
                        <w:rFonts w:ascii="Cambria Math" w:eastAsia="Times New Roman" w:hAnsi="Cambria Math" w:cs="Times New Roman"/>
                        <w:szCs w:val="24"/>
                        <w:lang w:val="en-US"/>
                      </w:rPr>
                      <m:t>i</m:t>
                    </m:r>
                  </m:sub>
                </m:sSub>
                <m:r>
                  <w:rPr>
                    <w:rFonts w:ascii="Cambria Math" w:eastAsia="Times New Roman" w:hAnsi="Cambria Math" w:cs="Times New Roman"/>
                    <w:szCs w:val="24"/>
                    <w:lang w:val="en-US"/>
                  </w:rPr>
                  <m:t>=</m:t>
                </m:r>
                <m:nary>
                  <m:naryPr>
                    <m:limLoc m:val="subSup"/>
                    <m:ctrlPr>
                      <w:rPr>
                        <w:rFonts w:ascii="Cambria Math" w:eastAsia="Times New Roman" w:hAnsi="Cambria Math" w:cs="Times New Roman"/>
                        <w:i/>
                        <w:szCs w:val="24"/>
                        <w:lang w:val="en-US"/>
                      </w:rPr>
                    </m:ctrlPr>
                  </m:naryPr>
                  <m:sub>
                    <m:r>
                      <m:rPr>
                        <m:sty m:val="p"/>
                      </m:rPr>
                      <w:rPr>
                        <w:rFonts w:ascii="Cambria Math" w:eastAsiaTheme="minorEastAsia" w:hAnsi="Cambria Math" w:cs="Times New Roman"/>
                        <w:szCs w:val="24"/>
                        <w:lang w:val="en-US"/>
                      </w:rPr>
                      <m:t>Ω</m:t>
                    </m:r>
                  </m:sub>
                  <m:sup/>
                  <m:e>
                    <m:nary>
                      <m:naryPr>
                        <m:chr m:val="∏"/>
                        <m:limLoc m:val="undOvr"/>
                        <m:ctrlPr>
                          <w:rPr>
                            <w:rFonts w:ascii="Cambria Math" w:eastAsia="Times New Roman" w:hAnsi="Cambria Math" w:cs="Times New Roman"/>
                            <w:i/>
                            <w:szCs w:val="24"/>
                            <w:lang w:val="en-US"/>
                          </w:rPr>
                        </m:ctrlPr>
                      </m:naryPr>
                      <m:sub>
                        <m:r>
                          <w:rPr>
                            <w:rFonts w:ascii="Cambria Math" w:eastAsia="Times New Roman" w:hAnsi="Cambria Math" w:cs="Times New Roman"/>
                            <w:szCs w:val="24"/>
                            <w:lang w:val="en-US"/>
                          </w:rPr>
                          <m:t>r=1</m:t>
                        </m:r>
                      </m:sub>
                      <m:sup>
                        <m:r>
                          <w:rPr>
                            <w:rFonts w:ascii="Cambria Math" w:eastAsia="Times New Roman" w:hAnsi="Cambria Math" w:cs="Times New Roman"/>
                            <w:szCs w:val="24"/>
                            <w:lang w:val="en-US"/>
                          </w:rPr>
                          <m:t>R</m:t>
                        </m:r>
                      </m:sup>
                      <m:e>
                        <m:d>
                          <m:dPr>
                            <m:begChr m:val="["/>
                            <m:endChr m:val="]"/>
                            <m:ctrlPr>
                              <w:rPr>
                                <w:rFonts w:ascii="Cambria Math" w:eastAsia="Times New Roman" w:hAnsi="Cambria Math" w:cs="Times New Roman"/>
                                <w:i/>
                                <w:szCs w:val="24"/>
                                <w:lang w:val="en-US"/>
                              </w:rPr>
                            </m:ctrlPr>
                          </m:dPr>
                          <m:e>
                            <m:d>
                              <m:dPr>
                                <m:ctrlPr>
                                  <w:rPr>
                                    <w:rFonts w:ascii="Cambria Math" w:eastAsia="Times New Roman" w:hAnsi="Cambria Math" w:cs="Times New Roman"/>
                                    <w:i/>
                                    <w:szCs w:val="24"/>
                                    <w:lang w:val="en-US"/>
                                  </w:rPr>
                                </m:ctrlPr>
                              </m:dPr>
                              <m:e>
                                <m:r>
                                  <w:rPr>
                                    <w:rFonts w:ascii="Cambria Math" w:eastAsia="Calibri" w:hAnsi="Cambria Math" w:cs="Times New Roman"/>
                                    <w:lang w:val="en-US"/>
                                  </w:rPr>
                                  <m:t>P</m:t>
                                </m:r>
                                <m:d>
                                  <m:dPr>
                                    <m:ctrlPr>
                                      <w:rPr>
                                        <w:rFonts w:ascii="Cambria Math" w:eastAsia="Calibri" w:hAnsi="Cambria Math" w:cs="Times New Roman"/>
                                        <w:i/>
                                        <w:lang w:val="en-US"/>
                                      </w:rPr>
                                    </m:ctrlPr>
                                  </m:d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c</m:t>
                                        </m:r>
                                      </m:e>
                                      <m:sub>
                                        <m:r>
                                          <w:rPr>
                                            <w:rFonts w:ascii="Cambria Math" w:eastAsia="Times New Roman" w:hAnsi="Cambria Math" w:cs="Times New Roman"/>
                                            <w:szCs w:val="24"/>
                                            <w:lang w:val="en-US"/>
                                          </w:rPr>
                                          <m:t>ir</m:t>
                                        </m:r>
                                      </m:sub>
                                    </m:sSub>
                                  </m:e>
                                </m:d>
                              </m:e>
                            </m:d>
                            <m:r>
                              <w:rPr>
                                <w:rFonts w:ascii="Cambria Math" w:eastAsia="Calibri" w:hAnsi="Cambria Math" w:cs="Times New Roman"/>
                                <w:lang w:val="en-US"/>
                              </w:rPr>
                              <m:t>×</m:t>
                            </m:r>
                            <m:nary>
                              <m:naryPr>
                                <m:chr m:val="∏"/>
                                <m:limLoc m:val="undOvr"/>
                                <m:ctrlPr>
                                  <w:rPr>
                                    <w:rFonts w:ascii="Cambria Math" w:eastAsia="Times New Roman" w:hAnsi="Cambria Math" w:cs="Times New Roman"/>
                                    <w:i/>
                                    <w:szCs w:val="24"/>
                                    <w:lang w:val="en-US"/>
                                  </w:rPr>
                                </m:ctrlPr>
                              </m:naryPr>
                              <m:sub>
                                <m:r>
                                  <w:rPr>
                                    <w:rFonts w:ascii="Cambria Math" w:eastAsia="Times New Roman" w:hAnsi="Cambria Math" w:cs="Times New Roman"/>
                                    <w:szCs w:val="24"/>
                                    <w:lang w:val="en-US"/>
                                  </w:rPr>
                                  <m:t>k=1</m:t>
                                </m:r>
                              </m:sub>
                              <m:sup>
                                <m:r>
                                  <w:rPr>
                                    <w:rFonts w:ascii="Cambria Math" w:eastAsia="Times New Roman" w:hAnsi="Cambria Math" w:cs="Times New Roman"/>
                                    <w:szCs w:val="24"/>
                                    <w:lang w:val="en-US"/>
                                  </w:rPr>
                                  <m:t>K</m:t>
                                </m:r>
                              </m:sup>
                              <m:e>
                                <m:sSup>
                                  <m:sSupPr>
                                    <m:ctrlPr>
                                      <w:rPr>
                                        <w:rFonts w:ascii="Cambria Math" w:eastAsia="Calibri" w:hAnsi="Cambria Math" w:cs="Times New Roman"/>
                                        <w:i/>
                                        <w:lang w:val="en-US"/>
                                      </w:rPr>
                                    </m:ctrlPr>
                                  </m:sSupPr>
                                  <m:e>
                                    <m:d>
                                      <m:dPr>
                                        <m:ctrlPr>
                                          <w:rPr>
                                            <w:rFonts w:ascii="Cambria Math" w:eastAsia="Calibri" w:hAnsi="Cambria Math" w:cs="Times New Roman"/>
                                            <w:i/>
                                            <w:lang w:val="en-US"/>
                                          </w:rPr>
                                        </m:ctrlPr>
                                      </m:dPr>
                                      <m:e>
                                        <m:sSub>
                                          <m:sSubPr>
                                            <m:ctrlPr>
                                              <w:rPr>
                                                <w:rFonts w:ascii="Cambria Math" w:eastAsia="Calibri" w:hAnsi="Cambria Math" w:cs="Times New Roman"/>
                                                <w:i/>
                                                <w:lang w:val="en-US"/>
                                              </w:rPr>
                                            </m:ctrlPr>
                                          </m:sSubPr>
                                          <m:e>
                                            <m:r>
                                              <w:rPr>
                                                <w:rFonts w:ascii="Cambria Math" w:eastAsia="Calibri" w:hAnsi="Cambria Math" w:cs="Times New Roman"/>
                                                <w:lang w:val="en-US"/>
                                              </w:rPr>
                                              <m:t>P</m:t>
                                            </m:r>
                                          </m:e>
                                          <m:sub>
                                            <m:r>
                                              <w:rPr>
                                                <w:rFonts w:ascii="Cambria Math" w:eastAsia="Calibri" w:hAnsi="Cambria Math" w:cs="Times New Roman"/>
                                                <w:lang w:val="en-US"/>
                                              </w:rPr>
                                              <m:t>irk</m:t>
                                            </m:r>
                                          </m:sub>
                                        </m:sSub>
                                      </m:e>
                                    </m:d>
                                  </m:e>
                                  <m:sup>
                                    <m:sSub>
                                      <m:sSubPr>
                                        <m:ctrlPr>
                                          <w:rPr>
                                            <w:rFonts w:ascii="Cambria Math" w:eastAsia="Calibri" w:hAnsi="Cambria Math" w:cs="Times New Roman"/>
                                            <w:i/>
                                            <w:lang w:val="en-US"/>
                                          </w:rPr>
                                        </m:ctrlPr>
                                      </m:sSubPr>
                                      <m:e>
                                        <m:r>
                                          <w:rPr>
                                            <w:rFonts w:ascii="Cambria Math" w:eastAsia="Calibri" w:hAnsi="Cambria Math" w:cs="Times New Roman"/>
                                            <w:lang w:val="en-US"/>
                                          </w:rPr>
                                          <m:t>ϖ</m:t>
                                        </m:r>
                                      </m:e>
                                      <m:sub>
                                        <m:r>
                                          <w:rPr>
                                            <w:rFonts w:ascii="Cambria Math" w:eastAsia="Calibri" w:hAnsi="Cambria Math" w:cs="Times New Roman"/>
                                            <w:lang w:val="en-US"/>
                                          </w:rPr>
                                          <m:t>ir</m:t>
                                        </m:r>
                                      </m:sub>
                                    </m:sSub>
                                    <m:sSub>
                                      <m:sSubPr>
                                        <m:ctrlPr>
                                          <w:rPr>
                                            <w:rFonts w:ascii="Cambria Math" w:eastAsia="Calibri" w:hAnsi="Cambria Math" w:cs="Times New Roman"/>
                                            <w:i/>
                                            <w:lang w:val="en-US"/>
                                          </w:rPr>
                                        </m:ctrlPr>
                                      </m:sSubPr>
                                      <m:e>
                                        <m:r>
                                          <w:rPr>
                                            <w:rFonts w:ascii="Cambria Math" w:eastAsia="Calibri" w:hAnsi="Cambria Math" w:cs="Times New Roman"/>
                                            <w:lang w:val="en-US"/>
                                          </w:rPr>
                                          <m:t>d</m:t>
                                        </m:r>
                                      </m:e>
                                      <m:sub>
                                        <m:r>
                                          <w:rPr>
                                            <w:rFonts w:ascii="Cambria Math" w:eastAsia="Calibri" w:hAnsi="Cambria Math" w:cs="Times New Roman"/>
                                            <w:lang w:val="en-US"/>
                                          </w:rPr>
                                          <m:t>irk</m:t>
                                        </m:r>
                                      </m:sub>
                                    </m:sSub>
                                  </m:sup>
                                </m:sSup>
                              </m:e>
                            </m:nary>
                          </m:e>
                        </m:d>
                      </m:e>
                    </m:nary>
                  </m:e>
                </m:nary>
                <m:r>
                  <w:rPr>
                    <w:rFonts w:ascii="Cambria Math" w:eastAsia="Times New Roman" w:hAnsi="Cambria Math" w:cs="Times New Roman"/>
                    <w:szCs w:val="24"/>
                    <w:lang w:val="en-US"/>
                  </w:rPr>
                  <m:t>d</m:t>
                </m:r>
                <m:r>
                  <m:rPr>
                    <m:sty m:val="p"/>
                  </m:rPr>
                  <w:rPr>
                    <w:rFonts w:ascii="Cambria Math" w:eastAsiaTheme="minorEastAsia" w:hAnsi="Cambria Math" w:cs="Times New Roman"/>
                    <w:szCs w:val="24"/>
                    <w:lang w:val="en-US"/>
                  </w:rPr>
                  <m:t>Ω</m:t>
                </m:r>
              </m:oMath>
            </m:oMathPara>
          </w:p>
        </w:tc>
        <w:tc>
          <w:tcPr>
            <w:tcW w:w="651" w:type="pct"/>
            <w:vAlign w:val="center"/>
          </w:tcPr>
          <w:p w14:paraId="1446EFC1" w14:textId="77777777" w:rsidR="00F65DDC" w:rsidRPr="0010387C" w:rsidRDefault="00F65DDC" w:rsidP="00EF3BCF">
            <w:pPr>
              <w:numPr>
                <w:ilvl w:val="0"/>
                <w:numId w:val="11"/>
              </w:numPr>
              <w:spacing w:before="360" w:after="360" w:line="276" w:lineRule="auto"/>
              <w:contextualSpacing/>
              <w:jc w:val="right"/>
              <w:rPr>
                <w:rFonts w:ascii="Calibri" w:eastAsia="Calibri" w:hAnsi="Calibri" w:cs="Times New Roman"/>
                <w:lang w:val="en-US"/>
              </w:rPr>
            </w:pPr>
          </w:p>
        </w:tc>
      </w:tr>
    </w:tbl>
    <w:p w14:paraId="67C99892" w14:textId="7ECB6393" w:rsidR="009E1410" w:rsidRDefault="00BE44F6" w:rsidP="00077C8C">
      <w:pPr>
        <w:rPr>
          <w:rFonts w:eastAsia="Calibri" w:cs="Times New Roman"/>
        </w:rPr>
      </w:pPr>
      <w:r>
        <w:rPr>
          <w:rFonts w:eastAsiaTheme="minorEastAsia" w:cs="Times New Roman"/>
          <w:szCs w:val="24"/>
          <w:lang w:val="en-US"/>
        </w:rPr>
        <w:t xml:space="preserve">where, </w:t>
      </w:r>
      <m:oMath>
        <m:sSub>
          <m:sSubPr>
            <m:ctrlPr>
              <w:rPr>
                <w:rFonts w:ascii="Cambria Math" w:eastAsia="Calibri" w:hAnsi="Cambria Math" w:cs="Times New Roman"/>
                <w:i/>
                <w:lang w:val="en-US"/>
              </w:rPr>
            </m:ctrlPr>
          </m:sSubPr>
          <m:e>
            <m:r>
              <w:rPr>
                <w:rFonts w:ascii="Cambria Math" w:eastAsia="Calibri" w:hAnsi="Cambria Math" w:cs="Times New Roman"/>
                <w:lang w:val="en-US"/>
              </w:rPr>
              <m:t>ϖ</m:t>
            </m:r>
          </m:e>
          <m:sub>
            <m:r>
              <w:rPr>
                <w:rFonts w:ascii="Cambria Math" w:eastAsia="Calibri" w:hAnsi="Cambria Math" w:cs="Times New Roman"/>
                <w:lang w:val="en-US"/>
              </w:rPr>
              <m:t>ir</m:t>
            </m:r>
          </m:sub>
        </m:sSub>
      </m:oMath>
      <w:r>
        <w:rPr>
          <w:rFonts w:eastAsiaTheme="minorEastAsia" w:cs="Times New Roman"/>
          <w:lang w:val="en-US"/>
        </w:rPr>
        <w:t xml:space="preserve"> is a dummy with </w:t>
      </w:r>
      <m:oMath>
        <m:sSub>
          <m:sSubPr>
            <m:ctrlPr>
              <w:rPr>
                <w:rFonts w:ascii="Cambria Math" w:eastAsia="Calibri" w:hAnsi="Cambria Math" w:cs="Times New Roman"/>
                <w:i/>
                <w:lang w:val="en-US"/>
              </w:rPr>
            </m:ctrlPr>
          </m:sSubPr>
          <m:e>
            <m:r>
              <w:rPr>
                <w:rFonts w:ascii="Cambria Math" w:eastAsia="Calibri" w:hAnsi="Cambria Math" w:cs="Times New Roman"/>
                <w:lang w:val="en-US"/>
              </w:rPr>
              <m:t>ϖ</m:t>
            </m:r>
          </m:e>
          <m:sub>
            <m:r>
              <w:rPr>
                <w:rFonts w:ascii="Cambria Math" w:eastAsia="Calibri" w:hAnsi="Cambria Math" w:cs="Times New Roman"/>
                <w:lang w:val="en-US"/>
              </w:rPr>
              <m:t>ir</m:t>
            </m:r>
          </m:sub>
        </m:sSub>
        <m:r>
          <w:rPr>
            <w:rFonts w:ascii="Cambria Math" w:eastAsia="Calibri" w:hAnsi="Cambria Math" w:cs="Times New Roman"/>
            <w:lang w:val="en-US"/>
          </w:rPr>
          <m:t>=1</m:t>
        </m:r>
      </m:oMath>
      <w:r>
        <w:rPr>
          <w:rFonts w:eastAsiaTheme="minorEastAsia" w:cs="Times New Roman"/>
          <w:lang w:val="en-US"/>
        </w:rPr>
        <w:t xml:space="preserve"> if TAZ </w:t>
      </w:r>
      <m:oMath>
        <m:r>
          <w:rPr>
            <w:rFonts w:ascii="Cambria Math" w:eastAsia="Times New Roman" w:hAnsi="Cambria Math" w:cs="Times New Roman"/>
            <w:szCs w:val="24"/>
            <w:lang w:val="en-US"/>
          </w:rPr>
          <m:t>i</m:t>
        </m:r>
      </m:oMath>
      <w:r>
        <w:rPr>
          <w:rFonts w:eastAsiaTheme="minorEastAsia" w:cs="Times New Roman"/>
          <w:szCs w:val="24"/>
          <w:lang w:val="en-US"/>
        </w:rPr>
        <w:t xml:space="preserve"> has at least one crash </w:t>
      </w:r>
      <w:r w:rsidR="00ED3758">
        <w:rPr>
          <w:rFonts w:eastAsiaTheme="minorEastAsia" w:cs="Times New Roman"/>
          <w:szCs w:val="24"/>
          <w:lang w:val="en-US"/>
        </w:rPr>
        <w:t xml:space="preserve">specific to crash type </w:t>
      </w:r>
      <m:oMath>
        <m:r>
          <w:rPr>
            <w:rFonts w:ascii="Cambria Math" w:eastAsia="Times New Roman" w:hAnsi="Cambria Math" w:cs="Times New Roman"/>
            <w:szCs w:val="24"/>
            <w:lang w:val="en-US"/>
          </w:rPr>
          <m:t>r</m:t>
        </m:r>
      </m:oMath>
      <w:r w:rsidR="00ED3758">
        <w:rPr>
          <w:rFonts w:eastAsiaTheme="minorEastAsia" w:cs="Times New Roman"/>
          <w:szCs w:val="24"/>
          <w:lang w:val="en-US"/>
        </w:rPr>
        <w:t xml:space="preserve"> </w:t>
      </w:r>
      <w:r>
        <w:rPr>
          <w:rFonts w:eastAsiaTheme="minorEastAsia" w:cs="Times New Roman"/>
          <w:szCs w:val="24"/>
          <w:lang w:val="en-US"/>
        </w:rPr>
        <w:t xml:space="preserve">over the study period and </w:t>
      </w:r>
      <m:oMath>
        <m:r>
          <w:rPr>
            <w:rFonts w:ascii="Cambria Math" w:eastAsia="Times New Roman" w:hAnsi="Cambria Math" w:cs="Times New Roman"/>
            <w:szCs w:val="24"/>
            <w:lang w:val="en-US"/>
          </w:rPr>
          <m:t>0</m:t>
        </m:r>
      </m:oMath>
      <w:r>
        <w:rPr>
          <w:rFonts w:eastAsiaTheme="minorEastAsia" w:cs="Times New Roman"/>
          <w:szCs w:val="24"/>
          <w:lang w:val="en-US"/>
        </w:rPr>
        <w:t xml:space="preserve"> otherwise. </w:t>
      </w:r>
      <m:oMath>
        <m:sSub>
          <m:sSubPr>
            <m:ctrlPr>
              <w:rPr>
                <w:rFonts w:ascii="Cambria Math" w:eastAsia="Calibri" w:hAnsi="Cambria Math" w:cs="Times New Roman"/>
                <w:i/>
                <w:lang w:val="en-US"/>
              </w:rPr>
            </m:ctrlPr>
          </m:sSubPr>
          <m:e>
            <m:r>
              <w:rPr>
                <w:rFonts w:ascii="Cambria Math" w:eastAsia="Calibri" w:hAnsi="Cambria Math" w:cs="Times New Roman"/>
                <w:lang w:val="en-US"/>
              </w:rPr>
              <m:t>d</m:t>
            </m:r>
          </m:e>
          <m:sub>
            <m:r>
              <w:rPr>
                <w:rFonts w:ascii="Cambria Math" w:eastAsia="Calibri" w:hAnsi="Cambria Math" w:cs="Times New Roman"/>
                <w:lang w:val="en-US"/>
              </w:rPr>
              <m:t>irk</m:t>
            </m:r>
          </m:sub>
        </m:sSub>
      </m:oMath>
      <w:r>
        <w:rPr>
          <w:rFonts w:eastAsiaTheme="minorEastAsia" w:cs="Times New Roman"/>
          <w:lang w:val="en-US"/>
        </w:rPr>
        <w:t xml:space="preserve"> </w:t>
      </w:r>
      <w:r w:rsidRPr="009E1C17">
        <w:rPr>
          <w:rFonts w:eastAsia="Calibri" w:cs="Times New Roman"/>
        </w:rPr>
        <w:t xml:space="preserve">is the proportion of </w:t>
      </w:r>
      <w:r w:rsidRPr="00717C71">
        <w:rPr>
          <w:rFonts w:eastAsia="Calibri" w:cs="Times New Roman"/>
        </w:rPr>
        <w:t xml:space="preserve">crashes in severity </w:t>
      </w:r>
      <w:r w:rsidRPr="00717C71">
        <w:rPr>
          <w:rFonts w:eastAsia="Calibri" w:cs="Times New Roman"/>
          <w:szCs w:val="24"/>
        </w:rPr>
        <w:t>category</w:t>
      </w:r>
      <w:r w:rsidRPr="00717C71">
        <w:rPr>
          <w:rFonts w:eastAsia="Calibri" w:cs="Times New Roman"/>
        </w:rPr>
        <w:t xml:space="preserve"> </w:t>
      </w:r>
      <m:oMath>
        <m:r>
          <w:rPr>
            <w:rFonts w:ascii="Cambria Math" w:eastAsia="Calibri" w:hAnsi="Cambria Math" w:cs="Times New Roman"/>
          </w:rPr>
          <m:t>k</m:t>
        </m:r>
      </m:oMath>
      <w:r w:rsidR="00DD2EF9" w:rsidRPr="00717C71">
        <w:rPr>
          <w:rFonts w:eastAsia="Calibri" w:cs="Times New Roman"/>
        </w:rPr>
        <w:t xml:space="preserve"> for each </w:t>
      </w:r>
      <w:r w:rsidR="002379B7">
        <w:rPr>
          <w:rFonts w:eastAsia="Calibri" w:cs="Times New Roman"/>
        </w:rPr>
        <w:t>crash</w:t>
      </w:r>
      <w:r w:rsidR="00DD2EF9" w:rsidRPr="00717C71">
        <w:rPr>
          <w:rFonts w:eastAsia="Calibri" w:cs="Times New Roman"/>
        </w:rPr>
        <w:t xml:space="preserve"> types</w:t>
      </w:r>
      <w:r w:rsidRPr="00717C71">
        <w:rPr>
          <w:rFonts w:eastAsia="Calibri" w:cs="Times New Roman"/>
        </w:rPr>
        <w:t>.</w:t>
      </w:r>
      <w:r>
        <w:rPr>
          <w:rFonts w:eastAsia="Calibri" w:cs="Times New Roman"/>
        </w:rPr>
        <w:t xml:space="preserve"> </w:t>
      </w:r>
      <w:r w:rsidR="00F70A86">
        <w:rPr>
          <w:rFonts w:eastAsia="Calibri" w:cs="Times New Roman"/>
        </w:rPr>
        <w:t xml:space="preserve"> </w:t>
      </w:r>
      <w:r w:rsidR="009E1410" w:rsidRPr="009E1410">
        <w:rPr>
          <w:rFonts w:eastAsia="Calibri" w:cs="Times New Roman"/>
        </w:rPr>
        <w:t xml:space="preserve">Further, we apply simulation techniques to approximate the integrals in the likelihood function and maximize the logarithm of the resulting simulated likelihood function across zones with respect </w:t>
      </w:r>
      <w:proofErr w:type="gramStart"/>
      <w:r w:rsidR="009E1410" w:rsidRPr="009E1410">
        <w:rPr>
          <w:rFonts w:eastAsia="Calibri" w:cs="Times New Roman"/>
        </w:rPr>
        <w:t>to  .</w:t>
      </w:r>
      <w:proofErr w:type="gramEnd"/>
      <w:r w:rsidR="009E1410" w:rsidRPr="009E1410">
        <w:rPr>
          <w:rFonts w:eastAsia="Calibri" w:cs="Times New Roman"/>
        </w:rPr>
        <w:t xml:space="preserve"> The simulation technique approximates the likelihood function in Equation (</w:t>
      </w:r>
      <w:r w:rsidR="00B5612B">
        <w:rPr>
          <w:rFonts w:eastAsia="Calibri" w:cs="Times New Roman"/>
        </w:rPr>
        <w:t>12</w:t>
      </w:r>
      <w:r w:rsidR="009E1410" w:rsidRPr="009E1410">
        <w:rPr>
          <w:rFonts w:eastAsia="Calibri" w:cs="Times New Roman"/>
        </w:rPr>
        <w:t xml:space="preserve">) by computing the </w:t>
      </w:r>
      <m:oMath>
        <m:sSub>
          <m:sSubPr>
            <m:ctrlPr>
              <w:rPr>
                <w:rFonts w:ascii="Cambria Math" w:eastAsia="Times New Roman" w:hAnsi="Cambria Math" w:cs="Times New Roman"/>
                <w:i/>
                <w:iCs/>
                <w:szCs w:val="24"/>
                <w:lang w:val="en-US"/>
              </w:rPr>
            </m:ctrlPr>
          </m:sSubPr>
          <m:e>
            <m:r>
              <w:rPr>
                <w:rFonts w:ascii="Cambria Math" w:eastAsia="Times New Roman" w:hAnsi="Cambria Math" w:cs="Times New Roman"/>
                <w:szCs w:val="24"/>
                <w:lang w:val="en-US"/>
              </w:rPr>
              <m:t>L</m:t>
            </m:r>
          </m:e>
          <m:sub>
            <m:r>
              <w:rPr>
                <w:rFonts w:ascii="Cambria Math" w:eastAsia="Times New Roman" w:hAnsi="Cambria Math" w:cs="Times New Roman"/>
                <w:szCs w:val="24"/>
                <w:lang w:val="en-US"/>
              </w:rPr>
              <m:t>i</m:t>
            </m:r>
          </m:sub>
        </m:sSub>
      </m:oMath>
      <w:r w:rsidR="009E1410" w:rsidRPr="009E1410">
        <w:rPr>
          <w:rFonts w:eastAsia="Calibri" w:cs="Times New Roman"/>
        </w:rPr>
        <w:t xml:space="preserve">for each </w:t>
      </w:r>
      <m:oMath>
        <m:r>
          <w:rPr>
            <w:rFonts w:ascii="Cambria Math" w:eastAsia="Times New Roman" w:hAnsi="Cambria Math" w:cs="Times New Roman"/>
            <w:szCs w:val="24"/>
            <w:lang w:val="en-US"/>
          </w:rPr>
          <m:t>TA</m:t>
        </m:r>
        <m:sSub>
          <m:sSubPr>
            <m:ctrlPr>
              <w:rPr>
                <w:rFonts w:ascii="Cambria Math" w:eastAsia="Times New Roman" w:hAnsi="Cambria Math" w:cs="Times New Roman"/>
                <w:i/>
                <w:iCs/>
                <w:szCs w:val="24"/>
                <w:lang w:val="en-US"/>
              </w:rPr>
            </m:ctrlPr>
          </m:sSubPr>
          <m:e>
            <m:r>
              <w:rPr>
                <w:rFonts w:ascii="Cambria Math" w:eastAsia="Times New Roman" w:hAnsi="Cambria Math" w:cs="Times New Roman"/>
                <w:szCs w:val="24"/>
                <w:lang w:val="en-US"/>
              </w:rPr>
              <m:t>Z</m:t>
            </m:r>
          </m:e>
          <m:sub>
            <m:r>
              <w:rPr>
                <w:rFonts w:ascii="Cambria Math" w:eastAsia="Times New Roman" w:hAnsi="Cambria Math" w:cs="Times New Roman"/>
                <w:szCs w:val="24"/>
                <w:lang w:val="en-US"/>
              </w:rPr>
              <m:t>i</m:t>
            </m:r>
          </m:sub>
        </m:sSub>
      </m:oMath>
      <w:r w:rsidR="009E1410" w:rsidRPr="009E1410">
        <w:rPr>
          <w:rFonts w:eastAsia="Calibri" w:cs="Times New Roman"/>
        </w:rPr>
        <w:t xml:space="preserve"> at different realizations drawn from a multivariate normal distribution and averaging it over the different realizations (see (Eluru and Bhat, 2007) for detail). Notationally, if </w:t>
      </w:r>
      <m:oMath>
        <m:r>
          <w:rPr>
            <w:rFonts w:ascii="Cambria Math" w:eastAsia="Times New Roman" w:hAnsi="Cambria Math" w:cs="Times New Roman"/>
            <w:szCs w:val="24"/>
            <w:lang w:val="en-US"/>
          </w:rPr>
          <m:t>D</m:t>
        </m:r>
        <m:sSub>
          <m:sSubPr>
            <m:ctrlPr>
              <w:rPr>
                <w:rFonts w:ascii="Cambria Math" w:eastAsia="Times New Roman" w:hAnsi="Cambria Math" w:cs="Times New Roman"/>
                <w:i/>
                <w:iCs/>
                <w:szCs w:val="24"/>
                <w:lang w:val="en-US"/>
              </w:rPr>
            </m:ctrlPr>
          </m:sSubPr>
          <m:e>
            <m:r>
              <w:rPr>
                <w:rFonts w:ascii="Cambria Math" w:eastAsia="Times New Roman" w:hAnsi="Cambria Math" w:cs="Times New Roman"/>
                <w:szCs w:val="24"/>
                <w:lang w:val="en-US"/>
              </w:rPr>
              <m:t>L</m:t>
            </m:r>
          </m:e>
          <m:sub>
            <m:r>
              <w:rPr>
                <w:rFonts w:ascii="Cambria Math" w:eastAsia="Times New Roman" w:hAnsi="Cambria Math" w:cs="Times New Roman"/>
                <w:szCs w:val="24"/>
                <w:lang w:val="en-US"/>
              </w:rPr>
              <m:t>i</m:t>
            </m:r>
          </m:sub>
        </m:sSub>
      </m:oMath>
      <w:r w:rsidR="009E1410" w:rsidRPr="009E1410">
        <w:rPr>
          <w:rFonts w:eastAsia="Calibri" w:cs="Times New Roman"/>
        </w:rPr>
        <w:t xml:space="preserve">is the realization of the likelihood function in the </w:t>
      </w:r>
      <w:proofErr w:type="spellStart"/>
      <w:r w:rsidR="00C6711D" w:rsidRPr="004F7684">
        <w:rPr>
          <w:i/>
          <w:iCs/>
        </w:rPr>
        <w:t>c</w:t>
      </w:r>
      <w:r w:rsidR="00C6711D" w:rsidRPr="004F7684">
        <w:rPr>
          <w:i/>
          <w:iCs/>
          <w:vertAlign w:val="superscript"/>
        </w:rPr>
        <w:t>th</w:t>
      </w:r>
      <w:proofErr w:type="spellEnd"/>
      <w:r w:rsidR="009E1410" w:rsidRPr="009E1410">
        <w:rPr>
          <w:rFonts w:eastAsia="Calibri" w:cs="Times New Roman"/>
        </w:rPr>
        <w:t xml:space="preserve"> draw (c = 1, 2, …, C), then the observational likelihood function is approximated as:</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6"/>
        <w:gridCol w:w="1215"/>
      </w:tblGrid>
      <w:tr w:rsidR="009E1410" w:rsidRPr="004F7684" w14:paraId="1F137C92" w14:textId="77777777" w:rsidTr="00607327">
        <w:tc>
          <w:tcPr>
            <w:tcW w:w="4349" w:type="pct"/>
            <w:vAlign w:val="center"/>
          </w:tcPr>
          <w:p w14:paraId="3B2EFE48" w14:textId="77777777" w:rsidR="009E1410" w:rsidRPr="004F7684" w:rsidRDefault="009E1410" w:rsidP="00607327">
            <w:pPr>
              <w:spacing w:before="360" w:after="360"/>
              <w:ind w:left="345"/>
              <w:rPr>
                <w:rFonts w:eastAsia="Calibri" w:cs="Times New Roman"/>
                <w:i/>
                <w:iCs/>
                <w:lang w:val="en-US"/>
              </w:rPr>
            </w:pPr>
            <m:oMathPara>
              <m:oMathParaPr>
                <m:jc m:val="left"/>
              </m:oMathParaPr>
              <m:oMath>
                <m:r>
                  <w:rPr>
                    <w:rFonts w:ascii="Cambria Math" w:eastAsia="Times New Roman" w:hAnsi="Cambria Math" w:cs="Times New Roman"/>
                    <w:szCs w:val="24"/>
                    <w:lang w:val="en-US"/>
                  </w:rPr>
                  <m:t>D</m:t>
                </m:r>
                <m:sSub>
                  <m:sSubPr>
                    <m:ctrlPr>
                      <w:rPr>
                        <w:rFonts w:ascii="Cambria Math" w:eastAsia="Times New Roman" w:hAnsi="Cambria Math" w:cs="Times New Roman"/>
                        <w:i/>
                        <w:iCs/>
                        <w:szCs w:val="24"/>
                        <w:lang w:val="en-US"/>
                      </w:rPr>
                    </m:ctrlPr>
                  </m:sSubPr>
                  <m:e>
                    <m:r>
                      <w:rPr>
                        <w:rFonts w:ascii="Cambria Math" w:eastAsia="Times New Roman" w:hAnsi="Cambria Math" w:cs="Times New Roman"/>
                        <w:szCs w:val="24"/>
                        <w:lang w:val="en-US"/>
                      </w:rPr>
                      <m:t>L</m:t>
                    </m:r>
                  </m:e>
                  <m:sub>
                    <m:r>
                      <w:rPr>
                        <w:rFonts w:ascii="Cambria Math" w:eastAsia="Times New Roman" w:hAnsi="Cambria Math" w:cs="Times New Roman"/>
                        <w:szCs w:val="24"/>
                        <w:lang w:val="en-US"/>
                      </w:rPr>
                      <m:t>i</m:t>
                    </m:r>
                  </m:sub>
                </m:sSub>
                <m:r>
                  <w:rPr>
                    <w:rFonts w:ascii="Cambria Math" w:eastAsia="Times New Roman" w:hAnsi="Cambria Math" w:cs="Times New Roman"/>
                    <w:szCs w:val="24"/>
                    <w:lang w:val="en-US"/>
                  </w:rPr>
                  <m:t>=</m:t>
                </m:r>
                <m:f>
                  <m:fPr>
                    <m:ctrlPr>
                      <w:rPr>
                        <w:rFonts w:ascii="Cambria Math" w:eastAsia="Times New Roman" w:hAnsi="Cambria Math" w:cs="Times New Roman"/>
                        <w:i/>
                        <w:iCs/>
                        <w:szCs w:val="24"/>
                        <w:lang w:val="en-US"/>
                      </w:rPr>
                    </m:ctrlPr>
                  </m:fPr>
                  <m:num>
                    <m:r>
                      <w:rPr>
                        <w:rFonts w:ascii="Cambria Math" w:eastAsia="Times New Roman" w:hAnsi="Cambria Math" w:cs="Times New Roman"/>
                        <w:szCs w:val="24"/>
                        <w:lang w:val="en-US"/>
                      </w:rPr>
                      <m:t>1</m:t>
                    </m:r>
                  </m:num>
                  <m:den>
                    <m:r>
                      <w:rPr>
                        <w:rFonts w:ascii="Cambria Math" w:eastAsia="Times New Roman" w:hAnsi="Cambria Math" w:cs="Times New Roman"/>
                        <w:szCs w:val="24"/>
                        <w:lang w:val="en-US"/>
                      </w:rPr>
                      <m:t>C</m:t>
                    </m:r>
                  </m:den>
                </m:f>
                <m:nary>
                  <m:naryPr>
                    <m:chr m:val="∑"/>
                    <m:grow m:val="1"/>
                    <m:ctrlPr>
                      <w:rPr>
                        <w:rFonts w:ascii="Cambria Math" w:eastAsia="Times New Roman" w:hAnsi="Cambria Math" w:cs="Times New Roman"/>
                        <w:i/>
                        <w:iCs/>
                        <w:szCs w:val="24"/>
                        <w:lang w:val="en-US"/>
                      </w:rPr>
                    </m:ctrlPr>
                  </m:naryPr>
                  <m:sub>
                    <m:r>
                      <w:rPr>
                        <w:rFonts w:ascii="Cambria Math" w:eastAsia="Times New Roman" w:hAnsi="Cambria Math" w:cs="Times New Roman"/>
                        <w:szCs w:val="24"/>
                        <w:lang w:val="en-US"/>
                      </w:rPr>
                      <m:t>c=1</m:t>
                    </m:r>
                  </m:sub>
                  <m:sup>
                    <m:r>
                      <w:rPr>
                        <w:rFonts w:ascii="Cambria Math" w:eastAsia="Times New Roman" w:hAnsi="Cambria Math" w:cs="Times New Roman"/>
                        <w:szCs w:val="24"/>
                        <w:lang w:val="en-US"/>
                      </w:rPr>
                      <m:t>C</m:t>
                    </m:r>
                  </m:sup>
                  <m:e>
                    <m:d>
                      <m:dPr>
                        <m:ctrlPr>
                          <w:rPr>
                            <w:rFonts w:ascii="Cambria Math" w:eastAsia="Times New Roman" w:hAnsi="Cambria Math" w:cs="Times New Roman"/>
                            <w:i/>
                            <w:iCs/>
                            <w:szCs w:val="24"/>
                            <w:lang w:val="en-US"/>
                          </w:rPr>
                        </m:ctrlPr>
                      </m:dPr>
                      <m:e>
                        <m:sSubSup>
                          <m:sSubSupPr>
                            <m:ctrlPr>
                              <w:rPr>
                                <w:rFonts w:ascii="Cambria Math" w:eastAsia="Times New Roman" w:hAnsi="Cambria Math" w:cs="Times New Roman"/>
                                <w:i/>
                                <w:iCs/>
                                <w:szCs w:val="24"/>
                                <w:lang w:val="en-US"/>
                              </w:rPr>
                            </m:ctrlPr>
                          </m:sSubSupPr>
                          <m:e>
                            <m:r>
                              <w:rPr>
                                <w:rFonts w:ascii="Cambria Math" w:eastAsia="Times New Roman" w:hAnsi="Cambria Math" w:cs="Times New Roman"/>
                                <w:szCs w:val="24"/>
                                <w:lang w:val="en-US"/>
                              </w:rPr>
                              <m:t>DL</m:t>
                            </m:r>
                          </m:e>
                          <m:sub>
                            <m:r>
                              <w:rPr>
                                <w:rFonts w:ascii="Cambria Math" w:eastAsia="Times New Roman" w:hAnsi="Cambria Math" w:cs="Times New Roman"/>
                                <w:szCs w:val="24"/>
                                <w:lang w:val="en-US"/>
                              </w:rPr>
                              <m:t>i</m:t>
                            </m:r>
                          </m:sub>
                          <m:sup>
                            <m:r>
                              <w:rPr>
                                <w:rFonts w:ascii="Cambria Math" w:eastAsia="Times New Roman" w:hAnsi="Cambria Math" w:cs="Times New Roman"/>
                                <w:szCs w:val="24"/>
                                <w:lang w:val="en-US"/>
                              </w:rPr>
                              <m:t>c</m:t>
                            </m:r>
                          </m:sup>
                        </m:sSubSup>
                      </m:e>
                    </m:d>
                  </m:e>
                </m:nary>
              </m:oMath>
            </m:oMathPara>
          </w:p>
        </w:tc>
        <w:tc>
          <w:tcPr>
            <w:tcW w:w="651" w:type="pct"/>
            <w:vAlign w:val="center"/>
          </w:tcPr>
          <w:p w14:paraId="14DDE128" w14:textId="77777777" w:rsidR="009E1410" w:rsidRPr="004F7684" w:rsidRDefault="009E1410" w:rsidP="00B030BC">
            <w:pPr>
              <w:numPr>
                <w:ilvl w:val="0"/>
                <w:numId w:val="11"/>
              </w:numPr>
              <w:spacing w:before="360" w:after="360"/>
              <w:contextualSpacing/>
              <w:jc w:val="right"/>
              <w:rPr>
                <w:rFonts w:ascii="Calibri" w:eastAsia="Calibri" w:hAnsi="Calibri" w:cs="Times New Roman"/>
                <w:i/>
                <w:iCs/>
                <w:lang w:val="en-US"/>
              </w:rPr>
            </w:pPr>
          </w:p>
        </w:tc>
      </w:tr>
    </w:tbl>
    <w:p w14:paraId="5ECAAFA4" w14:textId="77777777" w:rsidR="009E1410" w:rsidRDefault="009E1410" w:rsidP="00077C8C">
      <w:pPr>
        <w:rPr>
          <w:rFonts w:eastAsia="Calibri" w:cs="Times New Roman"/>
          <w:lang w:val="en-US"/>
        </w:rPr>
      </w:pPr>
    </w:p>
    <w:p w14:paraId="3CA07EBB" w14:textId="61682BE5" w:rsidR="00BE44F6" w:rsidRPr="000606CA" w:rsidRDefault="00536131" w:rsidP="00B030BC">
      <w:pPr>
        <w:ind w:firstLine="720"/>
        <w:rPr>
          <w:rFonts w:cs="Times New Roman"/>
          <w:lang w:val="en-US"/>
        </w:rPr>
      </w:pPr>
      <w:r w:rsidRPr="00B030BC">
        <w:rPr>
          <w:rFonts w:eastAsiaTheme="minorEastAsia" w:cs="Times New Roman"/>
          <w:iCs/>
          <w:szCs w:val="24"/>
          <w:lang w:val="en-US"/>
        </w:rPr>
        <w:t xml:space="preserve">In our research, we tested the model specification with several realization levels (such as 50, </w:t>
      </w:r>
      <w:proofErr w:type="gramStart"/>
      <w:r w:rsidRPr="00B030BC">
        <w:rPr>
          <w:rFonts w:eastAsiaTheme="minorEastAsia" w:cs="Times New Roman"/>
          <w:iCs/>
          <w:szCs w:val="24"/>
          <w:lang w:val="en-US"/>
        </w:rPr>
        <w:t xml:space="preserve">100, </w:t>
      </w:r>
      <w:r w:rsidR="00D80448">
        <w:rPr>
          <w:rFonts w:eastAsiaTheme="minorEastAsia" w:cs="Times New Roman"/>
          <w:iCs/>
          <w:szCs w:val="24"/>
          <w:lang w:val="en-US"/>
        </w:rPr>
        <w:t>..</w:t>
      </w:r>
      <w:proofErr w:type="gramEnd"/>
      <w:r w:rsidRPr="00B030BC">
        <w:rPr>
          <w:rFonts w:eastAsiaTheme="minorEastAsia" w:cs="Times New Roman"/>
          <w:iCs/>
          <w:szCs w:val="24"/>
          <w:lang w:val="en-US"/>
        </w:rPr>
        <w:t xml:space="preserve">200). We found that model parameters were stable around 100. For additional stability, we selected </w:t>
      </w:r>
      <w:r w:rsidRPr="00536131">
        <w:rPr>
          <w:rFonts w:eastAsiaTheme="minorEastAsia" w:cs="Times New Roman"/>
          <w:szCs w:val="24"/>
          <w:lang w:val="en-US"/>
        </w:rPr>
        <w:t xml:space="preserve">the number of draws as </w:t>
      </w:r>
      <w:r w:rsidR="009E1410" w:rsidRPr="00536131">
        <w:rPr>
          <w:rFonts w:eastAsiaTheme="minorEastAsia" w:cs="Times New Roman"/>
          <w:szCs w:val="24"/>
          <w:lang w:val="en-US"/>
        </w:rPr>
        <w:t>200 (C value).</w:t>
      </w:r>
      <w:r w:rsidR="009E1410">
        <w:rPr>
          <w:rFonts w:eastAsiaTheme="minorEastAsia" w:cs="Times New Roman"/>
          <w:szCs w:val="24"/>
          <w:lang w:val="en-US"/>
        </w:rPr>
        <w:t xml:space="preserve"> </w:t>
      </w:r>
      <w:r w:rsidR="00BE44F6">
        <w:rPr>
          <w:rFonts w:eastAsiaTheme="minorEastAsia" w:cs="Times New Roman"/>
          <w:szCs w:val="24"/>
          <w:lang w:val="en-US"/>
        </w:rPr>
        <w:t xml:space="preserve">Finally, the log-likelihood function is:   </w:t>
      </w:r>
      <w:r w:rsidR="00BE44F6">
        <w:rPr>
          <w:rFonts w:eastAsiaTheme="minorEastAsia" w:cs="Times New Roman"/>
          <w:lang w:val="en-US"/>
        </w:rPr>
        <w:t xml:space="preserve"> </w:t>
      </w:r>
      <w:r w:rsidR="00BE44F6">
        <w:rPr>
          <w:rFonts w:eastAsiaTheme="minorEastAsia" w:cs="Times New Roman"/>
          <w:szCs w:val="24"/>
          <w:lang w:val="en-US"/>
        </w:rPr>
        <w:t xml:space="preserve">  </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6"/>
        <w:gridCol w:w="1215"/>
      </w:tblGrid>
      <w:tr w:rsidR="00BE44F6" w:rsidRPr="0010387C" w14:paraId="3FD9F734" w14:textId="77777777" w:rsidTr="007B6C5C">
        <w:tc>
          <w:tcPr>
            <w:tcW w:w="4349" w:type="pct"/>
            <w:vAlign w:val="center"/>
          </w:tcPr>
          <w:p w14:paraId="742AA1CC" w14:textId="77777777" w:rsidR="00BE44F6" w:rsidRPr="0010387C" w:rsidRDefault="00BE44F6" w:rsidP="00077C8C">
            <w:pPr>
              <w:spacing w:before="360" w:after="360"/>
              <w:rPr>
                <w:rFonts w:eastAsia="Calibri" w:cs="Times New Roman"/>
                <w:lang w:val="en-US"/>
              </w:rPr>
            </w:pPr>
            <m:oMathPara>
              <m:oMathParaPr>
                <m:jc m:val="left"/>
              </m:oMathParaPr>
              <m:oMath>
                <m:r>
                  <w:rPr>
                    <w:rFonts w:ascii="Cambria Math" w:eastAsia="Times New Roman" w:hAnsi="Cambria Math" w:cs="Times New Roman"/>
                    <w:szCs w:val="24"/>
                    <w:lang w:val="en-US"/>
                  </w:rPr>
                  <m:t>LL=</m:t>
                </m:r>
                <m:nary>
                  <m:naryPr>
                    <m:chr m:val="∑"/>
                    <m:limLoc m:val="undOvr"/>
                    <m:supHide m:val="1"/>
                    <m:ctrlPr>
                      <w:rPr>
                        <w:rFonts w:ascii="Cambria Math" w:eastAsia="Times New Roman" w:hAnsi="Cambria Math" w:cs="Times New Roman"/>
                        <w:i/>
                        <w:szCs w:val="24"/>
                        <w:lang w:val="en-US"/>
                      </w:rPr>
                    </m:ctrlPr>
                  </m:naryPr>
                  <m:sub>
                    <m:r>
                      <w:rPr>
                        <w:rFonts w:ascii="Cambria Math" w:eastAsia="Times New Roman" w:hAnsi="Cambria Math" w:cs="Times New Roman"/>
                        <w:szCs w:val="24"/>
                        <w:lang w:val="en-US"/>
                      </w:rPr>
                      <m:t>i</m:t>
                    </m:r>
                  </m:sub>
                  <m:sup/>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Ln(L</m:t>
                        </m:r>
                      </m:e>
                      <m:sub>
                        <m:r>
                          <w:rPr>
                            <w:rFonts w:ascii="Cambria Math" w:eastAsia="Times New Roman" w:hAnsi="Cambria Math" w:cs="Times New Roman"/>
                            <w:szCs w:val="24"/>
                            <w:lang w:val="en-US"/>
                          </w:rPr>
                          <m:t>i</m:t>
                        </m:r>
                      </m:sub>
                    </m:sSub>
                    <m:r>
                      <w:rPr>
                        <w:rFonts w:ascii="Cambria Math" w:eastAsia="Times New Roman" w:hAnsi="Cambria Math" w:cs="Times New Roman"/>
                        <w:szCs w:val="24"/>
                        <w:lang w:val="en-US"/>
                      </w:rPr>
                      <m:t>)</m:t>
                    </m:r>
                  </m:e>
                </m:nary>
              </m:oMath>
            </m:oMathPara>
          </w:p>
        </w:tc>
        <w:tc>
          <w:tcPr>
            <w:tcW w:w="651" w:type="pct"/>
            <w:vAlign w:val="center"/>
          </w:tcPr>
          <w:p w14:paraId="228E1575" w14:textId="77777777" w:rsidR="00BE44F6" w:rsidRPr="0010387C" w:rsidRDefault="00BE44F6" w:rsidP="00EF3BCF">
            <w:pPr>
              <w:numPr>
                <w:ilvl w:val="0"/>
                <w:numId w:val="11"/>
              </w:numPr>
              <w:spacing w:before="360" w:after="360"/>
              <w:contextualSpacing/>
              <w:jc w:val="right"/>
              <w:rPr>
                <w:rFonts w:ascii="Calibri" w:eastAsia="Calibri" w:hAnsi="Calibri" w:cs="Times New Roman"/>
                <w:lang w:val="en-US"/>
              </w:rPr>
            </w:pPr>
          </w:p>
        </w:tc>
      </w:tr>
    </w:tbl>
    <w:p w14:paraId="27ED6D98" w14:textId="1D3B7D87" w:rsidR="00BE44F6" w:rsidRPr="00B874F6" w:rsidRDefault="00BE44F6" w:rsidP="00B874F6">
      <w:pPr>
        <w:ind w:firstLine="720"/>
        <w:rPr>
          <w:rFonts w:eastAsiaTheme="minorEastAsia" w:cs="Times New Roman"/>
          <w:szCs w:val="24"/>
          <w:lang w:val="en-US"/>
        </w:rPr>
      </w:pPr>
      <w:r w:rsidRPr="006D6B32">
        <w:rPr>
          <w:rFonts w:eastAsiaTheme="minorEastAsia" w:cs="Times New Roman"/>
          <w:szCs w:val="24"/>
          <w:lang w:val="en-US"/>
        </w:rPr>
        <w:t xml:space="preserve">All the </w:t>
      </w:r>
      <w:r w:rsidRPr="00223088">
        <w:rPr>
          <w:rFonts w:eastAsia="Times New Roman" w:cs="Times New Roman"/>
          <w:szCs w:val="24"/>
          <w:lang w:val="en-US"/>
        </w:rPr>
        <w:t>parameters</w:t>
      </w:r>
      <w:r w:rsidRPr="006D6B32">
        <w:rPr>
          <w:rFonts w:eastAsiaTheme="minorEastAsia" w:cs="Times New Roman"/>
          <w:szCs w:val="24"/>
          <w:lang w:val="en-US"/>
        </w:rPr>
        <w:t xml:space="preserve"> in the model </w:t>
      </w:r>
      <w:r>
        <w:rPr>
          <w:rFonts w:eastAsiaTheme="minorEastAsia" w:cs="Times New Roman"/>
          <w:szCs w:val="24"/>
          <w:lang w:val="en-US"/>
        </w:rPr>
        <w:t xml:space="preserve">are </w:t>
      </w:r>
      <w:r w:rsidRPr="006D6B32">
        <w:rPr>
          <w:rFonts w:eastAsiaTheme="minorEastAsia" w:cs="Times New Roman"/>
          <w:szCs w:val="24"/>
          <w:lang w:val="en-US"/>
        </w:rPr>
        <w:t xml:space="preserve">estimated </w:t>
      </w:r>
      <w:r>
        <w:rPr>
          <w:rFonts w:eastAsiaTheme="minorEastAsia" w:cs="Times New Roman"/>
          <w:szCs w:val="24"/>
          <w:lang w:val="en-US"/>
        </w:rPr>
        <w:t xml:space="preserve">by maximizing the logarithmic function </w:t>
      </w:r>
      <m:oMath>
        <m:r>
          <w:rPr>
            <w:rFonts w:ascii="Cambria Math" w:eastAsia="Times New Roman" w:hAnsi="Cambria Math" w:cs="Times New Roman"/>
            <w:szCs w:val="24"/>
            <w:lang w:val="en-US"/>
          </w:rPr>
          <m:t>LL</m:t>
        </m:r>
      </m:oMath>
      <w:r>
        <w:rPr>
          <w:rFonts w:eastAsiaTheme="minorEastAsia" w:cs="Times New Roman"/>
          <w:szCs w:val="24"/>
          <w:lang w:val="en-US"/>
        </w:rPr>
        <w:t xml:space="preserve"> presented in equation 8. The parameters to be estimated in the model are: </w:t>
      </w:r>
      <m:oMath>
        <m:r>
          <w:rPr>
            <w:rFonts w:ascii="Cambria Math" w:hAnsi="Cambria Math"/>
            <w:szCs w:val="24"/>
          </w:rPr>
          <m:t>Φ</m:t>
        </m:r>
        <m:r>
          <w:rPr>
            <w:rFonts w:ascii="Cambria Math" w:eastAsiaTheme="minorEastAsia" w:hAnsi="Cambria Math" w:cs="Times New Roman"/>
            <w:szCs w:val="24"/>
            <w:lang w:eastAsia="en-CA"/>
          </w:rPr>
          <m:t>,</m:t>
        </m:r>
        <m:r>
          <w:rPr>
            <w:rFonts w:ascii="Cambria Math" w:eastAsia="Times New Roman" w:hAnsi="Cambria Math" w:cs="Times New Roman"/>
            <w:szCs w:val="24"/>
            <w:lang w:val="en-US"/>
          </w:rPr>
          <m:t xml:space="preserve"> </m:t>
        </m:r>
        <m:r>
          <w:rPr>
            <w:rFonts w:ascii="Cambria Math" w:eastAsia="Times New Roman" w:hAnsi="Cambria Math"/>
          </w:rPr>
          <m:t>ϱ,</m:t>
        </m:r>
        <m:r>
          <w:rPr>
            <w:rFonts w:ascii="Cambria Math" w:eastAsia="Times New Roman" w:hAnsi="Cambria Math" w:cs="Times New Roman"/>
            <w:szCs w:val="24"/>
            <w:lang w:val="en-US"/>
          </w:rPr>
          <m:t xml:space="preserve">γ  </m:t>
        </m:r>
        <m:r>
          <w:rPr>
            <w:rFonts w:ascii="Cambria Math" w:eastAsia="Calibri" w:hAnsi="Cambria Math" w:cs="Times New Roman"/>
            <w:lang w:val="en-US"/>
          </w:rPr>
          <m:t>δ</m:t>
        </m:r>
      </m:oMath>
      <w:r w:rsidRPr="007C36E4">
        <w:rPr>
          <w:rFonts w:eastAsiaTheme="minorEastAsia" w:cs="Times New Roman"/>
          <w:bCs/>
          <w:szCs w:val="24"/>
          <w:lang w:val="en-US"/>
        </w:rPr>
        <w:t xml:space="preserve">, </w:t>
      </w:r>
      <m:oMath>
        <m:r>
          <w:rPr>
            <w:rFonts w:ascii="Cambria Math" w:eastAsia="Calibri" w:hAnsi="Cambria Math" w:cs="Times New Roman"/>
            <w:lang w:val="en-US"/>
          </w:rPr>
          <m:t>α</m:t>
        </m:r>
      </m:oMath>
      <w:r w:rsidRPr="007C36E4">
        <w:rPr>
          <w:rFonts w:eastAsiaTheme="minorEastAsia" w:cs="Times New Roman"/>
          <w:bCs/>
          <w:lang w:val="en-US"/>
        </w:rPr>
        <w:t>,</w:t>
      </w:r>
      <m:oMath>
        <m:r>
          <m:rPr>
            <m:sty m:val="p"/>
          </m:rPr>
          <w:rPr>
            <w:rFonts w:ascii="Cambria Math" w:eastAsia="Times New Roman" w:hAnsi="Cambria Math" w:cs="Times New Roman"/>
            <w:szCs w:val="24"/>
            <w:lang w:val="en-US"/>
          </w:rPr>
          <m:t xml:space="preserve"> τ,</m:t>
        </m:r>
      </m:oMath>
      <w:r w:rsidRPr="007C36E4">
        <w:rPr>
          <w:rFonts w:eastAsiaTheme="minorEastAsia" w:cs="Times New Roman"/>
          <w:bCs/>
          <w:lang w:val="en-US"/>
        </w:rPr>
        <w:t xml:space="preserve"> </w:t>
      </w:r>
      <m:oMath>
        <m:r>
          <w:rPr>
            <w:rFonts w:ascii="Cambria Math" w:eastAsia="Times New Roman" w:hAnsi="Cambria Math" w:cs="Times New Roman"/>
            <w:szCs w:val="24"/>
            <w:lang w:val="en-US"/>
          </w:rPr>
          <m:t>β</m:t>
        </m:r>
      </m:oMath>
      <w:r w:rsidRPr="007C36E4">
        <w:rPr>
          <w:rFonts w:eastAsiaTheme="minorEastAsia" w:cs="Times New Roman"/>
          <w:bCs/>
          <w:szCs w:val="24"/>
          <w:lang w:val="en-US"/>
        </w:rPr>
        <w:t xml:space="preserve">, </w:t>
      </w:r>
      <m:oMath>
        <m:r>
          <w:rPr>
            <w:rFonts w:ascii="Cambria Math" w:eastAsia="Times New Roman" w:hAnsi="Cambria Math" w:cs="Times New Roman"/>
            <w:szCs w:val="24"/>
            <w:lang w:val="en-US"/>
          </w:rPr>
          <m:t>ψ</m:t>
        </m:r>
      </m:oMath>
      <w:r w:rsidRPr="007C36E4">
        <w:rPr>
          <w:rFonts w:eastAsiaTheme="minorEastAsia" w:cs="Times New Roman"/>
          <w:bCs/>
          <w:lang w:val="en-US"/>
        </w:rPr>
        <w:t xml:space="preserve">, </w:t>
      </w:r>
      <m:oMath>
        <m:r>
          <w:rPr>
            <w:rFonts w:ascii="Cambria Math" w:eastAsiaTheme="minorEastAsia" w:hAnsi="Cambria Math" w:cs="Times New Roman"/>
            <w:lang w:val="en-US"/>
          </w:rPr>
          <m:t>π</m:t>
        </m:r>
      </m:oMath>
      <w:r w:rsidRPr="007C36E4">
        <w:rPr>
          <w:rFonts w:eastAsiaTheme="minorEastAsia" w:cs="Times New Roman"/>
          <w:bCs/>
          <w:lang w:val="en-US"/>
        </w:rPr>
        <w:t xml:space="preserve">, </w:t>
      </w:r>
      <m:oMath>
        <m:r>
          <w:rPr>
            <w:rFonts w:ascii="Cambria Math" w:eastAsiaTheme="minorEastAsia" w:hAnsi="Cambria Math" w:cs="Times New Roman"/>
            <w:lang w:val="en-US"/>
          </w:rPr>
          <m:t>σ</m:t>
        </m:r>
      </m:oMath>
      <w:r w:rsidRPr="007C36E4">
        <w:rPr>
          <w:rFonts w:eastAsiaTheme="minorEastAsia" w:cs="Times New Roman"/>
          <w:bCs/>
          <w:lang w:val="en-US"/>
        </w:rPr>
        <w:t xml:space="preserve"> and </w:t>
      </w:r>
      <m:oMath>
        <m:r>
          <w:rPr>
            <w:rFonts w:ascii="Cambria Math" w:eastAsia="Times New Roman" w:hAnsi="Cambria Math" w:cs="Times New Roman"/>
            <w:szCs w:val="24"/>
            <w:lang w:val="en-US"/>
          </w:rPr>
          <m:t>ν</m:t>
        </m:r>
      </m:oMath>
      <w:r w:rsidRPr="007C36E4">
        <w:rPr>
          <w:rFonts w:eastAsiaTheme="minorEastAsia" w:cs="Times New Roman"/>
          <w:bCs/>
          <w:szCs w:val="24"/>
          <w:lang w:val="en-US"/>
        </w:rPr>
        <w:t>.</w:t>
      </w:r>
      <w:r>
        <w:rPr>
          <w:rFonts w:eastAsiaTheme="minorEastAsia" w:cs="Times New Roman"/>
          <w:szCs w:val="24"/>
          <w:lang w:val="en-US"/>
        </w:rPr>
        <w:t xml:space="preserve"> </w:t>
      </w:r>
      <w:r w:rsidRPr="00F82ABA">
        <w:rPr>
          <w:rFonts w:eastAsiaTheme="minorEastAsia" w:cs="Times New Roman"/>
          <w:szCs w:val="24"/>
          <w:lang w:val="en-US"/>
        </w:rPr>
        <w:t>To estimate the proposed model, we apply Quasi-Monte Carlo simulation techniques based on</w:t>
      </w:r>
      <w:r>
        <w:rPr>
          <w:rFonts w:eastAsiaTheme="minorEastAsia" w:cs="Times New Roman"/>
          <w:szCs w:val="24"/>
          <w:lang w:val="en-US"/>
        </w:rPr>
        <w:t xml:space="preserve"> </w:t>
      </w:r>
      <w:r w:rsidRPr="00F82ABA">
        <w:rPr>
          <w:rFonts w:eastAsiaTheme="minorEastAsia" w:cs="Times New Roman"/>
          <w:szCs w:val="24"/>
          <w:lang w:val="en-US"/>
        </w:rPr>
        <w:t>the scrambled Halton sequence to approximate this integral in the likelihood function and</w:t>
      </w:r>
      <w:r>
        <w:rPr>
          <w:rFonts w:eastAsiaTheme="minorEastAsia" w:cs="Times New Roman"/>
          <w:szCs w:val="24"/>
          <w:lang w:val="en-US"/>
        </w:rPr>
        <w:t xml:space="preserve"> </w:t>
      </w:r>
      <w:r w:rsidRPr="00F82ABA">
        <w:rPr>
          <w:rFonts w:eastAsiaTheme="minorEastAsia" w:cs="Times New Roman"/>
          <w:szCs w:val="24"/>
          <w:lang w:val="en-US"/>
        </w:rPr>
        <w:t xml:space="preserve">maximize the logarithm of the resulting simulated likelihood function across individuals (see </w:t>
      </w:r>
      <w:r w:rsidR="008A35C3">
        <w:rPr>
          <w:rFonts w:eastAsiaTheme="minorEastAsia" w:cs="Times New Roman"/>
          <w:szCs w:val="24"/>
          <w:lang w:val="en-US"/>
        </w:rPr>
        <w:fldChar w:fldCharType="begin" w:fldLock="1"/>
      </w:r>
      <w:r w:rsidR="00B81912">
        <w:rPr>
          <w:rFonts w:eastAsiaTheme="minorEastAsia" w:cs="Times New Roman"/>
          <w:szCs w:val="24"/>
          <w:lang w:val="en-US"/>
        </w:rPr>
        <w:instrText>ADDIN CSL_CITATION {"citationItems":[{"id":"ITEM-1","itemData":{"DOI":"10.1016/S0191-2615(00)00014-X","ISSN":"01912615","abstract":"This paper proposes the use of a quasi-random sequence for the estimation of the mixed multinomial logit model. The mixed multinomial structure is a flexible discrete choice formulation which accommodates general patterns of competitiveness as well as heterogeneity across individuals in sensitivity to exogenous variables. The estimation of this model has been achieved in the past using the pseudo-random maximum simulated likelihood method that evaluates the multi-dimensional integrals in the log-likelihood function by computing the integrand at a sequence of pseudo-random points and taking the average of the resulting integrand values. We suggest and implement an alternative quasi-random maximum simulated likelihood method which uses cleverly crafted non-random but more uniformly distributed sequences in place of the pseudo-random points in the estimation of the mixed logit model. Numerical experiments, in the context of intercity travel mode choice, indicate that the quasi-random method provides considerably better accuracy with much fewer draws and computational time than does the pseudo-random method. This result has the potential to dramatically influence the use of the mixed logit model in practice; specifically, given the flexibility of the mixed logit model, the use of the quasi-random estimation method should facilitate the application of behaviorally rich structures in discrete choice modeling. © 2001 Elsevier Science Ltd. All rights reserved.","author":[{"dropping-particle":"","family":"Bhat","given":"Chandra R.","non-dropping-particle":"","parse-names":false,"suffix":""}],"container-title":"Transportation Research Part B: Methodological","id":"ITEM-1","issue":"7","issued":{"date-parts":[["2001"]]},"page":"677-693","publisher":"Elsevier","title":"Quasi-random maximum simulated likelihood estimation of the mixed multinomial logit model","type":"article-journal","volume":"35"},"uris":["http://www.mendeley.com/documents/?uuid=f89c3e30-9db2-4276-81d0-1056b57a642d"]},{"id":"ITEM-2","itemData":{"DOI":"10.1016/j.aap.2007.11.010","ISBN":"0001-4575","ISSN":"00014575","PMID":"18460372","abstract":"This paper proposes an econometric structure for injury severity analysis at the level of individual accidents that recognizes the ordinal nature of the categories in which injury severity are recorded, while also allowing flexibility in capturing the effects of explanatory variables on each ordinal category and allowing heterogeneity in the effects of contributing factors due to the moderating influence of unobserved factors. The model developed here, referred to as the mixed generalized ordered response logit (MGORL) model, generalizes the standard ordered response models used in the extant literature for injury severity analysis. To our knowledge, this is the first such formulation to be proposed and applied in the econometric literature in general, and in the safety analysis literature in particular. The MGORL model is applied to examine non-motorist injury severity in accidents in the USA, using the 2004 General Estimates System (GES) database. The empirical findings emphasize the inconsistent results obtained from the standard ordered response model. An important policy result from our analysis is that the general pattern and relative magnitude of elasticity effects of injury severity determinants are similar for pedestrians and bicyclists. The analysis also suggests that the most important variables influencing non-motorist injury severity are the age of the individual (the elderly are more injury-prone), the speed limit on the roadway (higher speed limits lead to higher injury severity levels), location of crashes (those at signalized intersections are less severe than those elsewhere), and time-of-day (darker periods lead to higher injury severity). © 2007 Elsevier Ltd. All rights reserved.","author":[{"dropping-particle":"","family":"Eluru","given":"Naveen","non-dropping-particle":"","parse-names":false,"suffix":""},{"dropping-particle":"","family":"Bhat","given":"Chandra R.","non-dropping-particle":"","parse-names":false,"suffix":""},{"dropping-particle":"","family":"Hensher","given":"David A.","non-dropping-particle":"","parse-names":false,"suffix":""}],"container-title":"Accident Analysis and Prevention","id":"ITEM-2","issue":"3","issued":{"date-parts":[["2008"]]},"page":"1033-1054","publisher":"Elsevier","title":"A mixed generalized ordered response model for examining pedestrian and bicyclist injury severity level in traffic crashes","type":"article-journal","volume":"40"},"uris":["http://www.mendeley.com/documents/?uuid=f9336cb9-b86b-43b8-9086-33f5b0bb75bf"]}],"mendeley":{"formattedCitation":"(Bhat, 2001; Eluru et al., 2008)","plainTextFormattedCitation":"(Bhat, 2001; Eluru et al., 2008)","previouslyFormattedCitation":"(Bhat, 2001; Eluru et al., 2008)"},"properties":{"noteIndex":0},"schema":"https://github.com/citation-style-language/schema/raw/master/csl-citation.json"}</w:instrText>
      </w:r>
      <w:r w:rsidR="008A35C3">
        <w:rPr>
          <w:rFonts w:eastAsiaTheme="minorEastAsia" w:cs="Times New Roman"/>
          <w:szCs w:val="24"/>
          <w:lang w:val="en-US"/>
        </w:rPr>
        <w:fldChar w:fldCharType="separate"/>
      </w:r>
      <w:r w:rsidR="008A35C3" w:rsidRPr="008A35C3">
        <w:rPr>
          <w:rFonts w:eastAsiaTheme="minorEastAsia" w:cs="Times New Roman"/>
          <w:noProof/>
          <w:szCs w:val="24"/>
          <w:lang w:val="en-US"/>
        </w:rPr>
        <w:t>(Bhat, 2001; Eluru et al., 2008)</w:t>
      </w:r>
      <w:r w:rsidR="008A35C3">
        <w:rPr>
          <w:rFonts w:eastAsiaTheme="minorEastAsia" w:cs="Times New Roman"/>
          <w:szCs w:val="24"/>
          <w:lang w:val="en-US"/>
        </w:rPr>
        <w:fldChar w:fldCharType="end"/>
      </w:r>
      <w:r w:rsidR="00B874F6">
        <w:rPr>
          <w:rFonts w:eastAsiaTheme="minorEastAsia" w:cs="Times New Roman"/>
          <w:szCs w:val="24"/>
          <w:lang w:val="en-US"/>
        </w:rPr>
        <w:t xml:space="preserve"> </w:t>
      </w:r>
      <w:r w:rsidR="00B874F6" w:rsidRPr="00F82ABA">
        <w:rPr>
          <w:rFonts w:eastAsiaTheme="minorEastAsia" w:cs="Times New Roman"/>
          <w:szCs w:val="24"/>
          <w:lang w:val="en-US"/>
        </w:rPr>
        <w:t>for examples of Quasi</w:t>
      </w:r>
      <w:r w:rsidR="00B874F6">
        <w:rPr>
          <w:rFonts w:eastAsiaTheme="minorEastAsia" w:cs="Times New Roman"/>
          <w:szCs w:val="24"/>
          <w:lang w:val="en-US"/>
        </w:rPr>
        <w:t>-</w:t>
      </w:r>
      <w:r w:rsidR="00B874F6" w:rsidRPr="00F82ABA">
        <w:rPr>
          <w:rFonts w:eastAsiaTheme="minorEastAsia" w:cs="Times New Roman"/>
          <w:szCs w:val="24"/>
          <w:lang w:val="en-US"/>
        </w:rPr>
        <w:t>Monte Carlo approaches in literature</w:t>
      </w:r>
      <w:r w:rsidR="00B874F6">
        <w:rPr>
          <w:rFonts w:eastAsiaTheme="minorEastAsia" w:cs="Times New Roman"/>
          <w:szCs w:val="24"/>
          <w:lang w:val="en-US"/>
        </w:rPr>
        <w:t>).</w:t>
      </w:r>
      <w:r w:rsidRPr="00F82ABA">
        <w:rPr>
          <w:rFonts w:eastAsiaTheme="minorEastAsia" w:cs="Times New Roman"/>
          <w:szCs w:val="24"/>
          <w:lang w:val="en-US"/>
        </w:rPr>
        <w:t>The model estimation routine is coded in GAUSS Matrix</w:t>
      </w:r>
      <w:r>
        <w:rPr>
          <w:rFonts w:eastAsiaTheme="minorEastAsia" w:cs="Times New Roman"/>
          <w:szCs w:val="24"/>
          <w:lang w:val="en-US"/>
        </w:rPr>
        <w:t xml:space="preserve"> </w:t>
      </w:r>
      <w:r w:rsidRPr="00F82ABA">
        <w:rPr>
          <w:rFonts w:eastAsiaTheme="minorEastAsia" w:cs="Times New Roman"/>
          <w:szCs w:val="24"/>
          <w:lang w:val="en-US"/>
        </w:rPr>
        <w:t>Programming software</w:t>
      </w:r>
      <w:r w:rsidR="003C1E5C">
        <w:rPr>
          <w:rFonts w:eastAsiaTheme="minorEastAsia" w:cs="Times New Roman"/>
          <w:szCs w:val="24"/>
          <w:lang w:val="en-US"/>
        </w:rPr>
        <w:t xml:space="preserve"> </w:t>
      </w:r>
      <w:r w:rsidR="003C1E5C">
        <w:rPr>
          <w:rFonts w:eastAsiaTheme="minorEastAsia" w:cs="Times New Roman"/>
          <w:szCs w:val="24"/>
          <w:lang w:val="en-US"/>
        </w:rPr>
        <w:fldChar w:fldCharType="begin" w:fldLock="1"/>
      </w:r>
      <w:r w:rsidR="00770C22">
        <w:rPr>
          <w:rFonts w:eastAsiaTheme="minorEastAsia" w:cs="Times New Roman"/>
          <w:szCs w:val="24"/>
          <w:lang w:val="en-US"/>
        </w:rPr>
        <w:instrText>ADDIN CSL_CITATION {"citationItems":[{"id":"ITEM-1","itemData":{"URL":"http://www.aptech.com/","accessed":{"date-parts":[["2015","9","19"]]},"author":[{"dropping-particle":"","family":"Aptech","given":"","non-dropping-particle":"","parse-names":false,"suffix":""}],"container-title":"Aptech 2015, Aptech Systems Inc, accessed from http://www.aptech.com/ on September 19th 2015.","id":"ITEM-1","issued":{"date-parts":[["2015"]]},"title":"Aptech","type":"webpage"},"uris":["http://www.mendeley.com/documents/?uuid=55f6f68c-cad6-4d46-a728-cbbaaee44567"]}],"mendeley":{"formattedCitation":"(Aptech, 2015)","manualFormatting":"(Aptech)","plainTextFormattedCitation":"(Aptech, 2015)","previouslyFormattedCitation":"(Aptech, 2015)"},"properties":{"noteIndex":0},"schema":"https://github.com/citation-style-language/schema/raw/master/csl-citation.json"}</w:instrText>
      </w:r>
      <w:r w:rsidR="003C1E5C">
        <w:rPr>
          <w:rFonts w:eastAsiaTheme="minorEastAsia" w:cs="Times New Roman"/>
          <w:szCs w:val="24"/>
          <w:lang w:val="en-US"/>
        </w:rPr>
        <w:fldChar w:fldCharType="separate"/>
      </w:r>
      <w:r w:rsidR="00097239" w:rsidRPr="00097239">
        <w:rPr>
          <w:rFonts w:eastAsiaTheme="minorEastAsia" w:cs="Times New Roman"/>
          <w:noProof/>
          <w:szCs w:val="24"/>
          <w:lang w:val="en-US"/>
        </w:rPr>
        <w:t>(Aptech)</w:t>
      </w:r>
      <w:r w:rsidR="003C1E5C">
        <w:rPr>
          <w:rFonts w:eastAsiaTheme="minorEastAsia" w:cs="Times New Roman"/>
          <w:szCs w:val="24"/>
          <w:lang w:val="en-US"/>
        </w:rPr>
        <w:fldChar w:fldCharType="end"/>
      </w:r>
      <w:r w:rsidR="005201BC">
        <w:rPr>
          <w:rFonts w:eastAsiaTheme="minorEastAsia" w:cs="Times New Roman"/>
          <w:szCs w:val="24"/>
          <w:lang w:val="en-US"/>
        </w:rPr>
        <w:t>.</w:t>
      </w:r>
      <w:r>
        <w:rPr>
          <w:rFonts w:eastAsiaTheme="minorEastAsia" w:cs="Times New Roman"/>
          <w:lang w:val="en-US"/>
        </w:rPr>
        <w:t xml:space="preserve"> </w:t>
      </w:r>
    </w:p>
    <w:p w14:paraId="08E18807" w14:textId="30F81C70" w:rsidR="00676B2A" w:rsidRDefault="00676B2A" w:rsidP="00630F49">
      <w:pPr>
        <w:rPr>
          <w:rFonts w:eastAsia="Times New Roman" w:cs="Times New Roman"/>
          <w:lang w:val="en-US"/>
        </w:rPr>
      </w:pPr>
    </w:p>
    <w:p w14:paraId="7B73D48D" w14:textId="77777777" w:rsidR="00057959" w:rsidRDefault="00057959" w:rsidP="00057959">
      <w:pPr>
        <w:pStyle w:val="Heading2"/>
      </w:pPr>
      <w:r>
        <w:t>Simulation Study</w:t>
      </w:r>
    </w:p>
    <w:p w14:paraId="5F00E26B" w14:textId="27BA8E72" w:rsidR="00474DA0" w:rsidRDefault="00144E21" w:rsidP="00057959">
      <w:pPr>
        <w:rPr>
          <w:rFonts w:eastAsiaTheme="minorEastAsia"/>
          <w:szCs w:val="24"/>
        </w:rPr>
      </w:pPr>
      <w:r>
        <w:t xml:space="preserve">We conduct a simulation study to illustrate how the proposed </w:t>
      </w:r>
      <w:r w:rsidR="00545977">
        <w:rPr>
          <w:szCs w:val="24"/>
        </w:rPr>
        <w:t>PMNB-GOPFS</w:t>
      </w:r>
      <w:r w:rsidR="00545977">
        <w:t xml:space="preserve"> </w:t>
      </w:r>
      <w:r>
        <w:t xml:space="preserve">can be employed for </w:t>
      </w:r>
      <w:r w:rsidR="0024191C">
        <w:t xml:space="preserve">1) replicating the model results based on </w:t>
      </w:r>
      <w:r w:rsidR="00474DA0">
        <w:t xml:space="preserve">an assumed </w:t>
      </w:r>
      <w:r>
        <w:t xml:space="preserve">data generation </w:t>
      </w:r>
      <w:r w:rsidR="00474DA0">
        <w:t xml:space="preserve">process (DGP) </w:t>
      </w:r>
      <w:r>
        <w:t xml:space="preserve">and </w:t>
      </w:r>
      <w:r w:rsidR="00474DA0">
        <w:t xml:space="preserve">2) evaluate the performance of model relative to the traditional </w:t>
      </w:r>
      <w:r w:rsidR="00474DA0" w:rsidRPr="0071780F">
        <w:rPr>
          <w:rFonts w:eastAsiaTheme="minorEastAsia"/>
          <w:szCs w:val="24"/>
        </w:rPr>
        <w:t xml:space="preserve">random parameters multivariate negative binomial (RPMNB) </w:t>
      </w:r>
      <w:r w:rsidR="00474DA0">
        <w:rPr>
          <w:rFonts w:eastAsiaTheme="minorEastAsia"/>
          <w:szCs w:val="24"/>
        </w:rPr>
        <w:t xml:space="preserve">model. </w:t>
      </w:r>
    </w:p>
    <w:p w14:paraId="1434AD35" w14:textId="77777777" w:rsidR="00545977" w:rsidRDefault="00545977" w:rsidP="00057959">
      <w:pPr>
        <w:rPr>
          <w:rFonts w:eastAsiaTheme="minorEastAsia"/>
          <w:szCs w:val="24"/>
        </w:rPr>
      </w:pPr>
    </w:p>
    <w:p w14:paraId="686DF565" w14:textId="4292ED84" w:rsidR="00545977" w:rsidRDefault="00545977" w:rsidP="00545977">
      <w:pPr>
        <w:pStyle w:val="Heading3"/>
      </w:pPr>
      <w:r>
        <w:t xml:space="preserve">Parameter Retrieval of </w:t>
      </w:r>
      <w:r>
        <w:rPr>
          <w:szCs w:val="24"/>
        </w:rPr>
        <w:t>PMNB-GOPFS</w:t>
      </w:r>
    </w:p>
    <w:p w14:paraId="73E98861" w14:textId="06A0D0F3" w:rsidR="000A1C4B" w:rsidRPr="004D717F" w:rsidRDefault="00721DDB" w:rsidP="00545977">
      <w:pPr>
        <w:rPr>
          <w:rFonts w:eastAsiaTheme="minorEastAsia"/>
        </w:rPr>
      </w:pPr>
      <w:r>
        <w:t xml:space="preserve">The simulation </w:t>
      </w:r>
      <w:r w:rsidR="00545977">
        <w:t xml:space="preserve">and estimation of the proposed </w:t>
      </w:r>
      <w:r>
        <w:t xml:space="preserve">exercise is conducted considering 2 crash types and 3 crash severities. Therefore, our proposed joint system will result in 2 count and 3 ordered dependent variables. Among each of these </w:t>
      </w:r>
      <w:r w:rsidR="0001202C">
        <w:t>components,</w:t>
      </w:r>
      <w:r w:rsidR="008F40CF">
        <w:t xml:space="preserve"> we consider three independent variables </w:t>
      </w:r>
      <w:r w:rsidR="008F40CF">
        <w:lastRenderedPageBreak/>
        <w:t xml:space="preserve">drawn from a univariate standard normal random distribution. </w:t>
      </w:r>
      <w:r w:rsidR="00545977">
        <w:t>The simulation exercise was conducted for different sample sizes (including 1,000; 2,000; 3,000 and 5,000 records). Across each sample size, 50 samples each were generated. The results across these various sample sizes are consistent. Hence, to conserve on space, we present the results of the 5</w:t>
      </w:r>
      <w:r w:rsidR="00351703">
        <w:t>,</w:t>
      </w:r>
      <w:r w:rsidR="00545977">
        <w:t xml:space="preserve">000 observation sample. </w:t>
      </w:r>
      <w:r w:rsidR="00F2745C">
        <w:t xml:space="preserve">The performance evaluation is conducted based on the parameter retrieval capability along two dimensions: (1) parameter bias and (2) asymptotic standard error. These two measures examine if the parameter values are recovered while ensuring the parameters are statistically significant. </w:t>
      </w:r>
      <w:r w:rsidR="00545977">
        <w:t xml:space="preserve">The results </w:t>
      </w:r>
      <w:r w:rsidR="00F2745C">
        <w:t xml:space="preserve">of our simulation exercise </w:t>
      </w:r>
      <w:r w:rsidR="00545977">
        <w:t xml:space="preserve">are presented in Table </w:t>
      </w:r>
      <w:r w:rsidR="006E11C4">
        <w:t>2</w:t>
      </w:r>
      <w:r w:rsidR="00545977">
        <w:t xml:space="preserve">. </w:t>
      </w:r>
      <w:r w:rsidR="008E7858">
        <w:t xml:space="preserve">The columns of the Table include True parameter, Mean </w:t>
      </w:r>
      <w:r w:rsidR="00383F75">
        <w:t>Estimate</w:t>
      </w:r>
      <w:r w:rsidR="008E7858">
        <w:t xml:space="preserve">, Absolute Percentage Bias and Asymptotic Standard Error. The </w:t>
      </w:r>
      <w:r w:rsidR="00B12A5F">
        <w:t xml:space="preserve">mean estimate is obtained as the mean parameter value from the 50 samples. The absolute percentage bias is computed as </w:t>
      </w:r>
      <m:oMath>
        <m:d>
          <m:dPr>
            <m:begChr m:val="|"/>
            <m:endChr m:val="|"/>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r>
                      <w:rPr>
                        <w:rFonts w:ascii="Cambria Math" w:hAnsi="Cambria Math"/>
                      </w:rPr>
                      <m:t>True Parameter-Mean Estimate</m:t>
                    </m:r>
                  </m:num>
                  <m:den>
                    <m:r>
                      <w:rPr>
                        <w:rFonts w:ascii="Cambria Math" w:hAnsi="Cambria Math"/>
                      </w:rPr>
                      <m:t>True Parameter</m:t>
                    </m:r>
                  </m:den>
                </m:f>
              </m:e>
            </m:d>
            <m:r>
              <w:rPr>
                <w:rFonts w:ascii="Cambria Math" w:hAnsi="Cambria Math"/>
              </w:rPr>
              <m:t>*100</m:t>
            </m:r>
          </m:e>
        </m:d>
      </m:oMath>
      <w:r w:rsidR="00745C4D">
        <w:rPr>
          <w:rFonts w:eastAsiaTheme="minorEastAsia"/>
        </w:rPr>
        <w:t xml:space="preserve">. </w:t>
      </w:r>
      <w:r w:rsidR="002502A5">
        <w:rPr>
          <w:rFonts w:eastAsiaTheme="minorEastAsia"/>
        </w:rPr>
        <w:t xml:space="preserve">The asymptotic standard error is computed as the mean of the parameter standard error across the samples. </w:t>
      </w:r>
      <w:r w:rsidR="000A1C4B">
        <w:rPr>
          <w:rFonts w:eastAsiaTheme="minorEastAsia"/>
        </w:rPr>
        <w:t>The values presented in the Table</w:t>
      </w:r>
      <w:r w:rsidR="00280400">
        <w:rPr>
          <w:rFonts w:eastAsiaTheme="minorEastAsia"/>
        </w:rPr>
        <w:t xml:space="preserve"> 2</w:t>
      </w:r>
      <w:r w:rsidR="000A1C4B">
        <w:rPr>
          <w:rFonts w:eastAsiaTheme="minorEastAsia"/>
        </w:rPr>
        <w:t xml:space="preserve"> clearly illustrate that the proposed model system retrieves the parameters with small </w:t>
      </w:r>
      <w:r w:rsidR="008C4F0F">
        <w:rPr>
          <w:rFonts w:eastAsiaTheme="minorEastAsia"/>
        </w:rPr>
        <w:t>standard errors</w:t>
      </w:r>
      <w:r w:rsidR="000A1C4B">
        <w:rPr>
          <w:rFonts w:eastAsiaTheme="minorEastAsia"/>
        </w:rPr>
        <w:t xml:space="preserve">. </w:t>
      </w:r>
    </w:p>
    <w:p w14:paraId="15F9BAA1" w14:textId="3ECE9B15" w:rsidR="00721DDB" w:rsidRDefault="00721DDB" w:rsidP="00057959"/>
    <w:p w14:paraId="1720396A" w14:textId="055CCE0C" w:rsidR="00AB4D8F" w:rsidRDefault="00AB4D8F" w:rsidP="004D717F">
      <w:pPr>
        <w:pStyle w:val="Heading3"/>
      </w:pPr>
      <w:r>
        <w:t xml:space="preserve">Comparison with the </w:t>
      </w:r>
      <w:r w:rsidRPr="0071780F">
        <w:rPr>
          <w:rFonts w:eastAsiaTheme="minorEastAsia"/>
          <w:szCs w:val="24"/>
        </w:rPr>
        <w:t>RPMNB</w:t>
      </w:r>
      <w:r>
        <w:rPr>
          <w:rFonts w:eastAsiaTheme="minorEastAsia"/>
          <w:szCs w:val="24"/>
        </w:rPr>
        <w:t xml:space="preserve"> model</w:t>
      </w:r>
      <w:r>
        <w:t xml:space="preserve"> </w:t>
      </w:r>
    </w:p>
    <w:p w14:paraId="218AEAFF" w14:textId="4606244C" w:rsidR="00AB6D0C" w:rsidRDefault="00057959" w:rsidP="00057959">
      <w:r>
        <w:t xml:space="preserve">The </w:t>
      </w:r>
      <w:r w:rsidR="00BD1EAF">
        <w:t>simulation</w:t>
      </w:r>
      <w:r>
        <w:t xml:space="preserve"> exercise is further augmented by evaluating the</w:t>
      </w:r>
      <w:r w:rsidR="009F732D">
        <w:t xml:space="preserve"> </w:t>
      </w:r>
      <w:r w:rsidR="009F732D" w:rsidRPr="009F732D">
        <w:t>PMNB-GOPFS</w:t>
      </w:r>
      <w:r>
        <w:t xml:space="preserve"> </w:t>
      </w:r>
      <w:r w:rsidR="009F732D">
        <w:t xml:space="preserve">model performance relative to the RPMNB model system. </w:t>
      </w:r>
      <w:r w:rsidR="00A47C84">
        <w:t xml:space="preserve">The reader would note that </w:t>
      </w:r>
      <w:r w:rsidR="00843FBB">
        <w:t xml:space="preserve">the comparison between these model systems results in two challenges. First, the </w:t>
      </w:r>
      <w:r w:rsidR="00843FBB">
        <w:rPr>
          <w:rFonts w:cs="Times New Roman"/>
          <w:szCs w:val="24"/>
        </w:rPr>
        <w:t>two model systems arise out of different data generation processes (DGPs).</w:t>
      </w:r>
      <w:r w:rsidR="00A47C84">
        <w:rPr>
          <w:rFonts w:cs="Times New Roman"/>
          <w:szCs w:val="24"/>
        </w:rPr>
        <w:t xml:space="preserve"> Hence, any comparison ought to consider the </w:t>
      </w:r>
      <w:r w:rsidR="00935781">
        <w:rPr>
          <w:rFonts w:cs="Times New Roman"/>
          <w:szCs w:val="24"/>
        </w:rPr>
        <w:t xml:space="preserve">underlying DGP. Second, the </w:t>
      </w:r>
      <w:r w:rsidR="00D77DD9">
        <w:rPr>
          <w:rFonts w:cs="Times New Roman"/>
          <w:szCs w:val="24"/>
        </w:rPr>
        <w:t xml:space="preserve">two model systems do </w:t>
      </w:r>
      <w:r w:rsidR="00C91678">
        <w:rPr>
          <w:rFonts w:cs="Times New Roman"/>
          <w:szCs w:val="24"/>
        </w:rPr>
        <w:t xml:space="preserve">not </w:t>
      </w:r>
      <w:r w:rsidR="00D77DD9">
        <w:rPr>
          <w:rFonts w:cs="Times New Roman"/>
          <w:szCs w:val="24"/>
        </w:rPr>
        <w:t xml:space="preserve">have the same econometric and/or likelihood structure and cannot be compared in the estimation space. The model performance comparison has to be </w:t>
      </w:r>
      <w:r w:rsidR="008771CD">
        <w:rPr>
          <w:rFonts w:cs="Times New Roman"/>
          <w:szCs w:val="24"/>
        </w:rPr>
        <w:t>considered with</w:t>
      </w:r>
      <w:r w:rsidR="00D77DD9">
        <w:rPr>
          <w:rFonts w:cs="Times New Roman"/>
          <w:szCs w:val="24"/>
        </w:rPr>
        <w:t xml:space="preserve"> prediction </w:t>
      </w:r>
      <w:r w:rsidR="008771CD">
        <w:rPr>
          <w:rFonts w:cs="Times New Roman"/>
          <w:szCs w:val="24"/>
        </w:rPr>
        <w:t xml:space="preserve">measures. </w:t>
      </w:r>
    </w:p>
    <w:p w14:paraId="01A6123D" w14:textId="0176EF2A" w:rsidR="00181622" w:rsidRDefault="00181622" w:rsidP="004D717F">
      <w:pPr>
        <w:ind w:firstLine="720"/>
        <w:rPr>
          <w:rFonts w:eastAsiaTheme="minorEastAsia"/>
          <w:szCs w:val="24"/>
        </w:rPr>
      </w:pPr>
      <w:r>
        <w:t>In our simulation,</w:t>
      </w:r>
      <w:r w:rsidR="00A1533A">
        <w:t xml:space="preserve"> we consider simulation and estimation </w:t>
      </w:r>
      <w:r w:rsidR="00C565B0">
        <w:t xml:space="preserve">using the two DGPs. </w:t>
      </w:r>
      <w:r w:rsidR="0029509A">
        <w:t>First</w:t>
      </w:r>
      <w:r w:rsidR="00C565B0">
        <w:t xml:space="preserve">, we simulate data using the </w:t>
      </w:r>
      <w:r w:rsidR="00C565B0">
        <w:rPr>
          <w:rFonts w:eastAsiaTheme="minorEastAsia"/>
          <w:szCs w:val="24"/>
        </w:rPr>
        <w:t xml:space="preserve">PMNB-GOPFS DGP </w:t>
      </w:r>
      <w:r w:rsidR="00A13BD2">
        <w:rPr>
          <w:rFonts w:eastAsiaTheme="minorEastAsia"/>
          <w:szCs w:val="24"/>
        </w:rPr>
        <w:t>following</w:t>
      </w:r>
      <w:r w:rsidR="00EB5153">
        <w:rPr>
          <w:rFonts w:eastAsiaTheme="minorEastAsia"/>
          <w:szCs w:val="24"/>
        </w:rPr>
        <w:t xml:space="preserve"> the same process described in Section 2.5.1. Using the data generated</w:t>
      </w:r>
      <w:r w:rsidR="00FB37B0">
        <w:rPr>
          <w:rFonts w:eastAsiaTheme="minorEastAsia"/>
          <w:szCs w:val="24"/>
        </w:rPr>
        <w:t xml:space="preserve">, both models are estimated. </w:t>
      </w:r>
      <w:r>
        <w:rPr>
          <w:rFonts w:eastAsiaTheme="minorEastAsia"/>
          <w:szCs w:val="24"/>
        </w:rPr>
        <w:t>Subsequently, we generate data using the RPMNB</w:t>
      </w:r>
      <w:r w:rsidR="003E7036">
        <w:rPr>
          <w:rFonts w:eastAsiaTheme="minorEastAsia"/>
          <w:szCs w:val="24"/>
        </w:rPr>
        <w:t xml:space="preserve"> DGP</w:t>
      </w:r>
      <w:r w:rsidR="00655380">
        <w:rPr>
          <w:rFonts w:eastAsiaTheme="minorEastAsia"/>
          <w:szCs w:val="24"/>
        </w:rPr>
        <w:t xml:space="preserve"> </w:t>
      </w:r>
      <w:r w:rsidR="00AE2F7B">
        <w:rPr>
          <w:rFonts w:eastAsiaTheme="minorEastAsia"/>
          <w:szCs w:val="24"/>
        </w:rPr>
        <w:t>(</w:t>
      </w:r>
      <w:r w:rsidR="00655380">
        <w:rPr>
          <w:rFonts w:eastAsiaTheme="minorEastAsia"/>
          <w:szCs w:val="24"/>
        </w:rPr>
        <w:t>i.e. assume the crash</w:t>
      </w:r>
      <w:r w:rsidR="00AE2F7B">
        <w:rPr>
          <w:rFonts w:eastAsiaTheme="minorEastAsia"/>
          <w:szCs w:val="24"/>
        </w:rPr>
        <w:t>es occur following the count frequency process)</w:t>
      </w:r>
      <w:r w:rsidR="003E7036">
        <w:rPr>
          <w:rFonts w:eastAsiaTheme="minorEastAsia"/>
          <w:szCs w:val="24"/>
        </w:rPr>
        <w:t xml:space="preserve"> and estimate the two models. </w:t>
      </w:r>
      <w:r w:rsidR="00E85A45">
        <w:rPr>
          <w:rFonts w:cs="Times New Roman"/>
          <w:szCs w:val="24"/>
        </w:rPr>
        <w:t xml:space="preserve">In our comparison, </w:t>
      </w:r>
      <w:r w:rsidR="00E85A45">
        <w:rPr>
          <w:rFonts w:eastAsiaTheme="minorEastAsia"/>
          <w:szCs w:val="24"/>
        </w:rPr>
        <w:t xml:space="preserve">we compute the root mean square error (RMSE) value at disaggregate level (see </w:t>
      </w:r>
      <w:r w:rsidR="00E85A45">
        <w:rPr>
          <w:rFonts w:eastAsiaTheme="minorEastAsia"/>
          <w:szCs w:val="24"/>
        </w:rPr>
        <w:fldChar w:fldCharType="begin" w:fldLock="1"/>
      </w:r>
      <w:r w:rsidR="00E85A45">
        <w:rPr>
          <w:rFonts w:eastAsiaTheme="minorEastAsia"/>
          <w:szCs w:val="24"/>
        </w:rPr>
        <w:instrText>ADDIN CSL_CITATION {"citationItems":[{"id":"ITEM-1","itemData":{"DOI":"10.1016/j.amar.2018.06.001","ISBN":"1133715060","ISSN":"22136657","abstract":"In recent years, there is growing recognition that common unobserved factors that influence crash frequency by one attribute level are also likely to influence crash frequency by other attribute levels. The most common approach employed to address the potential unobserved heterogeneity in safety literature is the development of multivariate crash frequency models. The current study proposes an alternative joint econometric framework to accommodate for the presence of unobserved heterogeneity – referred to as joint negative binomial-multinomial logit fractional split (NB-MNLFS) model. Furthermore, the study undertakes a first of its kind comparison exercise between the most commonly used multivariate model (multivariate random parameter negative binomial model) and the proposed joint approach by generating an equivalent log-likelihood measure. The empirical analysis is based on the zonal level crash count data for different collision types from the state of Florida for the year 2015. The model results highlight the presence of common unobserved effects affecting the two components of the joint model as well as the presence of parameter heterogeneity. The equivalent log-likelihood and goodness of fit measures clearly highlight the comparable performance offered by the proposed joint model relative to the commonly used multivariate approach. Overall, the model interpretations and fit measures clearly highlight the potential complementary role of the proposed approach for crash frequency analyses.","author":[{"dropping-particle":"","family":"Bhowmik","given":"Tanmoy","non-dropping-particle":"","parse-names":false,"suffix":""},{"dropping-particle":"","family":"Yasmin","given":"Shamsunnahar","non-dropping-particle":"","parse-names":false,"suffix":""},{"dropping-particle":"","family":"Eluru","given":"Naveen","non-dropping-particle":"","parse-names":false,"suffix":""}],"container-title":"Analytic Methods in Accident Research","id":"ITEM-1","issue":"3","issued":{"date-parts":[["2018"]]},"page":"16-32","title":"A joint econometric approach for modeling crash counts by collision type","type":"article-journal","volume":"19"},"uris":["http://www.mendeley.com/documents/?uuid=2e823530-c053-4dd9-8697-5f3f0ab9e0b4"]},{"id":"ITEM-2","itemData":{"DOI":"10.1016/j.amar.2019.100107","ISSN":"22136657","abstract":"In safety literature, simulation-based multivariate framework is the most commonly employed approach for analyzing multiple crash frequency dependent variables. The current research effort contributes to literature on crash frequency analysis by suggesting an alternative and mathematically simpler approach for analyzing multiple crash frequency variables for the same study unit. The proposed recasts a multivariate distributional problem as a repeated measure univariate problem. Specifically, we employed a simpler panel random parameter based univariate model framework to analyze zonal level crash counts for different crash types. The empirical analysis is based on the traffic analysis zone (TAZ) level crash count data for both motorized and non-motorized crashes from Central Florida for the year 2016. The performance of the proposed framework is compared with the performance of the random parameter multivariate negative binomial model (RPMNB) using a host of metrics for estimation sample and hold-out sample. The resulting goodness of fit and predictive measures clearly highlight the comparable performance offered by the proposed framework relative to the commonly used RPMNB model with substantially fewer parameters. The comparison exercise is augmented by computing aggregate level elasticity effects for both PMNB and RPMNB models. The results clearly highlight the comparable performance offered by the proposed PMNB model relative to the traditional RPMNB model. In summary, the proposed framework allows for a parsimonious specification without compromising the model explanatory power and provides similar performance as the most traditional multivariate NB model for analyzing different crash dimensions.","author":[{"dropping-particle":"","family":"Bhowmik","given":"Tanmoy","non-dropping-particle":"","parse-names":false,"suffix":""},{"dropping-particle":"","family":"Yasmin","given":"Shamsunnahar","non-dropping-particle":"","parse-names":false,"suffix":""},{"dropping-particle":"","family":"Eluru","given":"Naveen","non-dropping-particle":"","parse-names":false,"suffix":""}],"container-title":"Analytic Methods in Accident Research","id":"ITEM-2","issued":{"date-parts":[["2019"]]},"title":"Do we need multivariate modeling approaches to model crash frequency by crash types? A panel mixed approach to modeling crash frequency by crash types","type":"article-journal","volume":"24"},"uris":["http://www.mendeley.com/documents/?uuid=9dc0906e-2da2-4234-a3bb-895cfabe6868"]}],"mendeley":{"formattedCitation":"(Bhowmik et al., 2019b, 2018)","manualFormatting":"(Bhowmik et al., 2019a, 2018)","plainTextFormattedCitation":"(Bhowmik et al., 2019b, 2018)"},"properties":{"noteIndex":0},"schema":"https://github.com/citation-style-language/schema/raw/master/csl-citation.json"}</w:instrText>
      </w:r>
      <w:r w:rsidR="00E85A45">
        <w:rPr>
          <w:rFonts w:eastAsiaTheme="minorEastAsia"/>
          <w:szCs w:val="24"/>
        </w:rPr>
        <w:fldChar w:fldCharType="separate"/>
      </w:r>
      <w:r w:rsidR="00E85A45" w:rsidRPr="002F3C91">
        <w:rPr>
          <w:rFonts w:eastAsiaTheme="minorEastAsia"/>
          <w:noProof/>
          <w:szCs w:val="24"/>
        </w:rPr>
        <w:t>(Bhowmik et al., 2019</w:t>
      </w:r>
      <w:r w:rsidR="00E85A45">
        <w:rPr>
          <w:rFonts w:eastAsiaTheme="minorEastAsia"/>
          <w:noProof/>
          <w:szCs w:val="24"/>
        </w:rPr>
        <w:t>a</w:t>
      </w:r>
      <w:r w:rsidR="00E85A45" w:rsidRPr="002F3C91">
        <w:rPr>
          <w:rFonts w:eastAsiaTheme="minorEastAsia"/>
          <w:noProof/>
          <w:szCs w:val="24"/>
        </w:rPr>
        <w:t>, 2018)</w:t>
      </w:r>
      <w:r w:rsidR="00E85A45">
        <w:rPr>
          <w:rFonts w:eastAsiaTheme="minorEastAsia"/>
          <w:szCs w:val="24"/>
        </w:rPr>
        <w:fldChar w:fldCharType="end"/>
      </w:r>
      <w:r w:rsidR="00E85A45">
        <w:rPr>
          <w:rFonts w:eastAsiaTheme="minorEastAsia"/>
          <w:szCs w:val="24"/>
        </w:rPr>
        <w:t xml:space="preserve"> for detail) and compare their performances for all the crash types and severities. </w:t>
      </w:r>
      <w:r w:rsidR="00E85A45">
        <w:t xml:space="preserve">The box plots in Figure 3 represents the RMSE values specific to each severity group for each crash type predicted from the two models under the two DGPs. The Figure clearly highlights the </w:t>
      </w:r>
      <w:r w:rsidR="00A13BD2">
        <w:t xml:space="preserve">overall </w:t>
      </w:r>
      <w:r w:rsidR="00E85A45">
        <w:t xml:space="preserve">superior predictive performance offered by the proposed </w:t>
      </w:r>
      <w:r w:rsidR="00E85A45">
        <w:rPr>
          <w:rFonts w:eastAsiaTheme="minorEastAsia"/>
          <w:szCs w:val="24"/>
        </w:rPr>
        <w:t xml:space="preserve">PMNB-GOPFS over the traditional RPMNB model as indicated by the lower/similar RMSE values, irrespective of the data generation process. The findings further reinforce the applicability of our proposed framework </w:t>
      </w:r>
      <w:r w:rsidR="00A13BD2">
        <w:rPr>
          <w:rFonts w:eastAsiaTheme="minorEastAsia"/>
          <w:szCs w:val="24"/>
        </w:rPr>
        <w:t xml:space="preserve">for </w:t>
      </w:r>
      <w:r w:rsidR="00E85A45">
        <w:rPr>
          <w:rFonts w:eastAsiaTheme="minorEastAsia"/>
          <w:szCs w:val="24"/>
        </w:rPr>
        <w:t>crash safety literature.</w:t>
      </w:r>
    </w:p>
    <w:p w14:paraId="50033120" w14:textId="6AA7A34E" w:rsidR="00057959" w:rsidRDefault="00057959" w:rsidP="00057959">
      <w:pPr>
        <w:rPr>
          <w:rFonts w:eastAsiaTheme="minorEastAsia"/>
          <w:szCs w:val="24"/>
        </w:rPr>
        <w:sectPr w:rsidR="00057959" w:rsidSect="00CC74A8">
          <w:pgSz w:w="12240" w:h="15840" w:code="1"/>
          <w:pgMar w:top="1440" w:right="1469" w:bottom="1440" w:left="1440" w:header="720" w:footer="720" w:gutter="0"/>
          <w:cols w:space="708"/>
          <w:titlePg/>
          <w:docGrid w:linePitch="360"/>
        </w:sectPr>
      </w:pPr>
    </w:p>
    <w:p w14:paraId="759F7CA7" w14:textId="7DFF2298" w:rsidR="00A55832" w:rsidRPr="008702CC" w:rsidRDefault="00A55832" w:rsidP="008702CC">
      <w:pPr>
        <w:tabs>
          <w:tab w:val="left" w:pos="1198"/>
        </w:tabs>
        <w:jc w:val="center"/>
        <w:rPr>
          <w:b/>
          <w:bCs/>
        </w:rPr>
      </w:pPr>
      <w:r w:rsidRPr="008702CC">
        <w:rPr>
          <w:b/>
          <w:bCs/>
        </w:rPr>
        <w:lastRenderedPageBreak/>
        <w:t xml:space="preserve">Table </w:t>
      </w:r>
      <w:r w:rsidR="00637C55" w:rsidRPr="008702CC">
        <w:rPr>
          <w:b/>
          <w:bCs/>
        </w:rPr>
        <w:t xml:space="preserve">2: </w:t>
      </w:r>
      <w:r w:rsidR="008702CC" w:rsidRPr="008702CC">
        <w:rPr>
          <w:b/>
          <w:bCs/>
        </w:rPr>
        <w:t xml:space="preserve">Evaluation of the </w:t>
      </w:r>
      <w:r w:rsidR="009261A4" w:rsidRPr="008702CC">
        <w:rPr>
          <w:b/>
          <w:bCs/>
        </w:rPr>
        <w:t xml:space="preserve">PMNB-GOPFS Model </w:t>
      </w:r>
      <w:r w:rsidR="008702CC" w:rsidRPr="008702CC">
        <w:rPr>
          <w:b/>
          <w:bCs/>
        </w:rPr>
        <w:t xml:space="preserve">Ability to Recover True Parameter </w:t>
      </w:r>
    </w:p>
    <w:tbl>
      <w:tblPr>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355"/>
        <w:gridCol w:w="1157"/>
        <w:gridCol w:w="1444"/>
        <w:gridCol w:w="1268"/>
        <w:gridCol w:w="1194"/>
        <w:gridCol w:w="1157"/>
        <w:gridCol w:w="1444"/>
        <w:gridCol w:w="1218"/>
        <w:gridCol w:w="1239"/>
      </w:tblGrid>
      <w:tr w:rsidR="00A55832" w:rsidRPr="003359F1" w14:paraId="47C2BB2E" w14:textId="77777777" w:rsidTr="001D4E4D">
        <w:trPr>
          <w:trHeight w:val="300"/>
        </w:trPr>
        <w:tc>
          <w:tcPr>
            <w:tcW w:w="1316" w:type="dxa"/>
            <w:shd w:val="clear" w:color="auto" w:fill="auto"/>
            <w:vAlign w:val="bottom"/>
            <w:hideMark/>
          </w:tcPr>
          <w:p w14:paraId="18CCBDAE" w14:textId="77777777" w:rsidR="00A55832" w:rsidRPr="003359F1" w:rsidRDefault="00A55832" w:rsidP="001732FF">
            <w:pPr>
              <w:rPr>
                <w:rFonts w:eastAsia="Times New Roman" w:cs="Times New Roman"/>
                <w:sz w:val="22"/>
              </w:rPr>
            </w:pPr>
          </w:p>
        </w:tc>
        <w:tc>
          <w:tcPr>
            <w:tcW w:w="1377" w:type="dxa"/>
            <w:shd w:val="clear" w:color="auto" w:fill="auto"/>
            <w:vAlign w:val="bottom"/>
            <w:hideMark/>
          </w:tcPr>
          <w:p w14:paraId="019571CA" w14:textId="77777777" w:rsidR="00A55832" w:rsidRPr="003359F1" w:rsidRDefault="00A55832" w:rsidP="001732FF">
            <w:pPr>
              <w:rPr>
                <w:rFonts w:eastAsia="Times New Roman" w:cs="Times New Roman"/>
                <w:sz w:val="22"/>
              </w:rPr>
            </w:pPr>
          </w:p>
        </w:tc>
        <w:tc>
          <w:tcPr>
            <w:tcW w:w="5042" w:type="dxa"/>
            <w:gridSpan w:val="4"/>
            <w:shd w:val="clear" w:color="auto" w:fill="auto"/>
            <w:noWrap/>
            <w:vAlign w:val="bottom"/>
            <w:hideMark/>
          </w:tcPr>
          <w:p w14:paraId="5D3B00FD" w14:textId="77777777" w:rsidR="00A55832" w:rsidRPr="003359F1" w:rsidRDefault="00A55832" w:rsidP="001732FF">
            <w:pPr>
              <w:jc w:val="center"/>
              <w:rPr>
                <w:rFonts w:eastAsia="Times New Roman" w:cs="Times New Roman"/>
                <w:b/>
                <w:bCs/>
                <w:color w:val="000000"/>
                <w:sz w:val="22"/>
              </w:rPr>
            </w:pPr>
            <w:r w:rsidRPr="003359F1">
              <w:rPr>
                <w:rFonts w:eastAsia="Times New Roman" w:cs="Times New Roman"/>
                <w:b/>
                <w:bCs/>
                <w:color w:val="000000"/>
                <w:sz w:val="22"/>
              </w:rPr>
              <w:t>Crash Type 1</w:t>
            </w:r>
          </w:p>
        </w:tc>
        <w:tc>
          <w:tcPr>
            <w:tcW w:w="5058" w:type="dxa"/>
            <w:gridSpan w:val="4"/>
            <w:shd w:val="clear" w:color="auto" w:fill="auto"/>
            <w:noWrap/>
            <w:vAlign w:val="bottom"/>
            <w:hideMark/>
          </w:tcPr>
          <w:p w14:paraId="3BA1C300" w14:textId="77777777" w:rsidR="00A55832" w:rsidRPr="003359F1" w:rsidRDefault="00A55832" w:rsidP="001732FF">
            <w:pPr>
              <w:jc w:val="center"/>
              <w:rPr>
                <w:rFonts w:eastAsia="Times New Roman" w:cs="Times New Roman"/>
                <w:b/>
                <w:bCs/>
                <w:color w:val="000000"/>
                <w:sz w:val="22"/>
              </w:rPr>
            </w:pPr>
            <w:r w:rsidRPr="003359F1">
              <w:rPr>
                <w:rFonts w:eastAsia="Times New Roman" w:cs="Times New Roman"/>
                <w:b/>
                <w:bCs/>
                <w:color w:val="000000"/>
                <w:sz w:val="22"/>
              </w:rPr>
              <w:t>Crash Type 2</w:t>
            </w:r>
          </w:p>
        </w:tc>
      </w:tr>
      <w:tr w:rsidR="00A55832" w:rsidRPr="003359F1" w14:paraId="4548AD0B" w14:textId="77777777" w:rsidTr="001D4E4D">
        <w:trPr>
          <w:trHeight w:val="300"/>
        </w:trPr>
        <w:tc>
          <w:tcPr>
            <w:tcW w:w="1316" w:type="dxa"/>
            <w:shd w:val="clear" w:color="auto" w:fill="auto"/>
            <w:vAlign w:val="bottom"/>
            <w:hideMark/>
          </w:tcPr>
          <w:p w14:paraId="1493A7EF" w14:textId="77777777" w:rsidR="00A55832" w:rsidRPr="003359F1" w:rsidRDefault="00A55832" w:rsidP="001732FF">
            <w:pPr>
              <w:jc w:val="center"/>
              <w:rPr>
                <w:rFonts w:eastAsia="Times New Roman" w:cs="Times New Roman"/>
                <w:color w:val="000000"/>
                <w:sz w:val="22"/>
              </w:rPr>
            </w:pPr>
          </w:p>
        </w:tc>
        <w:tc>
          <w:tcPr>
            <w:tcW w:w="1377" w:type="dxa"/>
            <w:shd w:val="clear" w:color="auto" w:fill="auto"/>
            <w:vAlign w:val="center"/>
            <w:hideMark/>
          </w:tcPr>
          <w:p w14:paraId="7F9E3597" w14:textId="77777777" w:rsidR="00A55832" w:rsidRPr="003359F1" w:rsidRDefault="00A55832" w:rsidP="001732FF">
            <w:pPr>
              <w:jc w:val="center"/>
              <w:rPr>
                <w:rFonts w:eastAsia="Times New Roman" w:cs="Times New Roman"/>
                <w:sz w:val="22"/>
              </w:rPr>
            </w:pPr>
            <w:r>
              <w:rPr>
                <w:rFonts w:eastAsia="Times New Roman" w:cs="Times New Roman"/>
              </w:rPr>
              <w:t>Coefficient</w:t>
            </w:r>
          </w:p>
        </w:tc>
        <w:tc>
          <w:tcPr>
            <w:tcW w:w="1157" w:type="dxa"/>
            <w:shd w:val="clear" w:color="auto" w:fill="auto"/>
            <w:noWrap/>
            <w:vAlign w:val="center"/>
            <w:hideMark/>
          </w:tcPr>
          <w:p w14:paraId="737AE3C7" w14:textId="77777777" w:rsidR="00A55832" w:rsidRPr="003359F1" w:rsidRDefault="00A55832" w:rsidP="001732FF">
            <w:pPr>
              <w:jc w:val="center"/>
              <w:rPr>
                <w:rFonts w:eastAsia="Times New Roman" w:cs="Times New Roman"/>
                <w:i/>
                <w:iCs/>
                <w:color w:val="000000"/>
                <w:sz w:val="22"/>
              </w:rPr>
            </w:pPr>
            <w:r w:rsidRPr="003359F1">
              <w:rPr>
                <w:rFonts w:eastAsia="Times New Roman" w:cs="Times New Roman"/>
                <w:i/>
                <w:iCs/>
                <w:color w:val="000000"/>
                <w:sz w:val="22"/>
              </w:rPr>
              <w:t>TRUE</w:t>
            </w:r>
          </w:p>
          <w:p w14:paraId="4C81484C" w14:textId="7CA461C3" w:rsidR="00A55832" w:rsidRPr="003359F1" w:rsidRDefault="0074410E" w:rsidP="001732FF">
            <w:pPr>
              <w:jc w:val="center"/>
              <w:rPr>
                <w:rFonts w:eastAsia="Times New Roman" w:cs="Times New Roman"/>
                <w:i/>
                <w:iCs/>
                <w:color w:val="000000"/>
                <w:sz w:val="22"/>
              </w:rPr>
            </w:pPr>
            <w:r w:rsidRPr="003359F1">
              <w:rPr>
                <w:rFonts w:eastAsia="Times New Roman" w:cs="Times New Roman"/>
                <w:i/>
                <w:iCs/>
                <w:color w:val="000000"/>
                <w:sz w:val="22"/>
              </w:rPr>
              <w:t>Parameter</w:t>
            </w:r>
          </w:p>
        </w:tc>
        <w:tc>
          <w:tcPr>
            <w:tcW w:w="1444" w:type="dxa"/>
            <w:shd w:val="clear" w:color="auto" w:fill="auto"/>
            <w:noWrap/>
            <w:vAlign w:val="center"/>
            <w:hideMark/>
          </w:tcPr>
          <w:p w14:paraId="16BF60F5" w14:textId="77777777" w:rsidR="00A55832" w:rsidRPr="003359F1" w:rsidRDefault="00A55832" w:rsidP="001732FF">
            <w:pPr>
              <w:jc w:val="center"/>
              <w:rPr>
                <w:rFonts w:eastAsia="Times New Roman" w:cs="Times New Roman"/>
                <w:i/>
                <w:iCs/>
                <w:color w:val="000000"/>
                <w:sz w:val="22"/>
              </w:rPr>
            </w:pPr>
            <w:r w:rsidRPr="003359F1">
              <w:rPr>
                <w:rFonts w:eastAsia="Times New Roman" w:cs="Times New Roman"/>
                <w:i/>
                <w:iCs/>
                <w:color w:val="000000"/>
                <w:sz w:val="22"/>
              </w:rPr>
              <w:t>Mean Parameter Estimates</w:t>
            </w:r>
          </w:p>
        </w:tc>
        <w:tc>
          <w:tcPr>
            <w:tcW w:w="1268" w:type="dxa"/>
            <w:shd w:val="clear" w:color="auto" w:fill="auto"/>
            <w:noWrap/>
            <w:vAlign w:val="center"/>
            <w:hideMark/>
          </w:tcPr>
          <w:p w14:paraId="46F74635" w14:textId="77777777" w:rsidR="00A55832" w:rsidRPr="003359F1" w:rsidRDefault="00A55832" w:rsidP="001732FF">
            <w:pPr>
              <w:jc w:val="center"/>
              <w:rPr>
                <w:rFonts w:eastAsia="Times New Roman" w:cs="Times New Roman"/>
                <w:i/>
                <w:iCs/>
                <w:color w:val="000000"/>
                <w:sz w:val="22"/>
              </w:rPr>
            </w:pPr>
            <w:r w:rsidRPr="003359F1">
              <w:rPr>
                <w:rFonts w:eastAsia="Times New Roman" w:cs="Times New Roman"/>
                <w:i/>
                <w:iCs/>
                <w:color w:val="000000"/>
                <w:sz w:val="22"/>
              </w:rPr>
              <w:t>Absolute Percentage Bias (%)</w:t>
            </w:r>
          </w:p>
        </w:tc>
        <w:tc>
          <w:tcPr>
            <w:tcW w:w="1173" w:type="dxa"/>
            <w:shd w:val="clear" w:color="auto" w:fill="auto"/>
            <w:noWrap/>
            <w:vAlign w:val="center"/>
            <w:hideMark/>
          </w:tcPr>
          <w:p w14:paraId="174D49BB" w14:textId="77777777" w:rsidR="00A55832" w:rsidRPr="003359F1" w:rsidRDefault="00A55832" w:rsidP="001732FF">
            <w:pPr>
              <w:jc w:val="center"/>
              <w:rPr>
                <w:rFonts w:eastAsia="Times New Roman" w:cs="Times New Roman"/>
                <w:i/>
                <w:iCs/>
                <w:color w:val="000000"/>
                <w:sz w:val="22"/>
              </w:rPr>
            </w:pPr>
            <w:r w:rsidRPr="003359F1">
              <w:rPr>
                <w:rFonts w:eastAsia="Times New Roman" w:cs="Times New Roman"/>
                <w:i/>
                <w:iCs/>
                <w:color w:val="000000"/>
                <w:sz w:val="22"/>
              </w:rPr>
              <w:t>Asymptotic</w:t>
            </w:r>
          </w:p>
          <w:p w14:paraId="0B1242AF" w14:textId="77777777" w:rsidR="00A55832" w:rsidRPr="003359F1" w:rsidRDefault="00A55832" w:rsidP="001732FF">
            <w:pPr>
              <w:jc w:val="center"/>
              <w:rPr>
                <w:rFonts w:eastAsia="Times New Roman" w:cs="Times New Roman"/>
                <w:i/>
                <w:iCs/>
                <w:color w:val="000000"/>
                <w:sz w:val="22"/>
              </w:rPr>
            </w:pPr>
            <w:r w:rsidRPr="003359F1">
              <w:rPr>
                <w:rFonts w:eastAsia="Times New Roman" w:cs="Times New Roman"/>
                <w:i/>
                <w:iCs/>
                <w:color w:val="000000"/>
                <w:sz w:val="22"/>
              </w:rPr>
              <w:t>Standard</w:t>
            </w:r>
          </w:p>
          <w:p w14:paraId="5694EC72" w14:textId="77777777" w:rsidR="00A55832" w:rsidRPr="003359F1" w:rsidRDefault="00A55832" w:rsidP="001732FF">
            <w:pPr>
              <w:jc w:val="center"/>
              <w:rPr>
                <w:rFonts w:eastAsia="Times New Roman" w:cs="Times New Roman"/>
                <w:i/>
                <w:iCs/>
                <w:color w:val="000000"/>
                <w:sz w:val="22"/>
              </w:rPr>
            </w:pPr>
            <w:r w:rsidRPr="003359F1">
              <w:rPr>
                <w:rFonts w:eastAsia="Times New Roman" w:cs="Times New Roman"/>
                <w:i/>
                <w:iCs/>
                <w:color w:val="000000"/>
                <w:sz w:val="22"/>
              </w:rPr>
              <w:t>Error</w:t>
            </w:r>
          </w:p>
        </w:tc>
        <w:tc>
          <w:tcPr>
            <w:tcW w:w="1157" w:type="dxa"/>
            <w:shd w:val="clear" w:color="auto" w:fill="auto"/>
            <w:noWrap/>
            <w:vAlign w:val="center"/>
            <w:hideMark/>
          </w:tcPr>
          <w:p w14:paraId="622A8540" w14:textId="77777777" w:rsidR="0074410E" w:rsidRPr="003359F1" w:rsidRDefault="0074410E" w:rsidP="0074410E">
            <w:pPr>
              <w:jc w:val="center"/>
              <w:rPr>
                <w:rFonts w:eastAsia="Times New Roman" w:cs="Times New Roman"/>
                <w:i/>
                <w:iCs/>
                <w:color w:val="000000"/>
                <w:sz w:val="22"/>
              </w:rPr>
            </w:pPr>
            <w:r w:rsidRPr="003359F1">
              <w:rPr>
                <w:rFonts w:eastAsia="Times New Roman" w:cs="Times New Roman"/>
                <w:i/>
                <w:iCs/>
                <w:color w:val="000000"/>
                <w:sz w:val="22"/>
              </w:rPr>
              <w:t>TRUE</w:t>
            </w:r>
          </w:p>
          <w:p w14:paraId="66D35735" w14:textId="1446D4F9" w:rsidR="00A55832" w:rsidRPr="003359F1" w:rsidRDefault="0074410E" w:rsidP="0074410E">
            <w:pPr>
              <w:jc w:val="center"/>
              <w:rPr>
                <w:rFonts w:eastAsia="Times New Roman" w:cs="Times New Roman"/>
                <w:i/>
                <w:iCs/>
                <w:color w:val="000000"/>
                <w:sz w:val="22"/>
              </w:rPr>
            </w:pPr>
            <w:r w:rsidRPr="003359F1">
              <w:rPr>
                <w:rFonts w:eastAsia="Times New Roman" w:cs="Times New Roman"/>
                <w:i/>
                <w:iCs/>
                <w:color w:val="000000"/>
                <w:sz w:val="22"/>
              </w:rPr>
              <w:t>Parameter</w:t>
            </w:r>
          </w:p>
        </w:tc>
        <w:tc>
          <w:tcPr>
            <w:tcW w:w="1444" w:type="dxa"/>
            <w:shd w:val="clear" w:color="auto" w:fill="auto"/>
            <w:noWrap/>
            <w:vAlign w:val="center"/>
            <w:hideMark/>
          </w:tcPr>
          <w:p w14:paraId="54C57574" w14:textId="77777777" w:rsidR="00A55832" w:rsidRPr="003359F1" w:rsidRDefault="00A55832" w:rsidP="001732FF">
            <w:pPr>
              <w:jc w:val="center"/>
              <w:rPr>
                <w:rFonts w:eastAsia="Times New Roman" w:cs="Times New Roman"/>
                <w:i/>
                <w:iCs/>
                <w:color w:val="000000"/>
                <w:sz w:val="22"/>
              </w:rPr>
            </w:pPr>
            <w:r w:rsidRPr="003359F1">
              <w:rPr>
                <w:rFonts w:eastAsia="Times New Roman" w:cs="Times New Roman"/>
                <w:i/>
                <w:iCs/>
                <w:color w:val="000000"/>
                <w:sz w:val="22"/>
              </w:rPr>
              <w:t>Mean Parameter Estimates</w:t>
            </w:r>
          </w:p>
        </w:tc>
        <w:tc>
          <w:tcPr>
            <w:tcW w:w="1218" w:type="dxa"/>
            <w:shd w:val="clear" w:color="auto" w:fill="auto"/>
            <w:noWrap/>
            <w:vAlign w:val="center"/>
            <w:hideMark/>
          </w:tcPr>
          <w:p w14:paraId="3637BDE1" w14:textId="77777777" w:rsidR="00A55832" w:rsidRPr="003359F1" w:rsidRDefault="00A55832" w:rsidP="001732FF">
            <w:pPr>
              <w:jc w:val="center"/>
              <w:rPr>
                <w:rFonts w:eastAsia="Times New Roman" w:cs="Times New Roman"/>
                <w:i/>
                <w:iCs/>
                <w:color w:val="000000"/>
                <w:sz w:val="22"/>
              </w:rPr>
            </w:pPr>
            <w:r w:rsidRPr="003359F1">
              <w:rPr>
                <w:rFonts w:eastAsia="Times New Roman" w:cs="Times New Roman"/>
                <w:i/>
                <w:iCs/>
                <w:color w:val="000000"/>
                <w:sz w:val="22"/>
              </w:rPr>
              <w:t>Absolute Percentage Bias (%)</w:t>
            </w:r>
          </w:p>
        </w:tc>
        <w:tc>
          <w:tcPr>
            <w:tcW w:w="1239" w:type="dxa"/>
            <w:shd w:val="clear" w:color="auto" w:fill="auto"/>
            <w:noWrap/>
            <w:vAlign w:val="center"/>
            <w:hideMark/>
          </w:tcPr>
          <w:p w14:paraId="137C394E" w14:textId="77777777" w:rsidR="00A55832" w:rsidRPr="003359F1" w:rsidRDefault="00A55832" w:rsidP="001732FF">
            <w:pPr>
              <w:jc w:val="center"/>
              <w:rPr>
                <w:rFonts w:eastAsia="Times New Roman" w:cs="Times New Roman"/>
                <w:i/>
                <w:iCs/>
                <w:color w:val="000000"/>
                <w:sz w:val="22"/>
              </w:rPr>
            </w:pPr>
            <w:r w:rsidRPr="003359F1">
              <w:rPr>
                <w:rFonts w:eastAsia="Times New Roman" w:cs="Times New Roman"/>
                <w:i/>
                <w:iCs/>
                <w:color w:val="000000"/>
                <w:sz w:val="22"/>
              </w:rPr>
              <w:t>Asymptotic</w:t>
            </w:r>
          </w:p>
          <w:p w14:paraId="1FAF33A3" w14:textId="77777777" w:rsidR="00A55832" w:rsidRPr="003359F1" w:rsidRDefault="00A55832" w:rsidP="001732FF">
            <w:pPr>
              <w:jc w:val="center"/>
              <w:rPr>
                <w:rFonts w:eastAsia="Times New Roman" w:cs="Times New Roman"/>
                <w:i/>
                <w:iCs/>
                <w:color w:val="000000"/>
                <w:sz w:val="22"/>
              </w:rPr>
            </w:pPr>
            <w:r w:rsidRPr="003359F1">
              <w:rPr>
                <w:rFonts w:eastAsia="Times New Roman" w:cs="Times New Roman"/>
                <w:i/>
                <w:iCs/>
                <w:color w:val="000000"/>
                <w:sz w:val="22"/>
              </w:rPr>
              <w:t>Standard</w:t>
            </w:r>
          </w:p>
          <w:p w14:paraId="1F5CC6F0" w14:textId="77777777" w:rsidR="00A55832" w:rsidRPr="003359F1" w:rsidRDefault="00A55832" w:rsidP="001732FF">
            <w:pPr>
              <w:jc w:val="center"/>
              <w:rPr>
                <w:rFonts w:eastAsia="Times New Roman" w:cs="Times New Roman"/>
                <w:i/>
                <w:iCs/>
                <w:color w:val="000000"/>
                <w:sz w:val="22"/>
              </w:rPr>
            </w:pPr>
            <w:r w:rsidRPr="003359F1">
              <w:rPr>
                <w:rFonts w:eastAsia="Times New Roman" w:cs="Times New Roman"/>
                <w:i/>
                <w:iCs/>
                <w:color w:val="000000"/>
                <w:sz w:val="22"/>
              </w:rPr>
              <w:t>Error</w:t>
            </w:r>
          </w:p>
        </w:tc>
      </w:tr>
      <w:tr w:rsidR="00A55832" w:rsidRPr="003359F1" w14:paraId="311C5EB2" w14:textId="77777777" w:rsidTr="001D4E4D">
        <w:trPr>
          <w:trHeight w:val="300"/>
        </w:trPr>
        <w:tc>
          <w:tcPr>
            <w:tcW w:w="1316" w:type="dxa"/>
            <w:vMerge w:val="restart"/>
            <w:shd w:val="clear" w:color="auto" w:fill="auto"/>
            <w:vAlign w:val="center"/>
            <w:hideMark/>
          </w:tcPr>
          <w:p w14:paraId="10236042" w14:textId="078E35E0" w:rsidR="00A55832" w:rsidRPr="003359F1" w:rsidRDefault="008702CC" w:rsidP="001732FF">
            <w:pPr>
              <w:jc w:val="center"/>
              <w:rPr>
                <w:rFonts w:eastAsia="Times New Roman" w:cs="Times New Roman"/>
                <w:color w:val="000000"/>
                <w:sz w:val="22"/>
              </w:rPr>
            </w:pPr>
            <w:r>
              <w:rPr>
                <w:rFonts w:eastAsia="Times New Roman" w:cs="Times New Roman"/>
                <w:color w:val="000000"/>
                <w:sz w:val="22"/>
              </w:rPr>
              <w:t>PM</w:t>
            </w:r>
            <w:r w:rsidR="00A55832" w:rsidRPr="003359F1">
              <w:rPr>
                <w:rFonts w:eastAsia="Times New Roman" w:cs="Times New Roman"/>
                <w:color w:val="000000"/>
                <w:sz w:val="22"/>
              </w:rPr>
              <w:t xml:space="preserve">NB </w:t>
            </w:r>
          </w:p>
          <w:p w14:paraId="38306E9D"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(Crash Count)</w:t>
            </w:r>
          </w:p>
        </w:tc>
        <w:tc>
          <w:tcPr>
            <w:tcW w:w="1377" w:type="dxa"/>
            <w:shd w:val="clear" w:color="auto" w:fill="auto"/>
            <w:vAlign w:val="center"/>
            <w:hideMark/>
          </w:tcPr>
          <w:p w14:paraId="35103E13" w14:textId="77777777" w:rsidR="00A55832" w:rsidRPr="003359F1" w:rsidRDefault="00DA4C35" w:rsidP="001732FF">
            <w:pPr>
              <w:jc w:val="center"/>
              <w:rPr>
                <w:rFonts w:eastAsia="Times New Roman" w:cs="Times New Roman"/>
                <w:color w:val="000000"/>
                <w:sz w:val="26"/>
                <w:szCs w:val="26"/>
              </w:rPr>
            </w:pPr>
            <m:oMathPara>
              <m:oMath>
                <m:sSub>
                  <m:sSubPr>
                    <m:ctrlPr>
                      <w:rPr>
                        <w:rFonts w:ascii="Cambria Math" w:eastAsia="Times New Roman" w:hAnsi="Cambria Math" w:cs="Times New Roman"/>
                        <w:i/>
                        <w:color w:val="000000"/>
                        <w:sz w:val="26"/>
                        <w:szCs w:val="26"/>
                      </w:rPr>
                    </m:ctrlPr>
                  </m:sSubPr>
                  <m:e>
                    <m:r>
                      <m:rPr>
                        <m:sty m:val="p"/>
                      </m:rPr>
                      <w:rPr>
                        <w:rFonts w:ascii="Cambria Math" w:eastAsia="Times New Roman" w:hAnsi="Cambria Math" w:cs="Times New Roman"/>
                        <w:sz w:val="26"/>
                        <w:szCs w:val="26"/>
                      </w:rPr>
                      <m:t>τ</m:t>
                    </m:r>
                  </m:e>
                  <m:sub>
                    <m:r>
                      <w:rPr>
                        <w:rFonts w:ascii="Cambria Math" w:eastAsia="Times New Roman" w:hAnsi="Cambria Math" w:cs="Times New Roman"/>
                        <w:color w:val="000000"/>
                        <w:sz w:val="26"/>
                        <w:szCs w:val="26"/>
                      </w:rPr>
                      <m:t>0</m:t>
                    </m:r>
                  </m:sub>
                </m:sSub>
              </m:oMath>
            </m:oMathPara>
          </w:p>
        </w:tc>
        <w:tc>
          <w:tcPr>
            <w:tcW w:w="1157" w:type="dxa"/>
            <w:shd w:val="clear" w:color="auto" w:fill="auto"/>
            <w:noWrap/>
            <w:vAlign w:val="center"/>
            <w:hideMark/>
          </w:tcPr>
          <w:p w14:paraId="4B2A2BDA"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1.000</w:t>
            </w:r>
          </w:p>
        </w:tc>
        <w:tc>
          <w:tcPr>
            <w:tcW w:w="1444" w:type="dxa"/>
            <w:shd w:val="clear" w:color="auto" w:fill="auto"/>
            <w:noWrap/>
            <w:vAlign w:val="center"/>
            <w:hideMark/>
          </w:tcPr>
          <w:p w14:paraId="2BE138F1"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0.967</w:t>
            </w:r>
          </w:p>
        </w:tc>
        <w:tc>
          <w:tcPr>
            <w:tcW w:w="1268" w:type="dxa"/>
            <w:shd w:val="clear" w:color="auto" w:fill="auto"/>
            <w:noWrap/>
            <w:vAlign w:val="center"/>
            <w:hideMark/>
          </w:tcPr>
          <w:p w14:paraId="7A523ADB"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3.287</w:t>
            </w:r>
          </w:p>
        </w:tc>
        <w:tc>
          <w:tcPr>
            <w:tcW w:w="1173" w:type="dxa"/>
            <w:shd w:val="clear" w:color="auto" w:fill="auto"/>
            <w:noWrap/>
            <w:vAlign w:val="center"/>
            <w:hideMark/>
          </w:tcPr>
          <w:p w14:paraId="3FA8E470"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0.004</w:t>
            </w:r>
          </w:p>
        </w:tc>
        <w:tc>
          <w:tcPr>
            <w:tcW w:w="1157" w:type="dxa"/>
            <w:shd w:val="clear" w:color="auto" w:fill="auto"/>
            <w:noWrap/>
            <w:vAlign w:val="center"/>
            <w:hideMark/>
          </w:tcPr>
          <w:p w14:paraId="4D506059"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-0.750</w:t>
            </w:r>
          </w:p>
        </w:tc>
        <w:tc>
          <w:tcPr>
            <w:tcW w:w="1444" w:type="dxa"/>
            <w:shd w:val="clear" w:color="auto" w:fill="auto"/>
            <w:noWrap/>
            <w:vAlign w:val="center"/>
            <w:hideMark/>
          </w:tcPr>
          <w:p w14:paraId="1F8D10FF"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-0.783</w:t>
            </w:r>
          </w:p>
        </w:tc>
        <w:tc>
          <w:tcPr>
            <w:tcW w:w="1218" w:type="dxa"/>
            <w:shd w:val="clear" w:color="auto" w:fill="auto"/>
            <w:noWrap/>
            <w:vAlign w:val="center"/>
            <w:hideMark/>
          </w:tcPr>
          <w:p w14:paraId="01D1D83D"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4.345</w:t>
            </w:r>
          </w:p>
        </w:tc>
        <w:tc>
          <w:tcPr>
            <w:tcW w:w="1239" w:type="dxa"/>
            <w:shd w:val="clear" w:color="auto" w:fill="auto"/>
            <w:noWrap/>
            <w:vAlign w:val="center"/>
            <w:hideMark/>
          </w:tcPr>
          <w:p w14:paraId="6A614837"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0.014</w:t>
            </w:r>
          </w:p>
        </w:tc>
      </w:tr>
      <w:tr w:rsidR="00A55832" w:rsidRPr="003359F1" w14:paraId="3B8CCB3A" w14:textId="77777777" w:rsidTr="001D4E4D">
        <w:trPr>
          <w:trHeight w:val="300"/>
        </w:trPr>
        <w:tc>
          <w:tcPr>
            <w:tcW w:w="1316" w:type="dxa"/>
            <w:vMerge/>
            <w:vAlign w:val="center"/>
            <w:hideMark/>
          </w:tcPr>
          <w:p w14:paraId="28698EAF" w14:textId="77777777" w:rsidR="00A55832" w:rsidRPr="003359F1" w:rsidRDefault="00A55832" w:rsidP="001732FF">
            <w:pPr>
              <w:rPr>
                <w:rFonts w:eastAsia="Times New Roman" w:cs="Times New Roman"/>
                <w:color w:val="000000"/>
                <w:sz w:val="22"/>
              </w:rPr>
            </w:pPr>
          </w:p>
        </w:tc>
        <w:tc>
          <w:tcPr>
            <w:tcW w:w="1377" w:type="dxa"/>
            <w:shd w:val="clear" w:color="auto" w:fill="auto"/>
            <w:vAlign w:val="center"/>
            <w:hideMark/>
          </w:tcPr>
          <w:p w14:paraId="74939601" w14:textId="77777777" w:rsidR="00A55832" w:rsidRPr="003359F1" w:rsidRDefault="00DA4C35" w:rsidP="001732FF">
            <w:pPr>
              <w:jc w:val="center"/>
              <w:rPr>
                <w:rFonts w:eastAsia="Times New Roman" w:cs="Times New Roman"/>
                <w:color w:val="000000"/>
                <w:sz w:val="26"/>
                <w:szCs w:val="26"/>
              </w:rPr>
            </w:pPr>
            <m:oMathPara>
              <m:oMath>
                <m:sSub>
                  <m:sSubPr>
                    <m:ctrlPr>
                      <w:rPr>
                        <w:rFonts w:ascii="Cambria Math" w:eastAsia="Times New Roman" w:hAnsi="Cambria Math" w:cs="Times New Roman"/>
                        <w:i/>
                        <w:color w:val="000000"/>
                        <w:sz w:val="26"/>
                        <w:szCs w:val="26"/>
                      </w:rPr>
                    </m:ctrlPr>
                  </m:sSubPr>
                  <m:e>
                    <m:r>
                      <m:rPr>
                        <m:sty m:val="p"/>
                      </m:rPr>
                      <w:rPr>
                        <w:rFonts w:ascii="Cambria Math" w:eastAsia="Times New Roman" w:hAnsi="Cambria Math" w:cs="Times New Roman"/>
                        <w:sz w:val="26"/>
                        <w:szCs w:val="26"/>
                      </w:rPr>
                      <m:t>τ</m:t>
                    </m:r>
                  </m:e>
                  <m:sub>
                    <m:r>
                      <w:rPr>
                        <w:rFonts w:ascii="Cambria Math" w:eastAsia="Times New Roman" w:hAnsi="Cambria Math" w:cs="Times New Roman"/>
                        <w:color w:val="000000"/>
                        <w:sz w:val="26"/>
                        <w:szCs w:val="26"/>
                      </w:rPr>
                      <m:t>1</m:t>
                    </m:r>
                  </m:sub>
                </m:sSub>
              </m:oMath>
            </m:oMathPara>
          </w:p>
        </w:tc>
        <w:tc>
          <w:tcPr>
            <w:tcW w:w="1157" w:type="dxa"/>
            <w:shd w:val="clear" w:color="auto" w:fill="auto"/>
            <w:noWrap/>
            <w:vAlign w:val="center"/>
            <w:hideMark/>
          </w:tcPr>
          <w:p w14:paraId="5CEE9AAC"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0.800</w:t>
            </w:r>
          </w:p>
        </w:tc>
        <w:tc>
          <w:tcPr>
            <w:tcW w:w="1444" w:type="dxa"/>
            <w:shd w:val="clear" w:color="auto" w:fill="auto"/>
            <w:noWrap/>
            <w:vAlign w:val="center"/>
            <w:hideMark/>
          </w:tcPr>
          <w:p w14:paraId="48B0B17E"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0.816</w:t>
            </w:r>
          </w:p>
        </w:tc>
        <w:tc>
          <w:tcPr>
            <w:tcW w:w="1268" w:type="dxa"/>
            <w:shd w:val="clear" w:color="auto" w:fill="auto"/>
            <w:noWrap/>
            <w:vAlign w:val="center"/>
            <w:hideMark/>
          </w:tcPr>
          <w:p w14:paraId="3D961606"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2.025</w:t>
            </w:r>
          </w:p>
        </w:tc>
        <w:tc>
          <w:tcPr>
            <w:tcW w:w="1173" w:type="dxa"/>
            <w:shd w:val="clear" w:color="auto" w:fill="auto"/>
            <w:noWrap/>
            <w:vAlign w:val="center"/>
            <w:hideMark/>
          </w:tcPr>
          <w:p w14:paraId="41D7C98F"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0.002</w:t>
            </w:r>
          </w:p>
        </w:tc>
        <w:tc>
          <w:tcPr>
            <w:tcW w:w="1157" w:type="dxa"/>
            <w:shd w:val="clear" w:color="auto" w:fill="auto"/>
            <w:noWrap/>
            <w:vAlign w:val="center"/>
            <w:hideMark/>
          </w:tcPr>
          <w:p w14:paraId="0E5C4393"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1.800</w:t>
            </w:r>
          </w:p>
        </w:tc>
        <w:tc>
          <w:tcPr>
            <w:tcW w:w="1444" w:type="dxa"/>
            <w:shd w:val="clear" w:color="auto" w:fill="auto"/>
            <w:noWrap/>
            <w:vAlign w:val="center"/>
            <w:hideMark/>
          </w:tcPr>
          <w:p w14:paraId="049922F7"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1.893</w:t>
            </w:r>
          </w:p>
        </w:tc>
        <w:tc>
          <w:tcPr>
            <w:tcW w:w="1218" w:type="dxa"/>
            <w:shd w:val="clear" w:color="auto" w:fill="auto"/>
            <w:noWrap/>
            <w:vAlign w:val="center"/>
            <w:hideMark/>
          </w:tcPr>
          <w:p w14:paraId="01DF18EE"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5.167</w:t>
            </w:r>
          </w:p>
        </w:tc>
        <w:tc>
          <w:tcPr>
            <w:tcW w:w="1239" w:type="dxa"/>
            <w:shd w:val="clear" w:color="auto" w:fill="auto"/>
            <w:noWrap/>
            <w:vAlign w:val="center"/>
            <w:hideMark/>
          </w:tcPr>
          <w:p w14:paraId="66CC029A"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0.012</w:t>
            </w:r>
          </w:p>
        </w:tc>
      </w:tr>
      <w:tr w:rsidR="00A55832" w:rsidRPr="003359F1" w14:paraId="13926A83" w14:textId="77777777" w:rsidTr="001D4E4D">
        <w:trPr>
          <w:trHeight w:val="300"/>
        </w:trPr>
        <w:tc>
          <w:tcPr>
            <w:tcW w:w="1316" w:type="dxa"/>
            <w:vMerge/>
            <w:vAlign w:val="center"/>
            <w:hideMark/>
          </w:tcPr>
          <w:p w14:paraId="235D5586" w14:textId="77777777" w:rsidR="00A55832" w:rsidRPr="003359F1" w:rsidRDefault="00A55832" w:rsidP="001732FF">
            <w:pPr>
              <w:rPr>
                <w:rFonts w:eastAsia="Times New Roman" w:cs="Times New Roman"/>
                <w:color w:val="000000"/>
                <w:sz w:val="22"/>
              </w:rPr>
            </w:pPr>
          </w:p>
        </w:tc>
        <w:tc>
          <w:tcPr>
            <w:tcW w:w="1377" w:type="dxa"/>
            <w:shd w:val="clear" w:color="auto" w:fill="auto"/>
            <w:vAlign w:val="center"/>
            <w:hideMark/>
          </w:tcPr>
          <w:p w14:paraId="4EA6CD45" w14:textId="77777777" w:rsidR="00A55832" w:rsidRPr="003359F1" w:rsidRDefault="00DA4C35" w:rsidP="001732FF">
            <w:pPr>
              <w:jc w:val="center"/>
              <w:rPr>
                <w:rFonts w:eastAsia="Times New Roman" w:cs="Times New Roman"/>
                <w:color w:val="000000"/>
                <w:sz w:val="26"/>
                <w:szCs w:val="26"/>
              </w:rPr>
            </w:pPr>
            <m:oMathPara>
              <m:oMath>
                <m:sSub>
                  <m:sSubPr>
                    <m:ctrlPr>
                      <w:rPr>
                        <w:rFonts w:ascii="Cambria Math" w:eastAsia="Times New Roman" w:hAnsi="Cambria Math" w:cs="Times New Roman"/>
                        <w:i/>
                        <w:color w:val="000000"/>
                        <w:sz w:val="26"/>
                        <w:szCs w:val="26"/>
                      </w:rPr>
                    </m:ctrlPr>
                  </m:sSubPr>
                  <m:e>
                    <m:r>
                      <m:rPr>
                        <m:sty m:val="p"/>
                      </m:rPr>
                      <w:rPr>
                        <w:rFonts w:ascii="Cambria Math" w:eastAsia="Times New Roman" w:hAnsi="Cambria Math" w:cs="Times New Roman"/>
                        <w:sz w:val="26"/>
                        <w:szCs w:val="26"/>
                      </w:rPr>
                      <m:t>τ</m:t>
                    </m:r>
                  </m:e>
                  <m:sub>
                    <m:r>
                      <w:rPr>
                        <w:rFonts w:ascii="Cambria Math" w:eastAsia="Times New Roman" w:hAnsi="Cambria Math" w:cs="Times New Roman"/>
                        <w:color w:val="000000"/>
                        <w:sz w:val="26"/>
                        <w:szCs w:val="26"/>
                      </w:rPr>
                      <m:t>2</m:t>
                    </m:r>
                  </m:sub>
                </m:sSub>
              </m:oMath>
            </m:oMathPara>
          </w:p>
        </w:tc>
        <w:tc>
          <w:tcPr>
            <w:tcW w:w="1157" w:type="dxa"/>
            <w:shd w:val="clear" w:color="auto" w:fill="auto"/>
            <w:noWrap/>
            <w:vAlign w:val="center"/>
            <w:hideMark/>
          </w:tcPr>
          <w:p w14:paraId="701DB6DE"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-0.350</w:t>
            </w:r>
          </w:p>
        </w:tc>
        <w:tc>
          <w:tcPr>
            <w:tcW w:w="1444" w:type="dxa"/>
            <w:shd w:val="clear" w:color="auto" w:fill="auto"/>
            <w:noWrap/>
            <w:vAlign w:val="center"/>
            <w:hideMark/>
          </w:tcPr>
          <w:p w14:paraId="3EFD4495"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-0.357</w:t>
            </w:r>
          </w:p>
        </w:tc>
        <w:tc>
          <w:tcPr>
            <w:tcW w:w="1268" w:type="dxa"/>
            <w:shd w:val="clear" w:color="auto" w:fill="auto"/>
            <w:noWrap/>
            <w:vAlign w:val="center"/>
            <w:hideMark/>
          </w:tcPr>
          <w:p w14:paraId="153CCB31"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1.947</w:t>
            </w:r>
          </w:p>
        </w:tc>
        <w:tc>
          <w:tcPr>
            <w:tcW w:w="1173" w:type="dxa"/>
            <w:shd w:val="clear" w:color="auto" w:fill="auto"/>
            <w:noWrap/>
            <w:vAlign w:val="center"/>
            <w:hideMark/>
          </w:tcPr>
          <w:p w14:paraId="584BE014"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0.002</w:t>
            </w:r>
          </w:p>
        </w:tc>
        <w:tc>
          <w:tcPr>
            <w:tcW w:w="1157" w:type="dxa"/>
            <w:shd w:val="clear" w:color="auto" w:fill="auto"/>
            <w:noWrap/>
            <w:vAlign w:val="center"/>
            <w:hideMark/>
          </w:tcPr>
          <w:p w14:paraId="71E051D4"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-0.350</w:t>
            </w:r>
          </w:p>
        </w:tc>
        <w:tc>
          <w:tcPr>
            <w:tcW w:w="1444" w:type="dxa"/>
            <w:shd w:val="clear" w:color="auto" w:fill="auto"/>
            <w:noWrap/>
            <w:vAlign w:val="center"/>
            <w:hideMark/>
          </w:tcPr>
          <w:p w14:paraId="45B027CE"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-0.376</w:t>
            </w:r>
          </w:p>
        </w:tc>
        <w:tc>
          <w:tcPr>
            <w:tcW w:w="1218" w:type="dxa"/>
            <w:shd w:val="clear" w:color="auto" w:fill="auto"/>
            <w:noWrap/>
            <w:vAlign w:val="center"/>
            <w:hideMark/>
          </w:tcPr>
          <w:p w14:paraId="11F3D1FF"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7.571</w:t>
            </w:r>
          </w:p>
        </w:tc>
        <w:tc>
          <w:tcPr>
            <w:tcW w:w="1239" w:type="dxa"/>
            <w:shd w:val="clear" w:color="auto" w:fill="auto"/>
            <w:noWrap/>
            <w:vAlign w:val="center"/>
            <w:hideMark/>
          </w:tcPr>
          <w:p w14:paraId="51CBD40A"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0.004</w:t>
            </w:r>
          </w:p>
        </w:tc>
      </w:tr>
      <w:tr w:rsidR="00A55832" w:rsidRPr="003359F1" w14:paraId="75D26BD7" w14:textId="77777777" w:rsidTr="001D4E4D">
        <w:trPr>
          <w:trHeight w:val="300"/>
        </w:trPr>
        <w:tc>
          <w:tcPr>
            <w:tcW w:w="1316" w:type="dxa"/>
            <w:vMerge/>
            <w:vAlign w:val="center"/>
            <w:hideMark/>
          </w:tcPr>
          <w:p w14:paraId="730CE620" w14:textId="77777777" w:rsidR="00A55832" w:rsidRPr="003359F1" w:rsidRDefault="00A55832" w:rsidP="001732FF">
            <w:pPr>
              <w:rPr>
                <w:rFonts w:eastAsia="Times New Roman" w:cs="Times New Roman"/>
                <w:color w:val="000000"/>
                <w:sz w:val="22"/>
              </w:rPr>
            </w:pPr>
          </w:p>
        </w:tc>
        <w:tc>
          <w:tcPr>
            <w:tcW w:w="1377" w:type="dxa"/>
            <w:shd w:val="clear" w:color="auto" w:fill="auto"/>
            <w:vAlign w:val="center"/>
            <w:hideMark/>
          </w:tcPr>
          <w:p w14:paraId="50E53EDA" w14:textId="77777777" w:rsidR="00A55832" w:rsidRPr="003359F1" w:rsidRDefault="00DA4C35" w:rsidP="001732FF">
            <w:pPr>
              <w:jc w:val="center"/>
              <w:rPr>
                <w:rFonts w:eastAsia="Times New Roman" w:cs="Times New Roman"/>
                <w:color w:val="000000"/>
                <w:sz w:val="26"/>
                <w:szCs w:val="26"/>
              </w:rPr>
            </w:pPr>
            <m:oMathPara>
              <m:oMath>
                <m:sSub>
                  <m:sSubPr>
                    <m:ctrlPr>
                      <w:rPr>
                        <w:rFonts w:ascii="Cambria Math" w:eastAsia="Times New Roman" w:hAnsi="Cambria Math" w:cs="Times New Roman"/>
                        <w:i/>
                        <w:color w:val="000000"/>
                        <w:sz w:val="26"/>
                        <w:szCs w:val="26"/>
                      </w:rPr>
                    </m:ctrlPr>
                  </m:sSubPr>
                  <m:e>
                    <m:r>
                      <m:rPr>
                        <m:sty m:val="p"/>
                      </m:rPr>
                      <w:rPr>
                        <w:rFonts w:ascii="Cambria Math" w:eastAsia="Times New Roman" w:hAnsi="Cambria Math" w:cs="Times New Roman"/>
                        <w:sz w:val="26"/>
                        <w:szCs w:val="26"/>
                      </w:rPr>
                      <m:t>τ</m:t>
                    </m:r>
                  </m:e>
                  <m:sub>
                    <m:r>
                      <w:rPr>
                        <w:rFonts w:ascii="Cambria Math" w:eastAsia="Times New Roman" w:hAnsi="Cambria Math" w:cs="Times New Roman"/>
                        <w:color w:val="000000"/>
                        <w:sz w:val="26"/>
                        <w:szCs w:val="26"/>
                      </w:rPr>
                      <m:t>3</m:t>
                    </m:r>
                  </m:sub>
                </m:sSub>
              </m:oMath>
            </m:oMathPara>
          </w:p>
        </w:tc>
        <w:tc>
          <w:tcPr>
            <w:tcW w:w="1157" w:type="dxa"/>
            <w:shd w:val="clear" w:color="auto" w:fill="auto"/>
            <w:noWrap/>
            <w:vAlign w:val="center"/>
            <w:hideMark/>
          </w:tcPr>
          <w:p w14:paraId="05A91A53"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1.500</w:t>
            </w:r>
          </w:p>
        </w:tc>
        <w:tc>
          <w:tcPr>
            <w:tcW w:w="1444" w:type="dxa"/>
            <w:shd w:val="clear" w:color="auto" w:fill="auto"/>
            <w:noWrap/>
            <w:vAlign w:val="center"/>
            <w:hideMark/>
          </w:tcPr>
          <w:p w14:paraId="43638F8F"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1.520</w:t>
            </w:r>
          </w:p>
        </w:tc>
        <w:tc>
          <w:tcPr>
            <w:tcW w:w="1268" w:type="dxa"/>
            <w:shd w:val="clear" w:color="auto" w:fill="auto"/>
            <w:noWrap/>
            <w:vAlign w:val="center"/>
            <w:hideMark/>
          </w:tcPr>
          <w:p w14:paraId="5D873DA2"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1.307</w:t>
            </w:r>
          </w:p>
        </w:tc>
        <w:tc>
          <w:tcPr>
            <w:tcW w:w="1173" w:type="dxa"/>
            <w:shd w:val="clear" w:color="auto" w:fill="auto"/>
            <w:noWrap/>
            <w:vAlign w:val="center"/>
            <w:hideMark/>
          </w:tcPr>
          <w:p w14:paraId="28546424"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0.003</w:t>
            </w:r>
          </w:p>
        </w:tc>
        <w:tc>
          <w:tcPr>
            <w:tcW w:w="1157" w:type="dxa"/>
            <w:shd w:val="clear" w:color="auto" w:fill="auto"/>
            <w:noWrap/>
            <w:vAlign w:val="center"/>
            <w:hideMark/>
          </w:tcPr>
          <w:p w14:paraId="48928F52"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0.500</w:t>
            </w:r>
          </w:p>
        </w:tc>
        <w:tc>
          <w:tcPr>
            <w:tcW w:w="1444" w:type="dxa"/>
            <w:shd w:val="clear" w:color="auto" w:fill="auto"/>
            <w:noWrap/>
            <w:vAlign w:val="center"/>
            <w:hideMark/>
          </w:tcPr>
          <w:p w14:paraId="39911940"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0.541</w:t>
            </w:r>
          </w:p>
        </w:tc>
        <w:tc>
          <w:tcPr>
            <w:tcW w:w="1218" w:type="dxa"/>
            <w:shd w:val="clear" w:color="auto" w:fill="auto"/>
            <w:noWrap/>
            <w:vAlign w:val="center"/>
            <w:hideMark/>
          </w:tcPr>
          <w:p w14:paraId="0E828BA3"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8.202</w:t>
            </w:r>
          </w:p>
        </w:tc>
        <w:tc>
          <w:tcPr>
            <w:tcW w:w="1239" w:type="dxa"/>
            <w:shd w:val="clear" w:color="auto" w:fill="auto"/>
            <w:noWrap/>
            <w:vAlign w:val="center"/>
            <w:hideMark/>
          </w:tcPr>
          <w:p w14:paraId="4133A875"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0.005</w:t>
            </w:r>
          </w:p>
        </w:tc>
      </w:tr>
      <w:tr w:rsidR="00A55832" w:rsidRPr="003359F1" w14:paraId="085A2D72" w14:textId="77777777" w:rsidTr="001D4E4D">
        <w:trPr>
          <w:trHeight w:val="300"/>
        </w:trPr>
        <w:tc>
          <w:tcPr>
            <w:tcW w:w="1316" w:type="dxa"/>
            <w:vMerge/>
            <w:vAlign w:val="center"/>
            <w:hideMark/>
          </w:tcPr>
          <w:p w14:paraId="2480010E" w14:textId="77777777" w:rsidR="00A55832" w:rsidRPr="003359F1" w:rsidRDefault="00A55832" w:rsidP="001732FF">
            <w:pPr>
              <w:rPr>
                <w:rFonts w:eastAsia="Times New Roman" w:cs="Times New Roman"/>
                <w:color w:val="000000"/>
                <w:sz w:val="22"/>
              </w:rPr>
            </w:pPr>
          </w:p>
        </w:tc>
        <w:tc>
          <w:tcPr>
            <w:tcW w:w="1377" w:type="dxa"/>
            <w:shd w:val="clear" w:color="auto" w:fill="auto"/>
            <w:vAlign w:val="center"/>
            <w:hideMark/>
          </w:tcPr>
          <w:p w14:paraId="5DB549EE" w14:textId="77777777" w:rsidR="00A55832" w:rsidRPr="003359F1" w:rsidRDefault="00A55832" w:rsidP="001732FF">
            <w:pPr>
              <w:jc w:val="center"/>
              <w:rPr>
                <w:rFonts w:eastAsia="Times New Roman" w:cs="Times New Roman"/>
                <w:color w:val="000000"/>
                <w:sz w:val="26"/>
                <w:szCs w:val="26"/>
              </w:rPr>
            </w:pPr>
            <m:oMathPara>
              <m:oMath>
                <m:r>
                  <w:rPr>
                    <w:rFonts w:ascii="Cambria Math" w:eastAsia="Times New Roman" w:hAnsi="Cambria Math" w:cs="Times New Roman"/>
                    <w:color w:val="000000"/>
                    <w:sz w:val="26"/>
                    <w:szCs w:val="26"/>
                  </w:rPr>
                  <m:t>λ</m:t>
                </m:r>
              </m:oMath>
            </m:oMathPara>
          </w:p>
        </w:tc>
        <w:tc>
          <w:tcPr>
            <w:tcW w:w="1157" w:type="dxa"/>
            <w:shd w:val="clear" w:color="auto" w:fill="auto"/>
            <w:noWrap/>
            <w:vAlign w:val="center"/>
            <w:hideMark/>
          </w:tcPr>
          <w:p w14:paraId="0EE2131E"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0.450</w:t>
            </w:r>
          </w:p>
        </w:tc>
        <w:tc>
          <w:tcPr>
            <w:tcW w:w="1444" w:type="dxa"/>
            <w:shd w:val="clear" w:color="auto" w:fill="auto"/>
            <w:noWrap/>
            <w:vAlign w:val="center"/>
            <w:hideMark/>
          </w:tcPr>
          <w:p w14:paraId="12042FB5"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0.440</w:t>
            </w:r>
          </w:p>
        </w:tc>
        <w:tc>
          <w:tcPr>
            <w:tcW w:w="1268" w:type="dxa"/>
            <w:shd w:val="clear" w:color="auto" w:fill="auto"/>
            <w:noWrap/>
            <w:vAlign w:val="center"/>
            <w:hideMark/>
          </w:tcPr>
          <w:p w14:paraId="45A6E302"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2.239</w:t>
            </w:r>
          </w:p>
        </w:tc>
        <w:tc>
          <w:tcPr>
            <w:tcW w:w="1173" w:type="dxa"/>
            <w:shd w:val="clear" w:color="auto" w:fill="auto"/>
            <w:noWrap/>
            <w:vAlign w:val="center"/>
            <w:hideMark/>
          </w:tcPr>
          <w:p w14:paraId="2E5F9CAB"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0.010</w:t>
            </w:r>
          </w:p>
        </w:tc>
        <w:tc>
          <w:tcPr>
            <w:tcW w:w="1157" w:type="dxa"/>
            <w:shd w:val="clear" w:color="auto" w:fill="auto"/>
            <w:noWrap/>
            <w:vAlign w:val="center"/>
            <w:hideMark/>
          </w:tcPr>
          <w:p w14:paraId="250A16E7"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1.500</w:t>
            </w:r>
          </w:p>
        </w:tc>
        <w:tc>
          <w:tcPr>
            <w:tcW w:w="1444" w:type="dxa"/>
            <w:shd w:val="clear" w:color="auto" w:fill="auto"/>
            <w:noWrap/>
            <w:vAlign w:val="center"/>
            <w:hideMark/>
          </w:tcPr>
          <w:p w14:paraId="0F1D5A09"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1.488</w:t>
            </w:r>
          </w:p>
        </w:tc>
        <w:tc>
          <w:tcPr>
            <w:tcW w:w="1218" w:type="dxa"/>
            <w:shd w:val="clear" w:color="auto" w:fill="auto"/>
            <w:noWrap/>
            <w:vAlign w:val="center"/>
            <w:hideMark/>
          </w:tcPr>
          <w:p w14:paraId="7413D4FF"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0.788</w:t>
            </w:r>
          </w:p>
        </w:tc>
        <w:tc>
          <w:tcPr>
            <w:tcW w:w="1239" w:type="dxa"/>
            <w:shd w:val="clear" w:color="auto" w:fill="auto"/>
            <w:noWrap/>
            <w:vAlign w:val="center"/>
            <w:hideMark/>
          </w:tcPr>
          <w:p w14:paraId="37DF30A6"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0.027</w:t>
            </w:r>
          </w:p>
        </w:tc>
      </w:tr>
      <w:tr w:rsidR="00A55832" w:rsidRPr="003359F1" w14:paraId="5235ED60" w14:textId="77777777" w:rsidTr="001D4E4D">
        <w:trPr>
          <w:trHeight w:val="300"/>
        </w:trPr>
        <w:tc>
          <w:tcPr>
            <w:tcW w:w="1316" w:type="dxa"/>
            <w:vMerge w:val="restart"/>
            <w:shd w:val="clear" w:color="auto" w:fill="auto"/>
            <w:vAlign w:val="center"/>
            <w:hideMark/>
          </w:tcPr>
          <w:p w14:paraId="068E196D"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GOPFS</w:t>
            </w:r>
          </w:p>
          <w:p w14:paraId="1472281E"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(Crash Severity Proportions)</w:t>
            </w:r>
          </w:p>
        </w:tc>
        <w:tc>
          <w:tcPr>
            <w:tcW w:w="1377" w:type="dxa"/>
            <w:shd w:val="clear" w:color="auto" w:fill="auto"/>
            <w:vAlign w:val="center"/>
            <w:hideMark/>
          </w:tcPr>
          <w:p w14:paraId="7A79BF3E" w14:textId="77777777" w:rsidR="00A55832" w:rsidRPr="003359F1" w:rsidRDefault="00DA4C35" w:rsidP="001732FF">
            <w:pPr>
              <w:jc w:val="center"/>
              <w:rPr>
                <w:rFonts w:eastAsia="Times New Roman" w:cs="Times New Roman"/>
                <w:color w:val="000000"/>
                <w:sz w:val="26"/>
                <w:szCs w:val="26"/>
              </w:rPr>
            </w:pPr>
            <m:oMathPara>
              <m:oMath>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ψ</m:t>
                    </m:r>
                  </m:e>
                  <m:sub>
                    <m:r>
                      <w:rPr>
                        <w:rFonts w:ascii="Cambria Math" w:eastAsia="Times New Roman" w:hAnsi="Cambria Math" w:cs="Times New Roman"/>
                        <w:color w:val="000000"/>
                        <w:sz w:val="26"/>
                        <w:szCs w:val="26"/>
                      </w:rPr>
                      <m:t>1</m:t>
                    </m:r>
                  </m:sub>
                </m:sSub>
              </m:oMath>
            </m:oMathPara>
          </w:p>
        </w:tc>
        <w:tc>
          <w:tcPr>
            <w:tcW w:w="1157" w:type="dxa"/>
            <w:shd w:val="clear" w:color="auto" w:fill="auto"/>
            <w:noWrap/>
            <w:vAlign w:val="center"/>
            <w:hideMark/>
          </w:tcPr>
          <w:p w14:paraId="2BAA9E24"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1.000</w:t>
            </w:r>
          </w:p>
        </w:tc>
        <w:tc>
          <w:tcPr>
            <w:tcW w:w="1444" w:type="dxa"/>
            <w:shd w:val="clear" w:color="auto" w:fill="auto"/>
            <w:noWrap/>
            <w:vAlign w:val="center"/>
            <w:hideMark/>
          </w:tcPr>
          <w:p w14:paraId="4B81A537"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0.998</w:t>
            </w:r>
          </w:p>
        </w:tc>
        <w:tc>
          <w:tcPr>
            <w:tcW w:w="1268" w:type="dxa"/>
            <w:shd w:val="clear" w:color="auto" w:fill="auto"/>
            <w:noWrap/>
            <w:vAlign w:val="center"/>
            <w:hideMark/>
          </w:tcPr>
          <w:p w14:paraId="47AC1C87"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0.187</w:t>
            </w:r>
          </w:p>
        </w:tc>
        <w:tc>
          <w:tcPr>
            <w:tcW w:w="1173" w:type="dxa"/>
            <w:shd w:val="clear" w:color="auto" w:fill="auto"/>
            <w:noWrap/>
            <w:vAlign w:val="center"/>
            <w:hideMark/>
          </w:tcPr>
          <w:p w14:paraId="30CF2FF3"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0.001</w:t>
            </w:r>
          </w:p>
        </w:tc>
        <w:tc>
          <w:tcPr>
            <w:tcW w:w="1157" w:type="dxa"/>
            <w:shd w:val="clear" w:color="auto" w:fill="auto"/>
            <w:noWrap/>
            <w:vAlign w:val="center"/>
            <w:hideMark/>
          </w:tcPr>
          <w:p w14:paraId="176F4D01"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0.250</w:t>
            </w:r>
          </w:p>
        </w:tc>
        <w:tc>
          <w:tcPr>
            <w:tcW w:w="1444" w:type="dxa"/>
            <w:shd w:val="clear" w:color="auto" w:fill="auto"/>
            <w:noWrap/>
            <w:vAlign w:val="center"/>
            <w:hideMark/>
          </w:tcPr>
          <w:p w14:paraId="23E9DD08"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0.234</w:t>
            </w:r>
          </w:p>
        </w:tc>
        <w:tc>
          <w:tcPr>
            <w:tcW w:w="1218" w:type="dxa"/>
            <w:shd w:val="clear" w:color="auto" w:fill="auto"/>
            <w:noWrap/>
            <w:vAlign w:val="center"/>
            <w:hideMark/>
          </w:tcPr>
          <w:p w14:paraId="5DD14230"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6.245</w:t>
            </w:r>
          </w:p>
        </w:tc>
        <w:tc>
          <w:tcPr>
            <w:tcW w:w="1239" w:type="dxa"/>
            <w:shd w:val="clear" w:color="auto" w:fill="auto"/>
            <w:noWrap/>
            <w:vAlign w:val="center"/>
            <w:hideMark/>
          </w:tcPr>
          <w:p w14:paraId="3FE513D0"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0.002</w:t>
            </w:r>
          </w:p>
        </w:tc>
      </w:tr>
      <w:tr w:rsidR="00A55832" w:rsidRPr="003359F1" w14:paraId="54A35FF5" w14:textId="77777777" w:rsidTr="001D4E4D">
        <w:trPr>
          <w:trHeight w:val="300"/>
        </w:trPr>
        <w:tc>
          <w:tcPr>
            <w:tcW w:w="1316" w:type="dxa"/>
            <w:vMerge/>
            <w:vAlign w:val="center"/>
            <w:hideMark/>
          </w:tcPr>
          <w:p w14:paraId="79E05B68" w14:textId="77777777" w:rsidR="00A55832" w:rsidRPr="003359F1" w:rsidRDefault="00A55832" w:rsidP="001732FF">
            <w:pPr>
              <w:rPr>
                <w:rFonts w:eastAsia="Times New Roman" w:cs="Times New Roman"/>
                <w:color w:val="000000"/>
                <w:sz w:val="22"/>
              </w:rPr>
            </w:pPr>
          </w:p>
        </w:tc>
        <w:tc>
          <w:tcPr>
            <w:tcW w:w="1377" w:type="dxa"/>
            <w:shd w:val="clear" w:color="auto" w:fill="auto"/>
            <w:vAlign w:val="center"/>
            <w:hideMark/>
          </w:tcPr>
          <w:p w14:paraId="2F1F9553" w14:textId="77777777" w:rsidR="00A55832" w:rsidRPr="003359F1" w:rsidRDefault="00DA4C35" w:rsidP="001732FF">
            <w:pPr>
              <w:jc w:val="center"/>
              <w:rPr>
                <w:rFonts w:eastAsia="Times New Roman" w:cs="Times New Roman"/>
                <w:color w:val="000000"/>
                <w:sz w:val="26"/>
                <w:szCs w:val="26"/>
              </w:rPr>
            </w:pPr>
            <m:oMathPara>
              <m:oMath>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ψ</m:t>
                    </m:r>
                  </m:e>
                  <m:sub>
                    <m:r>
                      <w:rPr>
                        <w:rFonts w:ascii="Cambria Math" w:eastAsia="Times New Roman" w:hAnsi="Cambria Math" w:cs="Times New Roman"/>
                        <w:color w:val="000000"/>
                        <w:sz w:val="26"/>
                        <w:szCs w:val="26"/>
                      </w:rPr>
                      <m:t>2</m:t>
                    </m:r>
                  </m:sub>
                </m:sSub>
              </m:oMath>
            </m:oMathPara>
          </w:p>
        </w:tc>
        <w:tc>
          <w:tcPr>
            <w:tcW w:w="1157" w:type="dxa"/>
            <w:shd w:val="clear" w:color="auto" w:fill="auto"/>
            <w:noWrap/>
            <w:vAlign w:val="center"/>
            <w:hideMark/>
          </w:tcPr>
          <w:p w14:paraId="69B06465"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2.750</w:t>
            </w:r>
          </w:p>
        </w:tc>
        <w:tc>
          <w:tcPr>
            <w:tcW w:w="1444" w:type="dxa"/>
            <w:shd w:val="clear" w:color="auto" w:fill="auto"/>
            <w:noWrap/>
            <w:vAlign w:val="center"/>
            <w:hideMark/>
          </w:tcPr>
          <w:p w14:paraId="2F086F54"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2.708</w:t>
            </w:r>
          </w:p>
        </w:tc>
        <w:tc>
          <w:tcPr>
            <w:tcW w:w="1268" w:type="dxa"/>
            <w:shd w:val="clear" w:color="auto" w:fill="auto"/>
            <w:noWrap/>
            <w:vAlign w:val="center"/>
            <w:hideMark/>
          </w:tcPr>
          <w:p w14:paraId="71A3ADEC"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1.527</w:t>
            </w:r>
          </w:p>
        </w:tc>
        <w:tc>
          <w:tcPr>
            <w:tcW w:w="1173" w:type="dxa"/>
            <w:shd w:val="clear" w:color="auto" w:fill="auto"/>
            <w:noWrap/>
            <w:vAlign w:val="center"/>
            <w:hideMark/>
          </w:tcPr>
          <w:p w14:paraId="2F5430B8"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0.001</w:t>
            </w:r>
          </w:p>
        </w:tc>
        <w:tc>
          <w:tcPr>
            <w:tcW w:w="1157" w:type="dxa"/>
            <w:shd w:val="clear" w:color="auto" w:fill="auto"/>
            <w:noWrap/>
            <w:vAlign w:val="center"/>
            <w:hideMark/>
          </w:tcPr>
          <w:p w14:paraId="4BDDD198"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2.500</w:t>
            </w:r>
          </w:p>
        </w:tc>
        <w:tc>
          <w:tcPr>
            <w:tcW w:w="1444" w:type="dxa"/>
            <w:shd w:val="clear" w:color="auto" w:fill="auto"/>
            <w:noWrap/>
            <w:vAlign w:val="center"/>
            <w:hideMark/>
          </w:tcPr>
          <w:p w14:paraId="17BE8A64"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2.394</w:t>
            </w:r>
          </w:p>
        </w:tc>
        <w:tc>
          <w:tcPr>
            <w:tcW w:w="1218" w:type="dxa"/>
            <w:shd w:val="clear" w:color="auto" w:fill="auto"/>
            <w:noWrap/>
            <w:vAlign w:val="center"/>
            <w:hideMark/>
          </w:tcPr>
          <w:p w14:paraId="03CFCD76"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4.229</w:t>
            </w:r>
          </w:p>
        </w:tc>
        <w:tc>
          <w:tcPr>
            <w:tcW w:w="1239" w:type="dxa"/>
            <w:shd w:val="clear" w:color="auto" w:fill="auto"/>
            <w:noWrap/>
            <w:vAlign w:val="center"/>
            <w:hideMark/>
          </w:tcPr>
          <w:p w14:paraId="5609E502"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0.004</w:t>
            </w:r>
          </w:p>
        </w:tc>
      </w:tr>
      <w:tr w:rsidR="00A55832" w:rsidRPr="003359F1" w14:paraId="6EDEC1D7" w14:textId="77777777" w:rsidTr="001D4E4D">
        <w:trPr>
          <w:trHeight w:val="300"/>
        </w:trPr>
        <w:tc>
          <w:tcPr>
            <w:tcW w:w="1316" w:type="dxa"/>
            <w:vMerge/>
            <w:vAlign w:val="center"/>
            <w:hideMark/>
          </w:tcPr>
          <w:p w14:paraId="1AA518DE" w14:textId="77777777" w:rsidR="00A55832" w:rsidRPr="003359F1" w:rsidRDefault="00A55832" w:rsidP="001732FF">
            <w:pPr>
              <w:rPr>
                <w:rFonts w:eastAsia="Times New Roman" w:cs="Times New Roman"/>
                <w:color w:val="000000"/>
                <w:sz w:val="22"/>
              </w:rPr>
            </w:pPr>
          </w:p>
        </w:tc>
        <w:tc>
          <w:tcPr>
            <w:tcW w:w="1377" w:type="dxa"/>
            <w:shd w:val="clear" w:color="auto" w:fill="auto"/>
            <w:vAlign w:val="center"/>
            <w:hideMark/>
          </w:tcPr>
          <w:p w14:paraId="4AB7AE7A" w14:textId="77777777" w:rsidR="00A55832" w:rsidRPr="003359F1" w:rsidRDefault="00DA4C35" w:rsidP="001732FF">
            <w:pPr>
              <w:jc w:val="center"/>
              <w:rPr>
                <w:rFonts w:eastAsia="Times New Roman" w:cs="Times New Roman"/>
                <w:color w:val="000000"/>
                <w:sz w:val="26"/>
                <w:szCs w:val="26"/>
              </w:rPr>
            </w:pPr>
            <m:oMathPara>
              <m:oMath>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α</m:t>
                    </m:r>
                  </m:e>
                  <m:sub>
                    <m:r>
                      <w:rPr>
                        <w:rFonts w:ascii="Cambria Math" w:eastAsia="Times New Roman" w:hAnsi="Cambria Math" w:cs="Times New Roman"/>
                        <w:color w:val="000000"/>
                        <w:sz w:val="26"/>
                        <w:szCs w:val="26"/>
                      </w:rPr>
                      <m:t>1</m:t>
                    </m:r>
                  </m:sub>
                </m:sSub>
              </m:oMath>
            </m:oMathPara>
          </w:p>
        </w:tc>
        <w:tc>
          <w:tcPr>
            <w:tcW w:w="1157" w:type="dxa"/>
            <w:shd w:val="clear" w:color="auto" w:fill="auto"/>
            <w:noWrap/>
            <w:vAlign w:val="center"/>
            <w:hideMark/>
          </w:tcPr>
          <w:p w14:paraId="03AD5025"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-1.500</w:t>
            </w:r>
          </w:p>
        </w:tc>
        <w:tc>
          <w:tcPr>
            <w:tcW w:w="1444" w:type="dxa"/>
            <w:shd w:val="clear" w:color="auto" w:fill="auto"/>
            <w:noWrap/>
            <w:vAlign w:val="center"/>
            <w:hideMark/>
          </w:tcPr>
          <w:p w14:paraId="2AE85C68"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-1.456</w:t>
            </w:r>
          </w:p>
        </w:tc>
        <w:tc>
          <w:tcPr>
            <w:tcW w:w="1268" w:type="dxa"/>
            <w:shd w:val="clear" w:color="auto" w:fill="auto"/>
            <w:noWrap/>
            <w:vAlign w:val="center"/>
            <w:hideMark/>
          </w:tcPr>
          <w:p w14:paraId="2F2DC7C4"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2.954</w:t>
            </w:r>
          </w:p>
        </w:tc>
        <w:tc>
          <w:tcPr>
            <w:tcW w:w="1173" w:type="dxa"/>
            <w:shd w:val="clear" w:color="auto" w:fill="auto"/>
            <w:noWrap/>
            <w:vAlign w:val="center"/>
            <w:hideMark/>
          </w:tcPr>
          <w:p w14:paraId="0A5576B5"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0.001</w:t>
            </w:r>
          </w:p>
        </w:tc>
        <w:tc>
          <w:tcPr>
            <w:tcW w:w="1157" w:type="dxa"/>
            <w:shd w:val="clear" w:color="auto" w:fill="auto"/>
            <w:noWrap/>
            <w:vAlign w:val="center"/>
            <w:hideMark/>
          </w:tcPr>
          <w:p w14:paraId="0BB7C2B1"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-1.500</w:t>
            </w:r>
          </w:p>
        </w:tc>
        <w:tc>
          <w:tcPr>
            <w:tcW w:w="1444" w:type="dxa"/>
            <w:shd w:val="clear" w:color="auto" w:fill="auto"/>
            <w:noWrap/>
            <w:vAlign w:val="center"/>
            <w:hideMark/>
          </w:tcPr>
          <w:p w14:paraId="23B4B7F9"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-1.507</w:t>
            </w:r>
          </w:p>
        </w:tc>
        <w:tc>
          <w:tcPr>
            <w:tcW w:w="1218" w:type="dxa"/>
            <w:shd w:val="clear" w:color="auto" w:fill="auto"/>
            <w:noWrap/>
            <w:vAlign w:val="center"/>
            <w:hideMark/>
          </w:tcPr>
          <w:p w14:paraId="6702A3B8"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0.458</w:t>
            </w:r>
          </w:p>
        </w:tc>
        <w:tc>
          <w:tcPr>
            <w:tcW w:w="1239" w:type="dxa"/>
            <w:shd w:val="clear" w:color="auto" w:fill="auto"/>
            <w:noWrap/>
            <w:vAlign w:val="center"/>
            <w:hideMark/>
          </w:tcPr>
          <w:p w14:paraId="6B4FC8FF"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0.003</w:t>
            </w:r>
          </w:p>
        </w:tc>
      </w:tr>
      <w:tr w:rsidR="00A55832" w:rsidRPr="003359F1" w14:paraId="171191EB" w14:textId="77777777" w:rsidTr="001D4E4D">
        <w:trPr>
          <w:trHeight w:val="300"/>
        </w:trPr>
        <w:tc>
          <w:tcPr>
            <w:tcW w:w="1316" w:type="dxa"/>
            <w:vMerge/>
            <w:vAlign w:val="center"/>
            <w:hideMark/>
          </w:tcPr>
          <w:p w14:paraId="72BF41D3" w14:textId="77777777" w:rsidR="00A55832" w:rsidRPr="003359F1" w:rsidRDefault="00A55832" w:rsidP="001732FF">
            <w:pPr>
              <w:rPr>
                <w:rFonts w:eastAsia="Times New Roman" w:cs="Times New Roman"/>
                <w:color w:val="000000"/>
                <w:sz w:val="22"/>
              </w:rPr>
            </w:pPr>
          </w:p>
        </w:tc>
        <w:tc>
          <w:tcPr>
            <w:tcW w:w="1377" w:type="dxa"/>
            <w:shd w:val="clear" w:color="auto" w:fill="auto"/>
            <w:hideMark/>
          </w:tcPr>
          <w:p w14:paraId="2E4D2B12" w14:textId="77777777" w:rsidR="00A55832" w:rsidRPr="003359F1" w:rsidRDefault="00DA4C35" w:rsidP="001732FF">
            <w:pPr>
              <w:jc w:val="center"/>
              <w:rPr>
                <w:rFonts w:eastAsia="Times New Roman" w:cs="Times New Roman"/>
                <w:color w:val="000000"/>
                <w:sz w:val="26"/>
                <w:szCs w:val="26"/>
              </w:rPr>
            </w:pPr>
            <m:oMathPara>
              <m:oMath>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α</m:t>
                    </m:r>
                  </m:e>
                  <m:sub>
                    <m:r>
                      <w:rPr>
                        <w:rFonts w:ascii="Cambria Math" w:eastAsia="Times New Roman" w:hAnsi="Cambria Math" w:cs="Times New Roman"/>
                        <w:color w:val="000000"/>
                        <w:sz w:val="26"/>
                        <w:szCs w:val="26"/>
                      </w:rPr>
                      <m:t>2</m:t>
                    </m:r>
                  </m:sub>
                </m:sSub>
              </m:oMath>
            </m:oMathPara>
          </w:p>
        </w:tc>
        <w:tc>
          <w:tcPr>
            <w:tcW w:w="1157" w:type="dxa"/>
            <w:shd w:val="clear" w:color="auto" w:fill="auto"/>
            <w:noWrap/>
            <w:vAlign w:val="center"/>
            <w:hideMark/>
          </w:tcPr>
          <w:p w14:paraId="617A2F46"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-1.750</w:t>
            </w:r>
          </w:p>
        </w:tc>
        <w:tc>
          <w:tcPr>
            <w:tcW w:w="1444" w:type="dxa"/>
            <w:shd w:val="clear" w:color="auto" w:fill="auto"/>
            <w:noWrap/>
            <w:vAlign w:val="center"/>
            <w:hideMark/>
          </w:tcPr>
          <w:p w14:paraId="27747330"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-1.712</w:t>
            </w:r>
          </w:p>
        </w:tc>
        <w:tc>
          <w:tcPr>
            <w:tcW w:w="1268" w:type="dxa"/>
            <w:shd w:val="clear" w:color="auto" w:fill="auto"/>
            <w:noWrap/>
            <w:vAlign w:val="center"/>
            <w:hideMark/>
          </w:tcPr>
          <w:p w14:paraId="3973BB59"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2.185</w:t>
            </w:r>
          </w:p>
        </w:tc>
        <w:tc>
          <w:tcPr>
            <w:tcW w:w="1173" w:type="dxa"/>
            <w:shd w:val="clear" w:color="auto" w:fill="auto"/>
            <w:noWrap/>
            <w:vAlign w:val="center"/>
            <w:hideMark/>
          </w:tcPr>
          <w:p w14:paraId="27E7270A"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0.001</w:t>
            </w:r>
          </w:p>
        </w:tc>
        <w:tc>
          <w:tcPr>
            <w:tcW w:w="1157" w:type="dxa"/>
            <w:shd w:val="clear" w:color="auto" w:fill="auto"/>
            <w:noWrap/>
            <w:vAlign w:val="center"/>
            <w:hideMark/>
          </w:tcPr>
          <w:p w14:paraId="69D17F13"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0.250</w:t>
            </w:r>
          </w:p>
        </w:tc>
        <w:tc>
          <w:tcPr>
            <w:tcW w:w="1444" w:type="dxa"/>
            <w:shd w:val="clear" w:color="auto" w:fill="auto"/>
            <w:noWrap/>
            <w:vAlign w:val="center"/>
            <w:hideMark/>
          </w:tcPr>
          <w:p w14:paraId="2504F0F1"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0.252</w:t>
            </w:r>
          </w:p>
        </w:tc>
        <w:tc>
          <w:tcPr>
            <w:tcW w:w="1218" w:type="dxa"/>
            <w:shd w:val="clear" w:color="auto" w:fill="auto"/>
            <w:noWrap/>
            <w:vAlign w:val="center"/>
            <w:hideMark/>
          </w:tcPr>
          <w:p w14:paraId="499C1CC0"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0.861</w:t>
            </w:r>
          </w:p>
        </w:tc>
        <w:tc>
          <w:tcPr>
            <w:tcW w:w="1239" w:type="dxa"/>
            <w:shd w:val="clear" w:color="auto" w:fill="auto"/>
            <w:noWrap/>
            <w:vAlign w:val="center"/>
            <w:hideMark/>
          </w:tcPr>
          <w:p w14:paraId="0507CB5E"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0.001</w:t>
            </w:r>
          </w:p>
        </w:tc>
      </w:tr>
      <w:tr w:rsidR="00A55832" w:rsidRPr="003359F1" w14:paraId="32763FB5" w14:textId="77777777" w:rsidTr="001D4E4D">
        <w:trPr>
          <w:trHeight w:val="300"/>
        </w:trPr>
        <w:tc>
          <w:tcPr>
            <w:tcW w:w="1316" w:type="dxa"/>
            <w:vMerge/>
            <w:vAlign w:val="center"/>
            <w:hideMark/>
          </w:tcPr>
          <w:p w14:paraId="1817A3C3" w14:textId="77777777" w:rsidR="00A55832" w:rsidRPr="003359F1" w:rsidRDefault="00A55832" w:rsidP="001732FF">
            <w:pPr>
              <w:rPr>
                <w:rFonts w:eastAsia="Times New Roman" w:cs="Times New Roman"/>
                <w:color w:val="000000"/>
                <w:sz w:val="22"/>
              </w:rPr>
            </w:pPr>
          </w:p>
        </w:tc>
        <w:tc>
          <w:tcPr>
            <w:tcW w:w="1377" w:type="dxa"/>
            <w:shd w:val="clear" w:color="auto" w:fill="auto"/>
            <w:hideMark/>
          </w:tcPr>
          <w:p w14:paraId="5DF23CF1" w14:textId="77777777" w:rsidR="00A55832" w:rsidRPr="003359F1" w:rsidRDefault="00DA4C35" w:rsidP="001732FF">
            <w:pPr>
              <w:jc w:val="center"/>
              <w:rPr>
                <w:rFonts w:eastAsia="Times New Roman" w:cs="Times New Roman"/>
                <w:color w:val="000000"/>
                <w:sz w:val="26"/>
                <w:szCs w:val="26"/>
              </w:rPr>
            </w:pPr>
            <m:oMathPara>
              <m:oMath>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α</m:t>
                    </m:r>
                  </m:e>
                  <m:sub>
                    <m:r>
                      <w:rPr>
                        <w:rFonts w:ascii="Cambria Math" w:eastAsia="Times New Roman" w:hAnsi="Cambria Math" w:cs="Times New Roman"/>
                        <w:color w:val="000000"/>
                        <w:sz w:val="26"/>
                        <w:szCs w:val="26"/>
                      </w:rPr>
                      <m:t>3</m:t>
                    </m:r>
                  </m:sub>
                </m:sSub>
              </m:oMath>
            </m:oMathPara>
          </w:p>
        </w:tc>
        <w:tc>
          <w:tcPr>
            <w:tcW w:w="1157" w:type="dxa"/>
            <w:shd w:val="clear" w:color="auto" w:fill="auto"/>
            <w:noWrap/>
            <w:vAlign w:val="center"/>
            <w:hideMark/>
          </w:tcPr>
          <w:p w14:paraId="3118BFDF"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-0.150</w:t>
            </w:r>
          </w:p>
        </w:tc>
        <w:tc>
          <w:tcPr>
            <w:tcW w:w="1444" w:type="dxa"/>
            <w:shd w:val="clear" w:color="auto" w:fill="auto"/>
            <w:noWrap/>
            <w:vAlign w:val="center"/>
            <w:hideMark/>
          </w:tcPr>
          <w:p w14:paraId="1D858B15"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-0.144</w:t>
            </w:r>
          </w:p>
        </w:tc>
        <w:tc>
          <w:tcPr>
            <w:tcW w:w="1268" w:type="dxa"/>
            <w:shd w:val="clear" w:color="auto" w:fill="auto"/>
            <w:noWrap/>
            <w:vAlign w:val="center"/>
            <w:hideMark/>
          </w:tcPr>
          <w:p w14:paraId="27355988"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4.188</w:t>
            </w:r>
          </w:p>
        </w:tc>
        <w:tc>
          <w:tcPr>
            <w:tcW w:w="1173" w:type="dxa"/>
            <w:shd w:val="clear" w:color="auto" w:fill="auto"/>
            <w:noWrap/>
            <w:vAlign w:val="center"/>
            <w:hideMark/>
          </w:tcPr>
          <w:p w14:paraId="44B87306"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0.001</w:t>
            </w:r>
          </w:p>
        </w:tc>
        <w:tc>
          <w:tcPr>
            <w:tcW w:w="1157" w:type="dxa"/>
            <w:shd w:val="clear" w:color="auto" w:fill="auto"/>
            <w:noWrap/>
            <w:vAlign w:val="center"/>
            <w:hideMark/>
          </w:tcPr>
          <w:p w14:paraId="732184FE"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-2.150</w:t>
            </w:r>
          </w:p>
        </w:tc>
        <w:tc>
          <w:tcPr>
            <w:tcW w:w="1444" w:type="dxa"/>
            <w:shd w:val="clear" w:color="auto" w:fill="auto"/>
            <w:noWrap/>
            <w:vAlign w:val="center"/>
            <w:hideMark/>
          </w:tcPr>
          <w:p w14:paraId="67F7FFFA"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-2.099</w:t>
            </w:r>
          </w:p>
        </w:tc>
        <w:tc>
          <w:tcPr>
            <w:tcW w:w="1218" w:type="dxa"/>
            <w:shd w:val="clear" w:color="auto" w:fill="auto"/>
            <w:noWrap/>
            <w:vAlign w:val="center"/>
            <w:hideMark/>
          </w:tcPr>
          <w:p w14:paraId="302415D4"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2.363</w:t>
            </w:r>
          </w:p>
        </w:tc>
        <w:tc>
          <w:tcPr>
            <w:tcW w:w="1239" w:type="dxa"/>
            <w:shd w:val="clear" w:color="auto" w:fill="auto"/>
            <w:noWrap/>
            <w:vAlign w:val="center"/>
            <w:hideMark/>
          </w:tcPr>
          <w:p w14:paraId="73663117" w14:textId="77777777" w:rsidR="00A55832" w:rsidRPr="003359F1" w:rsidRDefault="00A55832" w:rsidP="001732FF">
            <w:pPr>
              <w:jc w:val="center"/>
              <w:rPr>
                <w:rFonts w:eastAsia="Times New Roman" w:cs="Times New Roman"/>
                <w:color w:val="000000"/>
                <w:sz w:val="22"/>
              </w:rPr>
            </w:pPr>
            <w:r w:rsidRPr="003359F1">
              <w:rPr>
                <w:rFonts w:eastAsia="Times New Roman" w:cs="Times New Roman"/>
                <w:color w:val="000000"/>
                <w:sz w:val="22"/>
              </w:rPr>
              <w:t>0.002</w:t>
            </w:r>
          </w:p>
        </w:tc>
      </w:tr>
    </w:tbl>
    <w:p w14:paraId="7D76E26F" w14:textId="063C4622" w:rsidR="00A55832" w:rsidRPr="003359F1" w:rsidRDefault="00A55832" w:rsidP="00A55832">
      <w:pPr>
        <w:rPr>
          <w:rFonts w:cs="Times New Roman"/>
          <w:sz w:val="22"/>
        </w:rPr>
      </w:pPr>
      <w:r w:rsidRPr="003359F1">
        <w:rPr>
          <w:rFonts w:cs="Times New Roman"/>
          <w:sz w:val="22"/>
        </w:rPr>
        <w:t>Note</w:t>
      </w:r>
      <w:r w:rsidR="00557BDD">
        <w:rPr>
          <w:rFonts w:cs="Times New Roman"/>
          <w:sz w:val="22"/>
        </w:rPr>
        <w:t xml:space="preserve">: </w:t>
      </w:r>
      <m:oMath>
        <m:sSub>
          <m:sSubPr>
            <m:ctrlPr>
              <w:rPr>
                <w:rFonts w:ascii="Cambria Math" w:eastAsia="Times New Roman" w:hAnsi="Cambria Math" w:cs="Times New Roman"/>
                <w:i/>
                <w:color w:val="000000"/>
                <w:sz w:val="26"/>
                <w:szCs w:val="26"/>
              </w:rPr>
            </m:ctrlPr>
          </m:sSubPr>
          <m:e>
            <m:r>
              <m:rPr>
                <m:sty m:val="p"/>
              </m:rPr>
              <w:rPr>
                <w:rFonts w:ascii="Cambria Math" w:eastAsia="Times New Roman" w:hAnsi="Cambria Math" w:cs="Times New Roman"/>
                <w:sz w:val="26"/>
                <w:szCs w:val="26"/>
              </w:rPr>
              <m:t>τ</m:t>
            </m:r>
          </m:e>
          <m:sub>
            <m:r>
              <w:rPr>
                <w:rFonts w:ascii="Cambria Math" w:eastAsia="Times New Roman" w:hAnsi="Cambria Math" w:cs="Times New Roman"/>
                <w:color w:val="000000"/>
                <w:sz w:val="26"/>
                <w:szCs w:val="26"/>
              </w:rPr>
              <m:t>0</m:t>
            </m:r>
          </m:sub>
        </m:sSub>
      </m:oMath>
      <w:r w:rsidR="00557BDD">
        <w:rPr>
          <w:rFonts w:eastAsiaTheme="minorEastAsia" w:cs="Times New Roman"/>
          <w:color w:val="000000"/>
          <w:sz w:val="26"/>
          <w:szCs w:val="26"/>
        </w:rPr>
        <w:t xml:space="preserve">, </w:t>
      </w:r>
      <m:oMath>
        <m:sSub>
          <m:sSubPr>
            <m:ctrlPr>
              <w:rPr>
                <w:rFonts w:ascii="Cambria Math" w:eastAsia="Times New Roman" w:hAnsi="Cambria Math" w:cs="Times New Roman"/>
                <w:i/>
                <w:color w:val="000000"/>
                <w:sz w:val="26"/>
                <w:szCs w:val="26"/>
              </w:rPr>
            </m:ctrlPr>
          </m:sSubPr>
          <m:e>
            <m:r>
              <m:rPr>
                <m:sty m:val="p"/>
              </m:rPr>
              <w:rPr>
                <w:rFonts w:ascii="Cambria Math" w:eastAsia="Times New Roman" w:hAnsi="Cambria Math" w:cs="Times New Roman"/>
                <w:sz w:val="26"/>
                <w:szCs w:val="26"/>
              </w:rPr>
              <m:t>τ</m:t>
            </m:r>
          </m:e>
          <m:sub>
            <m:r>
              <w:rPr>
                <w:rFonts w:ascii="Cambria Math" w:eastAsia="Times New Roman" w:hAnsi="Cambria Math" w:cs="Times New Roman"/>
                <w:color w:val="000000"/>
                <w:sz w:val="26"/>
                <w:szCs w:val="26"/>
              </w:rPr>
              <m:t>1</m:t>
            </m:r>
          </m:sub>
        </m:sSub>
      </m:oMath>
      <w:r w:rsidR="00557BDD">
        <w:rPr>
          <w:rFonts w:eastAsiaTheme="minorEastAsia" w:cs="Times New Roman"/>
          <w:color w:val="000000"/>
          <w:sz w:val="26"/>
          <w:szCs w:val="26"/>
        </w:rPr>
        <w:t xml:space="preserve">, </w:t>
      </w:r>
      <m:oMath>
        <m:sSub>
          <m:sSubPr>
            <m:ctrlPr>
              <w:rPr>
                <w:rFonts w:ascii="Cambria Math" w:eastAsia="Times New Roman" w:hAnsi="Cambria Math" w:cs="Times New Roman"/>
                <w:i/>
                <w:color w:val="000000"/>
                <w:sz w:val="26"/>
                <w:szCs w:val="26"/>
              </w:rPr>
            </m:ctrlPr>
          </m:sSubPr>
          <m:e>
            <m:r>
              <m:rPr>
                <m:sty m:val="p"/>
              </m:rPr>
              <w:rPr>
                <w:rFonts w:ascii="Cambria Math" w:eastAsia="Times New Roman" w:hAnsi="Cambria Math" w:cs="Times New Roman"/>
                <w:sz w:val="26"/>
                <w:szCs w:val="26"/>
              </w:rPr>
              <m:t>τ</m:t>
            </m:r>
          </m:e>
          <m:sub>
            <m:r>
              <w:rPr>
                <w:rFonts w:ascii="Cambria Math" w:eastAsia="Times New Roman" w:hAnsi="Cambria Math" w:cs="Times New Roman"/>
                <w:color w:val="000000"/>
                <w:sz w:val="26"/>
                <w:szCs w:val="26"/>
              </w:rPr>
              <m:t>2</m:t>
            </m:r>
          </m:sub>
        </m:sSub>
      </m:oMath>
      <w:r w:rsidR="00557BDD">
        <w:rPr>
          <w:rFonts w:eastAsiaTheme="minorEastAsia" w:cs="Times New Roman"/>
          <w:color w:val="000000"/>
          <w:sz w:val="26"/>
          <w:szCs w:val="26"/>
        </w:rPr>
        <w:t xml:space="preserve"> and </w:t>
      </w:r>
      <m:oMath>
        <m:sSub>
          <m:sSubPr>
            <m:ctrlPr>
              <w:rPr>
                <w:rFonts w:ascii="Cambria Math" w:eastAsia="Times New Roman" w:hAnsi="Cambria Math" w:cs="Times New Roman"/>
                <w:i/>
                <w:color w:val="000000"/>
                <w:sz w:val="26"/>
                <w:szCs w:val="26"/>
              </w:rPr>
            </m:ctrlPr>
          </m:sSubPr>
          <m:e>
            <m:r>
              <m:rPr>
                <m:sty m:val="p"/>
              </m:rPr>
              <w:rPr>
                <w:rFonts w:ascii="Cambria Math" w:eastAsia="Times New Roman" w:hAnsi="Cambria Math" w:cs="Times New Roman"/>
                <w:sz w:val="26"/>
                <w:szCs w:val="26"/>
              </w:rPr>
              <m:t>τ</m:t>
            </m:r>
          </m:e>
          <m:sub>
            <m:r>
              <w:rPr>
                <w:rFonts w:ascii="Cambria Math" w:eastAsia="Times New Roman" w:hAnsi="Cambria Math" w:cs="Times New Roman"/>
                <w:color w:val="000000"/>
                <w:sz w:val="26"/>
                <w:szCs w:val="26"/>
              </w:rPr>
              <m:t>3</m:t>
            </m:r>
          </m:sub>
        </m:sSub>
      </m:oMath>
      <w:r w:rsidRPr="003359F1">
        <w:rPr>
          <w:rFonts w:eastAsiaTheme="minorEastAsia" w:cs="Times New Roman"/>
          <w:sz w:val="22"/>
        </w:rPr>
        <w:t xml:space="preserve"> </w:t>
      </w:r>
      <w:r w:rsidR="00557BDD">
        <w:rPr>
          <w:rFonts w:eastAsiaTheme="minorEastAsia" w:cs="Times New Roman"/>
          <w:sz w:val="22"/>
        </w:rPr>
        <w:t xml:space="preserve">represent the </w:t>
      </w:r>
      <w:r w:rsidR="00B20B8C">
        <w:rPr>
          <w:rFonts w:eastAsiaTheme="minorEastAsia" w:cs="Times New Roman"/>
          <w:sz w:val="22"/>
        </w:rPr>
        <w:t xml:space="preserve">vector of coefficients for independent variables and </w:t>
      </w:r>
      <m:oMath>
        <m:r>
          <w:rPr>
            <w:rFonts w:ascii="Cambria Math" w:eastAsia="Times New Roman" w:hAnsi="Cambria Math" w:cs="Times New Roman"/>
            <w:color w:val="000000"/>
            <w:sz w:val="22"/>
          </w:rPr>
          <m:t>λ</m:t>
        </m:r>
      </m:oMath>
      <w:r w:rsidRPr="003359F1">
        <w:rPr>
          <w:rFonts w:eastAsiaTheme="minorEastAsia" w:cs="Times New Roman"/>
          <w:color w:val="000000"/>
          <w:sz w:val="22"/>
        </w:rPr>
        <w:t xml:space="preserve"> – over-dispersion parameter; </w:t>
      </w:r>
      <m:oMath>
        <m:r>
          <m:rPr>
            <m:sty m:val="p"/>
          </m:rPr>
          <w:rPr>
            <w:rFonts w:ascii="Cambria Math" w:eastAsia="Times New Roman" w:hAnsi="Cambria Math" w:cs="Times New Roman"/>
            <w:color w:val="000000"/>
            <w:sz w:val="26"/>
            <w:szCs w:val="26"/>
          </w:rPr>
          <w:br/>
        </m:r>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α</m:t>
            </m:r>
          </m:e>
          <m:sub>
            <m:r>
              <w:rPr>
                <w:rFonts w:ascii="Cambria Math" w:eastAsia="Times New Roman" w:hAnsi="Cambria Math" w:cs="Times New Roman"/>
                <w:color w:val="000000"/>
                <w:sz w:val="26"/>
                <w:szCs w:val="26"/>
              </w:rPr>
              <m:t>1</m:t>
            </m:r>
          </m:sub>
        </m:sSub>
        <m:r>
          <w:rPr>
            <w:rFonts w:ascii="Cambria Math" w:eastAsia="Times New Roman" w:hAnsi="Cambria Math" w:cs="Times New Roman"/>
            <w:color w:val="000000"/>
            <w:sz w:val="26"/>
            <w:szCs w:val="26"/>
          </w:rPr>
          <m:t xml:space="preserve">, </m:t>
        </m:r>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α</m:t>
            </m:r>
          </m:e>
          <m:sub>
            <m:r>
              <w:rPr>
                <w:rFonts w:ascii="Cambria Math" w:eastAsia="Times New Roman" w:hAnsi="Cambria Math" w:cs="Times New Roman"/>
                <w:color w:val="000000"/>
                <w:sz w:val="26"/>
                <w:szCs w:val="26"/>
              </w:rPr>
              <m:t>2</m:t>
            </m:r>
          </m:sub>
        </m:sSub>
        <m:r>
          <w:rPr>
            <w:rFonts w:ascii="Cambria Math" w:eastAsia="Times New Roman" w:hAnsi="Cambria Math" w:cs="Times New Roman"/>
            <w:color w:val="000000"/>
            <w:sz w:val="26"/>
            <w:szCs w:val="26"/>
          </w:rPr>
          <m:t xml:space="preserve">, </m:t>
        </m:r>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α</m:t>
            </m:r>
          </m:e>
          <m:sub>
            <m:r>
              <w:rPr>
                <w:rFonts w:ascii="Cambria Math" w:eastAsia="Times New Roman" w:hAnsi="Cambria Math" w:cs="Times New Roman"/>
                <w:color w:val="000000"/>
                <w:sz w:val="26"/>
                <w:szCs w:val="26"/>
              </w:rPr>
              <m:t>3</m:t>
            </m:r>
          </m:sub>
        </m:sSub>
      </m:oMath>
      <w:r w:rsidR="00525008">
        <w:rPr>
          <w:rFonts w:eastAsiaTheme="minorEastAsia" w:cs="Times New Roman"/>
          <w:color w:val="000000"/>
          <w:sz w:val="22"/>
        </w:rPr>
        <w:t>represent the coefficients for independent variables and</w:t>
      </w:r>
      <w:r w:rsidR="00557BDD">
        <w:rPr>
          <w:rFonts w:eastAsiaTheme="minorEastAsia" w:cs="Times New Roman"/>
          <w:color w:val="000000"/>
          <w:sz w:val="22"/>
        </w:rPr>
        <w:t xml:space="preserve"> </w:t>
      </w:r>
      <m:oMath>
        <m:sSub>
          <m:sSubPr>
            <m:ctrlPr>
              <w:rPr>
                <w:rFonts w:ascii="Cambria Math" w:eastAsiaTheme="minorEastAsia" w:hAnsi="Cambria Math" w:cs="Times New Roman"/>
                <w:i/>
                <w:color w:val="000000"/>
                <w:sz w:val="22"/>
              </w:rPr>
            </m:ctrlPr>
          </m:sSubPr>
          <m:e>
            <m:r>
              <w:rPr>
                <w:rFonts w:ascii="Cambria Math" w:eastAsiaTheme="minorEastAsia" w:hAnsi="Cambria Math" w:cs="Times New Roman"/>
                <w:color w:val="000000"/>
                <w:sz w:val="22"/>
              </w:rPr>
              <m:t>ψ</m:t>
            </m:r>
          </m:e>
          <m:sub>
            <m:r>
              <w:rPr>
                <w:rFonts w:ascii="Cambria Math" w:eastAsiaTheme="minorEastAsia" w:hAnsi="Cambria Math" w:cs="Times New Roman"/>
                <w:color w:val="000000"/>
                <w:sz w:val="22"/>
              </w:rPr>
              <m:t>1</m:t>
            </m:r>
          </m:sub>
        </m:sSub>
        <m:r>
          <w:rPr>
            <w:rFonts w:ascii="Cambria Math" w:eastAsiaTheme="minorEastAsia" w:hAnsi="Cambria Math" w:cs="Times New Roman"/>
            <w:color w:val="000000"/>
            <w:sz w:val="22"/>
          </w:rPr>
          <m:t>,</m:t>
        </m:r>
        <m:sSub>
          <m:sSubPr>
            <m:ctrlPr>
              <w:rPr>
                <w:rFonts w:ascii="Cambria Math" w:eastAsiaTheme="minorEastAsia" w:hAnsi="Cambria Math" w:cs="Times New Roman"/>
                <w:i/>
                <w:color w:val="000000"/>
                <w:sz w:val="22"/>
              </w:rPr>
            </m:ctrlPr>
          </m:sSubPr>
          <m:e>
            <m:r>
              <w:rPr>
                <w:rFonts w:ascii="Cambria Math" w:eastAsiaTheme="minorEastAsia" w:hAnsi="Cambria Math" w:cs="Times New Roman"/>
                <w:color w:val="000000"/>
                <w:sz w:val="22"/>
              </w:rPr>
              <m:t>ψ</m:t>
            </m:r>
          </m:e>
          <m:sub>
            <m:r>
              <w:rPr>
                <w:rFonts w:ascii="Cambria Math" w:eastAsiaTheme="minorEastAsia" w:hAnsi="Cambria Math" w:cs="Times New Roman"/>
                <w:color w:val="000000"/>
                <w:sz w:val="22"/>
              </w:rPr>
              <m:t>2</m:t>
            </m:r>
          </m:sub>
        </m:sSub>
      </m:oMath>
      <w:r w:rsidRPr="003359F1">
        <w:rPr>
          <w:rFonts w:eastAsiaTheme="minorEastAsia" w:cs="Times New Roman"/>
          <w:color w:val="000000"/>
          <w:sz w:val="22"/>
        </w:rPr>
        <w:t>-</w:t>
      </w:r>
      <w:r w:rsidR="00557BDD">
        <w:rPr>
          <w:rFonts w:eastAsiaTheme="minorEastAsia" w:cs="Times New Roman"/>
          <w:color w:val="000000"/>
          <w:sz w:val="22"/>
        </w:rPr>
        <w:t>are</w:t>
      </w:r>
      <w:r w:rsidRPr="003359F1">
        <w:rPr>
          <w:rFonts w:eastAsiaTheme="minorEastAsia" w:cs="Times New Roman"/>
          <w:color w:val="000000"/>
          <w:sz w:val="22"/>
        </w:rPr>
        <w:t xml:space="preserve"> threshold</w:t>
      </w:r>
      <w:r w:rsidR="00557BDD">
        <w:rPr>
          <w:rFonts w:eastAsiaTheme="minorEastAsia" w:cs="Times New Roman"/>
          <w:color w:val="000000"/>
          <w:sz w:val="22"/>
        </w:rPr>
        <w:t>s</w:t>
      </w:r>
      <w:r w:rsidRPr="003359F1">
        <w:rPr>
          <w:rFonts w:eastAsiaTheme="minorEastAsia" w:cs="Times New Roman"/>
          <w:color w:val="000000"/>
          <w:sz w:val="22"/>
        </w:rPr>
        <w:t xml:space="preserve"> in </w:t>
      </w:r>
      <w:r w:rsidR="00525008">
        <w:rPr>
          <w:rFonts w:eastAsiaTheme="minorEastAsia" w:cs="Times New Roman"/>
          <w:color w:val="000000"/>
          <w:sz w:val="22"/>
        </w:rPr>
        <w:t xml:space="preserve">the </w:t>
      </w:r>
      <w:r w:rsidRPr="003359F1">
        <w:rPr>
          <w:rFonts w:eastAsiaTheme="minorEastAsia" w:cs="Times New Roman"/>
          <w:color w:val="000000"/>
          <w:sz w:val="22"/>
        </w:rPr>
        <w:t>GOPFS model</w:t>
      </w:r>
    </w:p>
    <w:p w14:paraId="1510743E" w14:textId="77777777" w:rsidR="00A55832" w:rsidRDefault="00A55832" w:rsidP="00057959">
      <w:pPr>
        <w:tabs>
          <w:tab w:val="left" w:pos="1198"/>
        </w:tabs>
      </w:pPr>
    </w:p>
    <w:p w14:paraId="25808BCB" w14:textId="2F586B4C" w:rsidR="00057959" w:rsidRDefault="00D72A3C" w:rsidP="00057959">
      <w:pPr>
        <w:tabs>
          <w:tab w:val="left" w:pos="1198"/>
        </w:tabs>
      </w:pPr>
      <w:r>
        <w:rPr>
          <w:noProof/>
        </w:rPr>
        <w:lastRenderedPageBreak/>
        <w:drawing>
          <wp:inline distT="0" distB="0" distL="0" distR="0" wp14:anchorId="0725D788" wp14:editId="6240FFE5">
            <wp:extent cx="7812039" cy="56692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12039" cy="5669280"/>
                    </a:xfrm>
                    <a:prstGeom prst="rect">
                      <a:avLst/>
                    </a:prstGeom>
                    <a:noFill/>
                  </pic:spPr>
                </pic:pic>
              </a:graphicData>
            </a:graphic>
          </wp:inline>
        </w:drawing>
      </w:r>
    </w:p>
    <w:p w14:paraId="4F7FA531" w14:textId="77777777" w:rsidR="00057959" w:rsidRPr="000A2877" w:rsidRDefault="00057959" w:rsidP="00057959">
      <w:pPr>
        <w:rPr>
          <w:rFonts w:cs="Times New Roman"/>
          <w:b/>
          <w:bCs/>
          <w:sz w:val="28"/>
          <w:szCs w:val="28"/>
        </w:rPr>
        <w:sectPr w:rsidR="00057959" w:rsidRPr="000A2877" w:rsidSect="000306A1">
          <w:pgSz w:w="15840" w:h="12240" w:orient="landscape" w:code="1"/>
          <w:pgMar w:top="1440" w:right="1440" w:bottom="1469" w:left="1440" w:header="720" w:footer="720" w:gutter="0"/>
          <w:cols w:space="708"/>
          <w:titlePg/>
          <w:docGrid w:linePitch="360"/>
        </w:sectPr>
      </w:pPr>
      <w:r w:rsidRPr="00B24D4E">
        <w:rPr>
          <w:rFonts w:cs="Times New Roman"/>
          <w:b/>
          <w:bCs/>
          <w:szCs w:val="28"/>
        </w:rPr>
        <w:t xml:space="preserve">Figure </w:t>
      </w:r>
      <w:r>
        <w:rPr>
          <w:rFonts w:cs="Times New Roman"/>
          <w:b/>
          <w:bCs/>
          <w:szCs w:val="28"/>
        </w:rPr>
        <w:t>3</w:t>
      </w:r>
      <w:r w:rsidRPr="00B24D4E">
        <w:rPr>
          <w:rFonts w:cs="Times New Roman"/>
          <w:b/>
          <w:bCs/>
          <w:szCs w:val="28"/>
        </w:rPr>
        <w:t xml:space="preserve"> </w:t>
      </w:r>
      <w:r w:rsidRPr="000A2877">
        <w:rPr>
          <w:rFonts w:cs="Times New Roman"/>
          <w:b/>
          <w:bCs/>
          <w:szCs w:val="28"/>
        </w:rPr>
        <w:t>Performance Comparison of PMNB-GOPFS and RPMNB Model</w:t>
      </w:r>
      <w:r w:rsidRPr="000A2877">
        <w:rPr>
          <w:rFonts w:cs="Times New Roman"/>
          <w:b/>
          <w:bCs/>
          <w:sz w:val="28"/>
          <w:szCs w:val="28"/>
        </w:rPr>
        <w:t xml:space="preserve"> </w:t>
      </w:r>
      <w:r>
        <w:rPr>
          <w:b/>
          <w:bCs/>
        </w:rPr>
        <w:t>f</w:t>
      </w:r>
      <w:r w:rsidRPr="000A2877">
        <w:rPr>
          <w:b/>
          <w:bCs/>
        </w:rPr>
        <w:t>or Simulated data</w:t>
      </w:r>
    </w:p>
    <w:p w14:paraId="48F28C47" w14:textId="5B5A28A0" w:rsidR="00676B2A" w:rsidRDefault="00676B2A" w:rsidP="00676B2A">
      <w:pPr>
        <w:pStyle w:val="Heading1"/>
        <w:ind w:left="431" w:hanging="431"/>
      </w:pPr>
      <w:r w:rsidRPr="0061751D">
        <w:lastRenderedPageBreak/>
        <w:t>DATA PREPARATION</w:t>
      </w:r>
    </w:p>
    <w:p w14:paraId="3D115844" w14:textId="37C53C8F" w:rsidR="0028451B" w:rsidRDefault="00F40F5E" w:rsidP="0028451B">
      <w:r>
        <w:rPr>
          <w:szCs w:val="24"/>
        </w:rPr>
        <w:t xml:space="preserve">Our study area includes the Central Florida Region encompassing </w:t>
      </w:r>
      <w:r w:rsidR="009E5667">
        <w:rPr>
          <w:szCs w:val="24"/>
        </w:rPr>
        <w:t xml:space="preserve">a </w:t>
      </w:r>
      <w:r>
        <w:rPr>
          <w:szCs w:val="24"/>
        </w:rPr>
        <w:t xml:space="preserve">total </w:t>
      </w:r>
      <w:r w:rsidR="009E5667">
        <w:rPr>
          <w:szCs w:val="24"/>
        </w:rPr>
        <w:t xml:space="preserve">of </w:t>
      </w:r>
      <w:r>
        <w:rPr>
          <w:szCs w:val="24"/>
        </w:rPr>
        <w:t xml:space="preserve">11 counties in the state of Florida with 4,747 zones. The </w:t>
      </w:r>
      <w:r w:rsidR="006F6D40">
        <w:rPr>
          <w:szCs w:val="24"/>
        </w:rPr>
        <w:t xml:space="preserve">crash </w:t>
      </w:r>
      <w:r w:rsidR="00932DDA">
        <w:rPr>
          <w:szCs w:val="24"/>
        </w:rPr>
        <w:t>records</w:t>
      </w:r>
      <w:r w:rsidR="00955AA7">
        <w:rPr>
          <w:szCs w:val="24"/>
        </w:rPr>
        <w:t xml:space="preserve"> compiling the information </w:t>
      </w:r>
      <w:r w:rsidR="0031327E">
        <w:rPr>
          <w:szCs w:val="24"/>
        </w:rPr>
        <w:t xml:space="preserve">of </w:t>
      </w:r>
      <w:r w:rsidR="00955AA7">
        <w:rPr>
          <w:szCs w:val="24"/>
        </w:rPr>
        <w:t xml:space="preserve">crash types </w:t>
      </w:r>
      <w:r w:rsidR="003619EB">
        <w:rPr>
          <w:szCs w:val="24"/>
        </w:rPr>
        <w:t>and</w:t>
      </w:r>
      <w:r w:rsidR="00955AA7">
        <w:rPr>
          <w:szCs w:val="24"/>
        </w:rPr>
        <w:t xml:space="preserve"> </w:t>
      </w:r>
      <w:r w:rsidR="003619EB">
        <w:rPr>
          <w:szCs w:val="24"/>
        </w:rPr>
        <w:t xml:space="preserve">the corresponding </w:t>
      </w:r>
      <w:r w:rsidR="00955AA7">
        <w:rPr>
          <w:szCs w:val="24"/>
        </w:rPr>
        <w:t>severity outcome</w:t>
      </w:r>
      <w:r w:rsidR="009450EF">
        <w:rPr>
          <w:szCs w:val="24"/>
        </w:rPr>
        <w:t>s</w:t>
      </w:r>
      <w:r>
        <w:rPr>
          <w:szCs w:val="24"/>
        </w:rPr>
        <w:t xml:space="preserve"> </w:t>
      </w:r>
      <w:r w:rsidR="006F6D40">
        <w:rPr>
          <w:szCs w:val="24"/>
        </w:rPr>
        <w:t xml:space="preserve">were </w:t>
      </w:r>
      <w:r w:rsidR="000B2CA6">
        <w:rPr>
          <w:szCs w:val="24"/>
        </w:rPr>
        <w:t>acquired</w:t>
      </w:r>
      <w:r w:rsidR="006F6D40">
        <w:rPr>
          <w:szCs w:val="24"/>
        </w:rPr>
        <w:t xml:space="preserve"> from </w:t>
      </w:r>
      <w:r w:rsidR="00931899" w:rsidRPr="00A0397E">
        <w:rPr>
          <w:szCs w:val="24"/>
        </w:rPr>
        <w:t xml:space="preserve">Florida Department of Transportation </w:t>
      </w:r>
      <w:r w:rsidR="00931899">
        <w:rPr>
          <w:szCs w:val="24"/>
        </w:rPr>
        <w:t>(FDOT)</w:t>
      </w:r>
      <w:r w:rsidR="00023979">
        <w:rPr>
          <w:szCs w:val="24"/>
        </w:rPr>
        <w:t>,</w:t>
      </w:r>
      <w:r w:rsidR="00931899">
        <w:rPr>
          <w:szCs w:val="24"/>
        </w:rPr>
        <w:t xml:space="preserve"> </w:t>
      </w:r>
      <w:r w:rsidR="00931899" w:rsidRPr="00A0397E">
        <w:rPr>
          <w:szCs w:val="24"/>
        </w:rPr>
        <w:t>Crash Analysis Reporting</w:t>
      </w:r>
      <w:r w:rsidR="00931899">
        <w:rPr>
          <w:szCs w:val="24"/>
        </w:rPr>
        <w:t xml:space="preserve"> System</w:t>
      </w:r>
      <w:r w:rsidR="00023979">
        <w:rPr>
          <w:szCs w:val="24"/>
        </w:rPr>
        <w:t xml:space="preserve"> (CARS)</w:t>
      </w:r>
      <w:r w:rsidR="00931899" w:rsidRPr="00A0397E">
        <w:rPr>
          <w:szCs w:val="24"/>
        </w:rPr>
        <w:t xml:space="preserve"> and Signal Four Analytics</w:t>
      </w:r>
      <w:r w:rsidR="00023979">
        <w:rPr>
          <w:szCs w:val="24"/>
        </w:rPr>
        <w:t xml:space="preserve"> (S4A)</w:t>
      </w:r>
      <w:r w:rsidR="00931899" w:rsidRPr="00A0397E">
        <w:rPr>
          <w:szCs w:val="24"/>
        </w:rPr>
        <w:t xml:space="preserve"> databases</w:t>
      </w:r>
      <w:r w:rsidR="00955AA7">
        <w:rPr>
          <w:szCs w:val="24"/>
        </w:rPr>
        <w:t>.</w:t>
      </w:r>
      <w:r w:rsidR="00284C95">
        <w:rPr>
          <w:szCs w:val="24"/>
        </w:rPr>
        <w:t xml:space="preserve"> </w:t>
      </w:r>
      <w:r w:rsidR="00931899">
        <w:rPr>
          <w:szCs w:val="24"/>
        </w:rPr>
        <w:t xml:space="preserve"> </w:t>
      </w:r>
      <w:r w:rsidR="009E0269">
        <w:t>The analysis is conducted using the 2016 crash records</w:t>
      </w:r>
      <w:r w:rsidR="00DB67A3">
        <w:t xml:space="preserve"> </w:t>
      </w:r>
      <w:r w:rsidR="00A11C08">
        <w:t xml:space="preserve">considering six different types of </w:t>
      </w:r>
      <w:r w:rsidR="009E5667">
        <w:t>crashes</w:t>
      </w:r>
      <w:r w:rsidR="00A11C08">
        <w:t>.</w:t>
      </w:r>
      <w:r w:rsidR="00852B4B">
        <w:rPr>
          <w:szCs w:val="24"/>
        </w:rPr>
        <w:t xml:space="preserve"> </w:t>
      </w:r>
      <w:bookmarkStart w:id="0" w:name="_Hlk54232528"/>
      <w:r w:rsidR="00113407">
        <w:rPr>
          <w:szCs w:val="24"/>
        </w:rPr>
        <w:t>At first, the crash data were sorted into two classes based on the road user group: motorist and non-motorist</w:t>
      </w:r>
      <w:r w:rsidR="009F2EDC">
        <w:rPr>
          <w:rStyle w:val="FootnoteReference"/>
          <w:szCs w:val="24"/>
        </w:rPr>
        <w:footnoteReference w:id="3"/>
      </w:r>
      <w:r w:rsidR="00113407">
        <w:rPr>
          <w:szCs w:val="24"/>
        </w:rPr>
        <w:t xml:space="preserve">; within the motorized group, the records are further classified into five categories based on the manner of </w:t>
      </w:r>
      <w:r w:rsidR="002379B7">
        <w:rPr>
          <w:szCs w:val="24"/>
        </w:rPr>
        <w:t>crash</w:t>
      </w:r>
      <w:r w:rsidR="00113407">
        <w:rPr>
          <w:szCs w:val="24"/>
        </w:rPr>
        <w:t xml:space="preserve">: rear-end, angular, sideswipe, </w:t>
      </w:r>
      <w:r w:rsidR="00B00807">
        <w:rPr>
          <w:szCs w:val="24"/>
        </w:rPr>
        <w:t>head-on</w:t>
      </w:r>
      <w:r w:rsidR="00B5673A">
        <w:rPr>
          <w:szCs w:val="24"/>
        </w:rPr>
        <w:t xml:space="preserve"> and </w:t>
      </w:r>
      <w:r w:rsidR="00113407">
        <w:rPr>
          <w:szCs w:val="24"/>
        </w:rPr>
        <w:t xml:space="preserve">single vehicle crashes.  </w:t>
      </w:r>
      <w:bookmarkEnd w:id="0"/>
      <w:r w:rsidR="00113407">
        <w:rPr>
          <w:szCs w:val="24"/>
        </w:rPr>
        <w:t>The</w:t>
      </w:r>
      <w:r w:rsidR="001F5E72">
        <w:rPr>
          <w:szCs w:val="24"/>
        </w:rPr>
        <w:t>n</w:t>
      </w:r>
      <w:r w:rsidR="00113407">
        <w:rPr>
          <w:szCs w:val="24"/>
        </w:rPr>
        <w:t xml:space="preserve"> for each crash types, </w:t>
      </w:r>
      <w:r w:rsidR="00113407">
        <w:rPr>
          <w:rFonts w:cs="Times New Roman"/>
        </w:rPr>
        <w:t>c</w:t>
      </w:r>
      <w:r w:rsidR="00113407" w:rsidRPr="00F46C15">
        <w:rPr>
          <w:rFonts w:cs="Times New Roman"/>
        </w:rPr>
        <w:t xml:space="preserve">rashes are </w:t>
      </w:r>
      <w:r w:rsidR="00113407">
        <w:rPr>
          <w:rFonts w:cs="Times New Roman"/>
        </w:rPr>
        <w:t xml:space="preserve">further </w:t>
      </w:r>
      <w:r w:rsidR="00113407" w:rsidRPr="00F46C15">
        <w:rPr>
          <w:rFonts w:cs="Times New Roman"/>
        </w:rPr>
        <w:t>classified by injury severity levels such as fatal</w:t>
      </w:r>
      <w:r w:rsidR="00113407">
        <w:rPr>
          <w:rFonts w:cs="Times New Roman"/>
        </w:rPr>
        <w:t xml:space="preserve"> (K)</w:t>
      </w:r>
      <w:r w:rsidR="00113407" w:rsidRPr="00F46C15">
        <w:rPr>
          <w:rFonts w:cs="Times New Roman"/>
        </w:rPr>
        <w:t>, incapacitating</w:t>
      </w:r>
      <w:r w:rsidR="00113407">
        <w:rPr>
          <w:rFonts w:cs="Times New Roman"/>
        </w:rPr>
        <w:t xml:space="preserve"> (A)</w:t>
      </w:r>
      <w:r w:rsidR="00113407" w:rsidRPr="00F46C15">
        <w:rPr>
          <w:rFonts w:cs="Times New Roman"/>
        </w:rPr>
        <w:t>, non-incapacitating</w:t>
      </w:r>
      <w:r w:rsidR="00113407">
        <w:rPr>
          <w:rFonts w:cs="Times New Roman"/>
        </w:rPr>
        <w:t xml:space="preserve"> (B)</w:t>
      </w:r>
      <w:r w:rsidR="00113407" w:rsidRPr="00F46C15">
        <w:rPr>
          <w:rFonts w:cs="Times New Roman"/>
        </w:rPr>
        <w:t>, possible injury</w:t>
      </w:r>
      <w:r w:rsidR="00113407">
        <w:rPr>
          <w:rFonts w:cs="Times New Roman"/>
        </w:rPr>
        <w:t xml:space="preserve"> (C)</w:t>
      </w:r>
      <w:r w:rsidR="00113407" w:rsidRPr="00F46C15">
        <w:rPr>
          <w:rFonts w:cs="Times New Roman"/>
        </w:rPr>
        <w:t>, and property damage only</w:t>
      </w:r>
      <w:r w:rsidR="00113407">
        <w:rPr>
          <w:rFonts w:cs="Times New Roman"/>
        </w:rPr>
        <w:t xml:space="preserve"> (O)</w:t>
      </w:r>
      <w:r w:rsidR="00113407" w:rsidRPr="00F46C15">
        <w:rPr>
          <w:rFonts w:cs="Times New Roman"/>
        </w:rPr>
        <w:t xml:space="preserve"> crashes.</w:t>
      </w:r>
      <w:r w:rsidR="00113407">
        <w:rPr>
          <w:rFonts w:cs="Times New Roman"/>
        </w:rPr>
        <w:t xml:space="preserve"> </w:t>
      </w:r>
      <w:r w:rsidR="007E207D">
        <w:t>Based on crash records, fatal and incapacitating injuries are combined as one category</w:t>
      </w:r>
      <w:r w:rsidR="00AA1324">
        <w:t xml:space="preserve"> and defined as</w:t>
      </w:r>
      <w:r w:rsidR="007E207D">
        <w:t xml:space="preserve"> severe injury. </w:t>
      </w:r>
      <w:r w:rsidR="00C64F18">
        <w:rPr>
          <w:rFonts w:cs="Times New Roman"/>
        </w:rPr>
        <w:t xml:space="preserve">Finally, the crash records are aggregated at a zonal level and the corresponding severity proportions </w:t>
      </w:r>
      <w:r w:rsidR="009E5667">
        <w:rPr>
          <w:rFonts w:cs="Times New Roman"/>
        </w:rPr>
        <w:t xml:space="preserve">by </w:t>
      </w:r>
      <w:r w:rsidR="002379B7">
        <w:t>crash</w:t>
      </w:r>
      <w:r w:rsidR="00A15245">
        <w:t xml:space="preserve"> type</w:t>
      </w:r>
      <w:r w:rsidR="00D20F4E">
        <w:t xml:space="preserve"> are</w:t>
      </w:r>
      <w:r w:rsidR="0028451B">
        <w:t xml:space="preserve"> as follows: (1) proportion of </w:t>
      </w:r>
      <w:r w:rsidR="00CE17E5">
        <w:t>no injury (</w:t>
      </w:r>
      <w:r w:rsidR="0028451B">
        <w:t>property damage only</w:t>
      </w:r>
      <w:r w:rsidR="00CE17E5">
        <w:t>)</w:t>
      </w:r>
      <w:r w:rsidR="0028451B">
        <w:t xml:space="preserve"> crashes, (2) proportion of minor injury crashes, (3) proportion of non-incapacitating injury crashes, and (</w:t>
      </w:r>
      <w:r w:rsidR="0050483C">
        <w:t>4</w:t>
      </w:r>
      <w:r w:rsidR="0028451B">
        <w:t xml:space="preserve">) proportion of severe </w:t>
      </w:r>
      <w:r w:rsidR="00AA1324">
        <w:t xml:space="preserve">injury </w:t>
      </w:r>
      <w:r w:rsidR="0028451B">
        <w:t xml:space="preserve">crashes. </w:t>
      </w:r>
    </w:p>
    <w:p w14:paraId="24B0FA77" w14:textId="77777777" w:rsidR="00210385" w:rsidRPr="0028451B" w:rsidRDefault="00210385" w:rsidP="0028451B">
      <w:pPr>
        <w:rPr>
          <w:rFonts w:cs="Times New Roman"/>
        </w:rPr>
      </w:pPr>
    </w:p>
    <w:p w14:paraId="06210861" w14:textId="77777777" w:rsidR="00210385" w:rsidRDefault="00210385" w:rsidP="00210385">
      <w:r>
        <w:rPr>
          <w:noProof/>
          <w:lang w:val="en-US"/>
        </w:rPr>
        <w:drawing>
          <wp:inline distT="0" distB="0" distL="0" distR="0" wp14:anchorId="1D43AF42" wp14:editId="7714A49D">
            <wp:extent cx="5900217" cy="3511296"/>
            <wp:effectExtent l="19050" t="19050" r="24765"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0217" cy="3511296"/>
                    </a:xfrm>
                    <a:prstGeom prst="rect">
                      <a:avLst/>
                    </a:prstGeom>
                    <a:noFill/>
                    <a:ln>
                      <a:solidFill>
                        <a:schemeClr val="tx1"/>
                      </a:solidFill>
                    </a:ln>
                  </pic:spPr>
                </pic:pic>
              </a:graphicData>
            </a:graphic>
          </wp:inline>
        </w:drawing>
      </w:r>
    </w:p>
    <w:p w14:paraId="6FD04B17" w14:textId="77777777" w:rsidR="001F1826" w:rsidRPr="006E6580" w:rsidRDefault="001F1826" w:rsidP="001F1826">
      <w:pPr>
        <w:jc w:val="center"/>
        <w:rPr>
          <w:b/>
          <w:bCs/>
          <w:lang w:val="en-US"/>
        </w:rPr>
      </w:pPr>
      <w:r w:rsidRPr="00B24D4E">
        <w:rPr>
          <w:rFonts w:cs="Times New Roman"/>
          <w:b/>
          <w:bCs/>
          <w:szCs w:val="24"/>
        </w:rPr>
        <w:t xml:space="preserve">Figure 1 </w:t>
      </w:r>
      <w:r w:rsidRPr="006E6580">
        <w:rPr>
          <w:b/>
          <w:bCs/>
          <w:lang w:val="en-US"/>
        </w:rPr>
        <w:t>Crash Frequency and Severity Proportions (mean) by Crash Types</w:t>
      </w:r>
    </w:p>
    <w:p w14:paraId="2C787360" w14:textId="77777777" w:rsidR="00210385" w:rsidRDefault="00210385" w:rsidP="00210385"/>
    <w:p w14:paraId="70EDA097" w14:textId="6CB4EC01" w:rsidR="00E24577" w:rsidRDefault="00113407" w:rsidP="00210385">
      <w:pPr>
        <w:ind w:firstLine="576"/>
        <w:rPr>
          <w:szCs w:val="24"/>
        </w:rPr>
      </w:pPr>
      <w:r w:rsidRPr="0081431D">
        <w:t>A t</w:t>
      </w:r>
      <w:r>
        <w:t>otal of 1</w:t>
      </w:r>
      <w:r w:rsidR="00AA1324">
        <w:t>,</w:t>
      </w:r>
      <w:r>
        <w:t>14,458 motorized</w:t>
      </w:r>
      <w:r w:rsidR="00A66A59">
        <w:t xml:space="preserve"> (ranging from 0 to 243)</w:t>
      </w:r>
      <w:r>
        <w:t xml:space="preserve"> and 3,413 non-motorized crashes</w:t>
      </w:r>
      <w:r w:rsidR="00A66A59">
        <w:t xml:space="preserve"> (ranging from 0 to 12)</w:t>
      </w:r>
      <w:r>
        <w:t xml:space="preserve"> were reported in the Central Florida for the year 2016.  </w:t>
      </w:r>
      <w:r w:rsidR="00D27043">
        <w:t xml:space="preserve">Within the motorized crashes, rear-end is found to be the most prevalent crash type (44.09%) while sideswipe is less frequent with 10.82% among all other motorized crash types. </w:t>
      </w:r>
      <w:r>
        <w:rPr>
          <w:szCs w:val="24"/>
        </w:rPr>
        <w:t xml:space="preserve">The </w:t>
      </w:r>
      <w:r w:rsidR="00705E58">
        <w:rPr>
          <w:szCs w:val="24"/>
        </w:rPr>
        <w:t xml:space="preserve">crash counts and </w:t>
      </w:r>
      <w:r>
        <w:rPr>
          <w:szCs w:val="24"/>
        </w:rPr>
        <w:t xml:space="preserve">severity outcome proportions for each </w:t>
      </w:r>
      <w:r w:rsidR="009E5667">
        <w:rPr>
          <w:szCs w:val="24"/>
        </w:rPr>
        <w:t xml:space="preserve">crash </w:t>
      </w:r>
      <w:r>
        <w:rPr>
          <w:szCs w:val="24"/>
        </w:rPr>
        <w:t xml:space="preserve">type are presented in </w:t>
      </w:r>
      <w:r w:rsidR="00AA1324">
        <w:rPr>
          <w:szCs w:val="24"/>
        </w:rPr>
        <w:t>F</w:t>
      </w:r>
      <w:r w:rsidR="0047593A">
        <w:rPr>
          <w:szCs w:val="24"/>
        </w:rPr>
        <w:t>igure 1</w:t>
      </w:r>
      <w:r>
        <w:rPr>
          <w:szCs w:val="24"/>
        </w:rPr>
        <w:t xml:space="preserve">. </w:t>
      </w:r>
      <w:r w:rsidRPr="0081431D">
        <w:t xml:space="preserve">From </w:t>
      </w:r>
      <w:r>
        <w:t xml:space="preserve">the </w:t>
      </w:r>
      <w:r w:rsidR="00AA1324">
        <w:t>F</w:t>
      </w:r>
      <w:r w:rsidR="00973C5D">
        <w:t>igure 1</w:t>
      </w:r>
      <w:r w:rsidRPr="0081431D">
        <w:t xml:space="preserve">, we can </w:t>
      </w:r>
      <w:r w:rsidRPr="0081431D">
        <w:lastRenderedPageBreak/>
        <w:t>observe that number of no injury crashes has the highest proportion followed by proportion of minor injury crashes.</w:t>
      </w:r>
      <w:r>
        <w:t xml:space="preserve"> Further, </w:t>
      </w:r>
      <w:r>
        <w:rPr>
          <w:szCs w:val="24"/>
        </w:rPr>
        <w:t>in terms of crash types</w:t>
      </w:r>
      <w:r w:rsidR="00D60D9F">
        <w:rPr>
          <w:szCs w:val="24"/>
        </w:rPr>
        <w:t xml:space="preserve">, the </w:t>
      </w:r>
      <w:r w:rsidR="00495AA4">
        <w:rPr>
          <w:szCs w:val="24"/>
        </w:rPr>
        <w:t>F</w:t>
      </w:r>
      <w:r w:rsidR="0096623E">
        <w:rPr>
          <w:szCs w:val="24"/>
        </w:rPr>
        <w:t>igure 1</w:t>
      </w:r>
      <w:r w:rsidR="00D60D9F">
        <w:rPr>
          <w:szCs w:val="24"/>
        </w:rPr>
        <w:t xml:space="preserve"> shows that non</w:t>
      </w:r>
      <w:r w:rsidR="00AA1324">
        <w:rPr>
          <w:szCs w:val="24"/>
        </w:rPr>
        <w:t>-</w:t>
      </w:r>
      <w:r w:rsidR="00D60D9F">
        <w:rPr>
          <w:szCs w:val="24"/>
        </w:rPr>
        <w:t xml:space="preserve">motorists are more prone to severe </w:t>
      </w:r>
      <w:r w:rsidR="00AA1324">
        <w:rPr>
          <w:szCs w:val="24"/>
        </w:rPr>
        <w:t xml:space="preserve">crashes </w:t>
      </w:r>
      <w:r w:rsidR="00D60D9F">
        <w:rPr>
          <w:szCs w:val="24"/>
        </w:rPr>
        <w:t xml:space="preserve">whereas </w:t>
      </w:r>
      <w:r w:rsidR="00F245C8">
        <w:rPr>
          <w:szCs w:val="24"/>
        </w:rPr>
        <w:t xml:space="preserve">the injury </w:t>
      </w:r>
      <w:r w:rsidR="00AA1324">
        <w:rPr>
          <w:szCs w:val="24"/>
        </w:rPr>
        <w:t>outcomes are</w:t>
      </w:r>
      <w:r w:rsidR="00F245C8">
        <w:rPr>
          <w:szCs w:val="24"/>
        </w:rPr>
        <w:t xml:space="preserve"> higher for motorists involved in head-on crash</w:t>
      </w:r>
      <w:r w:rsidR="00AA1324">
        <w:rPr>
          <w:szCs w:val="24"/>
        </w:rPr>
        <w:t>es</w:t>
      </w:r>
      <w:r w:rsidR="00F245C8">
        <w:rPr>
          <w:szCs w:val="24"/>
        </w:rPr>
        <w:t xml:space="preserve">. </w:t>
      </w:r>
      <w:r w:rsidR="00153A9A">
        <w:rPr>
          <w:szCs w:val="24"/>
        </w:rPr>
        <w:t xml:space="preserve">On the other hand, </w:t>
      </w:r>
      <w:r w:rsidR="00AA1324">
        <w:rPr>
          <w:szCs w:val="24"/>
        </w:rPr>
        <w:t xml:space="preserve">in approximately </w:t>
      </w:r>
      <w:r w:rsidR="001857B7">
        <w:rPr>
          <w:szCs w:val="24"/>
        </w:rPr>
        <w:t xml:space="preserve">84% and 72% </w:t>
      </w:r>
      <w:r w:rsidR="0070280E">
        <w:rPr>
          <w:szCs w:val="24"/>
        </w:rPr>
        <w:t xml:space="preserve">sideswipe </w:t>
      </w:r>
      <w:r w:rsidR="0045174C">
        <w:rPr>
          <w:szCs w:val="24"/>
        </w:rPr>
        <w:t>and</w:t>
      </w:r>
      <w:r w:rsidR="00296754">
        <w:rPr>
          <w:szCs w:val="24"/>
        </w:rPr>
        <w:t xml:space="preserve"> rear-end </w:t>
      </w:r>
      <w:r w:rsidR="0070280E">
        <w:rPr>
          <w:szCs w:val="24"/>
        </w:rPr>
        <w:t>crash</w:t>
      </w:r>
      <w:r w:rsidR="00AA1324">
        <w:rPr>
          <w:szCs w:val="24"/>
        </w:rPr>
        <w:t>es, respectively, the outcome</w:t>
      </w:r>
      <w:r w:rsidR="00B67ABB">
        <w:rPr>
          <w:szCs w:val="24"/>
        </w:rPr>
        <w:t>s</w:t>
      </w:r>
      <w:r w:rsidR="00AA1324">
        <w:rPr>
          <w:szCs w:val="24"/>
        </w:rPr>
        <w:t xml:space="preserve"> were no</w:t>
      </w:r>
      <w:r w:rsidR="0070280E">
        <w:rPr>
          <w:szCs w:val="24"/>
        </w:rPr>
        <w:t xml:space="preserve"> injury</w:t>
      </w:r>
      <w:r w:rsidR="00296754">
        <w:rPr>
          <w:szCs w:val="24"/>
        </w:rPr>
        <w:t>.</w:t>
      </w:r>
      <w:r w:rsidR="0070280E">
        <w:rPr>
          <w:szCs w:val="24"/>
        </w:rPr>
        <w:t xml:space="preserve"> </w:t>
      </w:r>
      <w:r w:rsidR="009E5667">
        <w:rPr>
          <w:szCs w:val="24"/>
        </w:rPr>
        <w:t xml:space="preserve">The most commonly used approach of modeling severity frequency or proportion without considering crash type would result in an inaccurate aggregation. From the </w:t>
      </w:r>
      <w:r w:rsidR="00495AA4">
        <w:rPr>
          <w:szCs w:val="24"/>
        </w:rPr>
        <w:t>F</w:t>
      </w:r>
      <w:r w:rsidR="00D86FB4">
        <w:rPr>
          <w:szCs w:val="24"/>
        </w:rPr>
        <w:t>igure</w:t>
      </w:r>
      <w:r w:rsidR="000E57FC">
        <w:rPr>
          <w:szCs w:val="24"/>
        </w:rPr>
        <w:t xml:space="preserve"> (1)</w:t>
      </w:r>
      <w:r w:rsidR="009E5667">
        <w:rPr>
          <w:szCs w:val="24"/>
        </w:rPr>
        <w:t xml:space="preserve">, </w:t>
      </w:r>
      <w:r w:rsidR="00B67ABB">
        <w:rPr>
          <w:szCs w:val="24"/>
        </w:rPr>
        <w:t xml:space="preserve">it </w:t>
      </w:r>
      <w:r w:rsidR="009E5667">
        <w:rPr>
          <w:szCs w:val="24"/>
        </w:rPr>
        <w:t>is evident that severity proportions by crash type vary significantly across crash types.</w:t>
      </w:r>
    </w:p>
    <w:p w14:paraId="331A7CF9" w14:textId="77777777" w:rsidR="00210385" w:rsidRDefault="00210385" w:rsidP="00E24577">
      <w:pPr>
        <w:ind w:firstLine="720"/>
        <w:rPr>
          <w:szCs w:val="24"/>
        </w:rPr>
      </w:pPr>
    </w:p>
    <w:p w14:paraId="1BC28121" w14:textId="227E8D32" w:rsidR="000817B6" w:rsidRDefault="00D86FB4" w:rsidP="00E24577">
      <w:pPr>
        <w:pStyle w:val="Heading2"/>
      </w:pPr>
      <w:r>
        <w:rPr>
          <w:rFonts w:eastAsia="Calibri" w:cs="Times New Roman"/>
          <w:szCs w:val="24"/>
          <w:lang w:eastAsia="ko-KR"/>
        </w:rPr>
        <w:t xml:space="preserve">Explanatory </w:t>
      </w:r>
      <w:r w:rsidR="000817B6">
        <w:t>Variables Considered</w:t>
      </w:r>
    </w:p>
    <w:p w14:paraId="0FE0A216" w14:textId="2D36C353" w:rsidR="000817B6" w:rsidRDefault="000817B6" w:rsidP="000817B6">
      <w:r>
        <w:t xml:space="preserve">In addition to the crash records, </w:t>
      </w:r>
      <w:proofErr w:type="gramStart"/>
      <w:r>
        <w:t>a number of</w:t>
      </w:r>
      <w:proofErr w:type="gramEnd"/>
      <w:r>
        <w:t xml:space="preserve"> zonal level attributes are considered for the current analysis including roadway, built environment, land-use, traffic and sociodemographic characteristics. Information about these variables are collected from different data sources including </w:t>
      </w:r>
      <w:r w:rsidRPr="00F2558F">
        <w:t>FDOT Transportation Statistics Division, US Census Bureau</w:t>
      </w:r>
      <w:r>
        <w:t xml:space="preserve">, </w:t>
      </w:r>
      <w:r w:rsidRPr="009D78CF">
        <w:t xml:space="preserve">American Community Survey </w:t>
      </w:r>
      <w:r>
        <w:t>and</w:t>
      </w:r>
      <w:r w:rsidRPr="009D78CF">
        <w:t xml:space="preserve"> Florida Geographic Data Library</w:t>
      </w:r>
      <w:r>
        <w:t xml:space="preserve"> </w:t>
      </w:r>
      <w:r w:rsidRPr="009D78CF">
        <w:t>databases</w:t>
      </w:r>
      <w:r w:rsidRPr="00F2558F">
        <w:t>.</w:t>
      </w:r>
      <w:r>
        <w:t xml:space="preserve"> Similar to the crash records, explanatory attributes are also aggregated at a zonal level using the GIS. With respect to roadway attributes, </w:t>
      </w:r>
      <w:r w:rsidRPr="00B107E1">
        <w:t xml:space="preserve">road lengths for different functional class, </w:t>
      </w:r>
      <w:r>
        <w:t>proportion of rural and urban road, proportion of road with different number of lanes (1, 2, and 3 or more), number of intersections and signals, average posted speed limit, length of road with different speed limit (</w:t>
      </w:r>
      <w:r>
        <w:rPr>
          <w:rFonts w:cs="Times New Roman"/>
        </w:rPr>
        <w:t>≤</w:t>
      </w:r>
      <w:r>
        <w:t>40mph, 41-54mph</w:t>
      </w:r>
      <w:r w:rsidRPr="00B107E1">
        <w:t xml:space="preserve"> </w:t>
      </w:r>
      <w:r>
        <w:t xml:space="preserve">and </w:t>
      </w:r>
      <w:r>
        <w:rPr>
          <w:rFonts w:cs="Times New Roman"/>
        </w:rPr>
        <w:t>≥</w:t>
      </w:r>
      <w:r>
        <w:t>55mph), average width of inside and outside shoulder, average width of bike lane and sidewalk are considered in the current study. While the information about land use category</w:t>
      </w:r>
      <w:r w:rsidRPr="003F421E">
        <w:t xml:space="preserve"> </w:t>
      </w:r>
      <w:r>
        <w:t xml:space="preserve">including </w:t>
      </w:r>
      <w:r w:rsidRPr="00B107E1">
        <w:t>area of urban, residential, industrial, institutional, recreational, office</w:t>
      </w:r>
      <w:r>
        <w:t xml:space="preserve"> </w:t>
      </w:r>
      <w:r w:rsidRPr="00B107E1">
        <w:t>and land use mix</w:t>
      </w:r>
      <w:r>
        <w:t xml:space="preserve"> are provided in the land use attributes, built environment characteristics mainly reflects the information about the number of business center, commercial center, school, hospital, recreational center, restaurant and shopping center are collected. Further to accommodate for traffic attributes, we consider </w:t>
      </w:r>
      <w:r w:rsidRPr="00B107E1">
        <w:t>average annual daily traffic (AADT), average annual daily truck traffic (truck AADT), vehicle miles traveled (VMT), truck vehicle miles traveled (truck VMT) and proportion of heavy traffic</w:t>
      </w:r>
      <w:r>
        <w:t xml:space="preserve">. Finally, the zonal level sociodemographic attributes included population and household density, proportion of means of transportation used by commuter for their work trips (car, motorcycle, transit, bike and walk) proportion of people by age and race and proportion of household by vehicle ownership level (0, 1, 2, and 3 or more). </w:t>
      </w:r>
    </w:p>
    <w:p w14:paraId="37A9A741" w14:textId="2E9BBBCD" w:rsidR="00206934" w:rsidRDefault="000817B6" w:rsidP="004D60A7">
      <w:pPr>
        <w:ind w:firstLine="720"/>
        <w:rPr>
          <w:rFonts w:eastAsia="Calibri" w:cs="Times New Roman"/>
          <w:szCs w:val="24"/>
          <w:lang w:eastAsia="ko-KR"/>
        </w:rPr>
      </w:pPr>
      <w:r>
        <w:rPr>
          <w:rFonts w:eastAsia="Calibri" w:cs="Times New Roman"/>
          <w:szCs w:val="24"/>
          <w:lang w:eastAsia="ko-KR"/>
        </w:rPr>
        <w:t xml:space="preserve">Table </w:t>
      </w:r>
      <w:r w:rsidR="006E11C4">
        <w:rPr>
          <w:rFonts w:eastAsia="Calibri" w:cs="Times New Roman"/>
          <w:szCs w:val="24"/>
          <w:lang w:eastAsia="ko-KR"/>
        </w:rPr>
        <w:t>3</w:t>
      </w:r>
      <w:r w:rsidRPr="002566C5">
        <w:rPr>
          <w:rFonts w:eastAsia="Calibri" w:cs="Times New Roman"/>
          <w:szCs w:val="24"/>
          <w:lang w:eastAsia="ko-KR"/>
        </w:rPr>
        <w:t xml:space="preserve"> summarizes </w:t>
      </w:r>
      <w:r>
        <w:rPr>
          <w:rFonts w:eastAsia="Calibri" w:cs="Times New Roman"/>
          <w:szCs w:val="24"/>
          <w:lang w:eastAsia="ko-KR"/>
        </w:rPr>
        <w:t>sample characteristics of the explanatory variables with the appropriate definition considered for final model estimation along with the minimum, maximum and mean values at a zonal level. In estimating the model, several functional forms and combination of variables are considered and those that provides the best fit are retained in the final specification. The final specification of the model was based on removing the statistically insignificant variables in a systematic process based on 90% confidence level.</w:t>
      </w:r>
    </w:p>
    <w:p w14:paraId="56E95418" w14:textId="77777777" w:rsidR="00210385" w:rsidRDefault="00210385" w:rsidP="004D60A7">
      <w:pPr>
        <w:ind w:firstLine="720"/>
        <w:rPr>
          <w:rFonts w:eastAsia="Calibri" w:cs="Times New Roman"/>
          <w:szCs w:val="24"/>
          <w:lang w:eastAsia="ko-KR"/>
        </w:rPr>
      </w:pPr>
    </w:p>
    <w:p w14:paraId="7C7CFEF2" w14:textId="129E2AD7" w:rsidR="00210385" w:rsidRDefault="00210385" w:rsidP="00210385">
      <w:pPr>
        <w:rPr>
          <w:rFonts w:eastAsia="Calibri" w:cs="Times New Roman"/>
          <w:szCs w:val="24"/>
          <w:lang w:eastAsia="ko-KR"/>
        </w:rPr>
        <w:sectPr w:rsidR="00210385" w:rsidSect="00CC74A8">
          <w:footerReference w:type="default" r:id="rId26"/>
          <w:headerReference w:type="first" r:id="rId27"/>
          <w:footerReference w:type="first" r:id="rId28"/>
          <w:pgSz w:w="12240" w:h="15840" w:code="1"/>
          <w:pgMar w:top="1440" w:right="1469" w:bottom="1440" w:left="1440" w:header="720" w:footer="720" w:gutter="0"/>
          <w:cols w:space="708"/>
          <w:titlePg/>
          <w:docGrid w:linePitch="360"/>
        </w:sectPr>
      </w:pPr>
    </w:p>
    <w:p w14:paraId="5AC06492" w14:textId="0521EBF1" w:rsidR="00206934" w:rsidRPr="00902227" w:rsidRDefault="00206934" w:rsidP="00206934">
      <w:pPr>
        <w:jc w:val="center"/>
        <w:rPr>
          <w:rFonts w:cs="Times New Roman"/>
          <w:b/>
        </w:rPr>
      </w:pPr>
      <w:r>
        <w:rPr>
          <w:rFonts w:cs="Times New Roman"/>
          <w:b/>
        </w:rPr>
        <w:lastRenderedPageBreak/>
        <w:t>TAB</w:t>
      </w:r>
      <w:r w:rsidRPr="00902227">
        <w:rPr>
          <w:rFonts w:cs="Times New Roman"/>
          <w:b/>
        </w:rPr>
        <w:t>LE</w:t>
      </w:r>
      <w:r>
        <w:rPr>
          <w:rFonts w:cs="Times New Roman"/>
          <w:b/>
        </w:rPr>
        <w:t xml:space="preserve"> </w:t>
      </w:r>
      <w:r w:rsidR="006E11C4">
        <w:rPr>
          <w:rFonts w:cs="Times New Roman"/>
          <w:b/>
        </w:rPr>
        <w:t>3</w:t>
      </w:r>
      <w:r w:rsidRPr="00902227">
        <w:rPr>
          <w:rFonts w:cs="Times New Roman"/>
          <w:b/>
        </w:rPr>
        <w:t xml:space="preserve"> Summary Statistics of Exogenous Variables </w:t>
      </w:r>
      <w:r>
        <w:rPr>
          <w:rFonts w:cs="Times New Roman"/>
          <w:b/>
        </w:rPr>
        <w:t>(Zonal Level)</w:t>
      </w:r>
    </w:p>
    <w:tbl>
      <w:tblPr>
        <w:tblW w:w="4932"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626"/>
        <w:gridCol w:w="4018"/>
        <w:gridCol w:w="1552"/>
        <w:gridCol w:w="1454"/>
        <w:gridCol w:w="1358"/>
        <w:gridCol w:w="1746"/>
      </w:tblGrid>
      <w:tr w:rsidR="00206934" w:rsidRPr="009C486D" w14:paraId="77390E66" w14:textId="77777777" w:rsidTr="004601C9">
        <w:trPr>
          <w:trHeight w:hRule="exact" w:val="317"/>
        </w:trPr>
        <w:tc>
          <w:tcPr>
            <w:tcW w:w="2626" w:type="dxa"/>
            <w:vMerge w:val="restart"/>
            <w:shd w:val="clear" w:color="auto" w:fill="auto"/>
            <w:vAlign w:val="center"/>
            <w:hideMark/>
          </w:tcPr>
          <w:p w14:paraId="21DF1D58" w14:textId="77777777" w:rsidR="00206934" w:rsidRPr="009C486D" w:rsidRDefault="00206934" w:rsidP="004601C9">
            <w:pPr>
              <w:jc w:val="center"/>
              <w:rPr>
                <w:rFonts w:eastAsia="Times New Roman" w:cs="Times New Roman"/>
                <w:b/>
                <w:color w:val="000000"/>
                <w:sz w:val="20"/>
                <w:szCs w:val="20"/>
              </w:rPr>
            </w:pPr>
            <w:r>
              <w:rPr>
                <w:rFonts w:eastAsia="Times New Roman" w:cs="Times New Roman"/>
                <w:b/>
                <w:color w:val="000000"/>
                <w:sz w:val="20"/>
                <w:szCs w:val="20"/>
              </w:rPr>
              <w:t>Variables</w:t>
            </w:r>
          </w:p>
        </w:tc>
        <w:tc>
          <w:tcPr>
            <w:tcW w:w="4018" w:type="dxa"/>
            <w:vMerge w:val="restart"/>
            <w:shd w:val="clear" w:color="auto" w:fill="auto"/>
            <w:vAlign w:val="center"/>
            <w:hideMark/>
          </w:tcPr>
          <w:p w14:paraId="077571EB" w14:textId="77777777" w:rsidR="00206934" w:rsidRPr="009C486D" w:rsidRDefault="00206934" w:rsidP="004601C9">
            <w:pPr>
              <w:jc w:val="center"/>
              <w:rPr>
                <w:rFonts w:eastAsia="Times New Roman" w:cs="Times New Roman"/>
                <w:b/>
                <w:color w:val="000000"/>
                <w:sz w:val="20"/>
                <w:szCs w:val="20"/>
              </w:rPr>
            </w:pPr>
            <w:r w:rsidRPr="00C945E9">
              <w:rPr>
                <w:rFonts w:eastAsia="Times New Roman" w:cs="Times New Roman"/>
                <w:b/>
                <w:color w:val="000000"/>
                <w:sz w:val="20"/>
                <w:szCs w:val="20"/>
              </w:rPr>
              <w:t>Definition</w:t>
            </w:r>
          </w:p>
        </w:tc>
        <w:tc>
          <w:tcPr>
            <w:tcW w:w="6110" w:type="dxa"/>
            <w:gridSpan w:val="4"/>
            <w:shd w:val="clear" w:color="auto" w:fill="auto"/>
            <w:vAlign w:val="center"/>
          </w:tcPr>
          <w:p w14:paraId="3F9FF9A5" w14:textId="77777777" w:rsidR="00206934" w:rsidRPr="009C486D" w:rsidRDefault="00206934" w:rsidP="004601C9">
            <w:pPr>
              <w:jc w:val="center"/>
              <w:rPr>
                <w:rFonts w:eastAsia="Times New Roman" w:cs="Times New Roman"/>
                <w:b/>
                <w:color w:val="000000"/>
                <w:sz w:val="20"/>
                <w:szCs w:val="20"/>
              </w:rPr>
            </w:pPr>
            <w:r>
              <w:rPr>
                <w:rFonts w:eastAsia="Times New Roman" w:cs="Times New Roman"/>
                <w:b/>
                <w:color w:val="000000"/>
                <w:sz w:val="20"/>
                <w:szCs w:val="20"/>
              </w:rPr>
              <w:t>Zonal (N=4,747)</w:t>
            </w:r>
          </w:p>
        </w:tc>
      </w:tr>
      <w:tr w:rsidR="00206934" w:rsidRPr="009C486D" w14:paraId="6D5189F3" w14:textId="77777777" w:rsidTr="004601C9">
        <w:trPr>
          <w:trHeight w:hRule="exact" w:val="317"/>
        </w:trPr>
        <w:tc>
          <w:tcPr>
            <w:tcW w:w="2626" w:type="dxa"/>
            <w:vMerge/>
            <w:tcBorders>
              <w:bottom w:val="double" w:sz="4" w:space="0" w:color="auto"/>
            </w:tcBorders>
            <w:shd w:val="clear" w:color="auto" w:fill="auto"/>
            <w:vAlign w:val="center"/>
          </w:tcPr>
          <w:p w14:paraId="62EA48A0" w14:textId="77777777" w:rsidR="00206934" w:rsidRPr="00C945E9" w:rsidRDefault="00206934" w:rsidP="004601C9">
            <w:pPr>
              <w:jc w:val="left"/>
              <w:rPr>
                <w:rFonts w:eastAsia="Times New Roman" w:cs="Times New Roman"/>
                <w:b/>
                <w:color w:val="000000"/>
                <w:sz w:val="20"/>
                <w:szCs w:val="20"/>
              </w:rPr>
            </w:pPr>
          </w:p>
        </w:tc>
        <w:tc>
          <w:tcPr>
            <w:tcW w:w="4018" w:type="dxa"/>
            <w:vMerge/>
            <w:tcBorders>
              <w:bottom w:val="double" w:sz="4" w:space="0" w:color="auto"/>
            </w:tcBorders>
            <w:shd w:val="clear" w:color="auto" w:fill="auto"/>
            <w:vAlign w:val="center"/>
          </w:tcPr>
          <w:p w14:paraId="50F11FC7" w14:textId="77777777" w:rsidR="00206934" w:rsidRPr="00C945E9" w:rsidRDefault="00206934" w:rsidP="004601C9">
            <w:pPr>
              <w:jc w:val="left"/>
              <w:rPr>
                <w:rFonts w:eastAsia="Times New Roman" w:cs="Times New Roman"/>
                <w:b/>
                <w:color w:val="000000"/>
                <w:sz w:val="20"/>
                <w:szCs w:val="20"/>
              </w:rPr>
            </w:pPr>
          </w:p>
        </w:tc>
        <w:tc>
          <w:tcPr>
            <w:tcW w:w="1552" w:type="dxa"/>
            <w:tcBorders>
              <w:bottom w:val="double" w:sz="4" w:space="0" w:color="auto"/>
            </w:tcBorders>
            <w:shd w:val="clear" w:color="auto" w:fill="auto"/>
            <w:vAlign w:val="center"/>
          </w:tcPr>
          <w:p w14:paraId="4D5D0696" w14:textId="77777777" w:rsidR="00206934" w:rsidRPr="009C486D" w:rsidRDefault="00206934" w:rsidP="004601C9">
            <w:pPr>
              <w:jc w:val="center"/>
              <w:rPr>
                <w:rFonts w:eastAsia="Times New Roman" w:cs="Times New Roman"/>
                <w:b/>
                <w:color w:val="000000"/>
                <w:sz w:val="20"/>
                <w:szCs w:val="20"/>
              </w:rPr>
            </w:pPr>
            <w:r w:rsidRPr="009C486D">
              <w:rPr>
                <w:rFonts w:eastAsia="Times New Roman" w:cs="Times New Roman"/>
                <w:b/>
                <w:color w:val="000000"/>
                <w:sz w:val="20"/>
                <w:szCs w:val="20"/>
              </w:rPr>
              <w:t>Minimum</w:t>
            </w:r>
          </w:p>
        </w:tc>
        <w:tc>
          <w:tcPr>
            <w:tcW w:w="1454" w:type="dxa"/>
            <w:tcBorders>
              <w:bottom w:val="double" w:sz="4" w:space="0" w:color="auto"/>
            </w:tcBorders>
            <w:shd w:val="clear" w:color="auto" w:fill="auto"/>
            <w:vAlign w:val="center"/>
          </w:tcPr>
          <w:p w14:paraId="04D2748C" w14:textId="77777777" w:rsidR="00206934" w:rsidRPr="009C486D" w:rsidRDefault="00206934" w:rsidP="004601C9">
            <w:pPr>
              <w:jc w:val="center"/>
              <w:rPr>
                <w:rFonts w:eastAsia="Times New Roman" w:cs="Times New Roman"/>
                <w:b/>
                <w:color w:val="000000"/>
                <w:sz w:val="20"/>
                <w:szCs w:val="20"/>
              </w:rPr>
            </w:pPr>
            <w:r w:rsidRPr="009C486D">
              <w:rPr>
                <w:rFonts w:eastAsia="Times New Roman" w:cs="Times New Roman"/>
                <w:b/>
                <w:color w:val="000000"/>
                <w:sz w:val="20"/>
                <w:szCs w:val="20"/>
              </w:rPr>
              <w:t>Maximum</w:t>
            </w:r>
          </w:p>
        </w:tc>
        <w:tc>
          <w:tcPr>
            <w:tcW w:w="1358" w:type="dxa"/>
            <w:tcBorders>
              <w:bottom w:val="double" w:sz="4" w:space="0" w:color="auto"/>
            </w:tcBorders>
            <w:shd w:val="clear" w:color="auto" w:fill="auto"/>
            <w:vAlign w:val="center"/>
          </w:tcPr>
          <w:p w14:paraId="18CDE059" w14:textId="77777777" w:rsidR="00206934" w:rsidRPr="009C486D" w:rsidRDefault="00206934" w:rsidP="004601C9">
            <w:pPr>
              <w:jc w:val="center"/>
              <w:rPr>
                <w:rFonts w:eastAsia="Times New Roman" w:cs="Times New Roman"/>
                <w:b/>
                <w:color w:val="000000"/>
                <w:sz w:val="20"/>
                <w:szCs w:val="20"/>
              </w:rPr>
            </w:pPr>
            <w:r w:rsidRPr="009C486D">
              <w:rPr>
                <w:rFonts w:eastAsia="Times New Roman" w:cs="Times New Roman"/>
                <w:b/>
                <w:color w:val="000000"/>
                <w:sz w:val="20"/>
                <w:szCs w:val="20"/>
              </w:rPr>
              <w:t>Mean</w:t>
            </w:r>
          </w:p>
        </w:tc>
        <w:tc>
          <w:tcPr>
            <w:tcW w:w="1746" w:type="dxa"/>
            <w:tcBorders>
              <w:bottom w:val="double" w:sz="4" w:space="0" w:color="auto"/>
            </w:tcBorders>
            <w:shd w:val="clear" w:color="auto" w:fill="auto"/>
            <w:vAlign w:val="center"/>
          </w:tcPr>
          <w:p w14:paraId="2D2486BB" w14:textId="77777777" w:rsidR="00206934" w:rsidRPr="009C486D" w:rsidRDefault="00206934" w:rsidP="004601C9">
            <w:pPr>
              <w:jc w:val="center"/>
              <w:rPr>
                <w:rFonts w:eastAsia="Times New Roman" w:cs="Times New Roman"/>
                <w:b/>
                <w:color w:val="000000"/>
                <w:sz w:val="20"/>
                <w:szCs w:val="20"/>
              </w:rPr>
            </w:pPr>
            <w:r w:rsidRPr="009C486D">
              <w:rPr>
                <w:rFonts w:eastAsia="Times New Roman" w:cs="Times New Roman"/>
                <w:b/>
                <w:color w:val="000000"/>
                <w:sz w:val="20"/>
                <w:szCs w:val="20"/>
              </w:rPr>
              <w:t>Std. Deviation</w:t>
            </w:r>
          </w:p>
        </w:tc>
      </w:tr>
      <w:tr w:rsidR="00206934" w:rsidRPr="009C486D" w14:paraId="0D3AF2FD" w14:textId="77777777" w:rsidTr="004601C9">
        <w:trPr>
          <w:trHeight w:hRule="exact" w:val="317"/>
        </w:trPr>
        <w:tc>
          <w:tcPr>
            <w:tcW w:w="12754" w:type="dxa"/>
            <w:gridSpan w:val="6"/>
            <w:tcBorders>
              <w:top w:val="double" w:sz="4" w:space="0" w:color="auto"/>
              <w:bottom w:val="double" w:sz="4" w:space="0" w:color="auto"/>
            </w:tcBorders>
            <w:shd w:val="clear" w:color="auto" w:fill="auto"/>
            <w:vAlign w:val="center"/>
            <w:hideMark/>
          </w:tcPr>
          <w:p w14:paraId="6C261D32" w14:textId="77777777" w:rsidR="00206934" w:rsidRPr="009C486D" w:rsidRDefault="00206934" w:rsidP="004601C9">
            <w:pPr>
              <w:jc w:val="left"/>
              <w:rPr>
                <w:rFonts w:eastAsia="Times New Roman" w:cs="Times New Roman"/>
                <w:b/>
                <w:i/>
                <w:color w:val="000000"/>
                <w:sz w:val="20"/>
                <w:szCs w:val="20"/>
              </w:rPr>
            </w:pPr>
            <w:r w:rsidRPr="009C486D">
              <w:rPr>
                <w:rFonts w:eastAsia="Times New Roman" w:cs="Times New Roman"/>
                <w:b/>
                <w:i/>
                <w:color w:val="000000"/>
                <w:sz w:val="20"/>
                <w:szCs w:val="20"/>
              </w:rPr>
              <w:t>Roadway Characteristic</w:t>
            </w:r>
          </w:p>
        </w:tc>
      </w:tr>
      <w:tr w:rsidR="00206934" w:rsidRPr="009C486D" w14:paraId="21C71F78" w14:textId="77777777" w:rsidTr="004601C9">
        <w:trPr>
          <w:trHeight w:hRule="exact" w:val="317"/>
        </w:trPr>
        <w:tc>
          <w:tcPr>
            <w:tcW w:w="2626" w:type="dxa"/>
            <w:tcBorders>
              <w:top w:val="double" w:sz="4" w:space="0" w:color="auto"/>
            </w:tcBorders>
            <w:shd w:val="clear" w:color="auto" w:fill="auto"/>
            <w:vAlign w:val="center"/>
            <w:hideMark/>
          </w:tcPr>
          <w:p w14:paraId="29889613" w14:textId="77777777" w:rsidR="00206934" w:rsidRPr="009C486D" w:rsidRDefault="00206934" w:rsidP="004601C9">
            <w:pPr>
              <w:ind w:left="150"/>
              <w:jc w:val="left"/>
              <w:rPr>
                <w:rFonts w:eastAsia="Times New Roman" w:cs="Times New Roman"/>
                <w:color w:val="000000"/>
                <w:sz w:val="20"/>
                <w:szCs w:val="20"/>
              </w:rPr>
            </w:pPr>
            <w:r w:rsidRPr="009C486D">
              <w:rPr>
                <w:rFonts w:eastAsia="Times New Roman" w:cs="Times New Roman"/>
                <w:color w:val="000000"/>
                <w:sz w:val="20"/>
                <w:szCs w:val="20"/>
              </w:rPr>
              <w:t>Proportion of rural road</w:t>
            </w:r>
          </w:p>
        </w:tc>
        <w:tc>
          <w:tcPr>
            <w:tcW w:w="4018" w:type="dxa"/>
            <w:tcBorders>
              <w:top w:val="double" w:sz="4" w:space="0" w:color="auto"/>
            </w:tcBorders>
            <w:shd w:val="clear" w:color="auto" w:fill="auto"/>
            <w:vAlign w:val="center"/>
            <w:hideMark/>
          </w:tcPr>
          <w:p w14:paraId="77F21949" w14:textId="77777777" w:rsidR="00206934" w:rsidRPr="009C486D" w:rsidRDefault="00206934" w:rsidP="004601C9">
            <w:pPr>
              <w:jc w:val="left"/>
              <w:rPr>
                <w:rFonts w:eastAsia="Times New Roman" w:cs="Times New Roman"/>
                <w:color w:val="000000"/>
                <w:sz w:val="20"/>
                <w:szCs w:val="20"/>
              </w:rPr>
            </w:pPr>
            <w:r w:rsidRPr="00426AEA">
              <w:rPr>
                <w:rFonts w:eastAsia="Times New Roman" w:cs="Times New Roman"/>
                <w:color w:val="000000"/>
                <w:sz w:val="20"/>
                <w:szCs w:val="20"/>
              </w:rPr>
              <w:t>(</w:t>
            </w:r>
            <w:r>
              <w:rPr>
                <w:rFonts w:eastAsia="Times New Roman" w:cs="Times New Roman"/>
                <w:color w:val="000000"/>
                <w:sz w:val="20"/>
                <w:szCs w:val="20"/>
              </w:rPr>
              <w:t>Rural</w:t>
            </w:r>
            <w:r w:rsidRPr="00426AEA">
              <w:rPr>
                <w:rFonts w:eastAsia="Times New Roman" w:cs="Times New Roman"/>
                <w:color w:val="000000"/>
                <w:sz w:val="20"/>
                <w:szCs w:val="20"/>
              </w:rPr>
              <w:t xml:space="preserve"> road length/total road length) </w:t>
            </w:r>
          </w:p>
        </w:tc>
        <w:tc>
          <w:tcPr>
            <w:tcW w:w="1552" w:type="dxa"/>
            <w:tcBorders>
              <w:top w:val="double" w:sz="4" w:space="0" w:color="auto"/>
            </w:tcBorders>
            <w:shd w:val="clear" w:color="auto" w:fill="auto"/>
            <w:noWrap/>
            <w:vAlign w:val="center"/>
            <w:hideMark/>
          </w:tcPr>
          <w:p w14:paraId="1DC1032D"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tcBorders>
              <w:top w:val="double" w:sz="4" w:space="0" w:color="auto"/>
            </w:tcBorders>
            <w:shd w:val="clear" w:color="auto" w:fill="auto"/>
            <w:noWrap/>
            <w:vAlign w:val="center"/>
            <w:hideMark/>
          </w:tcPr>
          <w:p w14:paraId="10A3A05B"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1.000</w:t>
            </w:r>
          </w:p>
        </w:tc>
        <w:tc>
          <w:tcPr>
            <w:tcW w:w="1358" w:type="dxa"/>
            <w:tcBorders>
              <w:top w:val="double" w:sz="4" w:space="0" w:color="auto"/>
            </w:tcBorders>
            <w:shd w:val="clear" w:color="auto" w:fill="auto"/>
            <w:noWrap/>
            <w:vAlign w:val="center"/>
            <w:hideMark/>
          </w:tcPr>
          <w:p w14:paraId="704B6FB7"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0.121</w:t>
            </w:r>
          </w:p>
        </w:tc>
        <w:tc>
          <w:tcPr>
            <w:tcW w:w="1746" w:type="dxa"/>
            <w:tcBorders>
              <w:top w:val="double" w:sz="4" w:space="0" w:color="auto"/>
            </w:tcBorders>
            <w:shd w:val="clear" w:color="auto" w:fill="auto"/>
            <w:noWrap/>
            <w:vAlign w:val="center"/>
            <w:hideMark/>
          </w:tcPr>
          <w:p w14:paraId="1909A336"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0.309</w:t>
            </w:r>
          </w:p>
        </w:tc>
      </w:tr>
      <w:tr w:rsidR="00206934" w:rsidRPr="009C486D" w14:paraId="638D4278" w14:textId="77777777" w:rsidTr="004601C9">
        <w:trPr>
          <w:trHeight w:hRule="exact" w:val="317"/>
        </w:trPr>
        <w:tc>
          <w:tcPr>
            <w:tcW w:w="2626" w:type="dxa"/>
            <w:shd w:val="clear" w:color="auto" w:fill="auto"/>
            <w:vAlign w:val="center"/>
            <w:hideMark/>
          </w:tcPr>
          <w:p w14:paraId="6F0EF1B1" w14:textId="77777777" w:rsidR="00206934" w:rsidRPr="009C486D" w:rsidRDefault="00206934" w:rsidP="004601C9">
            <w:pPr>
              <w:ind w:left="150"/>
              <w:jc w:val="left"/>
              <w:rPr>
                <w:rFonts w:eastAsia="Times New Roman" w:cs="Times New Roman"/>
                <w:color w:val="000000"/>
                <w:sz w:val="20"/>
                <w:szCs w:val="20"/>
              </w:rPr>
            </w:pPr>
            <w:r w:rsidRPr="009C486D">
              <w:rPr>
                <w:rFonts w:eastAsia="Times New Roman" w:cs="Times New Roman"/>
                <w:color w:val="000000"/>
                <w:sz w:val="20"/>
                <w:szCs w:val="20"/>
              </w:rPr>
              <w:t>Proportion of urban road</w:t>
            </w:r>
          </w:p>
        </w:tc>
        <w:tc>
          <w:tcPr>
            <w:tcW w:w="4018" w:type="dxa"/>
            <w:shd w:val="clear" w:color="auto" w:fill="auto"/>
            <w:vAlign w:val="center"/>
            <w:hideMark/>
          </w:tcPr>
          <w:p w14:paraId="2B5B0EDC" w14:textId="77777777" w:rsidR="00206934" w:rsidRPr="009C486D" w:rsidRDefault="00206934" w:rsidP="004601C9">
            <w:pPr>
              <w:jc w:val="left"/>
              <w:rPr>
                <w:rFonts w:eastAsia="Times New Roman" w:cs="Times New Roman"/>
                <w:color w:val="000000"/>
                <w:sz w:val="20"/>
                <w:szCs w:val="20"/>
              </w:rPr>
            </w:pPr>
            <w:r w:rsidRPr="00426AEA">
              <w:rPr>
                <w:rFonts w:eastAsia="Times New Roman" w:cs="Times New Roman"/>
                <w:color w:val="000000"/>
                <w:sz w:val="20"/>
                <w:szCs w:val="20"/>
              </w:rPr>
              <w:t>(</w:t>
            </w:r>
            <w:r>
              <w:rPr>
                <w:rFonts w:eastAsia="Times New Roman" w:cs="Times New Roman"/>
                <w:color w:val="000000"/>
                <w:sz w:val="20"/>
                <w:szCs w:val="20"/>
              </w:rPr>
              <w:t>Urban</w:t>
            </w:r>
            <w:r w:rsidRPr="00426AEA">
              <w:rPr>
                <w:rFonts w:eastAsia="Times New Roman" w:cs="Times New Roman"/>
                <w:color w:val="000000"/>
                <w:sz w:val="20"/>
                <w:szCs w:val="20"/>
              </w:rPr>
              <w:t xml:space="preserve"> road length/total road length) </w:t>
            </w:r>
          </w:p>
        </w:tc>
        <w:tc>
          <w:tcPr>
            <w:tcW w:w="1552" w:type="dxa"/>
            <w:shd w:val="clear" w:color="auto" w:fill="auto"/>
            <w:noWrap/>
            <w:vAlign w:val="center"/>
            <w:hideMark/>
          </w:tcPr>
          <w:p w14:paraId="5F55D5A0"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shd w:val="clear" w:color="auto" w:fill="auto"/>
            <w:noWrap/>
            <w:vAlign w:val="center"/>
            <w:hideMark/>
          </w:tcPr>
          <w:p w14:paraId="7AF154CE"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1.000</w:t>
            </w:r>
          </w:p>
        </w:tc>
        <w:tc>
          <w:tcPr>
            <w:tcW w:w="1358" w:type="dxa"/>
            <w:shd w:val="clear" w:color="auto" w:fill="auto"/>
            <w:noWrap/>
            <w:vAlign w:val="center"/>
            <w:hideMark/>
          </w:tcPr>
          <w:p w14:paraId="174F6271"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0.806</w:t>
            </w:r>
          </w:p>
        </w:tc>
        <w:tc>
          <w:tcPr>
            <w:tcW w:w="1746" w:type="dxa"/>
            <w:shd w:val="clear" w:color="auto" w:fill="auto"/>
            <w:noWrap/>
            <w:vAlign w:val="center"/>
            <w:hideMark/>
          </w:tcPr>
          <w:p w14:paraId="5B80496A"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0.381</w:t>
            </w:r>
          </w:p>
        </w:tc>
      </w:tr>
      <w:tr w:rsidR="00206934" w:rsidRPr="009C486D" w14:paraId="6F1C228D" w14:textId="77777777" w:rsidTr="004601C9">
        <w:trPr>
          <w:trHeight w:hRule="exact" w:val="317"/>
        </w:trPr>
        <w:tc>
          <w:tcPr>
            <w:tcW w:w="2626" w:type="dxa"/>
            <w:shd w:val="clear" w:color="auto" w:fill="auto"/>
            <w:vAlign w:val="center"/>
            <w:hideMark/>
          </w:tcPr>
          <w:p w14:paraId="3D3BE311" w14:textId="77777777" w:rsidR="00206934" w:rsidRPr="009C486D" w:rsidRDefault="00206934" w:rsidP="004601C9">
            <w:pPr>
              <w:ind w:left="150"/>
              <w:jc w:val="left"/>
              <w:rPr>
                <w:rFonts w:eastAsia="Times New Roman" w:cs="Times New Roman"/>
                <w:color w:val="000000"/>
                <w:sz w:val="20"/>
                <w:szCs w:val="20"/>
              </w:rPr>
            </w:pPr>
            <w:r w:rsidRPr="009C486D">
              <w:rPr>
                <w:rFonts w:eastAsia="Times New Roman" w:cs="Times New Roman"/>
                <w:color w:val="000000"/>
                <w:sz w:val="20"/>
                <w:szCs w:val="20"/>
              </w:rPr>
              <w:t>Proportion of arterial road</w:t>
            </w:r>
          </w:p>
        </w:tc>
        <w:tc>
          <w:tcPr>
            <w:tcW w:w="4018" w:type="dxa"/>
            <w:shd w:val="clear" w:color="auto" w:fill="auto"/>
            <w:vAlign w:val="center"/>
            <w:hideMark/>
          </w:tcPr>
          <w:p w14:paraId="3D82C51D" w14:textId="77777777" w:rsidR="00206934" w:rsidRPr="009C486D" w:rsidRDefault="00206934" w:rsidP="004601C9">
            <w:pPr>
              <w:jc w:val="left"/>
              <w:rPr>
                <w:rFonts w:eastAsia="Times New Roman" w:cs="Times New Roman"/>
                <w:color w:val="000000"/>
                <w:sz w:val="20"/>
                <w:szCs w:val="20"/>
              </w:rPr>
            </w:pPr>
            <w:r>
              <w:rPr>
                <w:rFonts w:eastAsia="Times New Roman" w:cs="Times New Roman"/>
                <w:color w:val="000000"/>
                <w:sz w:val="20"/>
                <w:szCs w:val="20"/>
              </w:rPr>
              <w:t xml:space="preserve">(Arterial road length/total road length) </w:t>
            </w:r>
          </w:p>
        </w:tc>
        <w:tc>
          <w:tcPr>
            <w:tcW w:w="1552" w:type="dxa"/>
            <w:shd w:val="clear" w:color="auto" w:fill="auto"/>
            <w:noWrap/>
            <w:vAlign w:val="center"/>
            <w:hideMark/>
          </w:tcPr>
          <w:p w14:paraId="5CD0BD61"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shd w:val="clear" w:color="auto" w:fill="auto"/>
            <w:noWrap/>
            <w:vAlign w:val="center"/>
            <w:hideMark/>
          </w:tcPr>
          <w:p w14:paraId="4EFE15E4"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1.000</w:t>
            </w:r>
          </w:p>
        </w:tc>
        <w:tc>
          <w:tcPr>
            <w:tcW w:w="1358" w:type="dxa"/>
            <w:shd w:val="clear" w:color="auto" w:fill="auto"/>
            <w:noWrap/>
            <w:vAlign w:val="center"/>
            <w:hideMark/>
          </w:tcPr>
          <w:p w14:paraId="049ABC00"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w:t>
            </w:r>
            <w:r>
              <w:rPr>
                <w:rFonts w:eastAsia="Times New Roman" w:cs="Times New Roman"/>
                <w:color w:val="000000"/>
                <w:sz w:val="20"/>
                <w:szCs w:val="20"/>
              </w:rPr>
              <w:t>0</w:t>
            </w:r>
            <w:r w:rsidRPr="009C486D">
              <w:rPr>
                <w:rFonts w:eastAsia="Times New Roman" w:cs="Times New Roman"/>
                <w:color w:val="000000"/>
                <w:sz w:val="20"/>
                <w:szCs w:val="20"/>
              </w:rPr>
              <w:t>377</w:t>
            </w:r>
          </w:p>
        </w:tc>
        <w:tc>
          <w:tcPr>
            <w:tcW w:w="1746" w:type="dxa"/>
            <w:shd w:val="clear" w:color="auto" w:fill="auto"/>
            <w:noWrap/>
            <w:vAlign w:val="center"/>
            <w:hideMark/>
          </w:tcPr>
          <w:p w14:paraId="3F2AFC41"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0.393</w:t>
            </w:r>
          </w:p>
        </w:tc>
      </w:tr>
      <w:tr w:rsidR="00206934" w:rsidRPr="009C486D" w14:paraId="6E86B68C" w14:textId="77777777" w:rsidTr="004601C9">
        <w:trPr>
          <w:trHeight w:hRule="exact" w:val="317"/>
        </w:trPr>
        <w:tc>
          <w:tcPr>
            <w:tcW w:w="2626" w:type="dxa"/>
            <w:shd w:val="clear" w:color="auto" w:fill="auto"/>
            <w:vAlign w:val="center"/>
          </w:tcPr>
          <w:p w14:paraId="25666C5E" w14:textId="77777777" w:rsidR="00206934" w:rsidRPr="009C486D" w:rsidRDefault="00206934" w:rsidP="004601C9">
            <w:pPr>
              <w:ind w:left="150"/>
              <w:jc w:val="left"/>
              <w:rPr>
                <w:rFonts w:eastAsia="Times New Roman" w:cs="Times New Roman"/>
                <w:color w:val="000000"/>
                <w:sz w:val="20"/>
                <w:szCs w:val="20"/>
              </w:rPr>
            </w:pPr>
            <w:r w:rsidRPr="009C486D">
              <w:rPr>
                <w:rFonts w:eastAsia="Times New Roman" w:cs="Times New Roman"/>
                <w:color w:val="000000"/>
                <w:sz w:val="20"/>
                <w:szCs w:val="20"/>
              </w:rPr>
              <w:t xml:space="preserve">Proportion of </w:t>
            </w:r>
            <w:r>
              <w:rPr>
                <w:rFonts w:eastAsia="Times New Roman" w:cs="Times New Roman"/>
                <w:color w:val="000000"/>
                <w:sz w:val="20"/>
                <w:szCs w:val="20"/>
              </w:rPr>
              <w:t>local</w:t>
            </w:r>
            <w:r w:rsidRPr="009C486D">
              <w:rPr>
                <w:rFonts w:eastAsia="Times New Roman" w:cs="Times New Roman"/>
                <w:color w:val="000000"/>
                <w:sz w:val="20"/>
                <w:szCs w:val="20"/>
              </w:rPr>
              <w:t xml:space="preserve"> road</w:t>
            </w:r>
          </w:p>
        </w:tc>
        <w:tc>
          <w:tcPr>
            <w:tcW w:w="4018" w:type="dxa"/>
            <w:shd w:val="clear" w:color="auto" w:fill="auto"/>
            <w:vAlign w:val="center"/>
          </w:tcPr>
          <w:p w14:paraId="65581069" w14:textId="77777777" w:rsidR="00206934" w:rsidRDefault="00206934" w:rsidP="004601C9">
            <w:pPr>
              <w:jc w:val="left"/>
              <w:rPr>
                <w:rFonts w:eastAsia="Times New Roman" w:cs="Times New Roman"/>
                <w:color w:val="000000"/>
                <w:sz w:val="20"/>
                <w:szCs w:val="20"/>
              </w:rPr>
            </w:pPr>
            <w:r>
              <w:rPr>
                <w:rFonts w:eastAsia="Times New Roman" w:cs="Times New Roman"/>
                <w:color w:val="000000"/>
                <w:sz w:val="20"/>
                <w:szCs w:val="20"/>
              </w:rPr>
              <w:t>(Local road length/total road length)</w:t>
            </w:r>
          </w:p>
        </w:tc>
        <w:tc>
          <w:tcPr>
            <w:tcW w:w="1552" w:type="dxa"/>
            <w:shd w:val="clear" w:color="auto" w:fill="auto"/>
            <w:noWrap/>
            <w:vAlign w:val="center"/>
          </w:tcPr>
          <w:p w14:paraId="7E7A8A2C"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shd w:val="clear" w:color="auto" w:fill="auto"/>
            <w:noWrap/>
            <w:vAlign w:val="center"/>
          </w:tcPr>
          <w:p w14:paraId="3E13A7C1"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1.000</w:t>
            </w:r>
          </w:p>
        </w:tc>
        <w:tc>
          <w:tcPr>
            <w:tcW w:w="1358" w:type="dxa"/>
            <w:shd w:val="clear" w:color="auto" w:fill="auto"/>
            <w:noWrap/>
            <w:vAlign w:val="center"/>
          </w:tcPr>
          <w:p w14:paraId="13177500" w14:textId="77777777" w:rsidR="00206934" w:rsidRPr="009C486D" w:rsidRDefault="00206934" w:rsidP="004601C9">
            <w:pPr>
              <w:jc w:val="center"/>
              <w:rPr>
                <w:rFonts w:eastAsia="Times New Roman" w:cs="Times New Roman"/>
                <w:color w:val="000000"/>
                <w:sz w:val="20"/>
                <w:szCs w:val="20"/>
              </w:rPr>
            </w:pPr>
            <w:r>
              <w:rPr>
                <w:rFonts w:eastAsia="Times New Roman" w:cs="Times New Roman"/>
                <w:color w:val="000000"/>
                <w:sz w:val="20"/>
                <w:szCs w:val="20"/>
              </w:rPr>
              <w:t>0.053</w:t>
            </w:r>
          </w:p>
        </w:tc>
        <w:tc>
          <w:tcPr>
            <w:tcW w:w="1746" w:type="dxa"/>
            <w:shd w:val="clear" w:color="auto" w:fill="auto"/>
            <w:noWrap/>
            <w:vAlign w:val="center"/>
          </w:tcPr>
          <w:p w14:paraId="05F04B55" w14:textId="77777777" w:rsidR="00206934" w:rsidRPr="009C486D" w:rsidRDefault="00206934" w:rsidP="004601C9">
            <w:pPr>
              <w:jc w:val="center"/>
              <w:rPr>
                <w:rFonts w:eastAsia="Times New Roman" w:cs="Times New Roman"/>
                <w:color w:val="000000"/>
                <w:sz w:val="20"/>
                <w:szCs w:val="20"/>
              </w:rPr>
            </w:pPr>
            <w:r>
              <w:rPr>
                <w:rFonts w:eastAsia="Times New Roman" w:cs="Times New Roman"/>
                <w:color w:val="000000"/>
                <w:sz w:val="20"/>
                <w:szCs w:val="20"/>
              </w:rPr>
              <w:t>0.170</w:t>
            </w:r>
          </w:p>
        </w:tc>
      </w:tr>
      <w:tr w:rsidR="00206934" w:rsidRPr="009C486D" w14:paraId="7247034C" w14:textId="77777777" w:rsidTr="004601C9">
        <w:trPr>
          <w:trHeight w:hRule="exact" w:val="317"/>
        </w:trPr>
        <w:tc>
          <w:tcPr>
            <w:tcW w:w="2626" w:type="dxa"/>
            <w:shd w:val="clear" w:color="auto" w:fill="auto"/>
            <w:vAlign w:val="center"/>
            <w:hideMark/>
          </w:tcPr>
          <w:p w14:paraId="4115FB51" w14:textId="77777777" w:rsidR="00206934" w:rsidRPr="009C486D" w:rsidRDefault="00206934" w:rsidP="004601C9">
            <w:pPr>
              <w:ind w:left="150"/>
              <w:jc w:val="left"/>
              <w:rPr>
                <w:rFonts w:eastAsia="Times New Roman" w:cs="Times New Roman"/>
                <w:color w:val="000000"/>
                <w:sz w:val="20"/>
                <w:szCs w:val="20"/>
              </w:rPr>
            </w:pPr>
            <w:r>
              <w:rPr>
                <w:rFonts w:eastAsia="Times New Roman" w:cs="Times New Roman"/>
                <w:color w:val="000000"/>
                <w:sz w:val="20"/>
                <w:szCs w:val="20"/>
              </w:rPr>
              <w:t xml:space="preserve">Number of </w:t>
            </w:r>
            <w:r w:rsidRPr="009C486D">
              <w:rPr>
                <w:rFonts w:eastAsia="Times New Roman" w:cs="Times New Roman"/>
                <w:color w:val="000000"/>
                <w:sz w:val="20"/>
                <w:szCs w:val="20"/>
              </w:rPr>
              <w:t>Intersection</w:t>
            </w:r>
          </w:p>
        </w:tc>
        <w:tc>
          <w:tcPr>
            <w:tcW w:w="4018" w:type="dxa"/>
            <w:shd w:val="clear" w:color="auto" w:fill="auto"/>
            <w:vAlign w:val="center"/>
            <w:hideMark/>
          </w:tcPr>
          <w:p w14:paraId="03571FFB" w14:textId="77777777" w:rsidR="00206934" w:rsidRPr="009C486D" w:rsidRDefault="00206934" w:rsidP="004601C9">
            <w:pPr>
              <w:jc w:val="left"/>
              <w:rPr>
                <w:rFonts w:eastAsia="Times New Roman" w:cs="Times New Roman"/>
                <w:color w:val="000000"/>
                <w:sz w:val="20"/>
                <w:szCs w:val="20"/>
              </w:rPr>
            </w:pPr>
            <w:r w:rsidRPr="009C486D">
              <w:rPr>
                <w:rFonts w:eastAsia="Times New Roman" w:cs="Times New Roman"/>
                <w:color w:val="000000"/>
                <w:sz w:val="20"/>
                <w:szCs w:val="20"/>
              </w:rPr>
              <w:t>Ln (no of intersection)</w:t>
            </w:r>
          </w:p>
        </w:tc>
        <w:tc>
          <w:tcPr>
            <w:tcW w:w="1552" w:type="dxa"/>
            <w:shd w:val="clear" w:color="auto" w:fill="auto"/>
            <w:noWrap/>
            <w:vAlign w:val="center"/>
            <w:hideMark/>
          </w:tcPr>
          <w:p w14:paraId="40729396"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shd w:val="clear" w:color="auto" w:fill="auto"/>
            <w:noWrap/>
            <w:vAlign w:val="center"/>
            <w:hideMark/>
          </w:tcPr>
          <w:p w14:paraId="0694AC33"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4.682</w:t>
            </w:r>
          </w:p>
        </w:tc>
        <w:tc>
          <w:tcPr>
            <w:tcW w:w="1358" w:type="dxa"/>
            <w:shd w:val="clear" w:color="auto" w:fill="auto"/>
            <w:noWrap/>
            <w:vAlign w:val="center"/>
            <w:hideMark/>
          </w:tcPr>
          <w:p w14:paraId="109ED7AE"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1.921</w:t>
            </w:r>
          </w:p>
        </w:tc>
        <w:tc>
          <w:tcPr>
            <w:tcW w:w="1746" w:type="dxa"/>
            <w:shd w:val="clear" w:color="auto" w:fill="auto"/>
            <w:noWrap/>
            <w:vAlign w:val="center"/>
            <w:hideMark/>
          </w:tcPr>
          <w:p w14:paraId="38C4D5B3"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1.053</w:t>
            </w:r>
          </w:p>
        </w:tc>
      </w:tr>
      <w:tr w:rsidR="00206934" w:rsidRPr="009C486D" w14:paraId="14CFD75E" w14:textId="77777777" w:rsidTr="004601C9">
        <w:trPr>
          <w:trHeight w:hRule="exact" w:val="317"/>
        </w:trPr>
        <w:tc>
          <w:tcPr>
            <w:tcW w:w="2626" w:type="dxa"/>
            <w:shd w:val="clear" w:color="auto" w:fill="auto"/>
            <w:vAlign w:val="center"/>
            <w:hideMark/>
          </w:tcPr>
          <w:p w14:paraId="2956818F" w14:textId="77777777" w:rsidR="00206934" w:rsidRPr="009C486D" w:rsidRDefault="00206934" w:rsidP="004601C9">
            <w:pPr>
              <w:ind w:left="150"/>
              <w:jc w:val="left"/>
              <w:rPr>
                <w:rFonts w:eastAsia="Times New Roman" w:cs="Times New Roman"/>
                <w:color w:val="000000"/>
                <w:sz w:val="20"/>
                <w:szCs w:val="20"/>
              </w:rPr>
            </w:pPr>
            <w:r w:rsidRPr="009C486D">
              <w:rPr>
                <w:rFonts w:eastAsia="Times New Roman" w:cs="Times New Roman"/>
                <w:color w:val="000000"/>
                <w:sz w:val="20"/>
                <w:szCs w:val="20"/>
              </w:rPr>
              <w:t>Signal intensity</w:t>
            </w:r>
          </w:p>
        </w:tc>
        <w:tc>
          <w:tcPr>
            <w:tcW w:w="4018" w:type="dxa"/>
            <w:shd w:val="clear" w:color="auto" w:fill="auto"/>
            <w:vAlign w:val="center"/>
            <w:hideMark/>
          </w:tcPr>
          <w:p w14:paraId="76B503AB" w14:textId="77777777" w:rsidR="00206934" w:rsidRPr="009C486D" w:rsidRDefault="00206934" w:rsidP="004601C9">
            <w:pPr>
              <w:jc w:val="left"/>
              <w:rPr>
                <w:rFonts w:eastAsia="Times New Roman" w:cs="Times New Roman"/>
                <w:color w:val="000000"/>
                <w:sz w:val="20"/>
                <w:szCs w:val="20"/>
              </w:rPr>
            </w:pPr>
            <w:r w:rsidRPr="009C486D">
              <w:rPr>
                <w:rFonts w:eastAsia="Times New Roman" w:cs="Times New Roman"/>
                <w:color w:val="000000"/>
                <w:sz w:val="20"/>
                <w:szCs w:val="20"/>
              </w:rPr>
              <w:t>Total number of traffic signal per intersection</w:t>
            </w:r>
          </w:p>
        </w:tc>
        <w:tc>
          <w:tcPr>
            <w:tcW w:w="1552" w:type="dxa"/>
            <w:shd w:val="clear" w:color="auto" w:fill="auto"/>
            <w:noWrap/>
            <w:vAlign w:val="center"/>
            <w:hideMark/>
          </w:tcPr>
          <w:p w14:paraId="195AA438"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shd w:val="clear" w:color="auto" w:fill="auto"/>
            <w:noWrap/>
            <w:vAlign w:val="center"/>
            <w:hideMark/>
          </w:tcPr>
          <w:p w14:paraId="455ABDCD"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1.000</w:t>
            </w:r>
          </w:p>
        </w:tc>
        <w:tc>
          <w:tcPr>
            <w:tcW w:w="1358" w:type="dxa"/>
            <w:shd w:val="clear" w:color="auto" w:fill="auto"/>
            <w:noWrap/>
            <w:vAlign w:val="center"/>
            <w:hideMark/>
          </w:tcPr>
          <w:p w14:paraId="453049EC"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0.038</w:t>
            </w:r>
          </w:p>
        </w:tc>
        <w:tc>
          <w:tcPr>
            <w:tcW w:w="1746" w:type="dxa"/>
            <w:shd w:val="clear" w:color="auto" w:fill="auto"/>
            <w:noWrap/>
            <w:vAlign w:val="center"/>
            <w:hideMark/>
          </w:tcPr>
          <w:p w14:paraId="6890C483"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0.096</w:t>
            </w:r>
          </w:p>
        </w:tc>
      </w:tr>
      <w:tr w:rsidR="00206934" w:rsidRPr="009C486D" w14:paraId="42C26B50" w14:textId="77777777" w:rsidTr="004601C9">
        <w:trPr>
          <w:trHeight w:hRule="exact" w:val="317"/>
        </w:trPr>
        <w:tc>
          <w:tcPr>
            <w:tcW w:w="2626" w:type="dxa"/>
            <w:shd w:val="clear" w:color="auto" w:fill="auto"/>
            <w:vAlign w:val="center"/>
            <w:hideMark/>
          </w:tcPr>
          <w:p w14:paraId="0485FBB5" w14:textId="77777777" w:rsidR="00206934" w:rsidRPr="009C486D" w:rsidRDefault="00206934" w:rsidP="004601C9">
            <w:pPr>
              <w:ind w:left="150"/>
              <w:jc w:val="left"/>
              <w:rPr>
                <w:rFonts w:eastAsia="Times New Roman" w:cs="Times New Roman"/>
                <w:color w:val="000000"/>
                <w:sz w:val="20"/>
                <w:szCs w:val="20"/>
              </w:rPr>
            </w:pPr>
            <w:r w:rsidRPr="009C486D">
              <w:rPr>
                <w:rFonts w:eastAsia="Times New Roman" w:cs="Times New Roman"/>
                <w:color w:val="000000"/>
                <w:sz w:val="20"/>
                <w:szCs w:val="20"/>
              </w:rPr>
              <w:t>Average speed limit</w:t>
            </w:r>
          </w:p>
        </w:tc>
        <w:tc>
          <w:tcPr>
            <w:tcW w:w="4018" w:type="dxa"/>
            <w:shd w:val="clear" w:color="auto" w:fill="auto"/>
            <w:vAlign w:val="center"/>
            <w:hideMark/>
          </w:tcPr>
          <w:p w14:paraId="2315F7F7" w14:textId="77777777" w:rsidR="00206934" w:rsidRPr="009C486D" w:rsidRDefault="00206934" w:rsidP="004601C9">
            <w:pPr>
              <w:jc w:val="left"/>
              <w:rPr>
                <w:rFonts w:eastAsia="Times New Roman" w:cs="Times New Roman"/>
                <w:color w:val="000000"/>
                <w:sz w:val="20"/>
                <w:szCs w:val="20"/>
              </w:rPr>
            </w:pPr>
            <w:r w:rsidRPr="009C486D">
              <w:rPr>
                <w:rFonts w:eastAsia="Times New Roman" w:cs="Times New Roman"/>
                <w:color w:val="000000"/>
                <w:sz w:val="20"/>
                <w:szCs w:val="20"/>
              </w:rPr>
              <w:t>Ln</w:t>
            </w:r>
            <w:r>
              <w:rPr>
                <w:rFonts w:eastAsia="Times New Roman" w:cs="Times New Roman"/>
                <w:color w:val="000000"/>
                <w:sz w:val="20"/>
                <w:szCs w:val="20"/>
              </w:rPr>
              <w:t xml:space="preserve"> </w:t>
            </w:r>
            <w:r w:rsidRPr="009C486D">
              <w:rPr>
                <w:rFonts w:eastAsia="Times New Roman" w:cs="Times New Roman"/>
                <w:color w:val="000000"/>
                <w:sz w:val="20"/>
                <w:szCs w:val="20"/>
              </w:rPr>
              <w:t>(mean speed limit</w:t>
            </w:r>
            <w:r>
              <w:rPr>
                <w:rFonts w:eastAsia="Times New Roman" w:cs="Times New Roman"/>
                <w:color w:val="000000"/>
                <w:sz w:val="20"/>
                <w:szCs w:val="20"/>
              </w:rPr>
              <w:t xml:space="preserve"> in mph</w:t>
            </w:r>
            <w:r w:rsidRPr="009C486D">
              <w:rPr>
                <w:rFonts w:eastAsia="Times New Roman" w:cs="Times New Roman"/>
                <w:color w:val="000000"/>
                <w:sz w:val="20"/>
                <w:szCs w:val="20"/>
              </w:rPr>
              <w:t>)</w:t>
            </w:r>
          </w:p>
        </w:tc>
        <w:tc>
          <w:tcPr>
            <w:tcW w:w="1552" w:type="dxa"/>
            <w:shd w:val="clear" w:color="auto" w:fill="auto"/>
            <w:noWrap/>
            <w:vAlign w:val="center"/>
            <w:hideMark/>
          </w:tcPr>
          <w:p w14:paraId="1CD694D3"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shd w:val="clear" w:color="auto" w:fill="auto"/>
            <w:noWrap/>
            <w:vAlign w:val="center"/>
            <w:hideMark/>
          </w:tcPr>
          <w:p w14:paraId="6F18312D"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4.248</w:t>
            </w:r>
          </w:p>
        </w:tc>
        <w:tc>
          <w:tcPr>
            <w:tcW w:w="1358" w:type="dxa"/>
            <w:shd w:val="clear" w:color="auto" w:fill="auto"/>
            <w:noWrap/>
            <w:vAlign w:val="center"/>
            <w:hideMark/>
          </w:tcPr>
          <w:p w14:paraId="0E2372FA"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3.228</w:t>
            </w:r>
          </w:p>
        </w:tc>
        <w:tc>
          <w:tcPr>
            <w:tcW w:w="1746" w:type="dxa"/>
            <w:shd w:val="clear" w:color="auto" w:fill="auto"/>
            <w:noWrap/>
            <w:vAlign w:val="center"/>
            <w:hideMark/>
          </w:tcPr>
          <w:p w14:paraId="00FE9C64"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1.279</w:t>
            </w:r>
          </w:p>
        </w:tc>
      </w:tr>
      <w:tr w:rsidR="00206934" w:rsidRPr="009C486D" w14:paraId="184780F7" w14:textId="77777777" w:rsidTr="004601C9">
        <w:trPr>
          <w:trHeight w:hRule="exact" w:val="317"/>
        </w:trPr>
        <w:tc>
          <w:tcPr>
            <w:tcW w:w="2626" w:type="dxa"/>
            <w:shd w:val="clear" w:color="auto" w:fill="auto"/>
            <w:vAlign w:val="center"/>
            <w:hideMark/>
          </w:tcPr>
          <w:p w14:paraId="379BC4BD" w14:textId="77777777" w:rsidR="00206934" w:rsidRPr="009C486D" w:rsidRDefault="00206934" w:rsidP="004601C9">
            <w:pPr>
              <w:ind w:left="150"/>
              <w:jc w:val="left"/>
              <w:rPr>
                <w:rFonts w:eastAsia="Times New Roman" w:cs="Times New Roman"/>
                <w:color w:val="000000"/>
                <w:sz w:val="20"/>
                <w:szCs w:val="20"/>
              </w:rPr>
            </w:pPr>
            <w:r w:rsidRPr="009C486D">
              <w:rPr>
                <w:rFonts w:eastAsia="Times New Roman" w:cs="Times New Roman"/>
                <w:color w:val="000000"/>
                <w:sz w:val="20"/>
                <w:szCs w:val="20"/>
              </w:rPr>
              <w:t>Variance of speed limit</w:t>
            </w:r>
          </w:p>
        </w:tc>
        <w:tc>
          <w:tcPr>
            <w:tcW w:w="4018" w:type="dxa"/>
            <w:shd w:val="clear" w:color="auto" w:fill="auto"/>
            <w:vAlign w:val="center"/>
            <w:hideMark/>
          </w:tcPr>
          <w:p w14:paraId="6DD76272" w14:textId="77777777" w:rsidR="00206934" w:rsidRPr="009C486D" w:rsidRDefault="00206934" w:rsidP="004601C9">
            <w:pPr>
              <w:jc w:val="left"/>
              <w:rPr>
                <w:rFonts w:eastAsia="Times New Roman" w:cs="Times New Roman"/>
                <w:color w:val="000000"/>
                <w:sz w:val="20"/>
                <w:szCs w:val="20"/>
              </w:rPr>
            </w:pPr>
            <w:r w:rsidRPr="009C486D">
              <w:rPr>
                <w:rFonts w:eastAsia="Times New Roman" w:cs="Times New Roman"/>
                <w:color w:val="000000"/>
                <w:sz w:val="20"/>
                <w:szCs w:val="20"/>
              </w:rPr>
              <w:t>Ln (variance of speed limit</w:t>
            </w:r>
            <w:r>
              <w:rPr>
                <w:rFonts w:eastAsia="Times New Roman" w:cs="Times New Roman"/>
                <w:color w:val="000000"/>
                <w:sz w:val="20"/>
                <w:szCs w:val="20"/>
              </w:rPr>
              <w:t xml:space="preserve"> in mph</w:t>
            </w:r>
            <w:r w:rsidRPr="009C486D">
              <w:rPr>
                <w:rFonts w:eastAsia="Times New Roman" w:cs="Times New Roman"/>
                <w:color w:val="000000"/>
                <w:sz w:val="20"/>
                <w:szCs w:val="20"/>
              </w:rPr>
              <w:t>)</w:t>
            </w:r>
          </w:p>
        </w:tc>
        <w:tc>
          <w:tcPr>
            <w:tcW w:w="1552" w:type="dxa"/>
            <w:shd w:val="clear" w:color="auto" w:fill="auto"/>
            <w:noWrap/>
            <w:vAlign w:val="center"/>
            <w:hideMark/>
          </w:tcPr>
          <w:p w14:paraId="7AE89CCE"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shd w:val="clear" w:color="auto" w:fill="auto"/>
            <w:noWrap/>
            <w:vAlign w:val="center"/>
            <w:hideMark/>
          </w:tcPr>
          <w:p w14:paraId="48D49288"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6.686</w:t>
            </w:r>
          </w:p>
        </w:tc>
        <w:tc>
          <w:tcPr>
            <w:tcW w:w="1358" w:type="dxa"/>
            <w:shd w:val="clear" w:color="auto" w:fill="auto"/>
            <w:noWrap/>
            <w:vAlign w:val="center"/>
            <w:hideMark/>
          </w:tcPr>
          <w:p w14:paraId="1E064373"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2.325</w:t>
            </w:r>
          </w:p>
        </w:tc>
        <w:tc>
          <w:tcPr>
            <w:tcW w:w="1746" w:type="dxa"/>
            <w:shd w:val="clear" w:color="auto" w:fill="auto"/>
            <w:noWrap/>
            <w:vAlign w:val="center"/>
            <w:hideMark/>
          </w:tcPr>
          <w:p w14:paraId="715656A9"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2.041</w:t>
            </w:r>
          </w:p>
        </w:tc>
      </w:tr>
      <w:tr w:rsidR="00206934" w:rsidRPr="009C486D" w14:paraId="7B46F51C" w14:textId="77777777" w:rsidTr="004601C9">
        <w:trPr>
          <w:trHeight w:hRule="exact" w:val="530"/>
        </w:trPr>
        <w:tc>
          <w:tcPr>
            <w:tcW w:w="2626" w:type="dxa"/>
            <w:shd w:val="clear" w:color="auto" w:fill="auto"/>
            <w:vAlign w:val="center"/>
          </w:tcPr>
          <w:p w14:paraId="0A2B490B" w14:textId="77777777" w:rsidR="00206934" w:rsidRPr="009C486D" w:rsidRDefault="00206934" w:rsidP="004601C9">
            <w:pPr>
              <w:ind w:left="150"/>
              <w:jc w:val="left"/>
              <w:rPr>
                <w:rFonts w:eastAsia="Times New Roman" w:cs="Times New Roman"/>
                <w:color w:val="000000"/>
                <w:sz w:val="20"/>
                <w:szCs w:val="20"/>
              </w:rPr>
            </w:pPr>
            <w:r>
              <w:rPr>
                <w:rFonts w:eastAsia="Times New Roman" w:cs="Times New Roman"/>
                <w:color w:val="000000"/>
                <w:sz w:val="20"/>
                <w:szCs w:val="20"/>
              </w:rPr>
              <w:t>Proportion of road with separated median</w:t>
            </w:r>
          </w:p>
        </w:tc>
        <w:tc>
          <w:tcPr>
            <w:tcW w:w="4018" w:type="dxa"/>
            <w:shd w:val="clear" w:color="auto" w:fill="auto"/>
            <w:vAlign w:val="center"/>
          </w:tcPr>
          <w:p w14:paraId="399DDF26" w14:textId="77777777" w:rsidR="00206934" w:rsidRPr="009C486D" w:rsidRDefault="00206934" w:rsidP="004601C9">
            <w:pPr>
              <w:jc w:val="left"/>
              <w:rPr>
                <w:rFonts w:eastAsia="Times New Roman" w:cs="Times New Roman"/>
                <w:color w:val="000000"/>
                <w:sz w:val="20"/>
                <w:szCs w:val="20"/>
              </w:rPr>
            </w:pPr>
            <w:r>
              <w:rPr>
                <w:rFonts w:eastAsia="Times New Roman" w:cs="Times New Roman"/>
                <w:color w:val="000000"/>
                <w:sz w:val="20"/>
                <w:szCs w:val="20"/>
              </w:rPr>
              <w:t>Length of road with separated median/total road length</w:t>
            </w:r>
          </w:p>
        </w:tc>
        <w:tc>
          <w:tcPr>
            <w:tcW w:w="1552" w:type="dxa"/>
            <w:shd w:val="clear" w:color="auto" w:fill="auto"/>
            <w:noWrap/>
            <w:vAlign w:val="center"/>
          </w:tcPr>
          <w:p w14:paraId="78867876"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shd w:val="clear" w:color="auto" w:fill="auto"/>
            <w:noWrap/>
            <w:vAlign w:val="center"/>
          </w:tcPr>
          <w:p w14:paraId="59C847E4"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1.000</w:t>
            </w:r>
          </w:p>
        </w:tc>
        <w:tc>
          <w:tcPr>
            <w:tcW w:w="1358" w:type="dxa"/>
            <w:shd w:val="clear" w:color="auto" w:fill="auto"/>
            <w:noWrap/>
            <w:vAlign w:val="center"/>
          </w:tcPr>
          <w:p w14:paraId="737AEDEF" w14:textId="77777777" w:rsidR="00206934" w:rsidRPr="009C486D" w:rsidRDefault="00206934" w:rsidP="004601C9">
            <w:pPr>
              <w:jc w:val="center"/>
              <w:rPr>
                <w:rFonts w:eastAsia="Times New Roman" w:cs="Times New Roman"/>
                <w:color w:val="000000"/>
                <w:sz w:val="20"/>
                <w:szCs w:val="20"/>
              </w:rPr>
            </w:pPr>
            <w:r>
              <w:rPr>
                <w:rFonts w:eastAsia="Times New Roman" w:cs="Times New Roman"/>
                <w:color w:val="000000"/>
                <w:sz w:val="20"/>
                <w:szCs w:val="20"/>
              </w:rPr>
              <w:t>0.510</w:t>
            </w:r>
          </w:p>
        </w:tc>
        <w:tc>
          <w:tcPr>
            <w:tcW w:w="1746" w:type="dxa"/>
            <w:shd w:val="clear" w:color="auto" w:fill="auto"/>
            <w:noWrap/>
            <w:vAlign w:val="center"/>
          </w:tcPr>
          <w:p w14:paraId="4E06F08B" w14:textId="77777777" w:rsidR="00206934" w:rsidRPr="009C486D" w:rsidRDefault="00206934" w:rsidP="004601C9">
            <w:pPr>
              <w:jc w:val="center"/>
              <w:rPr>
                <w:rFonts w:eastAsia="Times New Roman" w:cs="Times New Roman"/>
                <w:color w:val="000000"/>
                <w:sz w:val="20"/>
                <w:szCs w:val="20"/>
              </w:rPr>
            </w:pPr>
            <w:r>
              <w:rPr>
                <w:rFonts w:eastAsia="Times New Roman" w:cs="Times New Roman"/>
                <w:color w:val="000000"/>
                <w:sz w:val="20"/>
                <w:szCs w:val="20"/>
              </w:rPr>
              <w:t>0.459</w:t>
            </w:r>
          </w:p>
        </w:tc>
      </w:tr>
      <w:tr w:rsidR="00206934" w:rsidRPr="009C486D" w14:paraId="03B3FA8C" w14:textId="77777777" w:rsidTr="004601C9">
        <w:trPr>
          <w:trHeight w:hRule="exact" w:val="317"/>
        </w:trPr>
        <w:tc>
          <w:tcPr>
            <w:tcW w:w="2626" w:type="dxa"/>
            <w:shd w:val="clear" w:color="auto" w:fill="auto"/>
            <w:vAlign w:val="center"/>
          </w:tcPr>
          <w:p w14:paraId="6C363399" w14:textId="77777777" w:rsidR="00206934" w:rsidRDefault="00206934" w:rsidP="004601C9">
            <w:pPr>
              <w:ind w:left="150"/>
              <w:jc w:val="left"/>
              <w:rPr>
                <w:rFonts w:eastAsia="Times New Roman" w:cs="Times New Roman"/>
                <w:color w:val="000000"/>
                <w:sz w:val="20"/>
                <w:szCs w:val="20"/>
              </w:rPr>
            </w:pPr>
            <w:r w:rsidRPr="009C486D">
              <w:rPr>
                <w:rFonts w:eastAsia="Times New Roman" w:cs="Times New Roman"/>
                <w:color w:val="000000"/>
                <w:sz w:val="20"/>
                <w:szCs w:val="20"/>
              </w:rPr>
              <w:t>Average bike lane length</w:t>
            </w:r>
          </w:p>
        </w:tc>
        <w:tc>
          <w:tcPr>
            <w:tcW w:w="4018" w:type="dxa"/>
            <w:shd w:val="clear" w:color="auto" w:fill="auto"/>
            <w:vAlign w:val="center"/>
          </w:tcPr>
          <w:p w14:paraId="76665B4E" w14:textId="77777777" w:rsidR="00206934" w:rsidRPr="009C486D" w:rsidRDefault="00206934" w:rsidP="004601C9">
            <w:pPr>
              <w:jc w:val="left"/>
              <w:rPr>
                <w:rFonts w:eastAsia="Times New Roman" w:cs="Times New Roman"/>
                <w:color w:val="000000"/>
                <w:sz w:val="20"/>
                <w:szCs w:val="20"/>
              </w:rPr>
            </w:pPr>
            <w:r w:rsidRPr="009C486D">
              <w:rPr>
                <w:rFonts w:eastAsia="Times New Roman" w:cs="Times New Roman"/>
                <w:color w:val="000000"/>
                <w:sz w:val="20"/>
                <w:szCs w:val="20"/>
              </w:rPr>
              <w:t>Ln</w:t>
            </w:r>
            <w:r>
              <w:rPr>
                <w:rFonts w:eastAsia="Times New Roman" w:cs="Times New Roman"/>
                <w:color w:val="000000"/>
                <w:sz w:val="20"/>
                <w:szCs w:val="20"/>
              </w:rPr>
              <w:t xml:space="preserve"> </w:t>
            </w:r>
            <w:r w:rsidRPr="009C486D">
              <w:rPr>
                <w:rFonts w:eastAsia="Times New Roman" w:cs="Times New Roman"/>
                <w:color w:val="000000"/>
                <w:sz w:val="20"/>
                <w:szCs w:val="20"/>
              </w:rPr>
              <w:t>(</w:t>
            </w:r>
            <w:r>
              <w:rPr>
                <w:rFonts w:eastAsia="Times New Roman" w:cs="Times New Roman"/>
                <w:color w:val="000000"/>
                <w:sz w:val="20"/>
                <w:szCs w:val="20"/>
              </w:rPr>
              <w:t>average length of bike lane in feet)</w:t>
            </w:r>
          </w:p>
        </w:tc>
        <w:tc>
          <w:tcPr>
            <w:tcW w:w="1552" w:type="dxa"/>
            <w:shd w:val="clear" w:color="auto" w:fill="auto"/>
            <w:noWrap/>
            <w:vAlign w:val="center"/>
          </w:tcPr>
          <w:p w14:paraId="4FC9C0BD"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shd w:val="clear" w:color="auto" w:fill="auto"/>
            <w:noWrap/>
            <w:vAlign w:val="center"/>
          </w:tcPr>
          <w:p w14:paraId="09F3E0D0"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1.662</w:t>
            </w:r>
          </w:p>
        </w:tc>
        <w:tc>
          <w:tcPr>
            <w:tcW w:w="1358" w:type="dxa"/>
            <w:shd w:val="clear" w:color="auto" w:fill="auto"/>
            <w:noWrap/>
            <w:vAlign w:val="center"/>
          </w:tcPr>
          <w:p w14:paraId="6C045058"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0.044</w:t>
            </w:r>
          </w:p>
        </w:tc>
        <w:tc>
          <w:tcPr>
            <w:tcW w:w="1746" w:type="dxa"/>
            <w:shd w:val="clear" w:color="auto" w:fill="auto"/>
            <w:noWrap/>
            <w:vAlign w:val="center"/>
          </w:tcPr>
          <w:p w14:paraId="7C8B366D"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0.147</w:t>
            </w:r>
          </w:p>
        </w:tc>
      </w:tr>
      <w:tr w:rsidR="00206934" w:rsidRPr="009C486D" w14:paraId="4A09DB54" w14:textId="77777777" w:rsidTr="004601C9">
        <w:trPr>
          <w:trHeight w:hRule="exact" w:val="478"/>
        </w:trPr>
        <w:tc>
          <w:tcPr>
            <w:tcW w:w="2626" w:type="dxa"/>
            <w:shd w:val="clear" w:color="auto" w:fill="auto"/>
            <w:vAlign w:val="center"/>
          </w:tcPr>
          <w:p w14:paraId="2A9F8595" w14:textId="77777777" w:rsidR="00206934" w:rsidRDefault="00206934" w:rsidP="004601C9">
            <w:pPr>
              <w:ind w:left="150"/>
              <w:jc w:val="left"/>
              <w:rPr>
                <w:rFonts w:eastAsia="Times New Roman" w:cs="Times New Roman"/>
                <w:color w:val="000000"/>
                <w:sz w:val="20"/>
                <w:szCs w:val="20"/>
              </w:rPr>
            </w:pPr>
            <w:r w:rsidRPr="009C486D">
              <w:rPr>
                <w:rFonts w:eastAsia="Times New Roman" w:cs="Times New Roman"/>
                <w:color w:val="000000"/>
                <w:sz w:val="20"/>
                <w:szCs w:val="20"/>
              </w:rPr>
              <w:t>Average inside shoulder width</w:t>
            </w:r>
          </w:p>
        </w:tc>
        <w:tc>
          <w:tcPr>
            <w:tcW w:w="4018" w:type="dxa"/>
            <w:shd w:val="clear" w:color="auto" w:fill="auto"/>
            <w:vAlign w:val="center"/>
          </w:tcPr>
          <w:p w14:paraId="44D46BDC" w14:textId="77777777" w:rsidR="00206934" w:rsidRPr="009C486D" w:rsidRDefault="00206934" w:rsidP="004601C9">
            <w:pPr>
              <w:jc w:val="left"/>
              <w:rPr>
                <w:rFonts w:eastAsia="Times New Roman" w:cs="Times New Roman"/>
                <w:color w:val="000000"/>
                <w:sz w:val="20"/>
                <w:szCs w:val="20"/>
              </w:rPr>
            </w:pPr>
            <w:r w:rsidRPr="009C486D">
              <w:rPr>
                <w:rFonts w:eastAsia="Times New Roman" w:cs="Times New Roman"/>
                <w:color w:val="000000"/>
                <w:sz w:val="20"/>
                <w:szCs w:val="20"/>
              </w:rPr>
              <w:t>Ln</w:t>
            </w:r>
            <w:r>
              <w:rPr>
                <w:rFonts w:eastAsia="Times New Roman" w:cs="Times New Roman"/>
                <w:color w:val="000000"/>
                <w:sz w:val="20"/>
                <w:szCs w:val="20"/>
              </w:rPr>
              <w:t xml:space="preserve"> </w:t>
            </w:r>
            <w:r w:rsidRPr="009C486D">
              <w:rPr>
                <w:rFonts w:eastAsia="Times New Roman" w:cs="Times New Roman"/>
                <w:color w:val="000000"/>
                <w:sz w:val="20"/>
                <w:szCs w:val="20"/>
              </w:rPr>
              <w:t>(av</w:t>
            </w:r>
            <w:r>
              <w:rPr>
                <w:rFonts w:eastAsia="Times New Roman" w:cs="Times New Roman"/>
                <w:color w:val="000000"/>
                <w:sz w:val="20"/>
                <w:szCs w:val="20"/>
              </w:rPr>
              <w:t>era</w:t>
            </w:r>
            <w:r w:rsidRPr="009C486D">
              <w:rPr>
                <w:rFonts w:eastAsia="Times New Roman" w:cs="Times New Roman"/>
                <w:color w:val="000000"/>
                <w:sz w:val="20"/>
                <w:szCs w:val="20"/>
              </w:rPr>
              <w:t>g</w:t>
            </w:r>
            <w:r>
              <w:rPr>
                <w:rFonts w:eastAsia="Times New Roman" w:cs="Times New Roman"/>
                <w:color w:val="000000"/>
                <w:sz w:val="20"/>
                <w:szCs w:val="20"/>
              </w:rPr>
              <w:t>e</w:t>
            </w:r>
            <w:r w:rsidRPr="009C486D">
              <w:rPr>
                <w:rFonts w:eastAsia="Times New Roman" w:cs="Times New Roman"/>
                <w:color w:val="000000"/>
                <w:sz w:val="20"/>
                <w:szCs w:val="20"/>
              </w:rPr>
              <w:t xml:space="preserve"> inside shoulder width</w:t>
            </w:r>
            <w:r>
              <w:rPr>
                <w:rFonts w:eastAsia="Times New Roman" w:cs="Times New Roman"/>
                <w:color w:val="000000"/>
                <w:sz w:val="20"/>
                <w:szCs w:val="20"/>
              </w:rPr>
              <w:t xml:space="preserve"> in feet</w:t>
            </w:r>
            <w:r w:rsidRPr="009C486D">
              <w:rPr>
                <w:rFonts w:eastAsia="Times New Roman" w:cs="Times New Roman"/>
                <w:color w:val="000000"/>
                <w:sz w:val="20"/>
                <w:szCs w:val="20"/>
              </w:rPr>
              <w:t>)</w:t>
            </w:r>
          </w:p>
        </w:tc>
        <w:tc>
          <w:tcPr>
            <w:tcW w:w="1552" w:type="dxa"/>
            <w:shd w:val="clear" w:color="auto" w:fill="auto"/>
            <w:noWrap/>
            <w:vAlign w:val="center"/>
          </w:tcPr>
          <w:p w14:paraId="243AC2BF"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shd w:val="clear" w:color="auto" w:fill="auto"/>
            <w:noWrap/>
            <w:vAlign w:val="center"/>
          </w:tcPr>
          <w:p w14:paraId="7D4DDB78"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2.650</w:t>
            </w:r>
          </w:p>
        </w:tc>
        <w:tc>
          <w:tcPr>
            <w:tcW w:w="1358" w:type="dxa"/>
            <w:shd w:val="clear" w:color="auto" w:fill="auto"/>
            <w:noWrap/>
            <w:vAlign w:val="center"/>
          </w:tcPr>
          <w:p w14:paraId="2EE992BD"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0.288</w:t>
            </w:r>
          </w:p>
        </w:tc>
        <w:tc>
          <w:tcPr>
            <w:tcW w:w="1746" w:type="dxa"/>
            <w:shd w:val="clear" w:color="auto" w:fill="auto"/>
            <w:noWrap/>
            <w:vAlign w:val="center"/>
          </w:tcPr>
          <w:p w14:paraId="51AF3826"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0.445</w:t>
            </w:r>
          </w:p>
        </w:tc>
      </w:tr>
      <w:tr w:rsidR="00206934" w:rsidRPr="009C486D" w14:paraId="17852CDF" w14:textId="77777777" w:rsidTr="004601C9">
        <w:trPr>
          <w:trHeight w:hRule="exact" w:val="451"/>
        </w:trPr>
        <w:tc>
          <w:tcPr>
            <w:tcW w:w="2626" w:type="dxa"/>
            <w:shd w:val="clear" w:color="auto" w:fill="auto"/>
            <w:vAlign w:val="center"/>
          </w:tcPr>
          <w:p w14:paraId="772FF0F7" w14:textId="77777777" w:rsidR="00206934" w:rsidRDefault="00206934" w:rsidP="004601C9">
            <w:pPr>
              <w:ind w:left="150"/>
              <w:jc w:val="left"/>
              <w:rPr>
                <w:rFonts w:eastAsia="Times New Roman" w:cs="Times New Roman"/>
                <w:color w:val="000000"/>
                <w:sz w:val="20"/>
                <w:szCs w:val="20"/>
              </w:rPr>
            </w:pPr>
            <w:r w:rsidRPr="009C486D">
              <w:rPr>
                <w:rFonts w:eastAsia="Times New Roman" w:cs="Times New Roman"/>
                <w:color w:val="000000"/>
                <w:sz w:val="20"/>
                <w:szCs w:val="20"/>
              </w:rPr>
              <w:t>Average outside shoulder width</w:t>
            </w:r>
          </w:p>
        </w:tc>
        <w:tc>
          <w:tcPr>
            <w:tcW w:w="4018" w:type="dxa"/>
            <w:shd w:val="clear" w:color="auto" w:fill="auto"/>
            <w:vAlign w:val="center"/>
          </w:tcPr>
          <w:p w14:paraId="053C3091" w14:textId="77777777" w:rsidR="00206934" w:rsidRPr="009C486D" w:rsidRDefault="00206934" w:rsidP="004601C9">
            <w:pPr>
              <w:jc w:val="left"/>
              <w:rPr>
                <w:rFonts w:eastAsia="Times New Roman" w:cs="Times New Roman"/>
                <w:color w:val="000000"/>
                <w:sz w:val="20"/>
                <w:szCs w:val="20"/>
              </w:rPr>
            </w:pPr>
            <w:r w:rsidRPr="009C486D">
              <w:rPr>
                <w:rFonts w:eastAsia="Times New Roman" w:cs="Times New Roman"/>
                <w:color w:val="000000"/>
                <w:sz w:val="20"/>
                <w:szCs w:val="20"/>
              </w:rPr>
              <w:t>Ln (av</w:t>
            </w:r>
            <w:r>
              <w:rPr>
                <w:rFonts w:eastAsia="Times New Roman" w:cs="Times New Roman"/>
                <w:color w:val="000000"/>
                <w:sz w:val="20"/>
                <w:szCs w:val="20"/>
              </w:rPr>
              <w:t>era</w:t>
            </w:r>
            <w:r w:rsidRPr="009C486D">
              <w:rPr>
                <w:rFonts w:eastAsia="Times New Roman" w:cs="Times New Roman"/>
                <w:color w:val="000000"/>
                <w:sz w:val="20"/>
                <w:szCs w:val="20"/>
              </w:rPr>
              <w:t>g</w:t>
            </w:r>
            <w:r>
              <w:rPr>
                <w:rFonts w:eastAsia="Times New Roman" w:cs="Times New Roman"/>
                <w:color w:val="000000"/>
                <w:sz w:val="20"/>
                <w:szCs w:val="20"/>
              </w:rPr>
              <w:t>e</w:t>
            </w:r>
            <w:r w:rsidRPr="009C486D">
              <w:rPr>
                <w:rFonts w:eastAsia="Times New Roman" w:cs="Times New Roman"/>
                <w:color w:val="000000"/>
                <w:sz w:val="20"/>
                <w:szCs w:val="20"/>
              </w:rPr>
              <w:t xml:space="preserve"> outside shoulder width in feet)</w:t>
            </w:r>
          </w:p>
        </w:tc>
        <w:tc>
          <w:tcPr>
            <w:tcW w:w="1552" w:type="dxa"/>
            <w:shd w:val="clear" w:color="auto" w:fill="auto"/>
            <w:noWrap/>
            <w:vAlign w:val="center"/>
          </w:tcPr>
          <w:p w14:paraId="711FCF77"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shd w:val="clear" w:color="auto" w:fill="auto"/>
            <w:noWrap/>
            <w:vAlign w:val="center"/>
          </w:tcPr>
          <w:p w14:paraId="6C66E92F"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2.977</w:t>
            </w:r>
          </w:p>
        </w:tc>
        <w:tc>
          <w:tcPr>
            <w:tcW w:w="1358" w:type="dxa"/>
            <w:shd w:val="clear" w:color="auto" w:fill="auto"/>
            <w:noWrap/>
            <w:vAlign w:val="center"/>
          </w:tcPr>
          <w:p w14:paraId="430CB213"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0.964</w:t>
            </w:r>
          </w:p>
        </w:tc>
        <w:tc>
          <w:tcPr>
            <w:tcW w:w="1746" w:type="dxa"/>
            <w:shd w:val="clear" w:color="auto" w:fill="auto"/>
            <w:noWrap/>
            <w:vAlign w:val="center"/>
          </w:tcPr>
          <w:p w14:paraId="5918626F"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0.579</w:t>
            </w:r>
          </w:p>
        </w:tc>
      </w:tr>
      <w:tr w:rsidR="00206934" w:rsidRPr="009C486D" w14:paraId="038C07C3" w14:textId="77777777" w:rsidTr="004601C9">
        <w:trPr>
          <w:trHeight w:hRule="exact" w:val="317"/>
        </w:trPr>
        <w:tc>
          <w:tcPr>
            <w:tcW w:w="2626" w:type="dxa"/>
            <w:shd w:val="clear" w:color="auto" w:fill="auto"/>
            <w:vAlign w:val="center"/>
          </w:tcPr>
          <w:p w14:paraId="6B1713BE" w14:textId="77777777" w:rsidR="00206934" w:rsidRDefault="00206934" w:rsidP="004601C9">
            <w:pPr>
              <w:ind w:left="150"/>
              <w:jc w:val="left"/>
              <w:rPr>
                <w:rFonts w:eastAsia="Times New Roman" w:cs="Times New Roman"/>
                <w:color w:val="000000"/>
                <w:sz w:val="20"/>
                <w:szCs w:val="20"/>
              </w:rPr>
            </w:pPr>
            <w:r w:rsidRPr="009C486D">
              <w:rPr>
                <w:rFonts w:eastAsia="Times New Roman" w:cs="Times New Roman"/>
                <w:color w:val="000000"/>
                <w:sz w:val="20"/>
                <w:szCs w:val="20"/>
              </w:rPr>
              <w:t>Average sidewalk width</w:t>
            </w:r>
          </w:p>
        </w:tc>
        <w:tc>
          <w:tcPr>
            <w:tcW w:w="4018" w:type="dxa"/>
            <w:shd w:val="clear" w:color="auto" w:fill="auto"/>
            <w:vAlign w:val="center"/>
          </w:tcPr>
          <w:p w14:paraId="6F5D4AB8" w14:textId="77777777" w:rsidR="00206934" w:rsidRPr="009C486D" w:rsidRDefault="00206934" w:rsidP="004601C9">
            <w:pPr>
              <w:jc w:val="left"/>
              <w:rPr>
                <w:rFonts w:eastAsia="Times New Roman" w:cs="Times New Roman"/>
                <w:color w:val="000000"/>
                <w:sz w:val="20"/>
                <w:szCs w:val="20"/>
              </w:rPr>
            </w:pPr>
            <w:r w:rsidRPr="009C486D">
              <w:rPr>
                <w:rFonts w:eastAsia="Times New Roman" w:cs="Times New Roman"/>
                <w:color w:val="000000"/>
                <w:sz w:val="20"/>
                <w:szCs w:val="20"/>
              </w:rPr>
              <w:t>Ln</w:t>
            </w:r>
            <w:r>
              <w:rPr>
                <w:rFonts w:eastAsia="Times New Roman" w:cs="Times New Roman"/>
                <w:color w:val="000000"/>
                <w:sz w:val="20"/>
                <w:szCs w:val="20"/>
              </w:rPr>
              <w:t xml:space="preserve"> </w:t>
            </w:r>
            <w:r w:rsidRPr="009C486D">
              <w:rPr>
                <w:rFonts w:eastAsia="Times New Roman" w:cs="Times New Roman"/>
                <w:color w:val="000000"/>
                <w:sz w:val="20"/>
                <w:szCs w:val="20"/>
              </w:rPr>
              <w:t>(av</w:t>
            </w:r>
            <w:r>
              <w:rPr>
                <w:rFonts w:eastAsia="Times New Roman" w:cs="Times New Roman"/>
                <w:color w:val="000000"/>
                <w:sz w:val="20"/>
                <w:szCs w:val="20"/>
              </w:rPr>
              <w:t>era</w:t>
            </w:r>
            <w:r w:rsidRPr="009C486D">
              <w:rPr>
                <w:rFonts w:eastAsia="Times New Roman" w:cs="Times New Roman"/>
                <w:color w:val="000000"/>
                <w:sz w:val="20"/>
                <w:szCs w:val="20"/>
              </w:rPr>
              <w:t>g</w:t>
            </w:r>
            <w:r>
              <w:rPr>
                <w:rFonts w:eastAsia="Times New Roman" w:cs="Times New Roman"/>
                <w:color w:val="000000"/>
                <w:sz w:val="20"/>
                <w:szCs w:val="20"/>
              </w:rPr>
              <w:t>e</w:t>
            </w:r>
            <w:r w:rsidRPr="009C486D">
              <w:rPr>
                <w:rFonts w:eastAsia="Times New Roman" w:cs="Times New Roman"/>
                <w:color w:val="000000"/>
                <w:sz w:val="20"/>
                <w:szCs w:val="20"/>
              </w:rPr>
              <w:t xml:space="preserve"> sidewalk width in feet)</w:t>
            </w:r>
          </w:p>
        </w:tc>
        <w:tc>
          <w:tcPr>
            <w:tcW w:w="1552" w:type="dxa"/>
            <w:shd w:val="clear" w:color="auto" w:fill="auto"/>
            <w:noWrap/>
            <w:vAlign w:val="center"/>
          </w:tcPr>
          <w:p w14:paraId="690867DB"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shd w:val="clear" w:color="auto" w:fill="auto"/>
            <w:noWrap/>
            <w:vAlign w:val="center"/>
          </w:tcPr>
          <w:p w14:paraId="028535DF"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2.977</w:t>
            </w:r>
          </w:p>
        </w:tc>
        <w:tc>
          <w:tcPr>
            <w:tcW w:w="1358" w:type="dxa"/>
            <w:shd w:val="clear" w:color="auto" w:fill="auto"/>
            <w:noWrap/>
            <w:vAlign w:val="center"/>
          </w:tcPr>
          <w:p w14:paraId="4B706269"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0.964</w:t>
            </w:r>
          </w:p>
        </w:tc>
        <w:tc>
          <w:tcPr>
            <w:tcW w:w="1746" w:type="dxa"/>
            <w:shd w:val="clear" w:color="auto" w:fill="auto"/>
            <w:noWrap/>
            <w:vAlign w:val="center"/>
          </w:tcPr>
          <w:p w14:paraId="317C2B0B"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0.579</w:t>
            </w:r>
          </w:p>
        </w:tc>
      </w:tr>
      <w:tr w:rsidR="00206934" w:rsidRPr="009C486D" w14:paraId="4416B2A5" w14:textId="77777777" w:rsidTr="004601C9">
        <w:trPr>
          <w:trHeight w:hRule="exact" w:val="317"/>
        </w:trPr>
        <w:tc>
          <w:tcPr>
            <w:tcW w:w="2626" w:type="dxa"/>
            <w:shd w:val="clear" w:color="auto" w:fill="auto"/>
            <w:vAlign w:val="center"/>
            <w:hideMark/>
          </w:tcPr>
          <w:p w14:paraId="2E12713F" w14:textId="77777777" w:rsidR="00206934" w:rsidRPr="009C486D" w:rsidRDefault="00206934" w:rsidP="004601C9">
            <w:pPr>
              <w:ind w:left="150"/>
              <w:jc w:val="left"/>
              <w:rPr>
                <w:rFonts w:eastAsia="Times New Roman" w:cs="Times New Roman"/>
                <w:color w:val="000000"/>
                <w:sz w:val="20"/>
                <w:szCs w:val="20"/>
              </w:rPr>
            </w:pPr>
            <w:r>
              <w:rPr>
                <w:rFonts w:eastAsia="Times New Roman" w:cs="Times New Roman"/>
                <w:color w:val="000000"/>
                <w:sz w:val="20"/>
                <w:szCs w:val="20"/>
              </w:rPr>
              <w:t>Road ≥55mph</w:t>
            </w:r>
          </w:p>
        </w:tc>
        <w:tc>
          <w:tcPr>
            <w:tcW w:w="4018" w:type="dxa"/>
            <w:shd w:val="clear" w:color="auto" w:fill="auto"/>
            <w:vAlign w:val="center"/>
            <w:hideMark/>
          </w:tcPr>
          <w:p w14:paraId="148F5A93" w14:textId="77777777" w:rsidR="00206934" w:rsidRPr="009C486D" w:rsidRDefault="00206934" w:rsidP="004601C9">
            <w:pPr>
              <w:jc w:val="left"/>
              <w:rPr>
                <w:rFonts w:eastAsia="Times New Roman" w:cs="Times New Roman"/>
                <w:color w:val="000000"/>
                <w:sz w:val="20"/>
                <w:szCs w:val="20"/>
              </w:rPr>
            </w:pPr>
            <w:r w:rsidRPr="009C486D">
              <w:rPr>
                <w:rFonts w:eastAsia="Times New Roman" w:cs="Times New Roman"/>
                <w:color w:val="000000"/>
                <w:sz w:val="20"/>
                <w:szCs w:val="20"/>
              </w:rPr>
              <w:t>Proportion of road length greater than 55mph</w:t>
            </w:r>
          </w:p>
        </w:tc>
        <w:tc>
          <w:tcPr>
            <w:tcW w:w="1552" w:type="dxa"/>
            <w:shd w:val="clear" w:color="auto" w:fill="auto"/>
            <w:noWrap/>
            <w:vAlign w:val="center"/>
            <w:hideMark/>
          </w:tcPr>
          <w:p w14:paraId="5A928754"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shd w:val="clear" w:color="auto" w:fill="auto"/>
            <w:noWrap/>
            <w:vAlign w:val="center"/>
            <w:hideMark/>
          </w:tcPr>
          <w:p w14:paraId="425E77C2"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1.000</w:t>
            </w:r>
          </w:p>
        </w:tc>
        <w:tc>
          <w:tcPr>
            <w:tcW w:w="1358" w:type="dxa"/>
            <w:shd w:val="clear" w:color="auto" w:fill="auto"/>
            <w:noWrap/>
            <w:vAlign w:val="center"/>
            <w:hideMark/>
          </w:tcPr>
          <w:p w14:paraId="3D2529F0"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0.088</w:t>
            </w:r>
          </w:p>
        </w:tc>
        <w:tc>
          <w:tcPr>
            <w:tcW w:w="1746" w:type="dxa"/>
            <w:shd w:val="clear" w:color="auto" w:fill="auto"/>
            <w:noWrap/>
            <w:vAlign w:val="center"/>
            <w:hideMark/>
          </w:tcPr>
          <w:p w14:paraId="55C6BB92"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0.174</w:t>
            </w:r>
          </w:p>
        </w:tc>
      </w:tr>
      <w:tr w:rsidR="00206934" w:rsidRPr="009C486D" w14:paraId="35E293DE" w14:textId="77777777" w:rsidTr="004601C9">
        <w:trPr>
          <w:trHeight w:hRule="exact" w:val="503"/>
        </w:trPr>
        <w:tc>
          <w:tcPr>
            <w:tcW w:w="2626" w:type="dxa"/>
            <w:tcBorders>
              <w:bottom w:val="double" w:sz="4" w:space="0" w:color="auto"/>
            </w:tcBorders>
            <w:shd w:val="clear" w:color="auto" w:fill="auto"/>
            <w:vAlign w:val="center"/>
          </w:tcPr>
          <w:p w14:paraId="35D03F48" w14:textId="77777777" w:rsidR="00206934" w:rsidRPr="009C486D" w:rsidRDefault="00206934" w:rsidP="004601C9">
            <w:pPr>
              <w:ind w:left="150"/>
              <w:jc w:val="left"/>
              <w:rPr>
                <w:rFonts w:eastAsia="Times New Roman" w:cs="Times New Roman"/>
                <w:color w:val="000000"/>
                <w:sz w:val="20"/>
                <w:szCs w:val="20"/>
              </w:rPr>
            </w:pPr>
            <w:r>
              <w:rPr>
                <w:rFonts w:eastAsia="Times New Roman" w:cs="Times New Roman"/>
                <w:color w:val="000000"/>
                <w:sz w:val="20"/>
                <w:szCs w:val="20"/>
              </w:rPr>
              <w:t>Proportion of poor pavement road</w:t>
            </w:r>
          </w:p>
        </w:tc>
        <w:tc>
          <w:tcPr>
            <w:tcW w:w="4018" w:type="dxa"/>
            <w:tcBorders>
              <w:bottom w:val="double" w:sz="4" w:space="0" w:color="auto"/>
            </w:tcBorders>
            <w:shd w:val="clear" w:color="auto" w:fill="auto"/>
            <w:vAlign w:val="center"/>
          </w:tcPr>
          <w:p w14:paraId="111870BF" w14:textId="77777777" w:rsidR="00206934" w:rsidRPr="009C486D" w:rsidRDefault="00206934" w:rsidP="004601C9">
            <w:pPr>
              <w:jc w:val="left"/>
              <w:rPr>
                <w:rFonts w:eastAsia="Times New Roman" w:cs="Times New Roman"/>
                <w:color w:val="000000"/>
                <w:sz w:val="20"/>
                <w:szCs w:val="20"/>
              </w:rPr>
            </w:pPr>
            <w:r>
              <w:rPr>
                <w:rFonts w:eastAsia="Times New Roman" w:cs="Times New Roman"/>
                <w:color w:val="000000"/>
                <w:sz w:val="20"/>
                <w:szCs w:val="20"/>
              </w:rPr>
              <w:t>Road length with poor pavement condition/ total road length</w:t>
            </w:r>
          </w:p>
        </w:tc>
        <w:tc>
          <w:tcPr>
            <w:tcW w:w="1552" w:type="dxa"/>
            <w:tcBorders>
              <w:bottom w:val="double" w:sz="4" w:space="0" w:color="auto"/>
            </w:tcBorders>
            <w:shd w:val="clear" w:color="auto" w:fill="auto"/>
            <w:noWrap/>
            <w:vAlign w:val="center"/>
          </w:tcPr>
          <w:p w14:paraId="71A9FCB7"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tcBorders>
              <w:bottom w:val="double" w:sz="4" w:space="0" w:color="auto"/>
            </w:tcBorders>
            <w:shd w:val="clear" w:color="auto" w:fill="auto"/>
            <w:noWrap/>
            <w:vAlign w:val="center"/>
          </w:tcPr>
          <w:p w14:paraId="2150F490"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1.000</w:t>
            </w:r>
          </w:p>
        </w:tc>
        <w:tc>
          <w:tcPr>
            <w:tcW w:w="1358" w:type="dxa"/>
            <w:tcBorders>
              <w:bottom w:val="double" w:sz="4" w:space="0" w:color="auto"/>
            </w:tcBorders>
            <w:shd w:val="clear" w:color="auto" w:fill="auto"/>
            <w:noWrap/>
            <w:vAlign w:val="center"/>
          </w:tcPr>
          <w:p w14:paraId="39C30A5C" w14:textId="77777777" w:rsidR="00206934" w:rsidRPr="009C486D" w:rsidRDefault="00206934" w:rsidP="004601C9">
            <w:pPr>
              <w:jc w:val="center"/>
              <w:rPr>
                <w:rFonts w:eastAsia="Times New Roman" w:cs="Times New Roman"/>
                <w:color w:val="000000"/>
                <w:sz w:val="20"/>
                <w:szCs w:val="20"/>
              </w:rPr>
            </w:pPr>
            <w:r>
              <w:rPr>
                <w:rFonts w:eastAsia="Times New Roman" w:cs="Times New Roman"/>
                <w:color w:val="000000"/>
                <w:sz w:val="20"/>
                <w:szCs w:val="20"/>
              </w:rPr>
              <w:t>0.035</w:t>
            </w:r>
          </w:p>
        </w:tc>
        <w:tc>
          <w:tcPr>
            <w:tcW w:w="1746" w:type="dxa"/>
            <w:tcBorders>
              <w:bottom w:val="double" w:sz="4" w:space="0" w:color="auto"/>
            </w:tcBorders>
            <w:shd w:val="clear" w:color="auto" w:fill="auto"/>
            <w:noWrap/>
            <w:vAlign w:val="center"/>
          </w:tcPr>
          <w:p w14:paraId="0A71414B" w14:textId="77777777" w:rsidR="00206934" w:rsidRPr="009C486D" w:rsidRDefault="00206934" w:rsidP="004601C9">
            <w:pPr>
              <w:jc w:val="center"/>
              <w:rPr>
                <w:rFonts w:eastAsia="Times New Roman" w:cs="Times New Roman"/>
                <w:color w:val="000000"/>
                <w:sz w:val="20"/>
                <w:szCs w:val="20"/>
              </w:rPr>
            </w:pPr>
            <w:r>
              <w:rPr>
                <w:rFonts w:eastAsia="Times New Roman" w:cs="Times New Roman"/>
                <w:color w:val="000000"/>
                <w:sz w:val="20"/>
                <w:szCs w:val="20"/>
              </w:rPr>
              <w:t>0.144</w:t>
            </w:r>
          </w:p>
        </w:tc>
      </w:tr>
      <w:tr w:rsidR="00206934" w:rsidRPr="009C486D" w14:paraId="13EC532A" w14:textId="77777777" w:rsidTr="004601C9">
        <w:trPr>
          <w:trHeight w:hRule="exact" w:val="317"/>
        </w:trPr>
        <w:tc>
          <w:tcPr>
            <w:tcW w:w="12754" w:type="dxa"/>
            <w:gridSpan w:val="6"/>
            <w:tcBorders>
              <w:top w:val="double" w:sz="4" w:space="0" w:color="auto"/>
              <w:bottom w:val="double" w:sz="4" w:space="0" w:color="auto"/>
            </w:tcBorders>
            <w:shd w:val="clear" w:color="auto" w:fill="auto"/>
            <w:vAlign w:val="center"/>
            <w:hideMark/>
          </w:tcPr>
          <w:p w14:paraId="504F7946" w14:textId="77777777" w:rsidR="00206934" w:rsidRPr="009C486D" w:rsidRDefault="00206934" w:rsidP="004601C9">
            <w:pPr>
              <w:jc w:val="left"/>
              <w:rPr>
                <w:rFonts w:eastAsia="Times New Roman" w:cs="Times New Roman"/>
                <w:b/>
                <w:i/>
                <w:color w:val="000000"/>
                <w:sz w:val="20"/>
                <w:szCs w:val="20"/>
              </w:rPr>
            </w:pPr>
            <w:r w:rsidRPr="009C486D">
              <w:rPr>
                <w:rFonts w:eastAsia="Times New Roman" w:cs="Times New Roman"/>
                <w:b/>
                <w:i/>
                <w:color w:val="000000"/>
                <w:sz w:val="20"/>
                <w:szCs w:val="20"/>
              </w:rPr>
              <w:t>Land-use Attributes</w:t>
            </w:r>
          </w:p>
        </w:tc>
      </w:tr>
      <w:tr w:rsidR="00206934" w:rsidRPr="009C486D" w14:paraId="17A1963C" w14:textId="77777777" w:rsidTr="004601C9">
        <w:trPr>
          <w:trHeight w:hRule="exact" w:val="317"/>
        </w:trPr>
        <w:tc>
          <w:tcPr>
            <w:tcW w:w="2626" w:type="dxa"/>
            <w:tcBorders>
              <w:top w:val="double" w:sz="4" w:space="0" w:color="auto"/>
            </w:tcBorders>
            <w:shd w:val="clear" w:color="auto" w:fill="auto"/>
            <w:vAlign w:val="center"/>
          </w:tcPr>
          <w:p w14:paraId="6C3F38D7" w14:textId="77777777" w:rsidR="00206934" w:rsidRPr="009C486D" w:rsidRDefault="00206934" w:rsidP="004601C9">
            <w:pPr>
              <w:ind w:left="150"/>
              <w:jc w:val="left"/>
              <w:rPr>
                <w:rFonts w:eastAsia="Times New Roman" w:cs="Times New Roman"/>
                <w:color w:val="000000"/>
                <w:sz w:val="20"/>
                <w:szCs w:val="20"/>
              </w:rPr>
            </w:pPr>
            <w:r w:rsidRPr="009C486D">
              <w:rPr>
                <w:rFonts w:eastAsia="Times New Roman" w:cs="Times New Roman"/>
                <w:color w:val="000000"/>
                <w:sz w:val="20"/>
                <w:szCs w:val="20"/>
              </w:rPr>
              <w:t>Urban area</w:t>
            </w:r>
          </w:p>
        </w:tc>
        <w:tc>
          <w:tcPr>
            <w:tcW w:w="4018" w:type="dxa"/>
            <w:tcBorders>
              <w:top w:val="double" w:sz="4" w:space="0" w:color="auto"/>
            </w:tcBorders>
            <w:shd w:val="clear" w:color="auto" w:fill="auto"/>
            <w:vAlign w:val="center"/>
          </w:tcPr>
          <w:p w14:paraId="50746DFD" w14:textId="77777777" w:rsidR="00206934" w:rsidRPr="009C486D" w:rsidRDefault="00206934" w:rsidP="004601C9">
            <w:pPr>
              <w:jc w:val="left"/>
              <w:rPr>
                <w:rFonts w:eastAsia="Times New Roman" w:cs="Times New Roman"/>
                <w:color w:val="000000"/>
                <w:sz w:val="20"/>
                <w:szCs w:val="20"/>
              </w:rPr>
            </w:pPr>
            <w:r w:rsidRPr="009C486D">
              <w:rPr>
                <w:rFonts w:eastAsia="Times New Roman" w:cs="Times New Roman"/>
                <w:color w:val="000000"/>
                <w:sz w:val="20"/>
                <w:szCs w:val="20"/>
              </w:rPr>
              <w:t>Ln</w:t>
            </w:r>
            <w:r>
              <w:rPr>
                <w:rFonts w:eastAsia="Times New Roman" w:cs="Times New Roman"/>
                <w:color w:val="000000"/>
                <w:sz w:val="20"/>
                <w:szCs w:val="20"/>
              </w:rPr>
              <w:t xml:space="preserve"> </w:t>
            </w:r>
            <w:r w:rsidRPr="009C486D">
              <w:rPr>
                <w:rFonts w:eastAsia="Times New Roman" w:cs="Times New Roman"/>
                <w:color w:val="000000"/>
                <w:sz w:val="20"/>
                <w:szCs w:val="20"/>
              </w:rPr>
              <w:t>(urban area+1)</w:t>
            </w:r>
            <w:r>
              <w:rPr>
                <w:rFonts w:eastAsia="Times New Roman" w:cs="Times New Roman"/>
                <w:color w:val="000000"/>
                <w:sz w:val="20"/>
                <w:szCs w:val="20"/>
              </w:rPr>
              <w:t xml:space="preserve"> in acre</w:t>
            </w:r>
          </w:p>
        </w:tc>
        <w:tc>
          <w:tcPr>
            <w:tcW w:w="1552" w:type="dxa"/>
            <w:tcBorders>
              <w:top w:val="double" w:sz="4" w:space="0" w:color="auto"/>
            </w:tcBorders>
            <w:shd w:val="clear" w:color="auto" w:fill="auto"/>
            <w:noWrap/>
            <w:vAlign w:val="center"/>
          </w:tcPr>
          <w:p w14:paraId="1DAC73AE"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tcBorders>
              <w:top w:val="double" w:sz="4" w:space="0" w:color="auto"/>
            </w:tcBorders>
            <w:shd w:val="clear" w:color="auto" w:fill="auto"/>
            <w:noWrap/>
            <w:vAlign w:val="center"/>
          </w:tcPr>
          <w:p w14:paraId="7BDE9BD8"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9.440</w:t>
            </w:r>
          </w:p>
        </w:tc>
        <w:tc>
          <w:tcPr>
            <w:tcW w:w="1358" w:type="dxa"/>
            <w:tcBorders>
              <w:top w:val="double" w:sz="4" w:space="0" w:color="auto"/>
            </w:tcBorders>
            <w:shd w:val="clear" w:color="auto" w:fill="auto"/>
            <w:noWrap/>
            <w:vAlign w:val="center"/>
          </w:tcPr>
          <w:p w14:paraId="260DB22B"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4.921</w:t>
            </w:r>
          </w:p>
        </w:tc>
        <w:tc>
          <w:tcPr>
            <w:tcW w:w="1746" w:type="dxa"/>
            <w:tcBorders>
              <w:top w:val="double" w:sz="4" w:space="0" w:color="auto"/>
            </w:tcBorders>
            <w:shd w:val="clear" w:color="auto" w:fill="auto"/>
            <w:noWrap/>
            <w:vAlign w:val="center"/>
          </w:tcPr>
          <w:p w14:paraId="7678E978"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1.970</w:t>
            </w:r>
          </w:p>
        </w:tc>
      </w:tr>
      <w:tr w:rsidR="00206934" w:rsidRPr="009C486D" w14:paraId="5EA4E47E" w14:textId="77777777" w:rsidTr="004601C9">
        <w:trPr>
          <w:trHeight w:hRule="exact" w:val="317"/>
        </w:trPr>
        <w:tc>
          <w:tcPr>
            <w:tcW w:w="2626" w:type="dxa"/>
            <w:shd w:val="clear" w:color="auto" w:fill="auto"/>
            <w:vAlign w:val="center"/>
            <w:hideMark/>
          </w:tcPr>
          <w:p w14:paraId="2D0D362B" w14:textId="77777777" w:rsidR="00206934" w:rsidRPr="009C486D" w:rsidRDefault="00206934" w:rsidP="004601C9">
            <w:pPr>
              <w:ind w:left="150"/>
              <w:jc w:val="left"/>
              <w:rPr>
                <w:rFonts w:eastAsia="Times New Roman" w:cs="Times New Roman"/>
                <w:color w:val="000000"/>
                <w:sz w:val="20"/>
                <w:szCs w:val="20"/>
              </w:rPr>
            </w:pPr>
            <w:r w:rsidRPr="009C486D">
              <w:rPr>
                <w:rFonts w:eastAsia="Times New Roman" w:cs="Times New Roman"/>
                <w:color w:val="000000"/>
                <w:sz w:val="20"/>
                <w:szCs w:val="20"/>
              </w:rPr>
              <w:t>Recreational area</w:t>
            </w:r>
          </w:p>
        </w:tc>
        <w:tc>
          <w:tcPr>
            <w:tcW w:w="4018" w:type="dxa"/>
            <w:shd w:val="clear" w:color="auto" w:fill="auto"/>
            <w:vAlign w:val="center"/>
            <w:hideMark/>
          </w:tcPr>
          <w:p w14:paraId="6EE3D633" w14:textId="77777777" w:rsidR="00206934" w:rsidRPr="009C486D" w:rsidRDefault="00206934" w:rsidP="004601C9">
            <w:pPr>
              <w:jc w:val="left"/>
              <w:rPr>
                <w:rFonts w:eastAsia="Times New Roman" w:cs="Times New Roman"/>
                <w:color w:val="000000"/>
                <w:sz w:val="20"/>
                <w:szCs w:val="20"/>
              </w:rPr>
            </w:pPr>
            <w:r w:rsidRPr="009C486D">
              <w:rPr>
                <w:rFonts w:eastAsia="Times New Roman" w:cs="Times New Roman"/>
                <w:color w:val="000000"/>
                <w:sz w:val="20"/>
                <w:szCs w:val="20"/>
              </w:rPr>
              <w:t>Ln</w:t>
            </w:r>
            <w:r>
              <w:rPr>
                <w:rFonts w:eastAsia="Times New Roman" w:cs="Times New Roman"/>
                <w:color w:val="000000"/>
                <w:sz w:val="20"/>
                <w:szCs w:val="20"/>
              </w:rPr>
              <w:t xml:space="preserve"> </w:t>
            </w:r>
            <w:r w:rsidRPr="009C486D">
              <w:rPr>
                <w:rFonts w:eastAsia="Times New Roman" w:cs="Times New Roman"/>
                <w:color w:val="000000"/>
                <w:sz w:val="20"/>
                <w:szCs w:val="20"/>
              </w:rPr>
              <w:t>(recreational area+1)</w:t>
            </w:r>
            <w:r>
              <w:rPr>
                <w:rFonts w:eastAsia="Times New Roman" w:cs="Times New Roman"/>
                <w:color w:val="000000"/>
                <w:sz w:val="20"/>
                <w:szCs w:val="20"/>
              </w:rPr>
              <w:t xml:space="preserve"> in acre</w:t>
            </w:r>
          </w:p>
        </w:tc>
        <w:tc>
          <w:tcPr>
            <w:tcW w:w="1552" w:type="dxa"/>
            <w:shd w:val="clear" w:color="auto" w:fill="auto"/>
            <w:noWrap/>
            <w:vAlign w:val="center"/>
            <w:hideMark/>
          </w:tcPr>
          <w:p w14:paraId="359D66C7"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shd w:val="clear" w:color="auto" w:fill="auto"/>
            <w:noWrap/>
            <w:vAlign w:val="center"/>
            <w:hideMark/>
          </w:tcPr>
          <w:p w14:paraId="727CAAB2"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9.814</w:t>
            </w:r>
          </w:p>
        </w:tc>
        <w:tc>
          <w:tcPr>
            <w:tcW w:w="1358" w:type="dxa"/>
            <w:shd w:val="clear" w:color="auto" w:fill="auto"/>
            <w:noWrap/>
            <w:vAlign w:val="center"/>
            <w:hideMark/>
          </w:tcPr>
          <w:p w14:paraId="33AD56AA"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0.470</w:t>
            </w:r>
          </w:p>
        </w:tc>
        <w:tc>
          <w:tcPr>
            <w:tcW w:w="1746" w:type="dxa"/>
            <w:shd w:val="clear" w:color="auto" w:fill="auto"/>
            <w:noWrap/>
            <w:vAlign w:val="center"/>
            <w:hideMark/>
          </w:tcPr>
          <w:p w14:paraId="1BE29618"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1.408</w:t>
            </w:r>
          </w:p>
        </w:tc>
      </w:tr>
      <w:tr w:rsidR="00206934" w:rsidRPr="009C486D" w14:paraId="59E51D4C" w14:textId="77777777" w:rsidTr="004601C9">
        <w:trPr>
          <w:trHeight w:hRule="exact" w:val="317"/>
        </w:trPr>
        <w:tc>
          <w:tcPr>
            <w:tcW w:w="2626" w:type="dxa"/>
            <w:shd w:val="clear" w:color="auto" w:fill="auto"/>
            <w:vAlign w:val="center"/>
            <w:hideMark/>
          </w:tcPr>
          <w:p w14:paraId="76DEA471" w14:textId="77777777" w:rsidR="00206934" w:rsidRPr="009C486D" w:rsidRDefault="00206934" w:rsidP="004601C9">
            <w:pPr>
              <w:ind w:left="150"/>
              <w:jc w:val="left"/>
              <w:rPr>
                <w:rFonts w:eastAsia="Times New Roman" w:cs="Times New Roman"/>
                <w:color w:val="000000"/>
                <w:sz w:val="20"/>
                <w:szCs w:val="20"/>
              </w:rPr>
            </w:pPr>
            <w:r w:rsidRPr="009C486D">
              <w:rPr>
                <w:rFonts w:eastAsia="Times New Roman" w:cs="Times New Roman"/>
                <w:color w:val="000000"/>
                <w:sz w:val="20"/>
                <w:szCs w:val="20"/>
              </w:rPr>
              <w:t>Office area</w:t>
            </w:r>
          </w:p>
        </w:tc>
        <w:tc>
          <w:tcPr>
            <w:tcW w:w="4018" w:type="dxa"/>
            <w:shd w:val="clear" w:color="auto" w:fill="auto"/>
            <w:vAlign w:val="center"/>
            <w:hideMark/>
          </w:tcPr>
          <w:p w14:paraId="565767C1" w14:textId="77777777" w:rsidR="00206934" w:rsidRPr="009C486D" w:rsidRDefault="00206934" w:rsidP="004601C9">
            <w:pPr>
              <w:jc w:val="left"/>
              <w:rPr>
                <w:rFonts w:eastAsia="Times New Roman" w:cs="Times New Roman"/>
                <w:color w:val="000000"/>
                <w:sz w:val="20"/>
                <w:szCs w:val="20"/>
              </w:rPr>
            </w:pPr>
            <w:r w:rsidRPr="009C486D">
              <w:rPr>
                <w:rFonts w:eastAsia="Times New Roman" w:cs="Times New Roman"/>
                <w:color w:val="000000"/>
                <w:sz w:val="20"/>
                <w:szCs w:val="20"/>
              </w:rPr>
              <w:t>Ln</w:t>
            </w:r>
            <w:r>
              <w:rPr>
                <w:rFonts w:eastAsia="Times New Roman" w:cs="Times New Roman"/>
                <w:color w:val="000000"/>
                <w:sz w:val="20"/>
                <w:szCs w:val="20"/>
              </w:rPr>
              <w:t xml:space="preserve"> </w:t>
            </w:r>
            <w:r w:rsidRPr="009C486D">
              <w:rPr>
                <w:rFonts w:eastAsia="Times New Roman" w:cs="Times New Roman"/>
                <w:color w:val="000000"/>
                <w:sz w:val="20"/>
                <w:szCs w:val="20"/>
              </w:rPr>
              <w:t>(office area+1)</w:t>
            </w:r>
            <w:r>
              <w:rPr>
                <w:rFonts w:eastAsia="Times New Roman" w:cs="Times New Roman"/>
                <w:color w:val="000000"/>
                <w:sz w:val="20"/>
                <w:szCs w:val="20"/>
              </w:rPr>
              <w:t xml:space="preserve"> in acre</w:t>
            </w:r>
          </w:p>
        </w:tc>
        <w:tc>
          <w:tcPr>
            <w:tcW w:w="1552" w:type="dxa"/>
            <w:shd w:val="clear" w:color="auto" w:fill="auto"/>
            <w:noWrap/>
            <w:vAlign w:val="center"/>
            <w:hideMark/>
          </w:tcPr>
          <w:p w14:paraId="723435BF"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shd w:val="clear" w:color="auto" w:fill="auto"/>
            <w:noWrap/>
            <w:vAlign w:val="center"/>
            <w:hideMark/>
          </w:tcPr>
          <w:p w14:paraId="57FECA09"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6.440</w:t>
            </w:r>
          </w:p>
        </w:tc>
        <w:tc>
          <w:tcPr>
            <w:tcW w:w="1358" w:type="dxa"/>
            <w:shd w:val="clear" w:color="auto" w:fill="auto"/>
            <w:noWrap/>
            <w:vAlign w:val="center"/>
            <w:hideMark/>
          </w:tcPr>
          <w:p w14:paraId="6499999A"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0.877</w:t>
            </w:r>
          </w:p>
        </w:tc>
        <w:tc>
          <w:tcPr>
            <w:tcW w:w="1746" w:type="dxa"/>
            <w:shd w:val="clear" w:color="auto" w:fill="auto"/>
            <w:noWrap/>
            <w:vAlign w:val="center"/>
            <w:hideMark/>
          </w:tcPr>
          <w:p w14:paraId="73A69D15"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1.383</w:t>
            </w:r>
          </w:p>
        </w:tc>
      </w:tr>
      <w:tr w:rsidR="00206934" w:rsidRPr="009C486D" w14:paraId="5CC37FF8" w14:textId="77777777" w:rsidTr="004601C9">
        <w:trPr>
          <w:trHeight w:hRule="exact" w:val="317"/>
        </w:trPr>
        <w:tc>
          <w:tcPr>
            <w:tcW w:w="2626" w:type="dxa"/>
            <w:shd w:val="clear" w:color="auto" w:fill="auto"/>
            <w:vAlign w:val="center"/>
          </w:tcPr>
          <w:p w14:paraId="45A1D163" w14:textId="77777777" w:rsidR="00206934" w:rsidRPr="009C486D" w:rsidRDefault="00206934" w:rsidP="004601C9">
            <w:pPr>
              <w:ind w:left="150"/>
              <w:jc w:val="left"/>
              <w:rPr>
                <w:rFonts w:eastAsia="Times New Roman" w:cs="Times New Roman"/>
                <w:color w:val="000000"/>
                <w:sz w:val="20"/>
                <w:szCs w:val="20"/>
              </w:rPr>
            </w:pPr>
            <w:r w:rsidRPr="009C486D">
              <w:rPr>
                <w:rFonts w:eastAsia="Times New Roman" w:cs="Times New Roman"/>
                <w:color w:val="000000"/>
                <w:sz w:val="20"/>
                <w:szCs w:val="20"/>
              </w:rPr>
              <w:t>Residential area</w:t>
            </w:r>
          </w:p>
        </w:tc>
        <w:tc>
          <w:tcPr>
            <w:tcW w:w="4018" w:type="dxa"/>
            <w:shd w:val="clear" w:color="auto" w:fill="auto"/>
            <w:vAlign w:val="center"/>
          </w:tcPr>
          <w:p w14:paraId="6BEAA891" w14:textId="77777777" w:rsidR="00206934" w:rsidRPr="009C486D" w:rsidRDefault="00206934" w:rsidP="004601C9">
            <w:pPr>
              <w:jc w:val="left"/>
              <w:rPr>
                <w:rFonts w:eastAsia="Times New Roman" w:cs="Times New Roman"/>
                <w:color w:val="000000"/>
                <w:sz w:val="20"/>
                <w:szCs w:val="20"/>
              </w:rPr>
            </w:pPr>
            <w:r w:rsidRPr="009C486D">
              <w:rPr>
                <w:rFonts w:eastAsia="Times New Roman" w:cs="Times New Roman"/>
                <w:color w:val="000000"/>
                <w:sz w:val="20"/>
                <w:szCs w:val="20"/>
              </w:rPr>
              <w:t>Ln</w:t>
            </w:r>
            <w:r>
              <w:rPr>
                <w:rFonts w:eastAsia="Times New Roman" w:cs="Times New Roman"/>
                <w:color w:val="000000"/>
                <w:sz w:val="20"/>
                <w:szCs w:val="20"/>
              </w:rPr>
              <w:t xml:space="preserve"> </w:t>
            </w:r>
            <w:r w:rsidRPr="009C486D">
              <w:rPr>
                <w:rFonts w:eastAsia="Times New Roman" w:cs="Times New Roman"/>
                <w:color w:val="000000"/>
                <w:sz w:val="20"/>
                <w:szCs w:val="20"/>
              </w:rPr>
              <w:t>(residential area+1)</w:t>
            </w:r>
            <w:r>
              <w:rPr>
                <w:rFonts w:eastAsia="Times New Roman" w:cs="Times New Roman"/>
                <w:color w:val="000000"/>
                <w:sz w:val="20"/>
                <w:szCs w:val="20"/>
              </w:rPr>
              <w:t xml:space="preserve"> in acre</w:t>
            </w:r>
          </w:p>
        </w:tc>
        <w:tc>
          <w:tcPr>
            <w:tcW w:w="1552" w:type="dxa"/>
            <w:shd w:val="clear" w:color="auto" w:fill="auto"/>
            <w:noWrap/>
            <w:vAlign w:val="center"/>
          </w:tcPr>
          <w:p w14:paraId="2451A835"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shd w:val="clear" w:color="auto" w:fill="auto"/>
            <w:noWrap/>
            <w:vAlign w:val="center"/>
          </w:tcPr>
          <w:p w14:paraId="6BAEB186"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8.131</w:t>
            </w:r>
          </w:p>
        </w:tc>
        <w:tc>
          <w:tcPr>
            <w:tcW w:w="1358" w:type="dxa"/>
            <w:shd w:val="clear" w:color="auto" w:fill="auto"/>
            <w:noWrap/>
            <w:vAlign w:val="center"/>
          </w:tcPr>
          <w:p w14:paraId="27DD4B55"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3.811</w:t>
            </w:r>
          </w:p>
        </w:tc>
        <w:tc>
          <w:tcPr>
            <w:tcW w:w="1746" w:type="dxa"/>
            <w:shd w:val="clear" w:color="auto" w:fill="auto"/>
            <w:noWrap/>
            <w:vAlign w:val="center"/>
          </w:tcPr>
          <w:p w14:paraId="6F9FB3D9"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2.075</w:t>
            </w:r>
          </w:p>
        </w:tc>
      </w:tr>
      <w:tr w:rsidR="00206934" w:rsidRPr="009C486D" w14:paraId="04FF30D6" w14:textId="77777777" w:rsidTr="004601C9">
        <w:trPr>
          <w:trHeight w:hRule="exact" w:val="317"/>
        </w:trPr>
        <w:tc>
          <w:tcPr>
            <w:tcW w:w="2626" w:type="dxa"/>
            <w:shd w:val="clear" w:color="auto" w:fill="auto"/>
            <w:vAlign w:val="center"/>
            <w:hideMark/>
          </w:tcPr>
          <w:p w14:paraId="53113BE9" w14:textId="77777777" w:rsidR="00206934" w:rsidRPr="009C486D" w:rsidRDefault="00206934" w:rsidP="004601C9">
            <w:pPr>
              <w:ind w:left="150"/>
              <w:jc w:val="left"/>
              <w:rPr>
                <w:rFonts w:eastAsia="Times New Roman" w:cs="Times New Roman"/>
                <w:color w:val="000000"/>
                <w:sz w:val="20"/>
                <w:szCs w:val="20"/>
              </w:rPr>
            </w:pPr>
            <w:r w:rsidRPr="009C486D">
              <w:rPr>
                <w:rFonts w:eastAsia="Times New Roman" w:cs="Times New Roman"/>
                <w:color w:val="000000"/>
                <w:sz w:val="20"/>
                <w:szCs w:val="20"/>
              </w:rPr>
              <w:t>Industrial area</w:t>
            </w:r>
          </w:p>
        </w:tc>
        <w:tc>
          <w:tcPr>
            <w:tcW w:w="4018" w:type="dxa"/>
            <w:shd w:val="clear" w:color="auto" w:fill="auto"/>
            <w:vAlign w:val="center"/>
            <w:hideMark/>
          </w:tcPr>
          <w:p w14:paraId="57344C49" w14:textId="77777777" w:rsidR="00206934" w:rsidRPr="009C486D" w:rsidRDefault="00206934" w:rsidP="004601C9">
            <w:pPr>
              <w:jc w:val="left"/>
              <w:rPr>
                <w:rFonts w:eastAsia="Times New Roman" w:cs="Times New Roman"/>
                <w:color w:val="000000"/>
                <w:sz w:val="20"/>
                <w:szCs w:val="20"/>
              </w:rPr>
            </w:pPr>
            <w:r w:rsidRPr="009C486D">
              <w:rPr>
                <w:rFonts w:eastAsia="Times New Roman" w:cs="Times New Roman"/>
                <w:color w:val="000000"/>
                <w:sz w:val="20"/>
                <w:szCs w:val="20"/>
              </w:rPr>
              <w:t>Ln (industrial area+1)</w:t>
            </w:r>
            <w:r>
              <w:rPr>
                <w:rFonts w:eastAsia="Times New Roman" w:cs="Times New Roman"/>
                <w:color w:val="000000"/>
                <w:sz w:val="20"/>
                <w:szCs w:val="20"/>
              </w:rPr>
              <w:t xml:space="preserve"> in acre</w:t>
            </w:r>
          </w:p>
        </w:tc>
        <w:tc>
          <w:tcPr>
            <w:tcW w:w="1552" w:type="dxa"/>
            <w:shd w:val="clear" w:color="auto" w:fill="auto"/>
            <w:noWrap/>
            <w:vAlign w:val="center"/>
            <w:hideMark/>
          </w:tcPr>
          <w:p w14:paraId="0C5F62EA"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shd w:val="clear" w:color="auto" w:fill="auto"/>
            <w:noWrap/>
            <w:vAlign w:val="center"/>
            <w:hideMark/>
          </w:tcPr>
          <w:p w14:paraId="42626F0B"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7.067</w:t>
            </w:r>
          </w:p>
        </w:tc>
        <w:tc>
          <w:tcPr>
            <w:tcW w:w="1358" w:type="dxa"/>
            <w:shd w:val="clear" w:color="auto" w:fill="auto"/>
            <w:noWrap/>
            <w:vAlign w:val="center"/>
            <w:hideMark/>
          </w:tcPr>
          <w:p w14:paraId="554AD023"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1.118</w:t>
            </w:r>
          </w:p>
        </w:tc>
        <w:tc>
          <w:tcPr>
            <w:tcW w:w="1746" w:type="dxa"/>
            <w:shd w:val="clear" w:color="auto" w:fill="auto"/>
            <w:noWrap/>
            <w:vAlign w:val="center"/>
            <w:hideMark/>
          </w:tcPr>
          <w:p w14:paraId="321FB212"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1.306</w:t>
            </w:r>
          </w:p>
        </w:tc>
      </w:tr>
      <w:tr w:rsidR="00206934" w:rsidRPr="009C486D" w14:paraId="0B9F960F" w14:textId="77777777" w:rsidTr="004601C9">
        <w:trPr>
          <w:trHeight w:hRule="exact" w:val="317"/>
        </w:trPr>
        <w:tc>
          <w:tcPr>
            <w:tcW w:w="2626" w:type="dxa"/>
            <w:shd w:val="clear" w:color="auto" w:fill="auto"/>
            <w:vAlign w:val="center"/>
            <w:hideMark/>
          </w:tcPr>
          <w:p w14:paraId="4D01427B" w14:textId="77777777" w:rsidR="00206934" w:rsidRPr="009C486D" w:rsidRDefault="00206934" w:rsidP="004601C9">
            <w:pPr>
              <w:ind w:left="150"/>
              <w:jc w:val="left"/>
              <w:rPr>
                <w:rFonts w:eastAsia="Times New Roman" w:cs="Times New Roman"/>
                <w:color w:val="000000"/>
                <w:sz w:val="20"/>
                <w:szCs w:val="20"/>
              </w:rPr>
            </w:pPr>
            <w:r w:rsidRPr="009C486D">
              <w:rPr>
                <w:rFonts w:eastAsia="Times New Roman" w:cs="Times New Roman"/>
                <w:color w:val="000000"/>
                <w:sz w:val="20"/>
                <w:szCs w:val="20"/>
              </w:rPr>
              <w:t>Institutional area</w:t>
            </w:r>
          </w:p>
        </w:tc>
        <w:tc>
          <w:tcPr>
            <w:tcW w:w="4018" w:type="dxa"/>
            <w:shd w:val="clear" w:color="auto" w:fill="auto"/>
            <w:vAlign w:val="center"/>
            <w:hideMark/>
          </w:tcPr>
          <w:p w14:paraId="44604020" w14:textId="77777777" w:rsidR="00206934" w:rsidRPr="009C486D" w:rsidRDefault="00206934" w:rsidP="004601C9">
            <w:pPr>
              <w:jc w:val="left"/>
              <w:rPr>
                <w:rFonts w:eastAsia="Times New Roman" w:cs="Times New Roman"/>
                <w:color w:val="000000"/>
                <w:sz w:val="20"/>
                <w:szCs w:val="20"/>
              </w:rPr>
            </w:pPr>
            <w:r w:rsidRPr="009C486D">
              <w:rPr>
                <w:rFonts w:eastAsia="Times New Roman" w:cs="Times New Roman"/>
                <w:color w:val="000000"/>
                <w:sz w:val="20"/>
                <w:szCs w:val="20"/>
              </w:rPr>
              <w:t>Ln (institutional area+1)</w:t>
            </w:r>
            <w:r>
              <w:rPr>
                <w:rFonts w:eastAsia="Times New Roman" w:cs="Times New Roman"/>
                <w:color w:val="000000"/>
                <w:sz w:val="20"/>
                <w:szCs w:val="20"/>
              </w:rPr>
              <w:t xml:space="preserve"> in acre</w:t>
            </w:r>
          </w:p>
        </w:tc>
        <w:tc>
          <w:tcPr>
            <w:tcW w:w="1552" w:type="dxa"/>
            <w:shd w:val="clear" w:color="auto" w:fill="auto"/>
            <w:noWrap/>
            <w:vAlign w:val="center"/>
            <w:hideMark/>
          </w:tcPr>
          <w:p w14:paraId="3B88E47E"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shd w:val="clear" w:color="auto" w:fill="auto"/>
            <w:noWrap/>
            <w:vAlign w:val="center"/>
            <w:hideMark/>
          </w:tcPr>
          <w:p w14:paraId="0DB27996"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6.617</w:t>
            </w:r>
          </w:p>
        </w:tc>
        <w:tc>
          <w:tcPr>
            <w:tcW w:w="1358" w:type="dxa"/>
            <w:shd w:val="clear" w:color="auto" w:fill="auto"/>
            <w:noWrap/>
            <w:vAlign w:val="center"/>
            <w:hideMark/>
          </w:tcPr>
          <w:p w14:paraId="12EF31BB"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1.946</w:t>
            </w:r>
          </w:p>
        </w:tc>
        <w:tc>
          <w:tcPr>
            <w:tcW w:w="1746" w:type="dxa"/>
            <w:shd w:val="clear" w:color="auto" w:fill="auto"/>
            <w:noWrap/>
            <w:vAlign w:val="center"/>
            <w:hideMark/>
          </w:tcPr>
          <w:p w14:paraId="7D539C49"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1.589</w:t>
            </w:r>
          </w:p>
        </w:tc>
      </w:tr>
      <w:tr w:rsidR="00206934" w:rsidRPr="009C486D" w14:paraId="52B0CB01" w14:textId="77777777" w:rsidTr="004601C9">
        <w:trPr>
          <w:trHeight w:hRule="exact" w:val="1126"/>
        </w:trPr>
        <w:tc>
          <w:tcPr>
            <w:tcW w:w="2626" w:type="dxa"/>
            <w:tcBorders>
              <w:bottom w:val="double" w:sz="4" w:space="0" w:color="auto"/>
            </w:tcBorders>
            <w:shd w:val="clear" w:color="auto" w:fill="auto"/>
            <w:vAlign w:val="center"/>
            <w:hideMark/>
          </w:tcPr>
          <w:p w14:paraId="044C628B" w14:textId="77777777" w:rsidR="00206934" w:rsidRPr="009C486D" w:rsidRDefault="00206934" w:rsidP="004601C9">
            <w:pPr>
              <w:ind w:left="150"/>
              <w:jc w:val="left"/>
              <w:rPr>
                <w:rFonts w:eastAsia="Times New Roman" w:cs="Times New Roman"/>
                <w:color w:val="000000"/>
                <w:sz w:val="20"/>
                <w:szCs w:val="20"/>
              </w:rPr>
            </w:pPr>
            <w:r w:rsidRPr="009C486D">
              <w:rPr>
                <w:rFonts w:eastAsia="Times New Roman" w:cs="Times New Roman"/>
                <w:color w:val="000000"/>
                <w:sz w:val="20"/>
                <w:szCs w:val="20"/>
              </w:rPr>
              <w:lastRenderedPageBreak/>
              <w:t>Land use mix</w:t>
            </w:r>
          </w:p>
        </w:tc>
        <w:tc>
          <w:tcPr>
            <w:tcW w:w="4018" w:type="dxa"/>
            <w:tcBorders>
              <w:bottom w:val="double" w:sz="4" w:space="0" w:color="auto"/>
            </w:tcBorders>
            <w:shd w:val="clear" w:color="auto" w:fill="auto"/>
            <w:vAlign w:val="center"/>
            <w:hideMark/>
          </w:tcPr>
          <w:p w14:paraId="016D1E9B" w14:textId="77777777" w:rsidR="00206934" w:rsidRPr="009C486D" w:rsidRDefault="00206934" w:rsidP="004601C9">
            <w:pPr>
              <w:jc w:val="left"/>
              <w:rPr>
                <w:rFonts w:eastAsia="Times New Roman" w:cs="Times New Roman"/>
                <w:color w:val="000000"/>
                <w:sz w:val="20"/>
                <w:szCs w:val="20"/>
              </w:rPr>
            </w:pPr>
            <w:r w:rsidRPr="0037689F">
              <w:rPr>
                <w:rFonts w:cs="Times New Roman"/>
                <w:color w:val="000000"/>
                <w:sz w:val="20"/>
                <w:szCs w:val="20"/>
                <w:lang w:eastAsia="en-CA"/>
              </w:rPr>
              <w:t xml:space="preserve">Land use mix = </w:t>
            </w:r>
            <m:oMath>
              <m:d>
                <m:dPr>
                  <m:begChr m:val="["/>
                  <m:endChr m:val="]"/>
                  <m:ctrlPr>
                    <w:rPr>
                      <w:rFonts w:ascii="Cambria Math" w:hAnsi="Cambria Math" w:cs="Times New Roman"/>
                      <w:i/>
                      <w:color w:val="000000"/>
                      <w:sz w:val="20"/>
                      <w:szCs w:val="20"/>
                      <w:lang w:eastAsia="en-CA"/>
                    </w:rPr>
                  </m:ctrlPr>
                </m:dPr>
                <m:e>
                  <m:f>
                    <m:fPr>
                      <m:ctrlPr>
                        <w:rPr>
                          <w:rFonts w:ascii="Cambria Math" w:hAnsi="Cambria Math" w:cs="Times New Roman"/>
                          <w:i/>
                          <w:color w:val="000000"/>
                          <w:sz w:val="20"/>
                          <w:szCs w:val="20"/>
                          <w:lang w:eastAsia="en-CA"/>
                        </w:rPr>
                      </m:ctrlPr>
                    </m:fPr>
                    <m:num>
                      <m:r>
                        <w:rPr>
                          <w:rFonts w:ascii="Cambria Math" w:hAnsi="Cambria Math" w:cs="Times New Roman"/>
                          <w:color w:val="000000"/>
                          <w:sz w:val="20"/>
                          <w:szCs w:val="20"/>
                          <w:lang w:eastAsia="en-CA"/>
                        </w:rPr>
                        <m:t>-</m:t>
                      </m:r>
                      <m:nary>
                        <m:naryPr>
                          <m:chr m:val="∑"/>
                          <m:limLoc m:val="undOvr"/>
                          <m:supHide m:val="1"/>
                          <m:ctrlPr>
                            <w:rPr>
                              <w:rFonts w:ascii="Cambria Math" w:hAnsi="Cambria Math" w:cs="Times New Roman"/>
                              <w:i/>
                              <w:color w:val="000000"/>
                              <w:sz w:val="20"/>
                              <w:szCs w:val="20"/>
                              <w:lang w:eastAsia="en-CA"/>
                            </w:rPr>
                          </m:ctrlPr>
                        </m:naryPr>
                        <m:sub>
                          <m:r>
                            <w:rPr>
                              <w:rFonts w:ascii="Cambria Math" w:hAnsi="Cambria Math" w:cs="Times New Roman"/>
                              <w:color w:val="000000"/>
                              <w:sz w:val="20"/>
                              <w:szCs w:val="20"/>
                              <w:lang w:eastAsia="en-CA"/>
                            </w:rPr>
                            <m:t>k</m:t>
                          </m:r>
                        </m:sub>
                        <m:sup/>
                        <m:e>
                          <m:d>
                            <m:dPr>
                              <m:ctrlPr>
                                <w:rPr>
                                  <w:rFonts w:ascii="Cambria Math" w:hAnsi="Cambria Math" w:cs="Times New Roman"/>
                                  <w:i/>
                                  <w:color w:val="000000"/>
                                  <w:sz w:val="20"/>
                                  <w:szCs w:val="20"/>
                                  <w:lang w:eastAsia="en-CA"/>
                                </w:rPr>
                              </m:ctrlPr>
                            </m:dPr>
                            <m:e>
                              <m:sSub>
                                <m:sSubPr>
                                  <m:ctrlPr>
                                    <w:rPr>
                                      <w:rFonts w:ascii="Cambria Math" w:hAnsi="Cambria Math" w:cs="Times New Roman"/>
                                      <w:i/>
                                      <w:color w:val="000000"/>
                                      <w:sz w:val="20"/>
                                      <w:szCs w:val="20"/>
                                      <w:lang w:eastAsia="en-CA"/>
                                    </w:rPr>
                                  </m:ctrlPr>
                                </m:sSubPr>
                                <m:e>
                                  <m:r>
                                    <w:rPr>
                                      <w:rFonts w:ascii="Cambria Math" w:hAnsi="Cambria Math" w:cs="Times New Roman"/>
                                      <w:color w:val="000000"/>
                                      <w:sz w:val="20"/>
                                      <w:szCs w:val="20"/>
                                      <w:lang w:eastAsia="en-CA"/>
                                    </w:rPr>
                                    <m:t>p</m:t>
                                  </m:r>
                                </m:e>
                                <m:sub>
                                  <m:r>
                                    <w:rPr>
                                      <w:rFonts w:ascii="Cambria Math" w:hAnsi="Cambria Math" w:cs="Times New Roman"/>
                                      <w:color w:val="000000"/>
                                      <w:sz w:val="20"/>
                                      <w:szCs w:val="20"/>
                                      <w:lang w:eastAsia="en-CA"/>
                                    </w:rPr>
                                    <m:t>k</m:t>
                                  </m:r>
                                </m:sub>
                              </m:sSub>
                              <m:r>
                                <w:rPr>
                                  <w:rFonts w:ascii="Cambria Math" w:hAnsi="Cambria Math" w:cs="Times New Roman"/>
                                  <w:color w:val="000000"/>
                                  <w:sz w:val="20"/>
                                  <w:szCs w:val="20"/>
                                  <w:lang w:eastAsia="en-CA"/>
                                </w:rPr>
                                <m:t>(ln</m:t>
                              </m:r>
                              <m:sSub>
                                <m:sSubPr>
                                  <m:ctrlPr>
                                    <w:rPr>
                                      <w:rFonts w:ascii="Cambria Math" w:hAnsi="Cambria Math" w:cs="Times New Roman"/>
                                      <w:i/>
                                      <w:color w:val="000000"/>
                                      <w:sz w:val="20"/>
                                      <w:szCs w:val="20"/>
                                      <w:lang w:eastAsia="en-CA"/>
                                    </w:rPr>
                                  </m:ctrlPr>
                                </m:sSubPr>
                                <m:e>
                                  <m:r>
                                    <w:rPr>
                                      <w:rFonts w:ascii="Cambria Math" w:hAnsi="Cambria Math" w:cs="Times New Roman"/>
                                      <w:color w:val="000000"/>
                                      <w:sz w:val="20"/>
                                      <w:szCs w:val="20"/>
                                      <w:lang w:eastAsia="en-CA"/>
                                    </w:rPr>
                                    <m:t>p</m:t>
                                  </m:r>
                                </m:e>
                                <m:sub>
                                  <m:r>
                                    <w:rPr>
                                      <w:rFonts w:ascii="Cambria Math" w:hAnsi="Cambria Math" w:cs="Times New Roman"/>
                                      <w:color w:val="000000"/>
                                      <w:sz w:val="20"/>
                                      <w:szCs w:val="20"/>
                                      <w:lang w:eastAsia="en-CA"/>
                                    </w:rPr>
                                    <m:t>k</m:t>
                                  </m:r>
                                </m:sub>
                              </m:sSub>
                              <m:r>
                                <w:rPr>
                                  <w:rFonts w:ascii="Cambria Math" w:hAnsi="Cambria Math" w:cs="Times New Roman"/>
                                  <w:color w:val="000000"/>
                                  <w:sz w:val="20"/>
                                  <w:szCs w:val="20"/>
                                  <w:lang w:eastAsia="en-CA"/>
                                </w:rPr>
                                <m:t>)</m:t>
                              </m:r>
                            </m:e>
                          </m:d>
                        </m:e>
                      </m:nary>
                    </m:num>
                    <m:den>
                      <m:r>
                        <w:rPr>
                          <w:rFonts w:ascii="Cambria Math" w:hAnsi="Cambria Math" w:cs="Times New Roman"/>
                          <w:color w:val="000000"/>
                          <w:sz w:val="20"/>
                          <w:szCs w:val="20"/>
                          <w:lang w:eastAsia="en-CA"/>
                        </w:rPr>
                        <m:t>lnN</m:t>
                      </m:r>
                    </m:den>
                  </m:f>
                </m:e>
              </m:d>
            </m:oMath>
            <w:r w:rsidRPr="0037689F">
              <w:rPr>
                <w:rFonts w:cs="Times New Roman"/>
                <w:color w:val="000000"/>
                <w:sz w:val="20"/>
                <w:szCs w:val="20"/>
                <w:lang w:eastAsia="en-CA"/>
              </w:rPr>
              <w:t xml:space="preserve">, where </w:t>
            </w:r>
            <m:oMath>
              <m:r>
                <w:rPr>
                  <w:rFonts w:ascii="Cambria Math" w:hAnsi="Cambria Math" w:cs="Times New Roman"/>
                  <w:color w:val="000000"/>
                  <w:sz w:val="20"/>
                  <w:szCs w:val="20"/>
                  <w:lang w:eastAsia="en-CA"/>
                </w:rPr>
                <m:t>k</m:t>
              </m:r>
            </m:oMath>
            <w:r w:rsidRPr="0037689F">
              <w:rPr>
                <w:rFonts w:cs="Times New Roman"/>
                <w:color w:val="000000"/>
                <w:sz w:val="20"/>
                <w:szCs w:val="20"/>
                <w:lang w:eastAsia="en-CA"/>
              </w:rPr>
              <w:t xml:space="preserve"> is the category of land-use, </w:t>
            </w:r>
            <m:oMath>
              <m:r>
                <w:rPr>
                  <w:rFonts w:ascii="Cambria Math" w:hAnsi="Cambria Math" w:cs="Times New Roman"/>
                  <w:color w:val="000000"/>
                  <w:sz w:val="20"/>
                  <w:szCs w:val="20"/>
                  <w:lang w:eastAsia="en-CA"/>
                </w:rPr>
                <m:t>p</m:t>
              </m:r>
            </m:oMath>
            <w:r w:rsidRPr="0037689F">
              <w:rPr>
                <w:rFonts w:cs="Times New Roman"/>
                <w:color w:val="000000"/>
                <w:sz w:val="20"/>
                <w:szCs w:val="20"/>
                <w:lang w:eastAsia="en-CA"/>
              </w:rPr>
              <w:t xml:space="preserve"> is the proportion of the developed land area </w:t>
            </w:r>
            <w:r>
              <w:rPr>
                <w:rFonts w:cs="Times New Roman"/>
                <w:color w:val="000000"/>
                <w:sz w:val="20"/>
                <w:szCs w:val="20"/>
                <w:lang w:eastAsia="en-CA"/>
              </w:rPr>
              <w:t>for</w:t>
            </w:r>
            <w:r w:rsidRPr="0037689F">
              <w:rPr>
                <w:rFonts w:cs="Times New Roman"/>
                <w:color w:val="000000"/>
                <w:sz w:val="20"/>
                <w:szCs w:val="20"/>
                <w:lang w:eastAsia="en-CA"/>
              </w:rPr>
              <w:t xml:space="preserve"> specific land-use, </w:t>
            </w:r>
            <m:oMath>
              <m:r>
                <w:rPr>
                  <w:rFonts w:ascii="Cambria Math" w:hAnsi="Cambria Math" w:cs="Times New Roman"/>
                  <w:color w:val="000000"/>
                  <w:sz w:val="20"/>
                  <w:szCs w:val="20"/>
                  <w:lang w:eastAsia="en-CA"/>
                </w:rPr>
                <m:t>N</m:t>
              </m:r>
            </m:oMath>
            <w:r w:rsidRPr="0037689F">
              <w:rPr>
                <w:rFonts w:cs="Times New Roman"/>
                <w:color w:val="000000"/>
                <w:sz w:val="20"/>
                <w:szCs w:val="20"/>
                <w:lang w:eastAsia="en-CA"/>
              </w:rPr>
              <w:t xml:space="preserve">  is the number of land-use categories </w:t>
            </w:r>
            <w:r w:rsidRPr="0037689F">
              <w:rPr>
                <w:rFonts w:eastAsia="Times New Roman" w:cs="Times New Roman"/>
                <w:color w:val="000000"/>
                <w:sz w:val="20"/>
                <w:szCs w:val="20"/>
              </w:rPr>
              <w:t xml:space="preserve"> </w:t>
            </w:r>
          </w:p>
        </w:tc>
        <w:tc>
          <w:tcPr>
            <w:tcW w:w="1552" w:type="dxa"/>
            <w:tcBorders>
              <w:bottom w:val="double" w:sz="4" w:space="0" w:color="auto"/>
            </w:tcBorders>
            <w:shd w:val="clear" w:color="auto" w:fill="auto"/>
            <w:noWrap/>
            <w:vAlign w:val="center"/>
            <w:hideMark/>
          </w:tcPr>
          <w:p w14:paraId="523BC4F3"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tcBorders>
              <w:bottom w:val="double" w:sz="4" w:space="0" w:color="auto"/>
            </w:tcBorders>
            <w:shd w:val="clear" w:color="auto" w:fill="auto"/>
            <w:noWrap/>
            <w:vAlign w:val="center"/>
            <w:hideMark/>
          </w:tcPr>
          <w:p w14:paraId="59FF714C"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0.946</w:t>
            </w:r>
          </w:p>
        </w:tc>
        <w:tc>
          <w:tcPr>
            <w:tcW w:w="1358" w:type="dxa"/>
            <w:tcBorders>
              <w:bottom w:val="double" w:sz="4" w:space="0" w:color="auto"/>
            </w:tcBorders>
            <w:shd w:val="clear" w:color="auto" w:fill="auto"/>
            <w:noWrap/>
            <w:vAlign w:val="center"/>
            <w:hideMark/>
          </w:tcPr>
          <w:p w14:paraId="37AA5FCE"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0.369</w:t>
            </w:r>
          </w:p>
        </w:tc>
        <w:tc>
          <w:tcPr>
            <w:tcW w:w="1746" w:type="dxa"/>
            <w:tcBorders>
              <w:bottom w:val="double" w:sz="4" w:space="0" w:color="auto"/>
            </w:tcBorders>
            <w:shd w:val="clear" w:color="auto" w:fill="auto"/>
            <w:noWrap/>
            <w:vAlign w:val="center"/>
            <w:hideMark/>
          </w:tcPr>
          <w:p w14:paraId="1E2A2A98"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0.221</w:t>
            </w:r>
          </w:p>
        </w:tc>
      </w:tr>
      <w:tr w:rsidR="00206934" w:rsidRPr="009C486D" w14:paraId="473F1FC0" w14:textId="77777777" w:rsidTr="004601C9">
        <w:trPr>
          <w:trHeight w:hRule="exact" w:val="317"/>
        </w:trPr>
        <w:tc>
          <w:tcPr>
            <w:tcW w:w="12754" w:type="dxa"/>
            <w:gridSpan w:val="6"/>
            <w:tcBorders>
              <w:top w:val="double" w:sz="4" w:space="0" w:color="auto"/>
              <w:bottom w:val="double" w:sz="4" w:space="0" w:color="auto"/>
            </w:tcBorders>
            <w:shd w:val="clear" w:color="auto" w:fill="auto"/>
            <w:vAlign w:val="center"/>
            <w:hideMark/>
          </w:tcPr>
          <w:p w14:paraId="6368D1A2" w14:textId="77777777" w:rsidR="00206934" w:rsidRPr="009C486D" w:rsidRDefault="00206934" w:rsidP="004601C9">
            <w:pPr>
              <w:jc w:val="left"/>
              <w:rPr>
                <w:rFonts w:eastAsia="Times New Roman" w:cs="Times New Roman"/>
                <w:b/>
                <w:i/>
                <w:color w:val="000000"/>
                <w:sz w:val="20"/>
                <w:szCs w:val="20"/>
              </w:rPr>
            </w:pPr>
            <w:r w:rsidRPr="009C486D">
              <w:rPr>
                <w:rFonts w:eastAsia="Times New Roman" w:cs="Times New Roman"/>
                <w:b/>
                <w:i/>
                <w:color w:val="000000"/>
                <w:sz w:val="20"/>
                <w:szCs w:val="20"/>
              </w:rPr>
              <w:t>Built Environment Characteristics</w:t>
            </w:r>
          </w:p>
        </w:tc>
      </w:tr>
      <w:tr w:rsidR="00206934" w:rsidRPr="009C486D" w14:paraId="0297B666" w14:textId="77777777" w:rsidTr="004601C9">
        <w:trPr>
          <w:trHeight w:hRule="exact" w:val="317"/>
        </w:trPr>
        <w:tc>
          <w:tcPr>
            <w:tcW w:w="2626" w:type="dxa"/>
            <w:tcBorders>
              <w:top w:val="double" w:sz="4" w:space="0" w:color="auto"/>
            </w:tcBorders>
            <w:shd w:val="clear" w:color="auto" w:fill="auto"/>
            <w:vAlign w:val="center"/>
            <w:hideMark/>
          </w:tcPr>
          <w:p w14:paraId="5BB1D1CE" w14:textId="77777777" w:rsidR="00206934" w:rsidRPr="009C486D" w:rsidRDefault="00206934" w:rsidP="004601C9">
            <w:pPr>
              <w:ind w:left="150"/>
              <w:jc w:val="left"/>
              <w:rPr>
                <w:rFonts w:eastAsia="Times New Roman" w:cs="Times New Roman"/>
                <w:color w:val="000000"/>
                <w:sz w:val="20"/>
                <w:szCs w:val="20"/>
              </w:rPr>
            </w:pPr>
            <w:r w:rsidRPr="009C486D">
              <w:rPr>
                <w:rFonts w:eastAsia="Times New Roman" w:cs="Times New Roman"/>
                <w:color w:val="000000"/>
                <w:sz w:val="20"/>
                <w:szCs w:val="20"/>
              </w:rPr>
              <w:t>No of business center</w:t>
            </w:r>
          </w:p>
        </w:tc>
        <w:tc>
          <w:tcPr>
            <w:tcW w:w="4018" w:type="dxa"/>
            <w:tcBorders>
              <w:top w:val="double" w:sz="4" w:space="0" w:color="auto"/>
            </w:tcBorders>
            <w:shd w:val="clear" w:color="auto" w:fill="auto"/>
            <w:vAlign w:val="center"/>
            <w:hideMark/>
          </w:tcPr>
          <w:p w14:paraId="4FCAA97F" w14:textId="77777777" w:rsidR="00206934" w:rsidRPr="009C486D" w:rsidRDefault="00206934" w:rsidP="004601C9">
            <w:pPr>
              <w:jc w:val="left"/>
              <w:rPr>
                <w:rFonts w:eastAsia="Times New Roman" w:cs="Times New Roman"/>
                <w:color w:val="000000"/>
                <w:sz w:val="20"/>
                <w:szCs w:val="20"/>
              </w:rPr>
            </w:pPr>
            <w:r w:rsidRPr="009C486D">
              <w:rPr>
                <w:rFonts w:eastAsia="Times New Roman" w:cs="Times New Roman"/>
                <w:color w:val="000000"/>
                <w:sz w:val="20"/>
                <w:szCs w:val="20"/>
              </w:rPr>
              <w:t>Z</w:t>
            </w:r>
            <w:r>
              <w:rPr>
                <w:rFonts w:eastAsia="Times New Roman" w:cs="Times New Roman"/>
                <w:color w:val="000000"/>
                <w:sz w:val="20"/>
                <w:szCs w:val="20"/>
              </w:rPr>
              <w:t xml:space="preserve"> </w:t>
            </w:r>
            <w:r w:rsidRPr="009C486D">
              <w:rPr>
                <w:rFonts w:eastAsia="Times New Roman" w:cs="Times New Roman"/>
                <w:color w:val="000000"/>
                <w:sz w:val="20"/>
                <w:szCs w:val="20"/>
              </w:rPr>
              <w:t>score:  No of business center</w:t>
            </w:r>
          </w:p>
        </w:tc>
        <w:tc>
          <w:tcPr>
            <w:tcW w:w="1552" w:type="dxa"/>
            <w:tcBorders>
              <w:top w:val="double" w:sz="4" w:space="0" w:color="auto"/>
            </w:tcBorders>
            <w:shd w:val="clear" w:color="auto" w:fill="auto"/>
            <w:noWrap/>
            <w:vAlign w:val="center"/>
            <w:hideMark/>
          </w:tcPr>
          <w:p w14:paraId="2CD548ED"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-0.138</w:t>
            </w:r>
          </w:p>
        </w:tc>
        <w:tc>
          <w:tcPr>
            <w:tcW w:w="1454" w:type="dxa"/>
            <w:tcBorders>
              <w:top w:val="double" w:sz="4" w:space="0" w:color="auto"/>
            </w:tcBorders>
            <w:shd w:val="clear" w:color="auto" w:fill="auto"/>
            <w:noWrap/>
            <w:vAlign w:val="center"/>
            <w:hideMark/>
          </w:tcPr>
          <w:p w14:paraId="0D5B7322"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19.664</w:t>
            </w:r>
          </w:p>
        </w:tc>
        <w:tc>
          <w:tcPr>
            <w:tcW w:w="1358" w:type="dxa"/>
            <w:tcBorders>
              <w:top w:val="double" w:sz="4" w:space="0" w:color="auto"/>
            </w:tcBorders>
            <w:shd w:val="clear" w:color="auto" w:fill="auto"/>
            <w:noWrap/>
            <w:vAlign w:val="center"/>
            <w:hideMark/>
          </w:tcPr>
          <w:p w14:paraId="085C9A53"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746" w:type="dxa"/>
            <w:tcBorders>
              <w:top w:val="double" w:sz="4" w:space="0" w:color="auto"/>
            </w:tcBorders>
            <w:shd w:val="clear" w:color="auto" w:fill="auto"/>
            <w:noWrap/>
            <w:vAlign w:val="center"/>
            <w:hideMark/>
          </w:tcPr>
          <w:p w14:paraId="639913C1"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1.000</w:t>
            </w:r>
          </w:p>
        </w:tc>
      </w:tr>
      <w:tr w:rsidR="00206934" w:rsidRPr="009C486D" w14:paraId="42ECC61C" w14:textId="77777777" w:rsidTr="004601C9">
        <w:trPr>
          <w:trHeight w:hRule="exact" w:val="317"/>
        </w:trPr>
        <w:tc>
          <w:tcPr>
            <w:tcW w:w="2626" w:type="dxa"/>
            <w:shd w:val="clear" w:color="auto" w:fill="auto"/>
            <w:vAlign w:val="center"/>
            <w:hideMark/>
          </w:tcPr>
          <w:p w14:paraId="113D0E05" w14:textId="77777777" w:rsidR="00206934" w:rsidRPr="009C486D" w:rsidRDefault="00206934" w:rsidP="004601C9">
            <w:pPr>
              <w:ind w:left="150"/>
              <w:jc w:val="left"/>
              <w:rPr>
                <w:rFonts w:eastAsia="Times New Roman" w:cs="Times New Roman"/>
                <w:color w:val="000000"/>
                <w:sz w:val="20"/>
                <w:szCs w:val="20"/>
              </w:rPr>
            </w:pPr>
            <w:r w:rsidRPr="009C486D">
              <w:rPr>
                <w:rFonts w:eastAsia="Times New Roman" w:cs="Times New Roman"/>
                <w:color w:val="000000"/>
                <w:sz w:val="20"/>
                <w:szCs w:val="20"/>
              </w:rPr>
              <w:t>No of commercial center</w:t>
            </w:r>
          </w:p>
        </w:tc>
        <w:tc>
          <w:tcPr>
            <w:tcW w:w="4018" w:type="dxa"/>
            <w:shd w:val="clear" w:color="auto" w:fill="auto"/>
            <w:vAlign w:val="center"/>
            <w:hideMark/>
          </w:tcPr>
          <w:p w14:paraId="6E4F9AAD" w14:textId="77777777" w:rsidR="00206934" w:rsidRPr="009C486D" w:rsidRDefault="00206934" w:rsidP="004601C9">
            <w:pPr>
              <w:jc w:val="left"/>
              <w:rPr>
                <w:rFonts w:eastAsia="Times New Roman" w:cs="Times New Roman"/>
                <w:color w:val="000000"/>
                <w:sz w:val="20"/>
                <w:szCs w:val="20"/>
              </w:rPr>
            </w:pPr>
            <w:r w:rsidRPr="009C486D">
              <w:rPr>
                <w:rFonts w:eastAsia="Times New Roman" w:cs="Times New Roman"/>
                <w:color w:val="000000"/>
                <w:sz w:val="20"/>
                <w:szCs w:val="20"/>
              </w:rPr>
              <w:t>Z</w:t>
            </w:r>
            <w:r>
              <w:rPr>
                <w:rFonts w:eastAsia="Times New Roman" w:cs="Times New Roman"/>
                <w:color w:val="000000"/>
                <w:sz w:val="20"/>
                <w:szCs w:val="20"/>
              </w:rPr>
              <w:t xml:space="preserve"> </w:t>
            </w:r>
            <w:r w:rsidRPr="009C486D">
              <w:rPr>
                <w:rFonts w:eastAsia="Times New Roman" w:cs="Times New Roman"/>
                <w:color w:val="000000"/>
                <w:sz w:val="20"/>
                <w:szCs w:val="20"/>
              </w:rPr>
              <w:t>score:  No of commercial center</w:t>
            </w:r>
          </w:p>
        </w:tc>
        <w:tc>
          <w:tcPr>
            <w:tcW w:w="1552" w:type="dxa"/>
            <w:shd w:val="clear" w:color="auto" w:fill="auto"/>
            <w:noWrap/>
            <w:vAlign w:val="center"/>
            <w:hideMark/>
          </w:tcPr>
          <w:p w14:paraId="7EEDCCEA"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-0.270</w:t>
            </w:r>
          </w:p>
        </w:tc>
        <w:tc>
          <w:tcPr>
            <w:tcW w:w="1454" w:type="dxa"/>
            <w:shd w:val="clear" w:color="auto" w:fill="auto"/>
            <w:noWrap/>
            <w:vAlign w:val="center"/>
            <w:hideMark/>
          </w:tcPr>
          <w:p w14:paraId="03DB26C5"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9.521</w:t>
            </w:r>
          </w:p>
        </w:tc>
        <w:tc>
          <w:tcPr>
            <w:tcW w:w="1358" w:type="dxa"/>
            <w:shd w:val="clear" w:color="auto" w:fill="auto"/>
            <w:noWrap/>
            <w:vAlign w:val="center"/>
            <w:hideMark/>
          </w:tcPr>
          <w:p w14:paraId="096B0D7D"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746" w:type="dxa"/>
            <w:shd w:val="clear" w:color="auto" w:fill="auto"/>
            <w:noWrap/>
            <w:vAlign w:val="center"/>
            <w:hideMark/>
          </w:tcPr>
          <w:p w14:paraId="6AF1378B"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1.000</w:t>
            </w:r>
          </w:p>
        </w:tc>
      </w:tr>
      <w:tr w:rsidR="00206934" w:rsidRPr="009C486D" w14:paraId="6333BE16" w14:textId="77777777" w:rsidTr="004601C9">
        <w:trPr>
          <w:trHeight w:hRule="exact" w:val="317"/>
        </w:trPr>
        <w:tc>
          <w:tcPr>
            <w:tcW w:w="2626" w:type="dxa"/>
            <w:shd w:val="clear" w:color="auto" w:fill="auto"/>
            <w:vAlign w:val="center"/>
            <w:hideMark/>
          </w:tcPr>
          <w:p w14:paraId="1078E855" w14:textId="77777777" w:rsidR="00206934" w:rsidRPr="009C486D" w:rsidRDefault="00206934" w:rsidP="004601C9">
            <w:pPr>
              <w:ind w:left="150"/>
              <w:jc w:val="left"/>
              <w:rPr>
                <w:rFonts w:eastAsia="Times New Roman" w:cs="Times New Roman"/>
                <w:color w:val="000000"/>
                <w:sz w:val="20"/>
                <w:szCs w:val="20"/>
              </w:rPr>
            </w:pPr>
            <w:r w:rsidRPr="009C486D">
              <w:rPr>
                <w:rFonts w:eastAsia="Times New Roman" w:cs="Times New Roman"/>
                <w:color w:val="000000"/>
                <w:sz w:val="20"/>
                <w:szCs w:val="20"/>
              </w:rPr>
              <w:t>No of educational center</w:t>
            </w:r>
          </w:p>
        </w:tc>
        <w:tc>
          <w:tcPr>
            <w:tcW w:w="4018" w:type="dxa"/>
            <w:shd w:val="clear" w:color="auto" w:fill="auto"/>
            <w:vAlign w:val="center"/>
            <w:hideMark/>
          </w:tcPr>
          <w:p w14:paraId="0975B549" w14:textId="77777777" w:rsidR="00206934" w:rsidRPr="009C486D" w:rsidRDefault="00206934" w:rsidP="004601C9">
            <w:pPr>
              <w:jc w:val="left"/>
              <w:rPr>
                <w:rFonts w:eastAsia="Times New Roman" w:cs="Times New Roman"/>
                <w:color w:val="000000"/>
                <w:sz w:val="20"/>
                <w:szCs w:val="20"/>
              </w:rPr>
            </w:pPr>
            <w:r w:rsidRPr="009C486D">
              <w:rPr>
                <w:rFonts w:eastAsia="Times New Roman" w:cs="Times New Roman"/>
                <w:color w:val="000000"/>
                <w:sz w:val="20"/>
                <w:szCs w:val="20"/>
              </w:rPr>
              <w:t>Z</w:t>
            </w:r>
            <w:r>
              <w:rPr>
                <w:rFonts w:eastAsia="Times New Roman" w:cs="Times New Roman"/>
                <w:color w:val="000000"/>
                <w:sz w:val="20"/>
                <w:szCs w:val="20"/>
              </w:rPr>
              <w:t xml:space="preserve"> </w:t>
            </w:r>
            <w:r w:rsidRPr="009C486D">
              <w:rPr>
                <w:rFonts w:eastAsia="Times New Roman" w:cs="Times New Roman"/>
                <w:color w:val="000000"/>
                <w:sz w:val="20"/>
                <w:szCs w:val="20"/>
              </w:rPr>
              <w:t>score:  No of educational center</w:t>
            </w:r>
          </w:p>
        </w:tc>
        <w:tc>
          <w:tcPr>
            <w:tcW w:w="1552" w:type="dxa"/>
            <w:shd w:val="clear" w:color="auto" w:fill="auto"/>
            <w:noWrap/>
            <w:vAlign w:val="center"/>
            <w:hideMark/>
          </w:tcPr>
          <w:p w14:paraId="03B87209"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-0.487</w:t>
            </w:r>
          </w:p>
        </w:tc>
        <w:tc>
          <w:tcPr>
            <w:tcW w:w="1454" w:type="dxa"/>
            <w:shd w:val="clear" w:color="auto" w:fill="auto"/>
            <w:noWrap/>
            <w:vAlign w:val="center"/>
            <w:hideMark/>
          </w:tcPr>
          <w:p w14:paraId="55FB85CE"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11.610</w:t>
            </w:r>
          </w:p>
        </w:tc>
        <w:tc>
          <w:tcPr>
            <w:tcW w:w="1358" w:type="dxa"/>
            <w:shd w:val="clear" w:color="auto" w:fill="auto"/>
            <w:noWrap/>
            <w:vAlign w:val="center"/>
            <w:hideMark/>
          </w:tcPr>
          <w:p w14:paraId="2D491511"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746" w:type="dxa"/>
            <w:shd w:val="clear" w:color="auto" w:fill="auto"/>
            <w:noWrap/>
            <w:vAlign w:val="center"/>
            <w:hideMark/>
          </w:tcPr>
          <w:p w14:paraId="67B9EFDC"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1.000</w:t>
            </w:r>
          </w:p>
        </w:tc>
      </w:tr>
      <w:tr w:rsidR="00206934" w:rsidRPr="009C486D" w14:paraId="24372E6A" w14:textId="77777777" w:rsidTr="004601C9">
        <w:trPr>
          <w:trHeight w:hRule="exact" w:val="317"/>
        </w:trPr>
        <w:tc>
          <w:tcPr>
            <w:tcW w:w="2626" w:type="dxa"/>
            <w:shd w:val="clear" w:color="auto" w:fill="auto"/>
            <w:vAlign w:val="center"/>
            <w:hideMark/>
          </w:tcPr>
          <w:p w14:paraId="531032CC" w14:textId="77777777" w:rsidR="00206934" w:rsidRPr="009C486D" w:rsidRDefault="00206934" w:rsidP="004601C9">
            <w:pPr>
              <w:ind w:left="150"/>
              <w:jc w:val="left"/>
              <w:rPr>
                <w:rFonts w:eastAsia="Times New Roman" w:cs="Times New Roman"/>
                <w:color w:val="000000"/>
                <w:sz w:val="20"/>
                <w:szCs w:val="20"/>
              </w:rPr>
            </w:pPr>
            <w:r w:rsidRPr="009C486D">
              <w:rPr>
                <w:rFonts w:eastAsia="Times New Roman" w:cs="Times New Roman"/>
                <w:color w:val="000000"/>
                <w:sz w:val="20"/>
                <w:szCs w:val="20"/>
              </w:rPr>
              <w:t>No of recreational center</w:t>
            </w:r>
          </w:p>
        </w:tc>
        <w:tc>
          <w:tcPr>
            <w:tcW w:w="4018" w:type="dxa"/>
            <w:shd w:val="clear" w:color="auto" w:fill="auto"/>
            <w:vAlign w:val="center"/>
            <w:hideMark/>
          </w:tcPr>
          <w:p w14:paraId="2F79B006" w14:textId="77777777" w:rsidR="00206934" w:rsidRPr="009C486D" w:rsidRDefault="00206934" w:rsidP="004601C9">
            <w:pPr>
              <w:jc w:val="left"/>
              <w:rPr>
                <w:rFonts w:eastAsia="Times New Roman" w:cs="Times New Roman"/>
                <w:color w:val="000000"/>
                <w:sz w:val="20"/>
                <w:szCs w:val="20"/>
              </w:rPr>
            </w:pPr>
            <w:r w:rsidRPr="009C486D">
              <w:rPr>
                <w:rFonts w:eastAsia="Times New Roman" w:cs="Times New Roman"/>
                <w:color w:val="000000"/>
                <w:sz w:val="20"/>
                <w:szCs w:val="20"/>
              </w:rPr>
              <w:t>Z</w:t>
            </w:r>
            <w:r>
              <w:rPr>
                <w:rFonts w:eastAsia="Times New Roman" w:cs="Times New Roman"/>
                <w:color w:val="000000"/>
                <w:sz w:val="20"/>
                <w:szCs w:val="20"/>
              </w:rPr>
              <w:t xml:space="preserve"> </w:t>
            </w:r>
            <w:r w:rsidRPr="009C486D">
              <w:rPr>
                <w:rFonts w:eastAsia="Times New Roman" w:cs="Times New Roman"/>
                <w:color w:val="000000"/>
                <w:sz w:val="20"/>
                <w:szCs w:val="20"/>
              </w:rPr>
              <w:t>score:  No of park and recreational center</w:t>
            </w:r>
          </w:p>
        </w:tc>
        <w:tc>
          <w:tcPr>
            <w:tcW w:w="1552" w:type="dxa"/>
            <w:shd w:val="clear" w:color="auto" w:fill="auto"/>
            <w:noWrap/>
            <w:vAlign w:val="center"/>
            <w:hideMark/>
          </w:tcPr>
          <w:p w14:paraId="6A62AFF1"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-0.475</w:t>
            </w:r>
          </w:p>
        </w:tc>
        <w:tc>
          <w:tcPr>
            <w:tcW w:w="1454" w:type="dxa"/>
            <w:shd w:val="clear" w:color="auto" w:fill="auto"/>
            <w:noWrap/>
            <w:vAlign w:val="center"/>
            <w:hideMark/>
          </w:tcPr>
          <w:p w14:paraId="6704A19E"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16.678</w:t>
            </w:r>
          </w:p>
        </w:tc>
        <w:tc>
          <w:tcPr>
            <w:tcW w:w="1358" w:type="dxa"/>
            <w:shd w:val="clear" w:color="auto" w:fill="auto"/>
            <w:noWrap/>
            <w:vAlign w:val="center"/>
            <w:hideMark/>
          </w:tcPr>
          <w:p w14:paraId="37B907E9"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746" w:type="dxa"/>
            <w:shd w:val="clear" w:color="auto" w:fill="auto"/>
            <w:noWrap/>
            <w:vAlign w:val="center"/>
            <w:hideMark/>
          </w:tcPr>
          <w:p w14:paraId="5071437F"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1.000</w:t>
            </w:r>
          </w:p>
        </w:tc>
      </w:tr>
      <w:tr w:rsidR="00206934" w:rsidRPr="009C486D" w14:paraId="0C6AC1C2" w14:textId="77777777" w:rsidTr="004601C9">
        <w:trPr>
          <w:trHeight w:hRule="exact" w:val="317"/>
        </w:trPr>
        <w:tc>
          <w:tcPr>
            <w:tcW w:w="2626" w:type="dxa"/>
            <w:shd w:val="clear" w:color="auto" w:fill="auto"/>
            <w:vAlign w:val="center"/>
            <w:hideMark/>
          </w:tcPr>
          <w:p w14:paraId="73FC52B9" w14:textId="77777777" w:rsidR="00206934" w:rsidRPr="009C486D" w:rsidRDefault="00206934" w:rsidP="004601C9">
            <w:pPr>
              <w:ind w:left="150"/>
              <w:jc w:val="left"/>
              <w:rPr>
                <w:rFonts w:eastAsia="Times New Roman" w:cs="Times New Roman"/>
                <w:color w:val="000000"/>
                <w:sz w:val="20"/>
                <w:szCs w:val="20"/>
              </w:rPr>
            </w:pPr>
            <w:r w:rsidRPr="009C486D">
              <w:rPr>
                <w:rFonts w:eastAsia="Times New Roman" w:cs="Times New Roman"/>
                <w:color w:val="000000"/>
                <w:sz w:val="20"/>
                <w:szCs w:val="20"/>
              </w:rPr>
              <w:t>No of restaurant</w:t>
            </w:r>
          </w:p>
        </w:tc>
        <w:tc>
          <w:tcPr>
            <w:tcW w:w="4018" w:type="dxa"/>
            <w:shd w:val="clear" w:color="auto" w:fill="auto"/>
            <w:vAlign w:val="center"/>
            <w:hideMark/>
          </w:tcPr>
          <w:p w14:paraId="31FE8895" w14:textId="77777777" w:rsidR="00206934" w:rsidRPr="009C486D" w:rsidRDefault="00206934" w:rsidP="004601C9">
            <w:pPr>
              <w:jc w:val="left"/>
              <w:rPr>
                <w:rFonts w:eastAsia="Times New Roman" w:cs="Times New Roman"/>
                <w:color w:val="000000"/>
                <w:sz w:val="20"/>
                <w:szCs w:val="20"/>
              </w:rPr>
            </w:pPr>
            <w:r w:rsidRPr="009C486D">
              <w:rPr>
                <w:rFonts w:eastAsia="Times New Roman" w:cs="Times New Roman"/>
                <w:color w:val="000000"/>
                <w:sz w:val="20"/>
                <w:szCs w:val="20"/>
              </w:rPr>
              <w:t>Z</w:t>
            </w:r>
            <w:r>
              <w:rPr>
                <w:rFonts w:eastAsia="Times New Roman" w:cs="Times New Roman"/>
                <w:color w:val="000000"/>
                <w:sz w:val="20"/>
                <w:szCs w:val="20"/>
              </w:rPr>
              <w:t xml:space="preserve"> </w:t>
            </w:r>
            <w:r w:rsidRPr="009C486D">
              <w:rPr>
                <w:rFonts w:eastAsia="Times New Roman" w:cs="Times New Roman"/>
                <w:color w:val="000000"/>
                <w:sz w:val="20"/>
                <w:szCs w:val="20"/>
              </w:rPr>
              <w:t>score:  No of restaurant</w:t>
            </w:r>
          </w:p>
        </w:tc>
        <w:tc>
          <w:tcPr>
            <w:tcW w:w="1552" w:type="dxa"/>
            <w:shd w:val="clear" w:color="auto" w:fill="auto"/>
            <w:noWrap/>
            <w:vAlign w:val="center"/>
            <w:hideMark/>
          </w:tcPr>
          <w:p w14:paraId="0CCA7BE5"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-0.464</w:t>
            </w:r>
          </w:p>
        </w:tc>
        <w:tc>
          <w:tcPr>
            <w:tcW w:w="1454" w:type="dxa"/>
            <w:shd w:val="clear" w:color="auto" w:fill="auto"/>
            <w:noWrap/>
            <w:vAlign w:val="center"/>
            <w:hideMark/>
          </w:tcPr>
          <w:p w14:paraId="4EFFC9C5"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11.021</w:t>
            </w:r>
          </w:p>
        </w:tc>
        <w:tc>
          <w:tcPr>
            <w:tcW w:w="1358" w:type="dxa"/>
            <w:shd w:val="clear" w:color="auto" w:fill="auto"/>
            <w:noWrap/>
            <w:vAlign w:val="center"/>
            <w:hideMark/>
          </w:tcPr>
          <w:p w14:paraId="45EC72A4"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746" w:type="dxa"/>
            <w:shd w:val="clear" w:color="auto" w:fill="auto"/>
            <w:noWrap/>
            <w:vAlign w:val="center"/>
            <w:hideMark/>
          </w:tcPr>
          <w:p w14:paraId="1AF6E2E2"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1.000</w:t>
            </w:r>
          </w:p>
        </w:tc>
      </w:tr>
      <w:tr w:rsidR="00206934" w:rsidRPr="009C486D" w14:paraId="18669507" w14:textId="77777777" w:rsidTr="004601C9">
        <w:trPr>
          <w:trHeight w:hRule="exact" w:val="317"/>
        </w:trPr>
        <w:tc>
          <w:tcPr>
            <w:tcW w:w="2626" w:type="dxa"/>
            <w:tcBorders>
              <w:bottom w:val="double" w:sz="4" w:space="0" w:color="auto"/>
            </w:tcBorders>
            <w:shd w:val="clear" w:color="auto" w:fill="auto"/>
            <w:vAlign w:val="center"/>
            <w:hideMark/>
          </w:tcPr>
          <w:p w14:paraId="7697F827" w14:textId="77777777" w:rsidR="00206934" w:rsidRPr="009C486D" w:rsidRDefault="00206934" w:rsidP="004601C9">
            <w:pPr>
              <w:ind w:left="150"/>
              <w:jc w:val="left"/>
              <w:rPr>
                <w:rFonts w:eastAsia="Times New Roman" w:cs="Times New Roman"/>
                <w:color w:val="000000"/>
                <w:sz w:val="20"/>
                <w:szCs w:val="20"/>
              </w:rPr>
            </w:pPr>
            <w:r w:rsidRPr="009C486D">
              <w:rPr>
                <w:rFonts w:eastAsia="Times New Roman" w:cs="Times New Roman"/>
                <w:color w:val="000000"/>
                <w:sz w:val="20"/>
                <w:szCs w:val="20"/>
              </w:rPr>
              <w:t>No of shopping center</w:t>
            </w:r>
          </w:p>
        </w:tc>
        <w:tc>
          <w:tcPr>
            <w:tcW w:w="4018" w:type="dxa"/>
            <w:tcBorders>
              <w:bottom w:val="double" w:sz="4" w:space="0" w:color="auto"/>
            </w:tcBorders>
            <w:shd w:val="clear" w:color="auto" w:fill="auto"/>
            <w:vAlign w:val="center"/>
            <w:hideMark/>
          </w:tcPr>
          <w:p w14:paraId="3F17F7B7" w14:textId="77777777" w:rsidR="00206934" w:rsidRPr="009C486D" w:rsidRDefault="00206934" w:rsidP="004601C9">
            <w:pPr>
              <w:jc w:val="left"/>
              <w:rPr>
                <w:rFonts w:eastAsia="Times New Roman" w:cs="Times New Roman"/>
                <w:color w:val="000000"/>
                <w:sz w:val="20"/>
                <w:szCs w:val="20"/>
              </w:rPr>
            </w:pPr>
            <w:r w:rsidRPr="009C486D">
              <w:rPr>
                <w:rFonts w:eastAsia="Times New Roman" w:cs="Times New Roman"/>
                <w:color w:val="000000"/>
                <w:sz w:val="20"/>
                <w:szCs w:val="20"/>
              </w:rPr>
              <w:t>Z</w:t>
            </w:r>
            <w:r>
              <w:rPr>
                <w:rFonts w:eastAsia="Times New Roman" w:cs="Times New Roman"/>
                <w:color w:val="000000"/>
                <w:sz w:val="20"/>
                <w:szCs w:val="20"/>
              </w:rPr>
              <w:t xml:space="preserve"> </w:t>
            </w:r>
            <w:r w:rsidRPr="009C486D">
              <w:rPr>
                <w:rFonts w:eastAsia="Times New Roman" w:cs="Times New Roman"/>
                <w:color w:val="000000"/>
                <w:sz w:val="20"/>
                <w:szCs w:val="20"/>
              </w:rPr>
              <w:t>score:  No of shopping center</w:t>
            </w:r>
          </w:p>
        </w:tc>
        <w:tc>
          <w:tcPr>
            <w:tcW w:w="1552" w:type="dxa"/>
            <w:tcBorders>
              <w:bottom w:val="double" w:sz="4" w:space="0" w:color="auto"/>
            </w:tcBorders>
            <w:shd w:val="clear" w:color="auto" w:fill="auto"/>
            <w:noWrap/>
            <w:vAlign w:val="center"/>
            <w:hideMark/>
          </w:tcPr>
          <w:p w14:paraId="1586F196"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-0.442</w:t>
            </w:r>
          </w:p>
        </w:tc>
        <w:tc>
          <w:tcPr>
            <w:tcW w:w="1454" w:type="dxa"/>
            <w:tcBorders>
              <w:bottom w:val="double" w:sz="4" w:space="0" w:color="auto"/>
            </w:tcBorders>
            <w:shd w:val="clear" w:color="auto" w:fill="auto"/>
            <w:noWrap/>
            <w:vAlign w:val="center"/>
            <w:hideMark/>
          </w:tcPr>
          <w:p w14:paraId="74EED39E"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19.728</w:t>
            </w:r>
          </w:p>
        </w:tc>
        <w:tc>
          <w:tcPr>
            <w:tcW w:w="1358" w:type="dxa"/>
            <w:tcBorders>
              <w:bottom w:val="double" w:sz="4" w:space="0" w:color="auto"/>
            </w:tcBorders>
            <w:shd w:val="clear" w:color="auto" w:fill="auto"/>
            <w:noWrap/>
            <w:vAlign w:val="center"/>
            <w:hideMark/>
          </w:tcPr>
          <w:p w14:paraId="09394339"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746" w:type="dxa"/>
            <w:tcBorders>
              <w:bottom w:val="double" w:sz="4" w:space="0" w:color="auto"/>
            </w:tcBorders>
            <w:shd w:val="clear" w:color="auto" w:fill="auto"/>
            <w:noWrap/>
            <w:vAlign w:val="center"/>
            <w:hideMark/>
          </w:tcPr>
          <w:p w14:paraId="74D487B1"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1.000</w:t>
            </w:r>
          </w:p>
        </w:tc>
      </w:tr>
      <w:tr w:rsidR="00206934" w:rsidRPr="009C486D" w14:paraId="0AFB38C4" w14:textId="77777777" w:rsidTr="004601C9">
        <w:trPr>
          <w:trHeight w:hRule="exact" w:val="317"/>
        </w:trPr>
        <w:tc>
          <w:tcPr>
            <w:tcW w:w="12754" w:type="dxa"/>
            <w:gridSpan w:val="6"/>
            <w:tcBorders>
              <w:top w:val="double" w:sz="4" w:space="0" w:color="auto"/>
              <w:bottom w:val="double" w:sz="4" w:space="0" w:color="auto"/>
            </w:tcBorders>
            <w:shd w:val="clear" w:color="auto" w:fill="auto"/>
            <w:vAlign w:val="center"/>
            <w:hideMark/>
          </w:tcPr>
          <w:p w14:paraId="326FED9C" w14:textId="77777777" w:rsidR="00206934" w:rsidRPr="009C486D" w:rsidRDefault="00206934" w:rsidP="004601C9">
            <w:pPr>
              <w:jc w:val="left"/>
              <w:rPr>
                <w:rFonts w:eastAsia="Times New Roman" w:cs="Times New Roman"/>
                <w:b/>
                <w:i/>
                <w:color w:val="000000"/>
                <w:sz w:val="20"/>
                <w:szCs w:val="20"/>
              </w:rPr>
            </w:pPr>
            <w:r w:rsidRPr="009C486D">
              <w:rPr>
                <w:rFonts w:eastAsia="Times New Roman" w:cs="Times New Roman"/>
                <w:b/>
                <w:i/>
                <w:color w:val="000000"/>
                <w:sz w:val="20"/>
                <w:szCs w:val="20"/>
              </w:rPr>
              <w:t>Traffic Characteristics</w:t>
            </w:r>
          </w:p>
        </w:tc>
      </w:tr>
      <w:tr w:rsidR="00206934" w:rsidRPr="009C486D" w14:paraId="5EFA2E79" w14:textId="77777777" w:rsidTr="004601C9">
        <w:trPr>
          <w:trHeight w:hRule="exact" w:val="317"/>
        </w:trPr>
        <w:tc>
          <w:tcPr>
            <w:tcW w:w="2626" w:type="dxa"/>
            <w:tcBorders>
              <w:top w:val="double" w:sz="4" w:space="0" w:color="auto"/>
            </w:tcBorders>
            <w:shd w:val="clear" w:color="auto" w:fill="auto"/>
            <w:vAlign w:val="center"/>
            <w:hideMark/>
          </w:tcPr>
          <w:p w14:paraId="62BD686E" w14:textId="77777777" w:rsidR="00206934" w:rsidRPr="009C486D" w:rsidRDefault="00206934" w:rsidP="004601C9">
            <w:pPr>
              <w:ind w:left="150"/>
              <w:jc w:val="left"/>
              <w:rPr>
                <w:rFonts w:eastAsia="Times New Roman" w:cs="Times New Roman"/>
                <w:color w:val="000000"/>
                <w:sz w:val="20"/>
                <w:szCs w:val="20"/>
              </w:rPr>
            </w:pPr>
            <w:r w:rsidRPr="009C486D">
              <w:rPr>
                <w:rFonts w:eastAsia="Times New Roman" w:cs="Times New Roman"/>
                <w:color w:val="000000"/>
                <w:sz w:val="20"/>
                <w:szCs w:val="20"/>
              </w:rPr>
              <w:t>VMT</w:t>
            </w:r>
          </w:p>
        </w:tc>
        <w:tc>
          <w:tcPr>
            <w:tcW w:w="4018" w:type="dxa"/>
            <w:tcBorders>
              <w:top w:val="double" w:sz="4" w:space="0" w:color="auto"/>
            </w:tcBorders>
            <w:shd w:val="clear" w:color="auto" w:fill="auto"/>
            <w:vAlign w:val="center"/>
            <w:hideMark/>
          </w:tcPr>
          <w:p w14:paraId="175C2AC4" w14:textId="77777777" w:rsidR="00206934" w:rsidRPr="009C486D" w:rsidRDefault="00206934" w:rsidP="004601C9">
            <w:pPr>
              <w:jc w:val="left"/>
              <w:rPr>
                <w:rFonts w:eastAsia="Times New Roman" w:cs="Times New Roman"/>
                <w:color w:val="000000"/>
                <w:sz w:val="20"/>
                <w:szCs w:val="20"/>
              </w:rPr>
            </w:pPr>
            <w:r w:rsidRPr="009C486D">
              <w:rPr>
                <w:rFonts w:eastAsia="Times New Roman" w:cs="Times New Roman"/>
                <w:color w:val="000000"/>
                <w:sz w:val="20"/>
                <w:szCs w:val="20"/>
              </w:rPr>
              <w:t>Vehicle miles travelled</w:t>
            </w:r>
          </w:p>
        </w:tc>
        <w:tc>
          <w:tcPr>
            <w:tcW w:w="1552" w:type="dxa"/>
            <w:tcBorders>
              <w:top w:val="double" w:sz="4" w:space="0" w:color="auto"/>
            </w:tcBorders>
            <w:shd w:val="clear" w:color="auto" w:fill="auto"/>
            <w:noWrap/>
            <w:vAlign w:val="center"/>
            <w:hideMark/>
          </w:tcPr>
          <w:p w14:paraId="45E15CC5"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tcBorders>
              <w:top w:val="double" w:sz="4" w:space="0" w:color="auto"/>
            </w:tcBorders>
            <w:shd w:val="clear" w:color="auto" w:fill="auto"/>
            <w:noWrap/>
            <w:vAlign w:val="center"/>
            <w:hideMark/>
          </w:tcPr>
          <w:p w14:paraId="71B0DAEA"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15.026</w:t>
            </w:r>
          </w:p>
        </w:tc>
        <w:tc>
          <w:tcPr>
            <w:tcW w:w="1358" w:type="dxa"/>
            <w:tcBorders>
              <w:top w:val="double" w:sz="4" w:space="0" w:color="auto"/>
            </w:tcBorders>
            <w:shd w:val="clear" w:color="auto" w:fill="auto"/>
            <w:noWrap/>
            <w:vAlign w:val="center"/>
            <w:hideMark/>
          </w:tcPr>
          <w:p w14:paraId="28CB2BAF"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7.914</w:t>
            </w:r>
          </w:p>
        </w:tc>
        <w:tc>
          <w:tcPr>
            <w:tcW w:w="1746" w:type="dxa"/>
            <w:tcBorders>
              <w:top w:val="double" w:sz="4" w:space="0" w:color="auto"/>
            </w:tcBorders>
            <w:shd w:val="clear" w:color="auto" w:fill="auto"/>
            <w:noWrap/>
            <w:vAlign w:val="center"/>
            <w:hideMark/>
          </w:tcPr>
          <w:p w14:paraId="1557A8FA"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3.368</w:t>
            </w:r>
          </w:p>
        </w:tc>
      </w:tr>
      <w:tr w:rsidR="00206934" w:rsidRPr="009C486D" w14:paraId="37DC4E90" w14:textId="77777777" w:rsidTr="004601C9">
        <w:trPr>
          <w:trHeight w:hRule="exact" w:val="317"/>
        </w:trPr>
        <w:tc>
          <w:tcPr>
            <w:tcW w:w="2626" w:type="dxa"/>
            <w:shd w:val="clear" w:color="auto" w:fill="auto"/>
            <w:vAlign w:val="center"/>
          </w:tcPr>
          <w:p w14:paraId="3ED5C5E1" w14:textId="77777777" w:rsidR="00206934" w:rsidRPr="009C486D" w:rsidRDefault="00206934" w:rsidP="004601C9">
            <w:pPr>
              <w:ind w:left="150"/>
              <w:jc w:val="left"/>
              <w:rPr>
                <w:rFonts w:eastAsia="Times New Roman" w:cs="Times New Roman"/>
                <w:color w:val="000000"/>
                <w:sz w:val="20"/>
                <w:szCs w:val="20"/>
              </w:rPr>
            </w:pPr>
            <w:r>
              <w:rPr>
                <w:rFonts w:eastAsia="Times New Roman" w:cs="Times New Roman"/>
                <w:color w:val="000000"/>
                <w:sz w:val="20"/>
                <w:szCs w:val="20"/>
              </w:rPr>
              <w:t>Congested traffic</w:t>
            </w:r>
          </w:p>
        </w:tc>
        <w:tc>
          <w:tcPr>
            <w:tcW w:w="4018" w:type="dxa"/>
            <w:shd w:val="clear" w:color="auto" w:fill="auto"/>
            <w:vAlign w:val="center"/>
          </w:tcPr>
          <w:p w14:paraId="2A150E20" w14:textId="77777777" w:rsidR="00206934" w:rsidRPr="009C486D" w:rsidRDefault="00206934" w:rsidP="004601C9">
            <w:pPr>
              <w:jc w:val="left"/>
              <w:rPr>
                <w:rFonts w:eastAsia="Times New Roman" w:cs="Times New Roman"/>
                <w:color w:val="000000"/>
                <w:sz w:val="20"/>
                <w:szCs w:val="20"/>
              </w:rPr>
            </w:pPr>
            <w:r>
              <w:rPr>
                <w:rFonts w:eastAsia="Times New Roman" w:cs="Times New Roman"/>
                <w:color w:val="000000"/>
                <w:sz w:val="20"/>
                <w:szCs w:val="20"/>
              </w:rPr>
              <w:t>AADT&gt; 85</w:t>
            </w:r>
            <w:r w:rsidRPr="00593AC0">
              <w:rPr>
                <w:rFonts w:eastAsia="Times New Roman" w:cs="Times New Roman"/>
                <w:color w:val="000000"/>
                <w:sz w:val="20"/>
                <w:szCs w:val="20"/>
                <w:vertAlign w:val="superscript"/>
              </w:rPr>
              <w:t>th</w:t>
            </w:r>
            <w:r>
              <w:rPr>
                <w:rFonts w:eastAsia="Times New Roman" w:cs="Times New Roman"/>
                <w:color w:val="000000"/>
                <w:sz w:val="20"/>
                <w:szCs w:val="20"/>
              </w:rPr>
              <w:t xml:space="preserve"> percentile of AADT</w:t>
            </w:r>
          </w:p>
        </w:tc>
        <w:tc>
          <w:tcPr>
            <w:tcW w:w="1552" w:type="dxa"/>
            <w:shd w:val="clear" w:color="auto" w:fill="auto"/>
            <w:noWrap/>
            <w:vAlign w:val="center"/>
          </w:tcPr>
          <w:p w14:paraId="04CB9CBF" w14:textId="77777777" w:rsidR="00206934" w:rsidRPr="009C486D" w:rsidRDefault="00206934" w:rsidP="004601C9">
            <w:pPr>
              <w:jc w:val="center"/>
              <w:rPr>
                <w:rFonts w:eastAsia="Times New Roman" w:cs="Times New Roman"/>
                <w:color w:val="000000"/>
                <w:sz w:val="20"/>
                <w:szCs w:val="20"/>
              </w:rPr>
            </w:pPr>
            <w:r>
              <w:rPr>
                <w:rFonts w:eastAsia="Times New Roman" w:cs="Times New Roman"/>
                <w:color w:val="000000"/>
                <w:sz w:val="20"/>
                <w:szCs w:val="20"/>
              </w:rPr>
              <w:t>0.000</w:t>
            </w:r>
          </w:p>
        </w:tc>
        <w:tc>
          <w:tcPr>
            <w:tcW w:w="1454" w:type="dxa"/>
            <w:shd w:val="clear" w:color="auto" w:fill="auto"/>
            <w:noWrap/>
            <w:vAlign w:val="center"/>
          </w:tcPr>
          <w:p w14:paraId="12490AEE" w14:textId="77777777" w:rsidR="00206934" w:rsidRPr="009C486D" w:rsidRDefault="00206934" w:rsidP="004601C9">
            <w:pPr>
              <w:jc w:val="center"/>
              <w:rPr>
                <w:rFonts w:eastAsia="Times New Roman" w:cs="Times New Roman"/>
                <w:color w:val="000000"/>
                <w:sz w:val="20"/>
                <w:szCs w:val="20"/>
              </w:rPr>
            </w:pPr>
            <w:r>
              <w:rPr>
                <w:rFonts w:eastAsia="Times New Roman" w:cs="Times New Roman"/>
                <w:color w:val="000000"/>
                <w:sz w:val="20"/>
                <w:szCs w:val="20"/>
              </w:rPr>
              <w:t>1.000</w:t>
            </w:r>
          </w:p>
        </w:tc>
        <w:tc>
          <w:tcPr>
            <w:tcW w:w="1358" w:type="dxa"/>
            <w:shd w:val="clear" w:color="auto" w:fill="auto"/>
            <w:noWrap/>
            <w:vAlign w:val="center"/>
          </w:tcPr>
          <w:p w14:paraId="17350123" w14:textId="77777777" w:rsidR="00206934" w:rsidRDefault="00206934" w:rsidP="004601C9">
            <w:pPr>
              <w:jc w:val="center"/>
              <w:rPr>
                <w:rFonts w:eastAsia="Times New Roman" w:cs="Times New Roman"/>
                <w:color w:val="000000"/>
                <w:sz w:val="20"/>
                <w:szCs w:val="20"/>
              </w:rPr>
            </w:pPr>
            <w:r>
              <w:rPr>
                <w:rFonts w:eastAsia="Times New Roman" w:cs="Times New Roman"/>
                <w:color w:val="000000"/>
                <w:sz w:val="20"/>
                <w:szCs w:val="20"/>
              </w:rPr>
              <w:t>0.130</w:t>
            </w:r>
          </w:p>
        </w:tc>
        <w:tc>
          <w:tcPr>
            <w:tcW w:w="1746" w:type="dxa"/>
            <w:shd w:val="clear" w:color="auto" w:fill="auto"/>
            <w:noWrap/>
            <w:vAlign w:val="center"/>
          </w:tcPr>
          <w:p w14:paraId="677969CA" w14:textId="77777777" w:rsidR="00206934" w:rsidRPr="009C486D" w:rsidRDefault="00206934" w:rsidP="004601C9">
            <w:pPr>
              <w:jc w:val="center"/>
              <w:rPr>
                <w:rFonts w:eastAsia="Times New Roman" w:cs="Times New Roman"/>
                <w:color w:val="000000"/>
                <w:sz w:val="20"/>
                <w:szCs w:val="20"/>
              </w:rPr>
            </w:pPr>
            <w:r>
              <w:rPr>
                <w:rFonts w:eastAsia="Times New Roman" w:cs="Times New Roman"/>
                <w:color w:val="000000"/>
                <w:sz w:val="20"/>
                <w:szCs w:val="20"/>
              </w:rPr>
              <w:t>0.336</w:t>
            </w:r>
          </w:p>
        </w:tc>
      </w:tr>
      <w:tr w:rsidR="00206934" w:rsidRPr="009C486D" w14:paraId="1C029479" w14:textId="77777777" w:rsidTr="004601C9">
        <w:trPr>
          <w:trHeight w:hRule="exact" w:val="317"/>
        </w:trPr>
        <w:tc>
          <w:tcPr>
            <w:tcW w:w="2626" w:type="dxa"/>
            <w:shd w:val="clear" w:color="auto" w:fill="auto"/>
            <w:vAlign w:val="center"/>
            <w:hideMark/>
          </w:tcPr>
          <w:p w14:paraId="19BEBE89" w14:textId="77777777" w:rsidR="00206934" w:rsidRPr="009C486D" w:rsidRDefault="00206934" w:rsidP="004601C9">
            <w:pPr>
              <w:ind w:left="150"/>
              <w:jc w:val="left"/>
              <w:rPr>
                <w:rFonts w:eastAsia="Times New Roman" w:cs="Times New Roman"/>
                <w:color w:val="000000"/>
                <w:sz w:val="20"/>
                <w:szCs w:val="20"/>
              </w:rPr>
            </w:pPr>
            <w:r w:rsidRPr="009C486D">
              <w:rPr>
                <w:rFonts w:eastAsia="Times New Roman" w:cs="Times New Roman"/>
                <w:color w:val="000000"/>
                <w:sz w:val="20"/>
                <w:szCs w:val="20"/>
              </w:rPr>
              <w:t>Truck VMT</w:t>
            </w:r>
          </w:p>
        </w:tc>
        <w:tc>
          <w:tcPr>
            <w:tcW w:w="4018" w:type="dxa"/>
            <w:shd w:val="clear" w:color="auto" w:fill="auto"/>
            <w:vAlign w:val="center"/>
            <w:hideMark/>
          </w:tcPr>
          <w:p w14:paraId="45A0478A" w14:textId="77777777" w:rsidR="00206934" w:rsidRPr="009C486D" w:rsidRDefault="00206934" w:rsidP="004601C9">
            <w:pPr>
              <w:jc w:val="left"/>
              <w:rPr>
                <w:rFonts w:eastAsia="Times New Roman" w:cs="Times New Roman"/>
                <w:color w:val="000000"/>
                <w:sz w:val="20"/>
                <w:szCs w:val="20"/>
              </w:rPr>
            </w:pPr>
            <w:r w:rsidRPr="009C486D">
              <w:rPr>
                <w:rFonts w:eastAsia="Times New Roman" w:cs="Times New Roman"/>
                <w:color w:val="000000"/>
                <w:sz w:val="20"/>
                <w:szCs w:val="20"/>
              </w:rPr>
              <w:t>Tuck vehicle miles traveled</w:t>
            </w:r>
          </w:p>
        </w:tc>
        <w:tc>
          <w:tcPr>
            <w:tcW w:w="1552" w:type="dxa"/>
            <w:shd w:val="clear" w:color="auto" w:fill="auto"/>
            <w:noWrap/>
            <w:vAlign w:val="center"/>
            <w:hideMark/>
          </w:tcPr>
          <w:p w14:paraId="30E554B2"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shd w:val="clear" w:color="auto" w:fill="auto"/>
            <w:noWrap/>
            <w:vAlign w:val="center"/>
            <w:hideMark/>
          </w:tcPr>
          <w:p w14:paraId="68EF0927"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13.049</w:t>
            </w:r>
          </w:p>
        </w:tc>
        <w:tc>
          <w:tcPr>
            <w:tcW w:w="1358" w:type="dxa"/>
            <w:shd w:val="clear" w:color="auto" w:fill="auto"/>
            <w:noWrap/>
            <w:vAlign w:val="center"/>
            <w:hideMark/>
          </w:tcPr>
          <w:p w14:paraId="353F0ADD" w14:textId="77777777" w:rsidR="00206934" w:rsidRPr="009C486D" w:rsidRDefault="00206934" w:rsidP="004601C9">
            <w:pPr>
              <w:jc w:val="center"/>
              <w:rPr>
                <w:rFonts w:eastAsia="Times New Roman" w:cs="Times New Roman"/>
                <w:color w:val="000000"/>
                <w:sz w:val="20"/>
                <w:szCs w:val="20"/>
              </w:rPr>
            </w:pPr>
            <w:r>
              <w:rPr>
                <w:rFonts w:eastAsia="Times New Roman" w:cs="Times New Roman"/>
                <w:color w:val="000000"/>
                <w:sz w:val="20"/>
                <w:szCs w:val="20"/>
              </w:rPr>
              <w:t>3</w:t>
            </w:r>
            <w:r w:rsidRPr="009C486D">
              <w:rPr>
                <w:rFonts w:eastAsia="Times New Roman" w:cs="Times New Roman"/>
                <w:color w:val="000000"/>
                <w:sz w:val="20"/>
                <w:szCs w:val="20"/>
              </w:rPr>
              <w:t>.474</w:t>
            </w:r>
          </w:p>
        </w:tc>
        <w:tc>
          <w:tcPr>
            <w:tcW w:w="1746" w:type="dxa"/>
            <w:shd w:val="clear" w:color="auto" w:fill="auto"/>
            <w:noWrap/>
            <w:vAlign w:val="center"/>
            <w:hideMark/>
          </w:tcPr>
          <w:p w14:paraId="4E909720"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2.864</w:t>
            </w:r>
          </w:p>
        </w:tc>
      </w:tr>
      <w:tr w:rsidR="00206934" w:rsidRPr="009C486D" w14:paraId="7FA2CAA2" w14:textId="77777777" w:rsidTr="004601C9">
        <w:trPr>
          <w:trHeight w:hRule="exact" w:val="577"/>
        </w:trPr>
        <w:tc>
          <w:tcPr>
            <w:tcW w:w="2626" w:type="dxa"/>
            <w:tcBorders>
              <w:bottom w:val="double" w:sz="4" w:space="0" w:color="auto"/>
            </w:tcBorders>
            <w:shd w:val="clear" w:color="auto" w:fill="auto"/>
            <w:vAlign w:val="center"/>
            <w:hideMark/>
          </w:tcPr>
          <w:p w14:paraId="2A06A460" w14:textId="77777777" w:rsidR="00206934" w:rsidRPr="009C486D" w:rsidRDefault="00206934" w:rsidP="004601C9">
            <w:pPr>
              <w:ind w:left="150"/>
              <w:jc w:val="left"/>
              <w:rPr>
                <w:rFonts w:eastAsia="Times New Roman" w:cs="Times New Roman"/>
                <w:color w:val="000000"/>
                <w:sz w:val="20"/>
                <w:szCs w:val="20"/>
              </w:rPr>
            </w:pPr>
            <w:r w:rsidRPr="009C486D">
              <w:rPr>
                <w:rFonts w:eastAsia="Times New Roman" w:cs="Times New Roman"/>
                <w:color w:val="000000"/>
                <w:sz w:val="20"/>
                <w:szCs w:val="20"/>
              </w:rPr>
              <w:t>Proportion of heavy vehicles</w:t>
            </w:r>
          </w:p>
        </w:tc>
        <w:tc>
          <w:tcPr>
            <w:tcW w:w="4018" w:type="dxa"/>
            <w:tcBorders>
              <w:bottom w:val="double" w:sz="4" w:space="0" w:color="auto"/>
            </w:tcBorders>
            <w:shd w:val="clear" w:color="auto" w:fill="auto"/>
            <w:vAlign w:val="center"/>
            <w:hideMark/>
          </w:tcPr>
          <w:p w14:paraId="5BDCB61D" w14:textId="77777777" w:rsidR="00206934" w:rsidRPr="009C486D" w:rsidRDefault="00206934" w:rsidP="004601C9">
            <w:pPr>
              <w:jc w:val="left"/>
              <w:rPr>
                <w:rFonts w:eastAsia="Times New Roman" w:cs="Times New Roman"/>
                <w:color w:val="000000"/>
                <w:sz w:val="20"/>
                <w:szCs w:val="20"/>
              </w:rPr>
            </w:pPr>
            <w:r>
              <w:rPr>
                <w:rFonts w:eastAsia="Times New Roman" w:cs="Times New Roman"/>
                <w:color w:val="000000"/>
                <w:sz w:val="20"/>
                <w:szCs w:val="20"/>
              </w:rPr>
              <w:t>Total truck AADT/ Total AADT</w:t>
            </w:r>
          </w:p>
        </w:tc>
        <w:tc>
          <w:tcPr>
            <w:tcW w:w="1552" w:type="dxa"/>
            <w:tcBorders>
              <w:bottom w:val="double" w:sz="4" w:space="0" w:color="auto"/>
            </w:tcBorders>
            <w:shd w:val="clear" w:color="auto" w:fill="auto"/>
            <w:noWrap/>
            <w:vAlign w:val="center"/>
            <w:hideMark/>
          </w:tcPr>
          <w:p w14:paraId="3D435C10"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tcBorders>
              <w:bottom w:val="double" w:sz="4" w:space="0" w:color="auto"/>
            </w:tcBorders>
            <w:shd w:val="clear" w:color="auto" w:fill="auto"/>
            <w:noWrap/>
            <w:vAlign w:val="center"/>
            <w:hideMark/>
          </w:tcPr>
          <w:p w14:paraId="5C2FB05F"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0.369</w:t>
            </w:r>
          </w:p>
        </w:tc>
        <w:tc>
          <w:tcPr>
            <w:tcW w:w="1358" w:type="dxa"/>
            <w:tcBorders>
              <w:bottom w:val="double" w:sz="4" w:space="0" w:color="auto"/>
            </w:tcBorders>
            <w:shd w:val="clear" w:color="auto" w:fill="auto"/>
            <w:noWrap/>
            <w:vAlign w:val="center"/>
            <w:hideMark/>
          </w:tcPr>
          <w:p w14:paraId="2C8E0F32"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0.068</w:t>
            </w:r>
          </w:p>
        </w:tc>
        <w:tc>
          <w:tcPr>
            <w:tcW w:w="1746" w:type="dxa"/>
            <w:tcBorders>
              <w:bottom w:val="double" w:sz="4" w:space="0" w:color="auto"/>
            </w:tcBorders>
            <w:shd w:val="clear" w:color="auto" w:fill="auto"/>
            <w:noWrap/>
            <w:vAlign w:val="center"/>
            <w:hideMark/>
          </w:tcPr>
          <w:p w14:paraId="60E9AD1B"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0.046</w:t>
            </w:r>
          </w:p>
        </w:tc>
      </w:tr>
      <w:tr w:rsidR="00206934" w:rsidRPr="009C486D" w14:paraId="1B38F9DE" w14:textId="77777777" w:rsidTr="004601C9">
        <w:trPr>
          <w:trHeight w:hRule="exact" w:val="317"/>
        </w:trPr>
        <w:tc>
          <w:tcPr>
            <w:tcW w:w="12754" w:type="dxa"/>
            <w:gridSpan w:val="6"/>
            <w:tcBorders>
              <w:top w:val="double" w:sz="4" w:space="0" w:color="auto"/>
              <w:bottom w:val="double" w:sz="4" w:space="0" w:color="auto"/>
            </w:tcBorders>
            <w:shd w:val="clear" w:color="auto" w:fill="auto"/>
            <w:vAlign w:val="center"/>
            <w:hideMark/>
          </w:tcPr>
          <w:p w14:paraId="2344A349" w14:textId="77777777" w:rsidR="00206934" w:rsidRPr="009C486D" w:rsidRDefault="00206934" w:rsidP="004601C9">
            <w:pPr>
              <w:jc w:val="left"/>
              <w:rPr>
                <w:rFonts w:eastAsia="Times New Roman" w:cs="Times New Roman"/>
                <w:b/>
                <w:i/>
                <w:color w:val="000000"/>
                <w:sz w:val="20"/>
                <w:szCs w:val="20"/>
              </w:rPr>
            </w:pPr>
            <w:r w:rsidRPr="009C486D">
              <w:rPr>
                <w:rFonts w:eastAsia="Times New Roman" w:cs="Times New Roman"/>
                <w:b/>
                <w:i/>
                <w:color w:val="000000"/>
                <w:sz w:val="20"/>
                <w:szCs w:val="20"/>
              </w:rPr>
              <w:t>Sociodemographic Characteristics</w:t>
            </w:r>
          </w:p>
        </w:tc>
      </w:tr>
      <w:tr w:rsidR="00206934" w:rsidRPr="009C486D" w14:paraId="4B89F903" w14:textId="77777777" w:rsidTr="004601C9">
        <w:trPr>
          <w:trHeight w:hRule="exact" w:val="317"/>
        </w:trPr>
        <w:tc>
          <w:tcPr>
            <w:tcW w:w="2626" w:type="dxa"/>
            <w:tcBorders>
              <w:top w:val="double" w:sz="4" w:space="0" w:color="auto"/>
            </w:tcBorders>
            <w:shd w:val="clear" w:color="auto" w:fill="auto"/>
            <w:vAlign w:val="center"/>
            <w:hideMark/>
          </w:tcPr>
          <w:p w14:paraId="73D68506" w14:textId="77777777" w:rsidR="00206934" w:rsidRPr="009C486D" w:rsidRDefault="00206934" w:rsidP="004601C9">
            <w:pPr>
              <w:ind w:left="150"/>
              <w:jc w:val="left"/>
              <w:rPr>
                <w:rFonts w:eastAsia="Times New Roman" w:cs="Times New Roman"/>
                <w:color w:val="000000"/>
                <w:sz w:val="20"/>
                <w:szCs w:val="20"/>
              </w:rPr>
            </w:pPr>
            <w:r w:rsidRPr="009C486D">
              <w:rPr>
                <w:rFonts w:eastAsia="Times New Roman" w:cs="Times New Roman"/>
                <w:color w:val="000000"/>
                <w:sz w:val="20"/>
                <w:szCs w:val="20"/>
              </w:rPr>
              <w:t>Population density</w:t>
            </w:r>
          </w:p>
        </w:tc>
        <w:tc>
          <w:tcPr>
            <w:tcW w:w="4018" w:type="dxa"/>
            <w:tcBorders>
              <w:top w:val="double" w:sz="4" w:space="0" w:color="auto"/>
            </w:tcBorders>
            <w:shd w:val="clear" w:color="auto" w:fill="auto"/>
            <w:vAlign w:val="center"/>
            <w:hideMark/>
          </w:tcPr>
          <w:p w14:paraId="07BA2D0C" w14:textId="77777777" w:rsidR="00206934" w:rsidRPr="009C486D" w:rsidRDefault="00206934" w:rsidP="004601C9">
            <w:pPr>
              <w:jc w:val="left"/>
              <w:rPr>
                <w:rFonts w:eastAsia="Times New Roman" w:cs="Times New Roman"/>
                <w:color w:val="000000"/>
                <w:sz w:val="20"/>
                <w:szCs w:val="20"/>
              </w:rPr>
            </w:pPr>
            <w:r>
              <w:rPr>
                <w:rFonts w:eastAsia="Times New Roman" w:cs="Times New Roman"/>
                <w:color w:val="000000"/>
                <w:sz w:val="20"/>
                <w:szCs w:val="20"/>
              </w:rPr>
              <w:t>T</w:t>
            </w:r>
            <w:r w:rsidRPr="009C486D">
              <w:rPr>
                <w:rFonts w:eastAsia="Times New Roman" w:cs="Times New Roman"/>
                <w:color w:val="000000"/>
                <w:sz w:val="20"/>
                <w:szCs w:val="20"/>
              </w:rPr>
              <w:t>otal population/</w:t>
            </w:r>
            <w:r>
              <w:rPr>
                <w:rFonts w:eastAsia="Times New Roman" w:cs="Times New Roman"/>
                <w:color w:val="000000"/>
                <w:sz w:val="20"/>
                <w:szCs w:val="20"/>
              </w:rPr>
              <w:t>T</w:t>
            </w:r>
            <w:r w:rsidRPr="009C486D">
              <w:rPr>
                <w:rFonts w:eastAsia="Times New Roman" w:cs="Times New Roman"/>
                <w:color w:val="000000"/>
                <w:sz w:val="20"/>
                <w:szCs w:val="20"/>
              </w:rPr>
              <w:t>otal area of TAZ in acre</w:t>
            </w:r>
          </w:p>
        </w:tc>
        <w:tc>
          <w:tcPr>
            <w:tcW w:w="1552" w:type="dxa"/>
            <w:tcBorders>
              <w:top w:val="double" w:sz="4" w:space="0" w:color="auto"/>
            </w:tcBorders>
            <w:shd w:val="clear" w:color="auto" w:fill="auto"/>
            <w:noWrap/>
            <w:vAlign w:val="center"/>
            <w:hideMark/>
          </w:tcPr>
          <w:p w14:paraId="0C5ECE33"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tcBorders>
              <w:top w:val="double" w:sz="4" w:space="0" w:color="auto"/>
            </w:tcBorders>
            <w:shd w:val="clear" w:color="auto" w:fill="auto"/>
            <w:noWrap/>
            <w:vAlign w:val="center"/>
            <w:hideMark/>
          </w:tcPr>
          <w:p w14:paraId="2C192DC8"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21.293</w:t>
            </w:r>
          </w:p>
        </w:tc>
        <w:tc>
          <w:tcPr>
            <w:tcW w:w="1358" w:type="dxa"/>
            <w:tcBorders>
              <w:top w:val="double" w:sz="4" w:space="0" w:color="auto"/>
            </w:tcBorders>
            <w:shd w:val="clear" w:color="auto" w:fill="auto"/>
            <w:noWrap/>
            <w:vAlign w:val="center"/>
            <w:hideMark/>
          </w:tcPr>
          <w:p w14:paraId="5CFE0E6C"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2.364</w:t>
            </w:r>
          </w:p>
        </w:tc>
        <w:tc>
          <w:tcPr>
            <w:tcW w:w="1746" w:type="dxa"/>
            <w:tcBorders>
              <w:top w:val="double" w:sz="4" w:space="0" w:color="auto"/>
            </w:tcBorders>
            <w:shd w:val="clear" w:color="auto" w:fill="auto"/>
            <w:noWrap/>
            <w:vAlign w:val="center"/>
            <w:hideMark/>
          </w:tcPr>
          <w:p w14:paraId="197C2AFD"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2.233</w:t>
            </w:r>
          </w:p>
        </w:tc>
      </w:tr>
      <w:tr w:rsidR="00206934" w:rsidRPr="009C486D" w14:paraId="6BA0113A" w14:textId="77777777" w:rsidTr="004601C9">
        <w:trPr>
          <w:trHeight w:hRule="exact" w:val="317"/>
        </w:trPr>
        <w:tc>
          <w:tcPr>
            <w:tcW w:w="2626" w:type="dxa"/>
            <w:shd w:val="clear" w:color="auto" w:fill="auto"/>
            <w:vAlign w:val="center"/>
            <w:hideMark/>
          </w:tcPr>
          <w:p w14:paraId="0722BE69" w14:textId="77777777" w:rsidR="00206934" w:rsidRPr="009C486D" w:rsidRDefault="00206934" w:rsidP="004601C9">
            <w:pPr>
              <w:ind w:left="150"/>
              <w:jc w:val="left"/>
              <w:rPr>
                <w:rFonts w:eastAsia="Times New Roman" w:cs="Times New Roman"/>
                <w:color w:val="000000"/>
                <w:sz w:val="20"/>
                <w:szCs w:val="20"/>
              </w:rPr>
            </w:pPr>
            <w:r w:rsidRPr="009C486D">
              <w:rPr>
                <w:rFonts w:eastAsia="Times New Roman" w:cs="Times New Roman"/>
                <w:color w:val="000000"/>
                <w:sz w:val="20"/>
                <w:szCs w:val="20"/>
              </w:rPr>
              <w:t xml:space="preserve">household density </w:t>
            </w:r>
          </w:p>
        </w:tc>
        <w:tc>
          <w:tcPr>
            <w:tcW w:w="4018" w:type="dxa"/>
            <w:shd w:val="clear" w:color="auto" w:fill="auto"/>
            <w:vAlign w:val="center"/>
            <w:hideMark/>
          </w:tcPr>
          <w:p w14:paraId="5AEF7F36" w14:textId="77777777" w:rsidR="00206934" w:rsidRPr="009C486D" w:rsidRDefault="00206934" w:rsidP="004601C9">
            <w:pPr>
              <w:jc w:val="left"/>
              <w:rPr>
                <w:rFonts w:eastAsia="Times New Roman" w:cs="Times New Roman"/>
                <w:color w:val="000000"/>
                <w:sz w:val="20"/>
                <w:szCs w:val="20"/>
              </w:rPr>
            </w:pPr>
            <w:r>
              <w:rPr>
                <w:rFonts w:eastAsia="Times New Roman" w:cs="Times New Roman"/>
                <w:color w:val="000000"/>
                <w:sz w:val="20"/>
                <w:szCs w:val="20"/>
              </w:rPr>
              <w:t>T</w:t>
            </w:r>
            <w:r w:rsidRPr="009C486D">
              <w:rPr>
                <w:rFonts w:eastAsia="Times New Roman" w:cs="Times New Roman"/>
                <w:color w:val="000000"/>
                <w:sz w:val="20"/>
                <w:szCs w:val="20"/>
              </w:rPr>
              <w:t xml:space="preserve">otal </w:t>
            </w:r>
            <w:r>
              <w:rPr>
                <w:rFonts w:eastAsia="Times New Roman" w:cs="Times New Roman"/>
                <w:color w:val="000000"/>
                <w:sz w:val="20"/>
                <w:szCs w:val="20"/>
              </w:rPr>
              <w:t>number of household</w:t>
            </w:r>
            <w:r w:rsidRPr="009C486D">
              <w:rPr>
                <w:rFonts w:eastAsia="Times New Roman" w:cs="Times New Roman"/>
                <w:color w:val="000000"/>
                <w:sz w:val="20"/>
                <w:szCs w:val="20"/>
              </w:rPr>
              <w:t>/</w:t>
            </w:r>
            <w:r>
              <w:rPr>
                <w:rFonts w:eastAsia="Times New Roman" w:cs="Times New Roman"/>
                <w:color w:val="000000"/>
                <w:sz w:val="20"/>
                <w:szCs w:val="20"/>
              </w:rPr>
              <w:t>T</w:t>
            </w:r>
            <w:r w:rsidRPr="009C486D">
              <w:rPr>
                <w:rFonts w:eastAsia="Times New Roman" w:cs="Times New Roman"/>
                <w:color w:val="000000"/>
                <w:sz w:val="20"/>
                <w:szCs w:val="20"/>
              </w:rPr>
              <w:t>otal area of TAZ in acre</w:t>
            </w:r>
          </w:p>
        </w:tc>
        <w:tc>
          <w:tcPr>
            <w:tcW w:w="1552" w:type="dxa"/>
            <w:shd w:val="clear" w:color="auto" w:fill="auto"/>
            <w:noWrap/>
            <w:vAlign w:val="center"/>
            <w:hideMark/>
          </w:tcPr>
          <w:p w14:paraId="30F015E2"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shd w:val="clear" w:color="auto" w:fill="auto"/>
            <w:noWrap/>
            <w:vAlign w:val="center"/>
            <w:hideMark/>
          </w:tcPr>
          <w:p w14:paraId="05843BB9"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8.556</w:t>
            </w:r>
          </w:p>
        </w:tc>
        <w:tc>
          <w:tcPr>
            <w:tcW w:w="1358" w:type="dxa"/>
            <w:shd w:val="clear" w:color="auto" w:fill="auto"/>
            <w:noWrap/>
            <w:vAlign w:val="center"/>
            <w:hideMark/>
          </w:tcPr>
          <w:p w14:paraId="3CF3D9A9"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0.902</w:t>
            </w:r>
          </w:p>
        </w:tc>
        <w:tc>
          <w:tcPr>
            <w:tcW w:w="1746" w:type="dxa"/>
            <w:shd w:val="clear" w:color="auto" w:fill="auto"/>
            <w:noWrap/>
            <w:vAlign w:val="center"/>
            <w:hideMark/>
          </w:tcPr>
          <w:p w14:paraId="71F1FDBC"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0.878</w:t>
            </w:r>
          </w:p>
        </w:tc>
      </w:tr>
      <w:tr w:rsidR="00206934" w:rsidRPr="009C486D" w14:paraId="21D8874F" w14:textId="77777777" w:rsidTr="004601C9">
        <w:trPr>
          <w:trHeight w:hRule="exact" w:val="317"/>
        </w:trPr>
        <w:tc>
          <w:tcPr>
            <w:tcW w:w="2626" w:type="dxa"/>
            <w:shd w:val="clear" w:color="auto" w:fill="auto"/>
            <w:vAlign w:val="center"/>
            <w:hideMark/>
          </w:tcPr>
          <w:p w14:paraId="76C1C8B1" w14:textId="77777777" w:rsidR="00206934" w:rsidRPr="009C486D" w:rsidRDefault="00206934" w:rsidP="004601C9">
            <w:pPr>
              <w:ind w:left="150"/>
              <w:jc w:val="left"/>
              <w:rPr>
                <w:rFonts w:eastAsia="Times New Roman" w:cs="Times New Roman"/>
                <w:color w:val="000000"/>
                <w:sz w:val="20"/>
                <w:szCs w:val="20"/>
              </w:rPr>
            </w:pPr>
            <w:r>
              <w:rPr>
                <w:rFonts w:eastAsia="Times New Roman" w:cs="Times New Roman"/>
                <w:color w:val="000000"/>
                <w:sz w:val="20"/>
                <w:szCs w:val="20"/>
              </w:rPr>
              <w:t>Average TAZ income</w:t>
            </w:r>
          </w:p>
        </w:tc>
        <w:tc>
          <w:tcPr>
            <w:tcW w:w="4018" w:type="dxa"/>
            <w:shd w:val="clear" w:color="auto" w:fill="auto"/>
            <w:vAlign w:val="center"/>
            <w:hideMark/>
          </w:tcPr>
          <w:p w14:paraId="033D1A6D" w14:textId="77777777" w:rsidR="00206934" w:rsidRPr="009C486D" w:rsidRDefault="00206934" w:rsidP="004601C9">
            <w:pPr>
              <w:jc w:val="left"/>
              <w:rPr>
                <w:rFonts w:eastAsia="Times New Roman" w:cs="Times New Roman"/>
                <w:color w:val="000000"/>
                <w:sz w:val="20"/>
                <w:szCs w:val="20"/>
              </w:rPr>
            </w:pPr>
            <w:r w:rsidRPr="009C486D">
              <w:rPr>
                <w:rFonts w:eastAsia="Times New Roman" w:cs="Times New Roman"/>
                <w:color w:val="000000"/>
                <w:sz w:val="20"/>
                <w:szCs w:val="20"/>
              </w:rPr>
              <w:t>Ln (Average TAZ income+1)</w:t>
            </w:r>
          </w:p>
        </w:tc>
        <w:tc>
          <w:tcPr>
            <w:tcW w:w="1552" w:type="dxa"/>
            <w:shd w:val="clear" w:color="auto" w:fill="auto"/>
            <w:noWrap/>
            <w:vAlign w:val="center"/>
            <w:hideMark/>
          </w:tcPr>
          <w:p w14:paraId="5A2B7F45"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shd w:val="clear" w:color="auto" w:fill="auto"/>
            <w:noWrap/>
            <w:vAlign w:val="center"/>
            <w:hideMark/>
          </w:tcPr>
          <w:p w14:paraId="51BE5255"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12.534</w:t>
            </w:r>
          </w:p>
        </w:tc>
        <w:tc>
          <w:tcPr>
            <w:tcW w:w="1358" w:type="dxa"/>
            <w:shd w:val="clear" w:color="auto" w:fill="auto"/>
            <w:noWrap/>
            <w:vAlign w:val="center"/>
            <w:hideMark/>
          </w:tcPr>
          <w:p w14:paraId="0D6976AD"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11.065</w:t>
            </w:r>
          </w:p>
        </w:tc>
        <w:tc>
          <w:tcPr>
            <w:tcW w:w="1746" w:type="dxa"/>
            <w:shd w:val="clear" w:color="auto" w:fill="auto"/>
            <w:noWrap/>
            <w:vAlign w:val="center"/>
            <w:hideMark/>
          </w:tcPr>
          <w:p w14:paraId="21FA7EA0"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0.386</w:t>
            </w:r>
          </w:p>
        </w:tc>
      </w:tr>
      <w:tr w:rsidR="00206934" w:rsidRPr="009C486D" w14:paraId="5D05A998" w14:textId="77777777" w:rsidTr="004601C9">
        <w:trPr>
          <w:trHeight w:hRule="exact" w:val="317"/>
        </w:trPr>
        <w:tc>
          <w:tcPr>
            <w:tcW w:w="2626" w:type="dxa"/>
            <w:shd w:val="clear" w:color="auto" w:fill="auto"/>
            <w:vAlign w:val="center"/>
          </w:tcPr>
          <w:p w14:paraId="0ACBAA9C" w14:textId="77777777" w:rsidR="00206934" w:rsidRDefault="00206934" w:rsidP="004601C9">
            <w:pPr>
              <w:ind w:left="150"/>
              <w:jc w:val="left"/>
              <w:rPr>
                <w:rFonts w:eastAsia="Times New Roman" w:cs="Times New Roman"/>
                <w:color w:val="000000"/>
                <w:sz w:val="20"/>
                <w:szCs w:val="20"/>
              </w:rPr>
            </w:pPr>
            <w:r>
              <w:rPr>
                <w:rFonts w:eastAsia="Times New Roman" w:cs="Times New Roman"/>
                <w:color w:val="000000"/>
                <w:sz w:val="20"/>
                <w:szCs w:val="20"/>
              </w:rPr>
              <w:t>Employee</w:t>
            </w:r>
            <w:r w:rsidRPr="009C486D">
              <w:rPr>
                <w:rFonts w:eastAsia="Times New Roman" w:cs="Times New Roman"/>
                <w:color w:val="000000"/>
                <w:sz w:val="20"/>
                <w:szCs w:val="20"/>
              </w:rPr>
              <w:t xml:space="preserve"> </w:t>
            </w:r>
          </w:p>
        </w:tc>
        <w:tc>
          <w:tcPr>
            <w:tcW w:w="4018" w:type="dxa"/>
            <w:shd w:val="clear" w:color="auto" w:fill="auto"/>
            <w:vAlign w:val="center"/>
          </w:tcPr>
          <w:p w14:paraId="425CCC08" w14:textId="77777777" w:rsidR="00206934" w:rsidRPr="009C486D" w:rsidRDefault="00206934" w:rsidP="004601C9">
            <w:pPr>
              <w:jc w:val="left"/>
              <w:rPr>
                <w:rFonts w:eastAsia="Times New Roman" w:cs="Times New Roman"/>
                <w:color w:val="000000"/>
                <w:sz w:val="20"/>
                <w:szCs w:val="20"/>
              </w:rPr>
            </w:pPr>
            <w:r>
              <w:rPr>
                <w:rFonts w:eastAsia="Times New Roman" w:cs="Times New Roman"/>
                <w:color w:val="000000"/>
                <w:sz w:val="20"/>
                <w:szCs w:val="20"/>
              </w:rPr>
              <w:t>Total number of commuter/1,000</w:t>
            </w:r>
          </w:p>
        </w:tc>
        <w:tc>
          <w:tcPr>
            <w:tcW w:w="1552" w:type="dxa"/>
            <w:shd w:val="clear" w:color="auto" w:fill="auto"/>
            <w:noWrap/>
            <w:vAlign w:val="center"/>
          </w:tcPr>
          <w:p w14:paraId="7D0C32EF"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shd w:val="clear" w:color="auto" w:fill="auto"/>
            <w:noWrap/>
            <w:vAlign w:val="center"/>
          </w:tcPr>
          <w:p w14:paraId="580AE778" w14:textId="77777777" w:rsidR="00206934" w:rsidRPr="009C486D" w:rsidRDefault="00206934" w:rsidP="004601C9">
            <w:pPr>
              <w:jc w:val="center"/>
              <w:rPr>
                <w:rFonts w:eastAsia="Times New Roman" w:cs="Times New Roman"/>
                <w:color w:val="000000"/>
                <w:sz w:val="20"/>
                <w:szCs w:val="20"/>
              </w:rPr>
            </w:pPr>
            <w:r>
              <w:rPr>
                <w:rFonts w:eastAsia="Times New Roman" w:cs="Times New Roman"/>
                <w:color w:val="000000"/>
                <w:sz w:val="20"/>
                <w:szCs w:val="20"/>
              </w:rPr>
              <w:t>8.265</w:t>
            </w:r>
          </w:p>
        </w:tc>
        <w:tc>
          <w:tcPr>
            <w:tcW w:w="1358" w:type="dxa"/>
            <w:shd w:val="clear" w:color="auto" w:fill="auto"/>
            <w:noWrap/>
            <w:vAlign w:val="center"/>
          </w:tcPr>
          <w:p w14:paraId="355ECF1F"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0.40</w:t>
            </w:r>
            <w:r>
              <w:rPr>
                <w:rFonts w:eastAsia="Times New Roman" w:cs="Times New Roman"/>
                <w:color w:val="000000"/>
                <w:sz w:val="20"/>
                <w:szCs w:val="20"/>
              </w:rPr>
              <w:t>1</w:t>
            </w:r>
          </w:p>
        </w:tc>
        <w:tc>
          <w:tcPr>
            <w:tcW w:w="1746" w:type="dxa"/>
            <w:shd w:val="clear" w:color="auto" w:fill="auto"/>
            <w:noWrap/>
            <w:vAlign w:val="center"/>
          </w:tcPr>
          <w:p w14:paraId="113C9AA7" w14:textId="77777777" w:rsidR="00206934" w:rsidRPr="009C486D" w:rsidRDefault="00206934" w:rsidP="004601C9">
            <w:pPr>
              <w:jc w:val="center"/>
              <w:rPr>
                <w:rFonts w:eastAsia="Times New Roman" w:cs="Times New Roman"/>
                <w:color w:val="000000"/>
                <w:sz w:val="20"/>
                <w:szCs w:val="20"/>
              </w:rPr>
            </w:pPr>
            <w:r>
              <w:rPr>
                <w:rFonts w:eastAsia="Times New Roman" w:cs="Times New Roman"/>
                <w:color w:val="000000"/>
                <w:sz w:val="20"/>
                <w:szCs w:val="20"/>
              </w:rPr>
              <w:t>0.584</w:t>
            </w:r>
          </w:p>
        </w:tc>
      </w:tr>
      <w:tr w:rsidR="00206934" w:rsidRPr="009C486D" w14:paraId="42F1C021" w14:textId="77777777" w:rsidTr="004601C9">
        <w:trPr>
          <w:trHeight w:hRule="exact" w:val="317"/>
        </w:trPr>
        <w:tc>
          <w:tcPr>
            <w:tcW w:w="2626" w:type="dxa"/>
            <w:shd w:val="clear" w:color="auto" w:fill="auto"/>
            <w:vAlign w:val="center"/>
          </w:tcPr>
          <w:p w14:paraId="3D481D83" w14:textId="77777777" w:rsidR="00206934" w:rsidRDefault="00206934" w:rsidP="004601C9">
            <w:pPr>
              <w:ind w:left="150"/>
              <w:jc w:val="left"/>
              <w:rPr>
                <w:rFonts w:eastAsia="Times New Roman" w:cs="Times New Roman"/>
                <w:color w:val="000000"/>
                <w:sz w:val="20"/>
                <w:szCs w:val="20"/>
              </w:rPr>
            </w:pPr>
            <w:r>
              <w:rPr>
                <w:rFonts w:eastAsia="Times New Roman" w:cs="Times New Roman"/>
                <w:color w:val="000000"/>
                <w:sz w:val="20"/>
                <w:szCs w:val="20"/>
              </w:rPr>
              <w:t>Non-motorist commuter</w:t>
            </w:r>
          </w:p>
        </w:tc>
        <w:tc>
          <w:tcPr>
            <w:tcW w:w="4018" w:type="dxa"/>
            <w:shd w:val="clear" w:color="auto" w:fill="auto"/>
            <w:vAlign w:val="center"/>
          </w:tcPr>
          <w:p w14:paraId="12A0F6A5" w14:textId="77777777" w:rsidR="00206934" w:rsidRPr="009C486D" w:rsidRDefault="00206934" w:rsidP="004601C9">
            <w:pPr>
              <w:jc w:val="left"/>
              <w:rPr>
                <w:rFonts w:eastAsia="Times New Roman" w:cs="Times New Roman"/>
                <w:color w:val="000000"/>
                <w:sz w:val="20"/>
                <w:szCs w:val="20"/>
              </w:rPr>
            </w:pPr>
            <w:r w:rsidRPr="009C486D">
              <w:rPr>
                <w:rFonts w:eastAsia="Times New Roman" w:cs="Times New Roman"/>
                <w:color w:val="000000"/>
                <w:sz w:val="20"/>
                <w:szCs w:val="20"/>
              </w:rPr>
              <w:t>Ln (N</w:t>
            </w:r>
            <w:r>
              <w:rPr>
                <w:rFonts w:eastAsia="Times New Roman" w:cs="Times New Roman"/>
                <w:color w:val="000000"/>
                <w:sz w:val="20"/>
                <w:szCs w:val="20"/>
              </w:rPr>
              <w:t>on motorized</w:t>
            </w:r>
            <w:r w:rsidRPr="009C486D">
              <w:rPr>
                <w:rFonts w:eastAsia="Times New Roman" w:cs="Times New Roman"/>
                <w:color w:val="000000"/>
                <w:sz w:val="20"/>
                <w:szCs w:val="20"/>
              </w:rPr>
              <w:t xml:space="preserve"> means to work for </w:t>
            </w:r>
            <w:r>
              <w:rPr>
                <w:rFonts w:eastAsia="Times New Roman" w:cs="Times New Roman"/>
                <w:color w:val="000000"/>
                <w:sz w:val="20"/>
                <w:szCs w:val="20"/>
              </w:rPr>
              <w:t>a</w:t>
            </w:r>
            <w:r w:rsidRPr="009C486D">
              <w:rPr>
                <w:rFonts w:eastAsia="Times New Roman" w:cs="Times New Roman"/>
                <w:color w:val="000000"/>
                <w:sz w:val="20"/>
                <w:szCs w:val="20"/>
              </w:rPr>
              <w:t xml:space="preserve"> TAZ)</w:t>
            </w:r>
          </w:p>
        </w:tc>
        <w:tc>
          <w:tcPr>
            <w:tcW w:w="1552" w:type="dxa"/>
            <w:shd w:val="clear" w:color="auto" w:fill="auto"/>
            <w:noWrap/>
            <w:vAlign w:val="center"/>
          </w:tcPr>
          <w:p w14:paraId="4422D96E"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shd w:val="clear" w:color="auto" w:fill="auto"/>
            <w:noWrap/>
            <w:vAlign w:val="center"/>
          </w:tcPr>
          <w:p w14:paraId="07FC215D"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5.261</w:t>
            </w:r>
          </w:p>
        </w:tc>
        <w:tc>
          <w:tcPr>
            <w:tcW w:w="1358" w:type="dxa"/>
            <w:shd w:val="clear" w:color="auto" w:fill="auto"/>
            <w:noWrap/>
            <w:vAlign w:val="center"/>
          </w:tcPr>
          <w:p w14:paraId="6E989C70"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1.278</w:t>
            </w:r>
          </w:p>
        </w:tc>
        <w:tc>
          <w:tcPr>
            <w:tcW w:w="1746" w:type="dxa"/>
            <w:shd w:val="clear" w:color="auto" w:fill="auto"/>
            <w:noWrap/>
            <w:vAlign w:val="center"/>
          </w:tcPr>
          <w:p w14:paraId="6FB6629B"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1.098</w:t>
            </w:r>
          </w:p>
        </w:tc>
      </w:tr>
      <w:tr w:rsidR="00206934" w:rsidRPr="009C486D" w14:paraId="6F480E38" w14:textId="77777777" w:rsidTr="004601C9">
        <w:trPr>
          <w:trHeight w:hRule="exact" w:val="317"/>
        </w:trPr>
        <w:tc>
          <w:tcPr>
            <w:tcW w:w="2626" w:type="dxa"/>
            <w:shd w:val="clear" w:color="auto" w:fill="auto"/>
            <w:vAlign w:val="center"/>
          </w:tcPr>
          <w:p w14:paraId="4F649A83" w14:textId="77777777" w:rsidR="00206934" w:rsidRDefault="00206934" w:rsidP="004601C9">
            <w:pPr>
              <w:ind w:left="150"/>
              <w:jc w:val="left"/>
              <w:rPr>
                <w:rFonts w:eastAsia="Times New Roman" w:cs="Times New Roman"/>
                <w:color w:val="000000"/>
                <w:sz w:val="20"/>
                <w:szCs w:val="20"/>
              </w:rPr>
            </w:pPr>
            <w:r>
              <w:rPr>
                <w:rFonts w:eastAsia="Times New Roman" w:cs="Times New Roman"/>
                <w:color w:val="000000"/>
                <w:sz w:val="20"/>
                <w:szCs w:val="20"/>
              </w:rPr>
              <w:t>Transit commuter</w:t>
            </w:r>
          </w:p>
        </w:tc>
        <w:tc>
          <w:tcPr>
            <w:tcW w:w="4018" w:type="dxa"/>
            <w:shd w:val="clear" w:color="auto" w:fill="auto"/>
            <w:vAlign w:val="center"/>
          </w:tcPr>
          <w:p w14:paraId="61887C56" w14:textId="77777777" w:rsidR="00206934" w:rsidRPr="009C486D" w:rsidRDefault="00206934" w:rsidP="004601C9">
            <w:pPr>
              <w:jc w:val="left"/>
              <w:rPr>
                <w:rFonts w:eastAsia="Times New Roman" w:cs="Times New Roman"/>
                <w:color w:val="000000"/>
                <w:sz w:val="20"/>
                <w:szCs w:val="20"/>
              </w:rPr>
            </w:pPr>
            <w:r w:rsidRPr="009C486D">
              <w:rPr>
                <w:rFonts w:eastAsia="Times New Roman" w:cs="Times New Roman"/>
                <w:color w:val="000000"/>
                <w:sz w:val="20"/>
                <w:szCs w:val="20"/>
              </w:rPr>
              <w:t>Ln (</w:t>
            </w:r>
            <w:r>
              <w:rPr>
                <w:rFonts w:eastAsia="Times New Roman" w:cs="Times New Roman"/>
                <w:color w:val="000000"/>
                <w:sz w:val="20"/>
                <w:szCs w:val="20"/>
              </w:rPr>
              <w:t>transit</w:t>
            </w:r>
            <w:r w:rsidRPr="009C486D">
              <w:rPr>
                <w:rFonts w:eastAsia="Times New Roman" w:cs="Times New Roman"/>
                <w:color w:val="000000"/>
                <w:sz w:val="20"/>
                <w:szCs w:val="20"/>
              </w:rPr>
              <w:t xml:space="preserve"> means to work for </w:t>
            </w:r>
            <w:r>
              <w:rPr>
                <w:rFonts w:eastAsia="Times New Roman" w:cs="Times New Roman"/>
                <w:color w:val="000000"/>
                <w:sz w:val="20"/>
                <w:szCs w:val="20"/>
              </w:rPr>
              <w:t>a</w:t>
            </w:r>
            <w:r w:rsidRPr="009C486D">
              <w:rPr>
                <w:rFonts w:eastAsia="Times New Roman" w:cs="Times New Roman"/>
                <w:color w:val="000000"/>
                <w:sz w:val="20"/>
                <w:szCs w:val="20"/>
              </w:rPr>
              <w:t xml:space="preserve"> TAZ)</w:t>
            </w:r>
          </w:p>
        </w:tc>
        <w:tc>
          <w:tcPr>
            <w:tcW w:w="1552" w:type="dxa"/>
            <w:shd w:val="clear" w:color="auto" w:fill="auto"/>
            <w:noWrap/>
            <w:vAlign w:val="center"/>
          </w:tcPr>
          <w:p w14:paraId="4C16ECE6"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shd w:val="clear" w:color="auto" w:fill="auto"/>
            <w:noWrap/>
            <w:vAlign w:val="center"/>
          </w:tcPr>
          <w:p w14:paraId="268AFE7C" w14:textId="77777777" w:rsidR="00206934" w:rsidRPr="009C486D" w:rsidRDefault="00206934" w:rsidP="004601C9">
            <w:pPr>
              <w:jc w:val="center"/>
              <w:rPr>
                <w:rFonts w:eastAsia="Times New Roman" w:cs="Times New Roman"/>
                <w:color w:val="000000"/>
                <w:sz w:val="20"/>
                <w:szCs w:val="20"/>
              </w:rPr>
            </w:pPr>
            <w:r>
              <w:rPr>
                <w:rFonts w:eastAsia="Times New Roman" w:cs="Times New Roman"/>
                <w:color w:val="000000"/>
                <w:sz w:val="20"/>
                <w:szCs w:val="20"/>
              </w:rPr>
              <w:t>6.369</w:t>
            </w:r>
          </w:p>
        </w:tc>
        <w:tc>
          <w:tcPr>
            <w:tcW w:w="1358" w:type="dxa"/>
            <w:shd w:val="clear" w:color="auto" w:fill="auto"/>
            <w:noWrap/>
            <w:vAlign w:val="center"/>
          </w:tcPr>
          <w:p w14:paraId="3D51A719" w14:textId="77777777" w:rsidR="00206934" w:rsidRPr="009C486D" w:rsidRDefault="00206934" w:rsidP="004601C9">
            <w:pPr>
              <w:jc w:val="center"/>
              <w:rPr>
                <w:rFonts w:eastAsia="Times New Roman" w:cs="Times New Roman"/>
                <w:color w:val="000000"/>
                <w:sz w:val="20"/>
                <w:szCs w:val="20"/>
              </w:rPr>
            </w:pPr>
            <w:r>
              <w:rPr>
                <w:rFonts w:eastAsia="Times New Roman" w:cs="Times New Roman"/>
                <w:color w:val="000000"/>
                <w:sz w:val="20"/>
                <w:szCs w:val="20"/>
              </w:rPr>
              <w:t>0.756</w:t>
            </w:r>
          </w:p>
        </w:tc>
        <w:tc>
          <w:tcPr>
            <w:tcW w:w="1746" w:type="dxa"/>
            <w:shd w:val="clear" w:color="auto" w:fill="auto"/>
            <w:noWrap/>
            <w:vAlign w:val="center"/>
          </w:tcPr>
          <w:p w14:paraId="008451F0" w14:textId="77777777" w:rsidR="00206934" w:rsidRPr="009C486D" w:rsidRDefault="00206934" w:rsidP="004601C9">
            <w:pPr>
              <w:jc w:val="center"/>
              <w:rPr>
                <w:rFonts w:eastAsia="Times New Roman" w:cs="Times New Roman"/>
                <w:color w:val="000000"/>
                <w:sz w:val="20"/>
                <w:szCs w:val="20"/>
              </w:rPr>
            </w:pPr>
            <w:r>
              <w:rPr>
                <w:rFonts w:eastAsia="Times New Roman" w:cs="Times New Roman"/>
                <w:color w:val="000000"/>
                <w:sz w:val="20"/>
                <w:szCs w:val="20"/>
              </w:rPr>
              <w:t>1.114</w:t>
            </w:r>
          </w:p>
        </w:tc>
      </w:tr>
      <w:tr w:rsidR="00206934" w:rsidRPr="009C486D" w14:paraId="64F4B7B4" w14:textId="77777777" w:rsidTr="004601C9">
        <w:trPr>
          <w:trHeight w:hRule="exact" w:val="532"/>
        </w:trPr>
        <w:tc>
          <w:tcPr>
            <w:tcW w:w="2626" w:type="dxa"/>
            <w:shd w:val="clear" w:color="auto" w:fill="auto"/>
            <w:vAlign w:val="center"/>
          </w:tcPr>
          <w:p w14:paraId="3A5676BA" w14:textId="77777777" w:rsidR="00206934" w:rsidRDefault="00206934" w:rsidP="004601C9">
            <w:pPr>
              <w:ind w:left="150"/>
              <w:jc w:val="left"/>
              <w:rPr>
                <w:rFonts w:eastAsia="Times New Roman" w:cs="Times New Roman"/>
                <w:color w:val="000000"/>
                <w:sz w:val="20"/>
                <w:szCs w:val="20"/>
              </w:rPr>
            </w:pPr>
            <w:r>
              <w:rPr>
                <w:rFonts w:eastAsia="Times New Roman" w:cs="Times New Roman"/>
                <w:color w:val="000000"/>
                <w:sz w:val="20"/>
                <w:szCs w:val="20"/>
              </w:rPr>
              <w:t>Proportion of senior people</w:t>
            </w:r>
          </w:p>
        </w:tc>
        <w:tc>
          <w:tcPr>
            <w:tcW w:w="4018" w:type="dxa"/>
            <w:shd w:val="clear" w:color="auto" w:fill="auto"/>
            <w:vAlign w:val="center"/>
          </w:tcPr>
          <w:p w14:paraId="221590AB" w14:textId="77777777" w:rsidR="00206934" w:rsidRPr="009C486D" w:rsidRDefault="00206934" w:rsidP="004601C9">
            <w:pPr>
              <w:jc w:val="left"/>
              <w:rPr>
                <w:rFonts w:eastAsia="Times New Roman" w:cs="Times New Roman"/>
                <w:color w:val="000000"/>
                <w:sz w:val="20"/>
                <w:szCs w:val="20"/>
              </w:rPr>
            </w:pPr>
            <w:r>
              <w:rPr>
                <w:rFonts w:eastAsia="Times New Roman" w:cs="Times New Roman"/>
                <w:color w:val="000000"/>
                <w:sz w:val="20"/>
                <w:szCs w:val="20"/>
              </w:rPr>
              <w:t>Total number of people over 65 years/total population in TAZ</w:t>
            </w:r>
          </w:p>
        </w:tc>
        <w:tc>
          <w:tcPr>
            <w:tcW w:w="1552" w:type="dxa"/>
            <w:shd w:val="clear" w:color="auto" w:fill="auto"/>
            <w:noWrap/>
            <w:vAlign w:val="center"/>
          </w:tcPr>
          <w:p w14:paraId="305BB475"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shd w:val="clear" w:color="auto" w:fill="auto"/>
            <w:noWrap/>
            <w:vAlign w:val="center"/>
          </w:tcPr>
          <w:p w14:paraId="4926B928" w14:textId="77777777" w:rsidR="00206934" w:rsidRPr="009C486D" w:rsidRDefault="00206934" w:rsidP="004601C9">
            <w:pPr>
              <w:jc w:val="center"/>
              <w:rPr>
                <w:rFonts w:eastAsia="Times New Roman" w:cs="Times New Roman"/>
                <w:color w:val="000000"/>
                <w:sz w:val="20"/>
                <w:szCs w:val="20"/>
              </w:rPr>
            </w:pPr>
            <w:r>
              <w:rPr>
                <w:rFonts w:eastAsia="Times New Roman" w:cs="Times New Roman"/>
                <w:color w:val="000000"/>
                <w:sz w:val="20"/>
                <w:szCs w:val="20"/>
              </w:rPr>
              <w:t>0.821</w:t>
            </w:r>
          </w:p>
        </w:tc>
        <w:tc>
          <w:tcPr>
            <w:tcW w:w="1358" w:type="dxa"/>
            <w:shd w:val="clear" w:color="auto" w:fill="auto"/>
            <w:noWrap/>
            <w:vAlign w:val="center"/>
          </w:tcPr>
          <w:p w14:paraId="6D9A0666" w14:textId="77777777" w:rsidR="00206934" w:rsidRPr="009C486D" w:rsidRDefault="00206934" w:rsidP="004601C9">
            <w:pPr>
              <w:jc w:val="center"/>
              <w:rPr>
                <w:rFonts w:eastAsia="Times New Roman" w:cs="Times New Roman"/>
                <w:color w:val="000000"/>
                <w:sz w:val="20"/>
                <w:szCs w:val="20"/>
              </w:rPr>
            </w:pPr>
            <w:r>
              <w:rPr>
                <w:rFonts w:eastAsia="Times New Roman" w:cs="Times New Roman"/>
                <w:color w:val="000000"/>
                <w:sz w:val="20"/>
                <w:szCs w:val="20"/>
              </w:rPr>
              <w:t>0.206</w:t>
            </w:r>
          </w:p>
        </w:tc>
        <w:tc>
          <w:tcPr>
            <w:tcW w:w="1746" w:type="dxa"/>
            <w:shd w:val="clear" w:color="auto" w:fill="auto"/>
            <w:noWrap/>
            <w:vAlign w:val="center"/>
          </w:tcPr>
          <w:p w14:paraId="48F47336" w14:textId="77777777" w:rsidR="00206934" w:rsidRPr="009C486D" w:rsidRDefault="00206934" w:rsidP="004601C9">
            <w:pPr>
              <w:jc w:val="center"/>
              <w:rPr>
                <w:rFonts w:eastAsia="Times New Roman" w:cs="Times New Roman"/>
                <w:color w:val="000000"/>
                <w:sz w:val="20"/>
                <w:szCs w:val="20"/>
              </w:rPr>
            </w:pPr>
            <w:r>
              <w:rPr>
                <w:rFonts w:eastAsia="Times New Roman" w:cs="Times New Roman"/>
                <w:color w:val="000000"/>
                <w:sz w:val="20"/>
                <w:szCs w:val="20"/>
              </w:rPr>
              <w:t>0.114</w:t>
            </w:r>
          </w:p>
        </w:tc>
      </w:tr>
      <w:tr w:rsidR="00206934" w:rsidRPr="009C486D" w14:paraId="2FD2B43D" w14:textId="77777777" w:rsidTr="004601C9">
        <w:trPr>
          <w:trHeight w:hRule="exact" w:val="532"/>
        </w:trPr>
        <w:tc>
          <w:tcPr>
            <w:tcW w:w="2626" w:type="dxa"/>
            <w:shd w:val="clear" w:color="auto" w:fill="auto"/>
            <w:vAlign w:val="center"/>
          </w:tcPr>
          <w:p w14:paraId="1B387379" w14:textId="77777777" w:rsidR="00206934" w:rsidRDefault="00206934" w:rsidP="004601C9">
            <w:pPr>
              <w:ind w:left="150"/>
              <w:jc w:val="left"/>
              <w:rPr>
                <w:rFonts w:eastAsia="Times New Roman" w:cs="Times New Roman"/>
                <w:color w:val="000000"/>
                <w:sz w:val="20"/>
                <w:szCs w:val="20"/>
              </w:rPr>
            </w:pPr>
            <w:r w:rsidRPr="007A598A">
              <w:rPr>
                <w:rFonts w:cs="Times New Roman"/>
                <w:sz w:val="20"/>
                <w:szCs w:val="20"/>
              </w:rPr>
              <w:t xml:space="preserve">Proportion of </w:t>
            </w:r>
            <w:r>
              <w:rPr>
                <w:rFonts w:cs="Times New Roman"/>
                <w:sz w:val="20"/>
                <w:szCs w:val="20"/>
              </w:rPr>
              <w:t>African-American</w:t>
            </w:r>
            <w:r w:rsidRPr="007A598A">
              <w:rPr>
                <w:rFonts w:cs="Times New Roman"/>
                <w:sz w:val="20"/>
                <w:szCs w:val="20"/>
              </w:rPr>
              <w:t xml:space="preserve"> people</w:t>
            </w:r>
          </w:p>
        </w:tc>
        <w:tc>
          <w:tcPr>
            <w:tcW w:w="4018" w:type="dxa"/>
            <w:shd w:val="clear" w:color="auto" w:fill="auto"/>
            <w:vAlign w:val="center"/>
          </w:tcPr>
          <w:p w14:paraId="5FB29ED4" w14:textId="77777777" w:rsidR="00206934" w:rsidRPr="009C486D" w:rsidRDefault="00206934" w:rsidP="004601C9">
            <w:pPr>
              <w:jc w:val="left"/>
              <w:rPr>
                <w:rFonts w:eastAsia="Times New Roman" w:cs="Times New Roman"/>
                <w:color w:val="000000"/>
                <w:sz w:val="20"/>
                <w:szCs w:val="20"/>
              </w:rPr>
            </w:pPr>
            <w:r>
              <w:rPr>
                <w:rFonts w:eastAsia="Times New Roman" w:cs="Times New Roman"/>
                <w:color w:val="000000"/>
                <w:sz w:val="20"/>
                <w:szCs w:val="20"/>
              </w:rPr>
              <w:t xml:space="preserve">Total number of </w:t>
            </w:r>
            <w:r>
              <w:rPr>
                <w:rFonts w:cs="Times New Roman"/>
                <w:sz w:val="20"/>
                <w:szCs w:val="20"/>
              </w:rPr>
              <w:t>African-American</w:t>
            </w:r>
            <w:r>
              <w:rPr>
                <w:rFonts w:eastAsia="Times New Roman" w:cs="Times New Roman"/>
                <w:color w:val="000000"/>
                <w:sz w:val="20"/>
                <w:szCs w:val="20"/>
              </w:rPr>
              <w:t xml:space="preserve"> people /total population in TAZ</w:t>
            </w:r>
          </w:p>
        </w:tc>
        <w:tc>
          <w:tcPr>
            <w:tcW w:w="1552" w:type="dxa"/>
            <w:shd w:val="clear" w:color="auto" w:fill="auto"/>
            <w:noWrap/>
            <w:vAlign w:val="center"/>
          </w:tcPr>
          <w:p w14:paraId="62841BDB"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shd w:val="clear" w:color="auto" w:fill="auto"/>
            <w:noWrap/>
            <w:vAlign w:val="center"/>
          </w:tcPr>
          <w:p w14:paraId="012D8F88" w14:textId="77777777" w:rsidR="00206934" w:rsidRPr="009C486D" w:rsidRDefault="00206934" w:rsidP="004601C9">
            <w:pPr>
              <w:jc w:val="center"/>
              <w:rPr>
                <w:rFonts w:eastAsia="Times New Roman" w:cs="Times New Roman"/>
                <w:color w:val="000000"/>
                <w:sz w:val="20"/>
                <w:szCs w:val="20"/>
              </w:rPr>
            </w:pPr>
            <w:r>
              <w:rPr>
                <w:rFonts w:eastAsia="Times New Roman" w:cs="Times New Roman"/>
                <w:color w:val="000000"/>
                <w:sz w:val="20"/>
                <w:szCs w:val="20"/>
              </w:rPr>
              <w:t>0.969</w:t>
            </w:r>
          </w:p>
        </w:tc>
        <w:tc>
          <w:tcPr>
            <w:tcW w:w="1358" w:type="dxa"/>
            <w:shd w:val="clear" w:color="auto" w:fill="auto"/>
            <w:noWrap/>
            <w:vAlign w:val="center"/>
          </w:tcPr>
          <w:p w14:paraId="4BE80842" w14:textId="77777777" w:rsidR="00206934" w:rsidRPr="009C486D" w:rsidRDefault="00206934" w:rsidP="004601C9">
            <w:pPr>
              <w:jc w:val="center"/>
              <w:rPr>
                <w:rFonts w:eastAsia="Times New Roman" w:cs="Times New Roman"/>
                <w:color w:val="000000"/>
                <w:sz w:val="20"/>
                <w:szCs w:val="20"/>
              </w:rPr>
            </w:pPr>
            <w:r>
              <w:rPr>
                <w:rFonts w:eastAsia="Times New Roman" w:cs="Times New Roman"/>
                <w:color w:val="000000"/>
                <w:sz w:val="20"/>
                <w:szCs w:val="20"/>
              </w:rPr>
              <w:t>0.142</w:t>
            </w:r>
          </w:p>
        </w:tc>
        <w:tc>
          <w:tcPr>
            <w:tcW w:w="1746" w:type="dxa"/>
            <w:shd w:val="clear" w:color="auto" w:fill="auto"/>
            <w:noWrap/>
            <w:vAlign w:val="center"/>
          </w:tcPr>
          <w:p w14:paraId="1F919A21" w14:textId="77777777" w:rsidR="00206934" w:rsidRPr="009C486D" w:rsidRDefault="00206934" w:rsidP="004601C9">
            <w:pPr>
              <w:jc w:val="center"/>
              <w:rPr>
                <w:rFonts w:eastAsia="Times New Roman" w:cs="Times New Roman"/>
                <w:color w:val="000000"/>
                <w:sz w:val="20"/>
                <w:szCs w:val="20"/>
              </w:rPr>
            </w:pPr>
            <w:r>
              <w:rPr>
                <w:rFonts w:eastAsia="Times New Roman" w:cs="Times New Roman"/>
                <w:color w:val="000000"/>
                <w:sz w:val="20"/>
                <w:szCs w:val="20"/>
              </w:rPr>
              <w:t>0.159</w:t>
            </w:r>
          </w:p>
        </w:tc>
      </w:tr>
      <w:tr w:rsidR="00206934" w:rsidRPr="009C486D" w14:paraId="24F7B5A4" w14:textId="77777777" w:rsidTr="004601C9">
        <w:trPr>
          <w:trHeight w:hRule="exact" w:val="504"/>
        </w:trPr>
        <w:tc>
          <w:tcPr>
            <w:tcW w:w="2626" w:type="dxa"/>
            <w:shd w:val="clear" w:color="auto" w:fill="auto"/>
            <w:vAlign w:val="center"/>
            <w:hideMark/>
          </w:tcPr>
          <w:p w14:paraId="4159503E" w14:textId="77777777" w:rsidR="00206934" w:rsidRPr="009C486D" w:rsidRDefault="00206934" w:rsidP="004601C9">
            <w:pPr>
              <w:ind w:left="150"/>
              <w:jc w:val="left"/>
              <w:rPr>
                <w:rFonts w:eastAsia="Times New Roman" w:cs="Times New Roman"/>
                <w:color w:val="000000"/>
                <w:sz w:val="20"/>
                <w:szCs w:val="20"/>
              </w:rPr>
            </w:pPr>
            <w:r w:rsidRPr="009C486D">
              <w:rPr>
                <w:rFonts w:eastAsia="Times New Roman" w:cs="Times New Roman"/>
                <w:color w:val="000000"/>
                <w:sz w:val="20"/>
                <w:szCs w:val="20"/>
              </w:rPr>
              <w:t>Proportion of household with no vehicle</w:t>
            </w:r>
          </w:p>
        </w:tc>
        <w:tc>
          <w:tcPr>
            <w:tcW w:w="4018" w:type="dxa"/>
            <w:shd w:val="clear" w:color="auto" w:fill="auto"/>
            <w:vAlign w:val="center"/>
            <w:hideMark/>
          </w:tcPr>
          <w:p w14:paraId="1A682A53" w14:textId="77777777" w:rsidR="00206934" w:rsidRPr="009C486D" w:rsidRDefault="00206934" w:rsidP="004601C9">
            <w:pPr>
              <w:jc w:val="left"/>
              <w:rPr>
                <w:rFonts w:eastAsia="Times New Roman" w:cs="Times New Roman"/>
                <w:color w:val="000000"/>
                <w:sz w:val="20"/>
                <w:szCs w:val="20"/>
              </w:rPr>
            </w:pPr>
            <w:r>
              <w:rPr>
                <w:rFonts w:eastAsia="Times New Roman" w:cs="Times New Roman"/>
                <w:color w:val="000000"/>
                <w:sz w:val="20"/>
                <w:szCs w:val="20"/>
              </w:rPr>
              <w:t xml:space="preserve">Number </w:t>
            </w:r>
            <w:r w:rsidRPr="009C486D">
              <w:rPr>
                <w:rFonts w:eastAsia="Times New Roman" w:cs="Times New Roman"/>
                <w:color w:val="000000"/>
                <w:sz w:val="20"/>
                <w:szCs w:val="20"/>
              </w:rPr>
              <w:t>of household with no vehicle</w:t>
            </w:r>
            <w:r>
              <w:rPr>
                <w:rFonts w:eastAsia="Times New Roman" w:cs="Times New Roman"/>
                <w:color w:val="000000"/>
                <w:sz w:val="20"/>
                <w:szCs w:val="20"/>
              </w:rPr>
              <w:t>/total household</w:t>
            </w:r>
          </w:p>
        </w:tc>
        <w:tc>
          <w:tcPr>
            <w:tcW w:w="1552" w:type="dxa"/>
            <w:shd w:val="clear" w:color="auto" w:fill="auto"/>
            <w:noWrap/>
            <w:vAlign w:val="center"/>
            <w:hideMark/>
          </w:tcPr>
          <w:p w14:paraId="292C76CA"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shd w:val="clear" w:color="auto" w:fill="auto"/>
            <w:noWrap/>
            <w:vAlign w:val="center"/>
            <w:hideMark/>
          </w:tcPr>
          <w:p w14:paraId="29D5E58C"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0.471</w:t>
            </w:r>
          </w:p>
        </w:tc>
        <w:tc>
          <w:tcPr>
            <w:tcW w:w="1358" w:type="dxa"/>
            <w:shd w:val="clear" w:color="auto" w:fill="auto"/>
            <w:noWrap/>
            <w:vAlign w:val="center"/>
            <w:hideMark/>
          </w:tcPr>
          <w:p w14:paraId="0DD3EE40"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0.069</w:t>
            </w:r>
          </w:p>
        </w:tc>
        <w:tc>
          <w:tcPr>
            <w:tcW w:w="1746" w:type="dxa"/>
            <w:shd w:val="clear" w:color="auto" w:fill="auto"/>
            <w:noWrap/>
            <w:vAlign w:val="center"/>
            <w:hideMark/>
          </w:tcPr>
          <w:p w14:paraId="1667BE2E" w14:textId="77777777" w:rsidR="00206934" w:rsidRPr="009C486D" w:rsidRDefault="00206934" w:rsidP="004601C9">
            <w:pPr>
              <w:jc w:val="center"/>
              <w:rPr>
                <w:rFonts w:eastAsia="Times New Roman" w:cs="Times New Roman"/>
                <w:color w:val="000000"/>
                <w:sz w:val="20"/>
                <w:szCs w:val="20"/>
              </w:rPr>
            </w:pPr>
            <w:r w:rsidRPr="009C486D">
              <w:rPr>
                <w:rFonts w:eastAsia="Times New Roman" w:cs="Times New Roman"/>
                <w:color w:val="000000"/>
                <w:sz w:val="20"/>
                <w:szCs w:val="20"/>
              </w:rPr>
              <w:t>0.065</w:t>
            </w:r>
          </w:p>
        </w:tc>
      </w:tr>
    </w:tbl>
    <w:p w14:paraId="4E0020A1" w14:textId="77777777" w:rsidR="00206934" w:rsidRDefault="00206934" w:rsidP="00206934"/>
    <w:p w14:paraId="5145CED6" w14:textId="1079DD00" w:rsidR="00206934" w:rsidRDefault="00206934" w:rsidP="004D60A7">
      <w:pPr>
        <w:ind w:firstLine="720"/>
        <w:rPr>
          <w:rFonts w:eastAsia="Calibri" w:cs="Times New Roman"/>
          <w:szCs w:val="24"/>
          <w:lang w:eastAsia="ko-KR"/>
        </w:rPr>
        <w:sectPr w:rsidR="00206934" w:rsidSect="00206934">
          <w:pgSz w:w="15840" w:h="12240" w:orient="landscape" w:code="1"/>
          <w:pgMar w:top="1469" w:right="1440" w:bottom="1440" w:left="1440" w:header="720" w:footer="720" w:gutter="0"/>
          <w:cols w:space="708"/>
          <w:titlePg/>
          <w:docGrid w:linePitch="360"/>
        </w:sectPr>
      </w:pPr>
    </w:p>
    <w:p w14:paraId="2CCBBFB8" w14:textId="2AE89CB4" w:rsidR="00676B2A" w:rsidRPr="00B00DF0" w:rsidRDefault="00676B2A" w:rsidP="00192C8C">
      <w:pPr>
        <w:pStyle w:val="Heading1"/>
        <w:ind w:left="431" w:hanging="431"/>
      </w:pPr>
      <w:r w:rsidRPr="00B00DF0">
        <w:lastRenderedPageBreak/>
        <w:t>EMPIRICAL ANALYSIS</w:t>
      </w:r>
    </w:p>
    <w:p w14:paraId="1F86BF0D" w14:textId="77777777" w:rsidR="00676B2A" w:rsidRPr="00821913" w:rsidRDefault="00676B2A" w:rsidP="00676B2A"/>
    <w:p w14:paraId="0F5C1AF6" w14:textId="259E6B42" w:rsidR="00676B2A" w:rsidRDefault="00676B2A" w:rsidP="00676B2A">
      <w:pPr>
        <w:pStyle w:val="Heading2"/>
      </w:pPr>
      <w:r w:rsidRPr="00B00DF0">
        <w:t>Model Specification and Overall Measure of Fit</w:t>
      </w:r>
    </w:p>
    <w:p w14:paraId="4758B3A1" w14:textId="441D5187" w:rsidR="00FD6D55" w:rsidRPr="00873AB4" w:rsidRDefault="002E2E81" w:rsidP="00FD6D55">
      <w:pPr>
        <w:rPr>
          <w:rFonts w:eastAsiaTheme="minorEastAsia"/>
          <w:szCs w:val="24"/>
        </w:rPr>
      </w:pPr>
      <w:r>
        <w:t xml:space="preserve">The number of TAZs </w:t>
      </w:r>
      <w:r>
        <w:rPr>
          <w:szCs w:val="24"/>
        </w:rPr>
        <w:t xml:space="preserve">in the study area is 4,747. Among these zones, </w:t>
      </w:r>
      <w:r>
        <w:t xml:space="preserve">3,815 TAZs are randomly selected for model estimation and the records from other 932 TAZs are </w:t>
      </w:r>
      <w:r w:rsidR="00B67ABB">
        <w:t>set</w:t>
      </w:r>
      <w:r>
        <w:t xml:space="preserve"> aside for validation purposes. Thus, the estimation sample has 22,890 (3,815*6) records and the validation sample has 5,592 (932*6) data records. </w:t>
      </w:r>
      <w:r w:rsidR="00FD6D55" w:rsidRPr="00006FCC">
        <w:rPr>
          <w:szCs w:val="24"/>
        </w:rPr>
        <w:t xml:space="preserve">The empirical analysis involved a series of model estimations. </w:t>
      </w:r>
      <w:r w:rsidR="00FD6D55" w:rsidRPr="00006FCC">
        <w:rPr>
          <w:szCs w:val="24"/>
          <w:u w:val="single"/>
        </w:rPr>
        <w:t>First</w:t>
      </w:r>
      <w:r w:rsidR="00FD6D55" w:rsidRPr="00006FCC">
        <w:rPr>
          <w:szCs w:val="24"/>
        </w:rPr>
        <w:t xml:space="preserve">, we estimated </w:t>
      </w:r>
      <w:r w:rsidR="00873AB4">
        <w:rPr>
          <w:szCs w:val="24"/>
        </w:rPr>
        <w:t>separate</w:t>
      </w:r>
      <w:r w:rsidR="00873AB4" w:rsidRPr="00006FCC">
        <w:rPr>
          <w:szCs w:val="24"/>
        </w:rPr>
        <w:t xml:space="preserve"> </w:t>
      </w:r>
      <w:r w:rsidR="00FD6D55" w:rsidRPr="00006FCC">
        <w:rPr>
          <w:szCs w:val="24"/>
        </w:rPr>
        <w:t>independent model</w:t>
      </w:r>
      <w:r w:rsidR="00873AB4">
        <w:rPr>
          <w:szCs w:val="24"/>
        </w:rPr>
        <w:t>s</w:t>
      </w:r>
      <w:r w:rsidR="00FD6D55" w:rsidRPr="00006FCC">
        <w:rPr>
          <w:szCs w:val="24"/>
        </w:rPr>
        <w:t xml:space="preserve"> (NB and GOPFS models) to establish a benchmark for comparison. </w:t>
      </w:r>
      <w:r w:rsidR="00FD6D55" w:rsidRPr="00006FCC">
        <w:rPr>
          <w:szCs w:val="24"/>
          <w:u w:val="single"/>
        </w:rPr>
        <w:t>Second</w:t>
      </w:r>
      <w:r w:rsidR="00FD6D55" w:rsidRPr="00006FCC">
        <w:rPr>
          <w:szCs w:val="24"/>
        </w:rPr>
        <w:t>, we proposed a parsimonious model structure us</w:t>
      </w:r>
      <w:r w:rsidR="00BD7DB3" w:rsidRPr="00006FCC">
        <w:rPr>
          <w:szCs w:val="24"/>
        </w:rPr>
        <w:t>ing</w:t>
      </w:r>
      <w:r w:rsidR="00FD6D55" w:rsidRPr="00006FCC">
        <w:rPr>
          <w:szCs w:val="24"/>
        </w:rPr>
        <w:t xml:space="preserve"> the same independent model system (NB and GOPFS) while restricting the parameters across </w:t>
      </w:r>
      <w:r w:rsidR="00387D42">
        <w:rPr>
          <w:szCs w:val="24"/>
        </w:rPr>
        <w:t>different</w:t>
      </w:r>
      <w:r w:rsidR="00387D42" w:rsidRPr="00006FCC">
        <w:rPr>
          <w:szCs w:val="24"/>
        </w:rPr>
        <w:t xml:space="preserve"> </w:t>
      </w:r>
      <w:r w:rsidR="00FD6D55" w:rsidRPr="00006FCC">
        <w:rPr>
          <w:szCs w:val="24"/>
        </w:rPr>
        <w:t>crash types</w:t>
      </w:r>
      <w:r w:rsidR="00387D42">
        <w:rPr>
          <w:szCs w:val="24"/>
        </w:rPr>
        <w:t xml:space="preserve"> considered</w:t>
      </w:r>
      <w:r w:rsidR="00FD6D55" w:rsidRPr="00006FCC">
        <w:rPr>
          <w:szCs w:val="24"/>
        </w:rPr>
        <w:t xml:space="preserve">. </w:t>
      </w:r>
      <w:r w:rsidR="00FD6D55" w:rsidRPr="00873AB4">
        <w:rPr>
          <w:rFonts w:eastAsiaTheme="minorEastAsia"/>
          <w:szCs w:val="24"/>
        </w:rPr>
        <w:t xml:space="preserve">To elaborate, observing the model specifications in the independent models (NB and GOPFS), we identify potential parameters that can be restricted to be the same across various crash types and test that restriction (both NB and GOPFS dimension) in our proposed model system (see </w:t>
      </w:r>
      <w:r w:rsidR="00FD6D55" w:rsidRPr="00873AB4">
        <w:rPr>
          <w:rFonts w:eastAsiaTheme="minorEastAsia"/>
          <w:szCs w:val="24"/>
        </w:rPr>
        <w:fldChar w:fldCharType="begin" w:fldLock="1"/>
      </w:r>
      <w:r w:rsidR="002F3C91">
        <w:rPr>
          <w:rFonts w:eastAsiaTheme="minorEastAsia"/>
          <w:szCs w:val="24"/>
        </w:rPr>
        <w:instrText>ADDIN CSL_CITATION {"citationItems":[{"id":"ITEM-1","itemData":{"DOI":"10.1016/j.amar.2019.100107","ISSN":"22136657","abstract":"In safety literature, simulation-based multivariate framework is the most commonly employed approach for analyzing multiple crash frequency dependent variables. The current research effort contributes to literature on crash frequency analysis by suggesting an alternative and mathematically simpler approach for analyzing multiple crash frequency variables for the same study unit. The proposed recasts a multivariate distributional problem as a repeated measure univariate problem. Specifically, we employed a simpler panel random parameter based univariate model framework to analyze zonal level crash counts for different crash types. The empirical analysis is based on the traffic analysis zone (TAZ) level crash count data for both motorized and non-motorized crashes from Central Florida for the year 2016. The performance of the proposed framework is compared with the performance of the random parameter multivariate negative binomial model (RPMNB) using a host of metrics for estimation sample and hold-out sample. The resulting goodness of fit and predictive measures clearly highlight the comparable performance offered by the proposed framework relative to the commonly used RPMNB model with substantially fewer parameters. The comparison exercise is augmented by computing aggregate level elasticity effects for both PMNB and RPMNB models. The results clearly highlight the comparable performance offered by the proposed PMNB model relative to the traditional RPMNB model. In summary, the proposed framework allows for a parsimonious specification without compromising the model explanatory power and provides similar performance as the most traditional multivariate NB model for analyzing different crash dimensions.","author":[{"dropping-particle":"","family":"Bhowmik","given":"Tanmoy","non-dropping-particle":"","parse-names":false,"suffix":""},{"dropping-particle":"","family":"Yasmin","given":"Shamsunnahar","non-dropping-particle":"","parse-names":false,"suffix":""},{"dropping-particle":"","family":"Eluru","given":"Naveen","non-dropping-particle":"","parse-names":false,"suffix":""}],"container-title":"Analytic Methods in Accident Research","id":"ITEM-1","issued":{"date-parts":[["2019"]]},"title":"Do we need multivariate modeling approaches to model crash frequency by crash types? A panel mixed approach to modeling crash frequency by crash types","type":"article-journal","volume":"24"},"uris":["http://www.mendeley.com/documents/?uuid=9dc0906e-2da2-4234-a3bb-895cfabe6868"]}],"mendeley":{"formattedCitation":"(Bhowmik et al., 2019b)","manualFormatting":"(Bhowmik et al., 2019a)","plainTextFormattedCitation":"(Bhowmik et al., 2019b)","previouslyFormattedCitation":"(Bhowmik et al., 2019b)"},"properties":{"noteIndex":0},"schema":"https://github.com/citation-style-language/schema/raw/master/csl-citation.json"}</w:instrText>
      </w:r>
      <w:r w:rsidR="00FD6D55" w:rsidRPr="00873AB4">
        <w:rPr>
          <w:rFonts w:eastAsiaTheme="minorEastAsia"/>
          <w:szCs w:val="24"/>
        </w:rPr>
        <w:fldChar w:fldCharType="separate"/>
      </w:r>
      <w:r w:rsidR="0052670E" w:rsidRPr="0052670E">
        <w:rPr>
          <w:rFonts w:eastAsiaTheme="minorEastAsia"/>
          <w:noProof/>
          <w:szCs w:val="24"/>
        </w:rPr>
        <w:t>(Bhowmik et al., 2019</w:t>
      </w:r>
      <w:r w:rsidR="0057793C">
        <w:rPr>
          <w:rFonts w:eastAsiaTheme="minorEastAsia"/>
          <w:noProof/>
          <w:szCs w:val="24"/>
        </w:rPr>
        <w:t>a</w:t>
      </w:r>
      <w:r w:rsidR="0052670E" w:rsidRPr="0052670E">
        <w:rPr>
          <w:rFonts w:eastAsiaTheme="minorEastAsia"/>
          <w:noProof/>
          <w:szCs w:val="24"/>
        </w:rPr>
        <w:t>)</w:t>
      </w:r>
      <w:r w:rsidR="00FD6D55" w:rsidRPr="00873AB4">
        <w:rPr>
          <w:rFonts w:eastAsiaTheme="minorEastAsia"/>
          <w:szCs w:val="24"/>
        </w:rPr>
        <w:fldChar w:fldCharType="end"/>
      </w:r>
      <w:r w:rsidR="00FD6D55" w:rsidRPr="00873AB4">
        <w:rPr>
          <w:rFonts w:eastAsiaTheme="minorEastAsia"/>
          <w:szCs w:val="24"/>
        </w:rPr>
        <w:t xml:space="preserve"> for </w:t>
      </w:r>
      <w:r w:rsidR="00873AB4">
        <w:rPr>
          <w:rFonts w:eastAsiaTheme="minorEastAsia"/>
          <w:szCs w:val="24"/>
        </w:rPr>
        <w:t xml:space="preserve">more </w:t>
      </w:r>
      <w:r w:rsidR="00FD6D55" w:rsidRPr="00873AB4">
        <w:rPr>
          <w:rFonts w:eastAsiaTheme="minorEastAsia"/>
          <w:szCs w:val="24"/>
        </w:rPr>
        <w:t>detail</w:t>
      </w:r>
      <w:r w:rsidR="00873AB4">
        <w:rPr>
          <w:rFonts w:eastAsiaTheme="minorEastAsia"/>
          <w:szCs w:val="24"/>
        </w:rPr>
        <w:t>s</w:t>
      </w:r>
      <w:r w:rsidR="00FD6D55" w:rsidRPr="00873AB4">
        <w:rPr>
          <w:rFonts w:eastAsiaTheme="minorEastAsia"/>
          <w:szCs w:val="24"/>
        </w:rPr>
        <w:t xml:space="preserve">). </w:t>
      </w:r>
      <w:r w:rsidR="00FD6D55" w:rsidRPr="00873AB4">
        <w:rPr>
          <w:rFonts w:eastAsiaTheme="minorEastAsia"/>
          <w:szCs w:val="24"/>
          <w:u w:val="single"/>
        </w:rPr>
        <w:t>Third</w:t>
      </w:r>
      <w:r w:rsidR="00FD6D55" w:rsidRPr="00873AB4">
        <w:rPr>
          <w:rFonts w:eastAsiaTheme="minorEastAsia"/>
          <w:szCs w:val="24"/>
        </w:rPr>
        <w:t xml:space="preserve">, within our proposed system, we consider the unobserved heterogeneity in the joint model estimation. In summary, we estimated three different models in the current research effort including: 1) Independent NB-GOPFS model; 2) Panel NB-GOPFS model without </w:t>
      </w:r>
      <w:r w:rsidR="00A63132" w:rsidRPr="00873AB4">
        <w:rPr>
          <w:rFonts w:eastAsiaTheme="minorEastAsia"/>
          <w:szCs w:val="24"/>
        </w:rPr>
        <w:t>unobs</w:t>
      </w:r>
      <w:r w:rsidR="00A63132">
        <w:rPr>
          <w:rFonts w:eastAsiaTheme="minorEastAsia"/>
          <w:szCs w:val="24"/>
        </w:rPr>
        <w:t>e</w:t>
      </w:r>
      <w:r w:rsidR="00A63132" w:rsidRPr="00873AB4">
        <w:rPr>
          <w:rFonts w:eastAsiaTheme="minorEastAsia"/>
          <w:szCs w:val="24"/>
        </w:rPr>
        <w:t>rved</w:t>
      </w:r>
      <w:r w:rsidR="00FD6D55" w:rsidRPr="00873AB4">
        <w:rPr>
          <w:rFonts w:eastAsiaTheme="minorEastAsia"/>
          <w:szCs w:val="24"/>
        </w:rPr>
        <w:t xml:space="preserve"> component</w:t>
      </w:r>
      <w:r w:rsidR="00873AB4">
        <w:rPr>
          <w:rFonts w:eastAsiaTheme="minorEastAsia"/>
          <w:szCs w:val="24"/>
        </w:rPr>
        <w:t xml:space="preserve"> parameters</w:t>
      </w:r>
      <w:r w:rsidR="00FD6D55" w:rsidRPr="00873AB4">
        <w:rPr>
          <w:rFonts w:eastAsiaTheme="minorEastAsia"/>
          <w:szCs w:val="24"/>
        </w:rPr>
        <w:t xml:space="preserve"> and 3) Joint Panel NB-GOPFS model with unobserved heterogeneity. </w:t>
      </w:r>
      <w:r w:rsidR="00FD6D55" w:rsidRPr="00873AB4">
        <w:rPr>
          <w:szCs w:val="24"/>
        </w:rPr>
        <w:t>The log-likelihood values at convergence for these estimated models are:</w:t>
      </w:r>
      <w:r w:rsidR="00FD6D55" w:rsidRPr="00873AB4">
        <w:rPr>
          <w:rFonts w:eastAsiaTheme="minorEastAsia"/>
          <w:szCs w:val="24"/>
        </w:rPr>
        <w:t xml:space="preserve"> a) Independent NB-GOPFS (with 131 parameters) is -51,904.45 (b) Panel NB-GOPFS model without unobserved component (with 100 parameters) is -51,912.92.11 and (c) Joint Panel NB-GOPFS model with unobserved heterogeneity (with 105 parameters) is -</w:t>
      </w:r>
      <w:r w:rsidR="004F7866" w:rsidRPr="00873AB4">
        <w:rPr>
          <w:rFonts w:eastAsiaTheme="minorEastAsia"/>
          <w:szCs w:val="24"/>
        </w:rPr>
        <w:t>50,945.82</w:t>
      </w:r>
      <w:r w:rsidR="00FD6D55" w:rsidRPr="00873AB4">
        <w:rPr>
          <w:rFonts w:eastAsiaTheme="minorEastAsia"/>
          <w:szCs w:val="24"/>
        </w:rPr>
        <w:t>. We also compute the Bayesian Information Criterion (BIC) (lower is be</w:t>
      </w:r>
      <w:r w:rsidR="00FD6D55" w:rsidRPr="005B5AE8">
        <w:rPr>
          <w:rFonts w:eastAsiaTheme="minorEastAsia"/>
          <w:szCs w:val="24"/>
        </w:rPr>
        <w:t xml:space="preserve">tter) for these three </w:t>
      </w:r>
      <w:r w:rsidR="00BD7DB3" w:rsidRPr="005B5AE8">
        <w:rPr>
          <w:rFonts w:eastAsiaTheme="minorEastAsia"/>
          <w:szCs w:val="24"/>
        </w:rPr>
        <w:t>frameworks</w:t>
      </w:r>
      <w:r w:rsidR="00FD6D55" w:rsidRPr="00816026">
        <w:rPr>
          <w:rFonts w:eastAsiaTheme="minorEastAsia"/>
          <w:szCs w:val="24"/>
        </w:rPr>
        <w:t xml:space="preserve"> to determine the best model. The corresponding BIC values for the </w:t>
      </w:r>
      <w:r w:rsidR="00FD6D55" w:rsidRPr="00DD451A">
        <w:rPr>
          <w:rFonts w:eastAsiaTheme="minorEastAsia"/>
          <w:szCs w:val="24"/>
        </w:rPr>
        <w:t>three models are as follows: 105,123.93 (independent NB-GOPFS model), 104,650.50 (panel NB-GOPFS model) and 10</w:t>
      </w:r>
      <w:r w:rsidR="00CE28DD" w:rsidRPr="00873AB4">
        <w:rPr>
          <w:rFonts w:eastAsiaTheme="minorEastAsia"/>
          <w:szCs w:val="24"/>
        </w:rPr>
        <w:t>2</w:t>
      </w:r>
      <w:r w:rsidR="00FD6D55" w:rsidRPr="00873AB4">
        <w:rPr>
          <w:rFonts w:eastAsiaTheme="minorEastAsia"/>
          <w:szCs w:val="24"/>
        </w:rPr>
        <w:t>,</w:t>
      </w:r>
      <w:r w:rsidR="00CE28DD" w:rsidRPr="00873AB4">
        <w:rPr>
          <w:rFonts w:eastAsiaTheme="minorEastAsia"/>
          <w:szCs w:val="24"/>
        </w:rPr>
        <w:t>757</w:t>
      </w:r>
      <w:r w:rsidR="00FD6D55" w:rsidRPr="00873AB4">
        <w:rPr>
          <w:rFonts w:eastAsiaTheme="minorEastAsia"/>
          <w:szCs w:val="24"/>
        </w:rPr>
        <w:t>.</w:t>
      </w:r>
      <w:r w:rsidR="00CE28DD" w:rsidRPr="00873AB4">
        <w:rPr>
          <w:rFonts w:eastAsiaTheme="minorEastAsia"/>
          <w:szCs w:val="24"/>
        </w:rPr>
        <w:t>53</w:t>
      </w:r>
      <w:r w:rsidR="00FD6D55" w:rsidRPr="00873AB4">
        <w:rPr>
          <w:rFonts w:eastAsiaTheme="minorEastAsia"/>
          <w:szCs w:val="24"/>
        </w:rPr>
        <w:t xml:space="preserve"> (joint panel NB-GOPFS model). Based on the BIC values, two observations can be made. </w:t>
      </w:r>
      <w:r w:rsidR="00FD6D55" w:rsidRPr="00873AB4">
        <w:rPr>
          <w:rFonts w:eastAsiaTheme="minorEastAsia"/>
          <w:szCs w:val="24"/>
          <w:u w:val="single"/>
        </w:rPr>
        <w:t>First</w:t>
      </w:r>
      <w:r w:rsidR="00FD6D55" w:rsidRPr="00873AB4">
        <w:rPr>
          <w:rFonts w:eastAsiaTheme="minorEastAsia"/>
          <w:szCs w:val="24"/>
        </w:rPr>
        <w:t>, the proposed framework that accounts for penalty for additional parameters provide improved data fit compared to the traditional model (independent NB-GOPFS model). This support</w:t>
      </w:r>
      <w:r w:rsidR="00873AB4">
        <w:rPr>
          <w:rFonts w:eastAsiaTheme="minorEastAsia"/>
          <w:szCs w:val="24"/>
        </w:rPr>
        <w:t>s</w:t>
      </w:r>
      <w:r w:rsidR="00FD6D55" w:rsidRPr="00873AB4">
        <w:rPr>
          <w:rFonts w:eastAsiaTheme="minorEastAsia"/>
          <w:szCs w:val="24"/>
        </w:rPr>
        <w:t xml:space="preserve"> our hypothesis that the impact of some variables may not differ across the </w:t>
      </w:r>
      <w:r w:rsidR="002379B7">
        <w:rPr>
          <w:rFonts w:eastAsiaTheme="minorEastAsia"/>
          <w:szCs w:val="24"/>
        </w:rPr>
        <w:t>crash</w:t>
      </w:r>
      <w:r w:rsidR="00FD6D55" w:rsidRPr="00873AB4">
        <w:rPr>
          <w:rFonts w:eastAsiaTheme="minorEastAsia"/>
          <w:szCs w:val="24"/>
        </w:rPr>
        <w:t xml:space="preserve"> types and through the proposed structure (recasting), we can have a parsimonious model system with improved parameter efficiency. </w:t>
      </w:r>
      <w:r w:rsidR="00FD6D55" w:rsidRPr="005B5AE8">
        <w:rPr>
          <w:rFonts w:eastAsiaTheme="minorEastAsia"/>
          <w:szCs w:val="24"/>
          <w:u w:val="single"/>
        </w:rPr>
        <w:t>Second</w:t>
      </w:r>
      <w:r w:rsidR="00FD6D55" w:rsidRPr="005B5AE8">
        <w:rPr>
          <w:rFonts w:eastAsiaTheme="minorEastAsia"/>
          <w:szCs w:val="24"/>
        </w:rPr>
        <w:t>, models considering unobserved heterogeneity outperforms t</w:t>
      </w:r>
      <w:r w:rsidR="00FD6D55" w:rsidRPr="00816026">
        <w:rPr>
          <w:rFonts w:eastAsiaTheme="minorEastAsia"/>
          <w:szCs w:val="24"/>
        </w:rPr>
        <w:t xml:space="preserve">he respective independent models which underscores the importance of accommodating </w:t>
      </w:r>
      <w:r w:rsidR="00873AB4">
        <w:rPr>
          <w:rFonts w:eastAsiaTheme="minorEastAsia"/>
          <w:szCs w:val="24"/>
        </w:rPr>
        <w:t xml:space="preserve">for </w:t>
      </w:r>
      <w:r w:rsidR="00FD6D55" w:rsidRPr="00873AB4">
        <w:rPr>
          <w:rFonts w:eastAsiaTheme="minorEastAsia"/>
          <w:szCs w:val="24"/>
        </w:rPr>
        <w:t xml:space="preserve">such unobserved effects in examining crash frequencies and severities </w:t>
      </w:r>
      <w:r w:rsidR="00892347" w:rsidRPr="00873AB4">
        <w:rPr>
          <w:rFonts w:eastAsiaTheme="minorEastAsia"/>
          <w:szCs w:val="24"/>
        </w:rPr>
        <w:t xml:space="preserve">at the planning level </w:t>
      </w:r>
      <w:r w:rsidR="00FD6D55" w:rsidRPr="005B5AE8">
        <w:rPr>
          <w:rFonts w:eastAsiaTheme="minorEastAsia"/>
          <w:szCs w:val="24"/>
        </w:rPr>
        <w:t xml:space="preserve">for different crash types. </w:t>
      </w:r>
    </w:p>
    <w:p w14:paraId="4B1F7501" w14:textId="77777777" w:rsidR="00676B2A" w:rsidRDefault="00676B2A" w:rsidP="00676B2A">
      <w:pPr>
        <w:rPr>
          <w:rFonts w:eastAsiaTheme="minorEastAsia"/>
          <w:szCs w:val="24"/>
        </w:rPr>
      </w:pPr>
    </w:p>
    <w:p w14:paraId="10D881A8" w14:textId="23C83C17" w:rsidR="00676B2A" w:rsidRDefault="00676B2A" w:rsidP="00676B2A">
      <w:pPr>
        <w:pStyle w:val="Heading2"/>
      </w:pPr>
      <w:r>
        <w:t>Model Estimation Result</w:t>
      </w:r>
      <w:r w:rsidR="00873AB4">
        <w:t>s</w:t>
      </w:r>
    </w:p>
    <w:p w14:paraId="38B66174" w14:textId="3AC68AAE" w:rsidR="00BF1565" w:rsidRDefault="008912ED" w:rsidP="00676B2A">
      <w:r>
        <w:t xml:space="preserve">This section offers a </w:t>
      </w:r>
      <w:r w:rsidR="00B16DCD">
        <w:t xml:space="preserve">detailed discussion of exogenous variable </w:t>
      </w:r>
      <w:r w:rsidR="007E1661">
        <w:t xml:space="preserve">effects </w:t>
      </w:r>
      <w:r w:rsidR="00B16DCD">
        <w:t xml:space="preserve">on the crash count </w:t>
      </w:r>
      <w:r w:rsidR="00DD25D2">
        <w:t xml:space="preserve">as well as the severity </w:t>
      </w:r>
      <w:r w:rsidR="003A016E">
        <w:t>outcome</w:t>
      </w:r>
      <w:r w:rsidR="00DD25D2">
        <w:t xml:space="preserve"> for different crash types. </w:t>
      </w:r>
      <w:r w:rsidR="001942EA">
        <w:t xml:space="preserve">In discussing the </w:t>
      </w:r>
      <w:r w:rsidR="002B111F">
        <w:t xml:space="preserve">model </w:t>
      </w:r>
      <w:r w:rsidR="001942EA">
        <w:t xml:space="preserve">results, for the sake of brevity, we will restrict ourselves to the discussion of the joint </w:t>
      </w:r>
      <w:r w:rsidR="00DE0B78">
        <w:t xml:space="preserve">panel </w:t>
      </w:r>
      <w:r w:rsidR="001942EA">
        <w:t>model</w:t>
      </w:r>
      <w:r w:rsidR="00DE0B78">
        <w:t xml:space="preserve"> (NB-GOPFS)</w:t>
      </w:r>
      <w:r w:rsidR="001942EA">
        <w:t xml:space="preserve"> only</w:t>
      </w:r>
      <w:r w:rsidR="00D0002D">
        <w:t xml:space="preserve"> </w:t>
      </w:r>
      <w:r w:rsidR="003F456D">
        <w:t xml:space="preserve">(see Appendix </w:t>
      </w:r>
      <w:r w:rsidR="007E3261">
        <w:t xml:space="preserve">A </w:t>
      </w:r>
      <w:r w:rsidR="003F456D">
        <w:t>for the results of independent NB-GOPFS model)</w:t>
      </w:r>
      <w:r w:rsidR="001942EA">
        <w:t>.</w:t>
      </w:r>
      <w:r w:rsidR="00E1562D">
        <w:t xml:space="preserve"> </w:t>
      </w:r>
      <w:r w:rsidR="00342418">
        <w:t xml:space="preserve">For the ease of presentation, </w:t>
      </w:r>
      <w:r w:rsidR="00BF1565">
        <w:t xml:space="preserve">we first present an intuitive discussion of crash count component </w:t>
      </w:r>
      <w:r w:rsidR="00455CF6">
        <w:t xml:space="preserve">(Table </w:t>
      </w:r>
      <w:r w:rsidR="006E11C4">
        <w:t>4</w:t>
      </w:r>
      <w:r w:rsidR="00455CF6">
        <w:t xml:space="preserve">) </w:t>
      </w:r>
      <w:r w:rsidR="00BF1565">
        <w:t>followed by the discussion of the severity component</w:t>
      </w:r>
      <w:r w:rsidR="00455CF6">
        <w:t xml:space="preserve"> (Table </w:t>
      </w:r>
      <w:r w:rsidR="006E11C4">
        <w:t>5</w:t>
      </w:r>
      <w:r w:rsidR="00455CF6">
        <w:t>)</w:t>
      </w:r>
      <w:r w:rsidR="00BF1565">
        <w:t xml:space="preserve"> for different crash types. </w:t>
      </w:r>
    </w:p>
    <w:p w14:paraId="2C6B5396" w14:textId="77777777" w:rsidR="00676B2A" w:rsidRDefault="00676B2A" w:rsidP="00676B2A"/>
    <w:p w14:paraId="2C726740" w14:textId="4949F159" w:rsidR="00676B2A" w:rsidRDefault="00B8520D" w:rsidP="00676B2A">
      <w:pPr>
        <w:pStyle w:val="Heading3"/>
      </w:pPr>
      <w:r>
        <w:t>Count Component</w:t>
      </w:r>
    </w:p>
    <w:p w14:paraId="4F637BD5" w14:textId="7B25A15C" w:rsidR="00A82F1D" w:rsidRDefault="002C4EA4" w:rsidP="006045D8">
      <w:pPr>
        <w:rPr>
          <w:szCs w:val="24"/>
        </w:rPr>
        <w:sectPr w:rsidR="00A82F1D" w:rsidSect="00CC74A8">
          <w:pgSz w:w="12240" w:h="15840" w:code="1"/>
          <w:pgMar w:top="1440" w:right="1469" w:bottom="1440" w:left="1440" w:header="720" w:footer="720" w:gutter="0"/>
          <w:cols w:space="708"/>
          <w:titlePg/>
          <w:docGrid w:linePitch="360"/>
        </w:sectPr>
      </w:pPr>
      <w:r w:rsidRPr="00006FCC">
        <w:rPr>
          <w:szCs w:val="24"/>
        </w:rPr>
        <w:t xml:space="preserve">The coefficients in Table </w:t>
      </w:r>
      <w:r w:rsidR="006E11C4">
        <w:rPr>
          <w:szCs w:val="24"/>
        </w:rPr>
        <w:t>4</w:t>
      </w:r>
      <w:r w:rsidRPr="00006FCC">
        <w:rPr>
          <w:szCs w:val="24"/>
        </w:rPr>
        <w:t xml:space="preserve"> represent the effect of exogenous variables on the frequency component of each </w:t>
      </w:r>
      <w:r w:rsidR="002379B7">
        <w:rPr>
          <w:szCs w:val="24"/>
        </w:rPr>
        <w:t>crash</w:t>
      </w:r>
      <w:r w:rsidRPr="00006FCC">
        <w:rPr>
          <w:szCs w:val="24"/>
        </w:rPr>
        <w:t xml:space="preserve"> type</w:t>
      </w:r>
      <w:r w:rsidR="006E3CE4" w:rsidRPr="00006FCC">
        <w:rPr>
          <w:szCs w:val="24"/>
        </w:rPr>
        <w:t xml:space="preserve">. </w:t>
      </w:r>
      <w:r w:rsidR="00CD48FC" w:rsidRPr="00873AB4">
        <w:rPr>
          <w:szCs w:val="24"/>
        </w:rPr>
        <w:t xml:space="preserve">The reader would note that, </w:t>
      </w:r>
      <w:r w:rsidR="006045D8" w:rsidRPr="00873AB4">
        <w:rPr>
          <w:szCs w:val="24"/>
        </w:rPr>
        <w:t xml:space="preserve">the variables in the crash count component of Table </w:t>
      </w:r>
      <w:r w:rsidR="006E11C4">
        <w:rPr>
          <w:szCs w:val="24"/>
        </w:rPr>
        <w:t>4</w:t>
      </w:r>
      <w:r w:rsidR="006045D8" w:rsidRPr="00816026">
        <w:rPr>
          <w:szCs w:val="24"/>
        </w:rPr>
        <w:t xml:space="preserve"> with positive (negative) sign indicates that an increase in the variable is </w:t>
      </w:r>
    </w:p>
    <w:p w14:paraId="4F115112" w14:textId="0260D96E" w:rsidR="00A82F1D" w:rsidRPr="00CC0AC2" w:rsidRDefault="00A82F1D" w:rsidP="00A82F1D">
      <w:pPr>
        <w:jc w:val="center"/>
        <w:rPr>
          <w:b/>
        </w:rPr>
      </w:pPr>
      <w:r>
        <w:rPr>
          <w:b/>
        </w:rPr>
        <w:lastRenderedPageBreak/>
        <w:t xml:space="preserve">TABLE </w:t>
      </w:r>
      <w:r w:rsidR="006E11C4">
        <w:rPr>
          <w:b/>
        </w:rPr>
        <w:t>4</w:t>
      </w:r>
      <w:r>
        <w:rPr>
          <w:b/>
        </w:rPr>
        <w:t xml:space="preserve"> Joint Panel Mixed </w:t>
      </w:r>
      <w:r w:rsidRPr="00902873">
        <w:rPr>
          <w:b/>
          <w:bCs/>
          <w:szCs w:val="24"/>
        </w:rPr>
        <w:t>NB-GOPFS</w:t>
      </w:r>
      <w:r w:rsidRPr="00CC0AC2">
        <w:rPr>
          <w:b/>
        </w:rPr>
        <w:t xml:space="preserve"> </w:t>
      </w:r>
      <w:r>
        <w:rPr>
          <w:b/>
        </w:rPr>
        <w:t>M</w:t>
      </w:r>
      <w:r w:rsidRPr="00CC0AC2">
        <w:rPr>
          <w:b/>
        </w:rPr>
        <w:t>odel</w:t>
      </w:r>
      <w:r>
        <w:rPr>
          <w:b/>
        </w:rPr>
        <w:t xml:space="preserve"> Results (Count Component)</w:t>
      </w:r>
    </w:p>
    <w:tbl>
      <w:tblPr>
        <w:tblW w:w="12855" w:type="dxa"/>
        <w:tblLook w:val="04A0" w:firstRow="1" w:lastRow="0" w:firstColumn="1" w:lastColumn="0" w:noHBand="0" w:noVBand="1"/>
      </w:tblPr>
      <w:tblGrid>
        <w:gridCol w:w="1965"/>
        <w:gridCol w:w="916"/>
        <w:gridCol w:w="879"/>
        <w:gridCol w:w="17"/>
        <w:gridCol w:w="899"/>
        <w:gridCol w:w="900"/>
        <w:gridCol w:w="916"/>
        <w:gridCol w:w="900"/>
        <w:gridCol w:w="916"/>
        <w:gridCol w:w="900"/>
        <w:gridCol w:w="916"/>
        <w:gridCol w:w="931"/>
        <w:gridCol w:w="7"/>
        <w:gridCol w:w="909"/>
        <w:gridCol w:w="884"/>
      </w:tblGrid>
      <w:tr w:rsidR="00A82F1D" w:rsidRPr="00E75453" w14:paraId="0AB20022" w14:textId="77777777" w:rsidTr="004601C9">
        <w:trPr>
          <w:trHeight w:val="300"/>
        </w:trPr>
        <w:tc>
          <w:tcPr>
            <w:tcW w:w="1965" w:type="dxa"/>
            <w:vMerge w:val="restart"/>
            <w:tcBorders>
              <w:top w:val="double" w:sz="4" w:space="0" w:color="auto"/>
              <w:left w:val="double" w:sz="4" w:space="0" w:color="auto"/>
              <w:right w:val="single" w:sz="4" w:space="0" w:color="auto"/>
            </w:tcBorders>
            <w:shd w:val="clear" w:color="auto" w:fill="auto"/>
            <w:noWrap/>
            <w:vAlign w:val="center"/>
            <w:hideMark/>
          </w:tcPr>
          <w:p w14:paraId="665FEEE3" w14:textId="77777777" w:rsidR="00A82F1D" w:rsidRPr="00E75453" w:rsidRDefault="00A82F1D" w:rsidP="004601C9">
            <w:pPr>
              <w:jc w:val="center"/>
              <w:rPr>
                <w:rFonts w:eastAsia="Times New Roman" w:cs="Times New Roman"/>
                <w:color w:val="000000"/>
                <w:sz w:val="20"/>
                <w:szCs w:val="20"/>
              </w:rPr>
            </w:pPr>
            <w:r w:rsidRPr="000B6500">
              <w:rPr>
                <w:rFonts w:eastAsia="Times New Roman" w:cs="Times New Roman"/>
                <w:b/>
                <w:color w:val="000000"/>
                <w:sz w:val="20"/>
                <w:szCs w:val="20"/>
              </w:rPr>
              <w:t>Variable</w:t>
            </w:r>
            <w:r>
              <w:rPr>
                <w:rFonts w:eastAsia="Times New Roman" w:cs="Times New Roman"/>
                <w:b/>
                <w:color w:val="000000"/>
                <w:sz w:val="20"/>
                <w:szCs w:val="20"/>
              </w:rPr>
              <w:t>s (np)</w:t>
            </w:r>
          </w:p>
        </w:tc>
        <w:tc>
          <w:tcPr>
            <w:tcW w:w="1812" w:type="dxa"/>
            <w:gridSpan w:val="3"/>
            <w:tcBorders>
              <w:top w:val="double" w:sz="4" w:space="0" w:color="auto"/>
              <w:left w:val="nil"/>
              <w:bottom w:val="single" w:sz="4" w:space="0" w:color="auto"/>
              <w:right w:val="single" w:sz="4" w:space="0" w:color="auto"/>
            </w:tcBorders>
            <w:shd w:val="clear" w:color="auto" w:fill="auto"/>
            <w:noWrap/>
            <w:vAlign w:val="center"/>
            <w:hideMark/>
          </w:tcPr>
          <w:p w14:paraId="095C6205" w14:textId="77777777" w:rsidR="00A82F1D" w:rsidRPr="00E75453" w:rsidRDefault="00A82F1D" w:rsidP="004601C9">
            <w:pPr>
              <w:jc w:val="center"/>
              <w:rPr>
                <w:rFonts w:eastAsia="Times New Roman" w:cs="Times New Roman"/>
                <w:b/>
                <w:color w:val="000000"/>
                <w:sz w:val="20"/>
                <w:szCs w:val="20"/>
              </w:rPr>
            </w:pPr>
            <w:r w:rsidRPr="00E75453">
              <w:rPr>
                <w:rFonts w:eastAsia="Times New Roman" w:cs="Times New Roman"/>
                <w:b/>
                <w:color w:val="000000"/>
                <w:sz w:val="20"/>
                <w:szCs w:val="20"/>
              </w:rPr>
              <w:t>Rear</w:t>
            </w:r>
            <w:r>
              <w:rPr>
                <w:rFonts w:eastAsia="Times New Roman" w:cs="Times New Roman"/>
                <w:b/>
                <w:color w:val="000000"/>
                <w:sz w:val="20"/>
                <w:szCs w:val="20"/>
              </w:rPr>
              <w:t>-</w:t>
            </w:r>
            <w:r w:rsidRPr="00E75453">
              <w:rPr>
                <w:rFonts w:eastAsia="Times New Roman" w:cs="Times New Roman"/>
                <w:b/>
                <w:color w:val="000000"/>
                <w:sz w:val="20"/>
                <w:szCs w:val="20"/>
              </w:rPr>
              <w:t>End</w:t>
            </w:r>
          </w:p>
        </w:tc>
        <w:tc>
          <w:tcPr>
            <w:tcW w:w="1799" w:type="dxa"/>
            <w:gridSpan w:val="2"/>
            <w:tcBorders>
              <w:top w:val="double" w:sz="4" w:space="0" w:color="auto"/>
              <w:left w:val="nil"/>
              <w:bottom w:val="single" w:sz="4" w:space="0" w:color="auto"/>
              <w:right w:val="single" w:sz="4" w:space="0" w:color="auto"/>
            </w:tcBorders>
            <w:shd w:val="clear" w:color="auto" w:fill="auto"/>
            <w:noWrap/>
            <w:vAlign w:val="center"/>
            <w:hideMark/>
          </w:tcPr>
          <w:p w14:paraId="38290E58" w14:textId="77777777" w:rsidR="00A82F1D" w:rsidRPr="00E75453" w:rsidRDefault="00A82F1D" w:rsidP="004601C9">
            <w:pPr>
              <w:jc w:val="center"/>
              <w:rPr>
                <w:rFonts w:eastAsia="Times New Roman" w:cs="Times New Roman"/>
                <w:b/>
                <w:color w:val="000000"/>
                <w:sz w:val="20"/>
                <w:szCs w:val="20"/>
              </w:rPr>
            </w:pPr>
            <w:r w:rsidRPr="00E75453">
              <w:rPr>
                <w:rFonts w:eastAsia="Times New Roman" w:cs="Times New Roman"/>
                <w:b/>
                <w:color w:val="000000"/>
                <w:sz w:val="20"/>
                <w:szCs w:val="20"/>
              </w:rPr>
              <w:t>Angular</w:t>
            </w:r>
          </w:p>
        </w:tc>
        <w:tc>
          <w:tcPr>
            <w:tcW w:w="1816" w:type="dxa"/>
            <w:gridSpan w:val="2"/>
            <w:tcBorders>
              <w:top w:val="double" w:sz="4" w:space="0" w:color="auto"/>
              <w:left w:val="nil"/>
              <w:bottom w:val="single" w:sz="4" w:space="0" w:color="auto"/>
              <w:right w:val="single" w:sz="4" w:space="0" w:color="auto"/>
            </w:tcBorders>
            <w:shd w:val="clear" w:color="auto" w:fill="auto"/>
            <w:noWrap/>
            <w:vAlign w:val="center"/>
            <w:hideMark/>
          </w:tcPr>
          <w:p w14:paraId="1A18061C" w14:textId="77777777" w:rsidR="00A82F1D" w:rsidRPr="00E75453" w:rsidRDefault="00A82F1D" w:rsidP="004601C9">
            <w:pPr>
              <w:jc w:val="center"/>
              <w:rPr>
                <w:rFonts w:eastAsia="Times New Roman" w:cs="Times New Roman"/>
                <w:b/>
                <w:color w:val="000000"/>
                <w:sz w:val="20"/>
                <w:szCs w:val="20"/>
              </w:rPr>
            </w:pPr>
            <w:r w:rsidRPr="00E75453">
              <w:rPr>
                <w:rFonts w:eastAsia="Times New Roman" w:cs="Times New Roman"/>
                <w:b/>
                <w:color w:val="000000"/>
                <w:sz w:val="20"/>
                <w:szCs w:val="20"/>
              </w:rPr>
              <w:t>Sideswipe</w:t>
            </w:r>
          </w:p>
        </w:tc>
        <w:tc>
          <w:tcPr>
            <w:tcW w:w="1816" w:type="dxa"/>
            <w:gridSpan w:val="2"/>
            <w:tcBorders>
              <w:top w:val="double" w:sz="4" w:space="0" w:color="auto"/>
              <w:left w:val="nil"/>
              <w:bottom w:val="single" w:sz="4" w:space="0" w:color="auto"/>
              <w:right w:val="single" w:sz="4" w:space="0" w:color="auto"/>
            </w:tcBorders>
            <w:shd w:val="clear" w:color="auto" w:fill="auto"/>
            <w:noWrap/>
            <w:vAlign w:val="center"/>
            <w:hideMark/>
          </w:tcPr>
          <w:p w14:paraId="26AF263B" w14:textId="77777777" w:rsidR="00A82F1D" w:rsidRPr="00E75453" w:rsidRDefault="00A82F1D" w:rsidP="004601C9">
            <w:pPr>
              <w:jc w:val="center"/>
              <w:rPr>
                <w:rFonts w:eastAsia="Times New Roman" w:cs="Times New Roman"/>
                <w:b/>
                <w:color w:val="000000"/>
                <w:sz w:val="20"/>
                <w:szCs w:val="20"/>
              </w:rPr>
            </w:pPr>
            <w:r>
              <w:rPr>
                <w:rFonts w:eastAsia="Times New Roman" w:cs="Times New Roman"/>
                <w:b/>
                <w:color w:val="000000"/>
                <w:sz w:val="20"/>
                <w:szCs w:val="20"/>
              </w:rPr>
              <w:t>Head-on</w:t>
            </w:r>
          </w:p>
        </w:tc>
        <w:tc>
          <w:tcPr>
            <w:tcW w:w="1854" w:type="dxa"/>
            <w:gridSpan w:val="3"/>
            <w:tcBorders>
              <w:top w:val="double" w:sz="4" w:space="0" w:color="auto"/>
              <w:left w:val="nil"/>
              <w:bottom w:val="single" w:sz="4" w:space="0" w:color="auto"/>
              <w:right w:val="single" w:sz="4" w:space="0" w:color="auto"/>
            </w:tcBorders>
            <w:shd w:val="clear" w:color="auto" w:fill="auto"/>
            <w:noWrap/>
            <w:vAlign w:val="center"/>
            <w:hideMark/>
          </w:tcPr>
          <w:p w14:paraId="285A78E8" w14:textId="77777777" w:rsidR="00A82F1D" w:rsidRPr="00E75453" w:rsidRDefault="00A82F1D" w:rsidP="004601C9">
            <w:pPr>
              <w:jc w:val="center"/>
              <w:rPr>
                <w:rFonts w:eastAsia="Times New Roman" w:cs="Times New Roman"/>
                <w:b/>
                <w:color w:val="000000"/>
                <w:sz w:val="20"/>
                <w:szCs w:val="20"/>
              </w:rPr>
            </w:pPr>
            <w:r>
              <w:rPr>
                <w:rFonts w:eastAsia="Times New Roman" w:cs="Times New Roman"/>
                <w:b/>
                <w:color w:val="000000"/>
                <w:sz w:val="20"/>
              </w:rPr>
              <w:t>Single</w:t>
            </w:r>
            <w:r w:rsidRPr="00240799">
              <w:rPr>
                <w:rFonts w:eastAsia="Times New Roman" w:cs="Times New Roman"/>
                <w:b/>
                <w:color w:val="000000"/>
                <w:sz w:val="20"/>
              </w:rPr>
              <w:t xml:space="preserve"> vehicle</w:t>
            </w:r>
          </w:p>
        </w:tc>
        <w:tc>
          <w:tcPr>
            <w:tcW w:w="1793" w:type="dxa"/>
            <w:gridSpan w:val="2"/>
            <w:tcBorders>
              <w:top w:val="double" w:sz="4" w:space="0" w:color="auto"/>
              <w:left w:val="nil"/>
              <w:bottom w:val="single" w:sz="4" w:space="0" w:color="auto"/>
              <w:right w:val="double" w:sz="4" w:space="0" w:color="auto"/>
            </w:tcBorders>
            <w:shd w:val="clear" w:color="auto" w:fill="auto"/>
            <w:noWrap/>
            <w:vAlign w:val="center"/>
            <w:hideMark/>
          </w:tcPr>
          <w:p w14:paraId="31DD1D18" w14:textId="77777777" w:rsidR="00A82F1D" w:rsidRPr="00E75453" w:rsidRDefault="00A82F1D" w:rsidP="004601C9">
            <w:pPr>
              <w:jc w:val="center"/>
              <w:rPr>
                <w:rFonts w:eastAsia="Times New Roman" w:cs="Times New Roman"/>
                <w:b/>
                <w:color w:val="000000"/>
                <w:sz w:val="20"/>
                <w:szCs w:val="20"/>
              </w:rPr>
            </w:pPr>
            <w:r w:rsidRPr="00E75453">
              <w:rPr>
                <w:rFonts w:eastAsia="Times New Roman" w:cs="Times New Roman"/>
                <w:b/>
                <w:color w:val="000000"/>
                <w:sz w:val="20"/>
                <w:szCs w:val="20"/>
              </w:rPr>
              <w:t>Non-motorized</w:t>
            </w:r>
          </w:p>
        </w:tc>
      </w:tr>
      <w:tr w:rsidR="00A82F1D" w:rsidRPr="00E75453" w14:paraId="0262A4B8" w14:textId="77777777" w:rsidTr="004601C9">
        <w:trPr>
          <w:trHeight w:val="300"/>
        </w:trPr>
        <w:tc>
          <w:tcPr>
            <w:tcW w:w="1965" w:type="dxa"/>
            <w:vMerge/>
            <w:tcBorders>
              <w:left w:val="double" w:sz="4" w:space="0" w:color="auto"/>
              <w:bottom w:val="double" w:sz="4" w:space="0" w:color="auto"/>
              <w:right w:val="single" w:sz="4" w:space="0" w:color="auto"/>
            </w:tcBorders>
            <w:shd w:val="clear" w:color="auto" w:fill="auto"/>
            <w:noWrap/>
            <w:vAlign w:val="center"/>
          </w:tcPr>
          <w:p w14:paraId="69BBC6BB" w14:textId="77777777" w:rsidR="00A82F1D" w:rsidRDefault="00A82F1D" w:rsidP="004601C9">
            <w:pPr>
              <w:rPr>
                <w:rFonts w:eastAsia="Times New Roman" w:cs="Times New Roman"/>
                <w:color w:val="000000"/>
                <w:sz w:val="20"/>
                <w:szCs w:val="20"/>
              </w:rPr>
            </w:pPr>
          </w:p>
        </w:tc>
        <w:tc>
          <w:tcPr>
            <w:tcW w:w="916" w:type="dxa"/>
            <w:tcBorders>
              <w:top w:val="nil"/>
              <w:left w:val="nil"/>
              <w:bottom w:val="double" w:sz="4" w:space="0" w:color="auto"/>
              <w:right w:val="single" w:sz="4" w:space="0" w:color="auto"/>
            </w:tcBorders>
            <w:shd w:val="clear" w:color="auto" w:fill="auto"/>
            <w:noWrap/>
            <w:vAlign w:val="center"/>
          </w:tcPr>
          <w:p w14:paraId="63C3DE7B" w14:textId="77777777" w:rsidR="00A82F1D" w:rsidRPr="00E75453" w:rsidRDefault="00A82F1D" w:rsidP="004601C9">
            <w:pPr>
              <w:jc w:val="center"/>
              <w:rPr>
                <w:rFonts w:eastAsia="Times New Roman" w:cs="Times New Roman"/>
                <w:color w:val="000000"/>
                <w:sz w:val="20"/>
                <w:szCs w:val="20"/>
              </w:rPr>
            </w:pPr>
            <w:r>
              <w:rPr>
                <w:rFonts w:eastAsia="Times New Roman" w:cs="Times New Roman"/>
                <w:color w:val="000000"/>
                <w:sz w:val="20"/>
                <w:szCs w:val="20"/>
              </w:rPr>
              <w:t>Estimate</w:t>
            </w:r>
          </w:p>
        </w:tc>
        <w:tc>
          <w:tcPr>
            <w:tcW w:w="879" w:type="dxa"/>
            <w:tcBorders>
              <w:top w:val="nil"/>
              <w:left w:val="nil"/>
              <w:bottom w:val="double" w:sz="4" w:space="0" w:color="auto"/>
              <w:right w:val="single" w:sz="4" w:space="0" w:color="auto"/>
            </w:tcBorders>
            <w:shd w:val="clear" w:color="auto" w:fill="auto"/>
            <w:noWrap/>
            <w:vAlign w:val="center"/>
          </w:tcPr>
          <w:p w14:paraId="6C3AF9C2" w14:textId="77777777" w:rsidR="00A82F1D" w:rsidRPr="00E75453" w:rsidRDefault="00A82F1D" w:rsidP="004601C9">
            <w:pPr>
              <w:jc w:val="center"/>
              <w:rPr>
                <w:rFonts w:eastAsia="Times New Roman" w:cs="Times New Roman"/>
                <w:color w:val="000000"/>
                <w:sz w:val="20"/>
                <w:szCs w:val="20"/>
              </w:rPr>
            </w:pPr>
            <w:r>
              <w:rPr>
                <w:rFonts w:eastAsia="Times New Roman" w:cs="Times New Roman"/>
                <w:color w:val="000000"/>
                <w:sz w:val="20"/>
                <w:szCs w:val="20"/>
              </w:rPr>
              <w:t>t-stat</w:t>
            </w:r>
          </w:p>
        </w:tc>
        <w:tc>
          <w:tcPr>
            <w:tcW w:w="916" w:type="dxa"/>
            <w:gridSpan w:val="2"/>
            <w:tcBorders>
              <w:top w:val="nil"/>
              <w:left w:val="nil"/>
              <w:bottom w:val="double" w:sz="4" w:space="0" w:color="auto"/>
              <w:right w:val="single" w:sz="4" w:space="0" w:color="auto"/>
            </w:tcBorders>
            <w:shd w:val="clear" w:color="auto" w:fill="auto"/>
            <w:noWrap/>
            <w:vAlign w:val="center"/>
          </w:tcPr>
          <w:p w14:paraId="2D8C88F4" w14:textId="77777777" w:rsidR="00A82F1D" w:rsidRPr="00E75453" w:rsidRDefault="00A82F1D" w:rsidP="004601C9">
            <w:pPr>
              <w:jc w:val="center"/>
              <w:rPr>
                <w:rFonts w:eastAsia="Times New Roman" w:cs="Times New Roman"/>
                <w:color w:val="000000"/>
                <w:sz w:val="20"/>
                <w:szCs w:val="20"/>
              </w:rPr>
            </w:pPr>
            <w:r>
              <w:rPr>
                <w:rFonts w:eastAsia="Times New Roman" w:cs="Times New Roman"/>
                <w:color w:val="000000"/>
                <w:sz w:val="20"/>
                <w:szCs w:val="20"/>
              </w:rPr>
              <w:t>Estimate</w:t>
            </w:r>
          </w:p>
        </w:tc>
        <w:tc>
          <w:tcPr>
            <w:tcW w:w="900" w:type="dxa"/>
            <w:tcBorders>
              <w:top w:val="nil"/>
              <w:left w:val="nil"/>
              <w:bottom w:val="double" w:sz="4" w:space="0" w:color="auto"/>
              <w:right w:val="single" w:sz="4" w:space="0" w:color="auto"/>
            </w:tcBorders>
            <w:shd w:val="clear" w:color="auto" w:fill="auto"/>
            <w:noWrap/>
            <w:vAlign w:val="center"/>
          </w:tcPr>
          <w:p w14:paraId="036ECDB0" w14:textId="77777777" w:rsidR="00A82F1D" w:rsidRPr="00E75453" w:rsidRDefault="00A82F1D" w:rsidP="004601C9">
            <w:pPr>
              <w:jc w:val="center"/>
              <w:rPr>
                <w:rFonts w:eastAsia="Times New Roman" w:cs="Times New Roman"/>
                <w:color w:val="000000"/>
                <w:sz w:val="20"/>
                <w:szCs w:val="20"/>
              </w:rPr>
            </w:pPr>
            <w:r>
              <w:rPr>
                <w:rFonts w:eastAsia="Times New Roman" w:cs="Times New Roman"/>
                <w:color w:val="000000"/>
                <w:sz w:val="20"/>
                <w:szCs w:val="20"/>
              </w:rPr>
              <w:t>t-stat</w:t>
            </w:r>
          </w:p>
        </w:tc>
        <w:tc>
          <w:tcPr>
            <w:tcW w:w="916" w:type="dxa"/>
            <w:tcBorders>
              <w:top w:val="nil"/>
              <w:left w:val="nil"/>
              <w:bottom w:val="double" w:sz="4" w:space="0" w:color="auto"/>
              <w:right w:val="single" w:sz="4" w:space="0" w:color="auto"/>
            </w:tcBorders>
            <w:shd w:val="clear" w:color="auto" w:fill="auto"/>
            <w:noWrap/>
            <w:vAlign w:val="center"/>
          </w:tcPr>
          <w:p w14:paraId="4CD592A2" w14:textId="77777777" w:rsidR="00A82F1D" w:rsidRPr="00E75453" w:rsidRDefault="00A82F1D" w:rsidP="004601C9">
            <w:pPr>
              <w:jc w:val="center"/>
              <w:rPr>
                <w:rFonts w:eastAsia="Times New Roman" w:cs="Times New Roman"/>
                <w:color w:val="000000"/>
                <w:sz w:val="20"/>
                <w:szCs w:val="20"/>
              </w:rPr>
            </w:pPr>
            <w:r>
              <w:rPr>
                <w:rFonts w:eastAsia="Times New Roman" w:cs="Times New Roman"/>
                <w:color w:val="000000"/>
                <w:sz w:val="20"/>
                <w:szCs w:val="20"/>
              </w:rPr>
              <w:t>Estimate</w:t>
            </w:r>
          </w:p>
        </w:tc>
        <w:tc>
          <w:tcPr>
            <w:tcW w:w="900" w:type="dxa"/>
            <w:tcBorders>
              <w:top w:val="nil"/>
              <w:left w:val="nil"/>
              <w:bottom w:val="double" w:sz="4" w:space="0" w:color="auto"/>
              <w:right w:val="single" w:sz="4" w:space="0" w:color="auto"/>
            </w:tcBorders>
            <w:shd w:val="clear" w:color="auto" w:fill="auto"/>
            <w:noWrap/>
            <w:vAlign w:val="center"/>
          </w:tcPr>
          <w:p w14:paraId="38672572" w14:textId="77777777" w:rsidR="00A82F1D" w:rsidRPr="00E75453" w:rsidRDefault="00A82F1D" w:rsidP="004601C9">
            <w:pPr>
              <w:jc w:val="center"/>
              <w:rPr>
                <w:rFonts w:eastAsia="Times New Roman" w:cs="Times New Roman"/>
                <w:color w:val="000000"/>
                <w:sz w:val="20"/>
                <w:szCs w:val="20"/>
              </w:rPr>
            </w:pPr>
            <w:r>
              <w:rPr>
                <w:rFonts w:eastAsia="Times New Roman" w:cs="Times New Roman"/>
                <w:color w:val="000000"/>
                <w:sz w:val="20"/>
                <w:szCs w:val="20"/>
              </w:rPr>
              <w:t>t-stat</w:t>
            </w:r>
          </w:p>
        </w:tc>
        <w:tc>
          <w:tcPr>
            <w:tcW w:w="916" w:type="dxa"/>
            <w:tcBorders>
              <w:top w:val="nil"/>
              <w:left w:val="nil"/>
              <w:bottom w:val="double" w:sz="4" w:space="0" w:color="auto"/>
              <w:right w:val="single" w:sz="4" w:space="0" w:color="auto"/>
            </w:tcBorders>
            <w:shd w:val="clear" w:color="auto" w:fill="auto"/>
            <w:noWrap/>
            <w:vAlign w:val="center"/>
          </w:tcPr>
          <w:p w14:paraId="68146306" w14:textId="77777777" w:rsidR="00A82F1D" w:rsidRPr="00E75453" w:rsidRDefault="00A82F1D" w:rsidP="004601C9">
            <w:pPr>
              <w:jc w:val="center"/>
              <w:rPr>
                <w:rFonts w:eastAsia="Times New Roman" w:cs="Times New Roman"/>
                <w:color w:val="000000"/>
                <w:sz w:val="20"/>
                <w:szCs w:val="20"/>
              </w:rPr>
            </w:pPr>
            <w:r>
              <w:rPr>
                <w:rFonts w:eastAsia="Times New Roman" w:cs="Times New Roman"/>
                <w:color w:val="000000"/>
                <w:sz w:val="20"/>
                <w:szCs w:val="20"/>
              </w:rPr>
              <w:t>Estimate</w:t>
            </w:r>
          </w:p>
        </w:tc>
        <w:tc>
          <w:tcPr>
            <w:tcW w:w="900" w:type="dxa"/>
            <w:tcBorders>
              <w:top w:val="nil"/>
              <w:left w:val="nil"/>
              <w:bottom w:val="double" w:sz="4" w:space="0" w:color="auto"/>
              <w:right w:val="single" w:sz="4" w:space="0" w:color="auto"/>
            </w:tcBorders>
            <w:shd w:val="clear" w:color="auto" w:fill="auto"/>
            <w:noWrap/>
            <w:vAlign w:val="center"/>
          </w:tcPr>
          <w:p w14:paraId="7127CA7F" w14:textId="77777777" w:rsidR="00A82F1D" w:rsidRPr="00E75453" w:rsidRDefault="00A82F1D" w:rsidP="004601C9">
            <w:pPr>
              <w:jc w:val="center"/>
              <w:rPr>
                <w:rFonts w:eastAsia="Times New Roman" w:cs="Times New Roman"/>
                <w:color w:val="000000"/>
                <w:sz w:val="20"/>
                <w:szCs w:val="20"/>
              </w:rPr>
            </w:pPr>
            <w:r>
              <w:rPr>
                <w:rFonts w:eastAsia="Times New Roman" w:cs="Times New Roman"/>
                <w:color w:val="000000"/>
                <w:sz w:val="20"/>
                <w:szCs w:val="20"/>
              </w:rPr>
              <w:t>t-stat</w:t>
            </w:r>
          </w:p>
        </w:tc>
        <w:tc>
          <w:tcPr>
            <w:tcW w:w="916" w:type="dxa"/>
            <w:tcBorders>
              <w:top w:val="nil"/>
              <w:left w:val="nil"/>
              <w:bottom w:val="double" w:sz="4" w:space="0" w:color="auto"/>
              <w:right w:val="single" w:sz="4" w:space="0" w:color="auto"/>
            </w:tcBorders>
            <w:shd w:val="clear" w:color="auto" w:fill="auto"/>
            <w:noWrap/>
            <w:vAlign w:val="center"/>
          </w:tcPr>
          <w:p w14:paraId="1E906ADE" w14:textId="77777777" w:rsidR="00A82F1D" w:rsidRPr="00E75453" w:rsidRDefault="00A82F1D" w:rsidP="004601C9">
            <w:pPr>
              <w:jc w:val="center"/>
              <w:rPr>
                <w:rFonts w:eastAsia="Times New Roman" w:cs="Times New Roman"/>
                <w:color w:val="000000"/>
                <w:sz w:val="20"/>
                <w:szCs w:val="20"/>
              </w:rPr>
            </w:pPr>
            <w:r>
              <w:rPr>
                <w:rFonts w:eastAsia="Times New Roman" w:cs="Times New Roman"/>
                <w:color w:val="000000"/>
                <w:sz w:val="20"/>
                <w:szCs w:val="20"/>
              </w:rPr>
              <w:t>Estimate</w:t>
            </w:r>
          </w:p>
        </w:tc>
        <w:tc>
          <w:tcPr>
            <w:tcW w:w="931" w:type="dxa"/>
            <w:tcBorders>
              <w:top w:val="nil"/>
              <w:left w:val="nil"/>
              <w:bottom w:val="double" w:sz="4" w:space="0" w:color="auto"/>
              <w:right w:val="single" w:sz="4" w:space="0" w:color="auto"/>
            </w:tcBorders>
            <w:shd w:val="clear" w:color="auto" w:fill="auto"/>
            <w:noWrap/>
            <w:vAlign w:val="center"/>
          </w:tcPr>
          <w:p w14:paraId="25607C86" w14:textId="77777777" w:rsidR="00A82F1D" w:rsidRPr="00E75453" w:rsidRDefault="00A82F1D" w:rsidP="004601C9">
            <w:pPr>
              <w:jc w:val="center"/>
              <w:rPr>
                <w:rFonts w:eastAsia="Times New Roman" w:cs="Times New Roman"/>
                <w:color w:val="000000"/>
                <w:sz w:val="20"/>
                <w:szCs w:val="20"/>
              </w:rPr>
            </w:pPr>
            <w:r>
              <w:rPr>
                <w:rFonts w:eastAsia="Times New Roman" w:cs="Times New Roman"/>
                <w:color w:val="000000"/>
                <w:sz w:val="20"/>
                <w:szCs w:val="20"/>
              </w:rPr>
              <w:t>t-stat</w:t>
            </w:r>
          </w:p>
        </w:tc>
        <w:tc>
          <w:tcPr>
            <w:tcW w:w="916" w:type="dxa"/>
            <w:gridSpan w:val="2"/>
            <w:tcBorders>
              <w:top w:val="nil"/>
              <w:left w:val="nil"/>
              <w:bottom w:val="double" w:sz="4" w:space="0" w:color="auto"/>
              <w:right w:val="single" w:sz="4" w:space="0" w:color="auto"/>
            </w:tcBorders>
            <w:shd w:val="clear" w:color="auto" w:fill="auto"/>
            <w:noWrap/>
            <w:vAlign w:val="center"/>
          </w:tcPr>
          <w:p w14:paraId="0195EB2A" w14:textId="77777777" w:rsidR="00A82F1D" w:rsidRPr="00E75453" w:rsidRDefault="00A82F1D" w:rsidP="004601C9">
            <w:pPr>
              <w:jc w:val="center"/>
              <w:rPr>
                <w:rFonts w:eastAsia="Times New Roman" w:cs="Times New Roman"/>
                <w:color w:val="000000"/>
                <w:sz w:val="20"/>
                <w:szCs w:val="20"/>
              </w:rPr>
            </w:pPr>
            <w:r>
              <w:rPr>
                <w:rFonts w:eastAsia="Times New Roman" w:cs="Times New Roman"/>
                <w:color w:val="000000"/>
                <w:sz w:val="20"/>
                <w:szCs w:val="20"/>
              </w:rPr>
              <w:t>Estimate</w:t>
            </w:r>
          </w:p>
        </w:tc>
        <w:tc>
          <w:tcPr>
            <w:tcW w:w="884" w:type="dxa"/>
            <w:tcBorders>
              <w:top w:val="nil"/>
              <w:left w:val="nil"/>
              <w:bottom w:val="double" w:sz="4" w:space="0" w:color="auto"/>
              <w:right w:val="double" w:sz="4" w:space="0" w:color="auto"/>
            </w:tcBorders>
            <w:shd w:val="clear" w:color="auto" w:fill="auto"/>
            <w:noWrap/>
            <w:vAlign w:val="center"/>
          </w:tcPr>
          <w:p w14:paraId="6F6B4C7F" w14:textId="77777777" w:rsidR="00A82F1D" w:rsidRPr="00E75453" w:rsidRDefault="00A82F1D" w:rsidP="004601C9">
            <w:pPr>
              <w:jc w:val="center"/>
              <w:rPr>
                <w:rFonts w:eastAsia="Times New Roman" w:cs="Times New Roman"/>
                <w:color w:val="000000"/>
                <w:sz w:val="20"/>
                <w:szCs w:val="20"/>
              </w:rPr>
            </w:pPr>
            <w:r>
              <w:rPr>
                <w:rFonts w:eastAsia="Times New Roman" w:cs="Times New Roman"/>
                <w:color w:val="000000"/>
                <w:sz w:val="20"/>
                <w:szCs w:val="20"/>
              </w:rPr>
              <w:t>t-stat</w:t>
            </w:r>
          </w:p>
        </w:tc>
      </w:tr>
      <w:tr w:rsidR="00A82F1D" w:rsidRPr="00E75453" w14:paraId="30CFDA98" w14:textId="77777777" w:rsidTr="004601C9">
        <w:trPr>
          <w:trHeight w:val="300"/>
        </w:trPr>
        <w:tc>
          <w:tcPr>
            <w:tcW w:w="1965" w:type="dxa"/>
            <w:tcBorders>
              <w:top w:val="nil"/>
              <w:left w:val="double" w:sz="4" w:space="0" w:color="auto"/>
              <w:bottom w:val="double" w:sz="4" w:space="0" w:color="auto"/>
              <w:right w:val="single" w:sz="4" w:space="0" w:color="auto"/>
            </w:tcBorders>
            <w:shd w:val="clear" w:color="auto" w:fill="auto"/>
            <w:noWrap/>
            <w:vAlign w:val="center"/>
            <w:hideMark/>
          </w:tcPr>
          <w:p w14:paraId="1D55DA2C" w14:textId="77777777" w:rsidR="00A82F1D" w:rsidRPr="00BC49D9" w:rsidRDefault="00A82F1D" w:rsidP="004601C9">
            <w:pPr>
              <w:rPr>
                <w:rFonts w:eastAsia="Times New Roman" w:cs="Times New Roman"/>
                <w:b/>
                <w:color w:val="000000"/>
                <w:sz w:val="20"/>
                <w:szCs w:val="20"/>
              </w:rPr>
            </w:pPr>
            <w:r w:rsidRPr="00BC49D9">
              <w:rPr>
                <w:rFonts w:eastAsia="Times New Roman" w:cs="Times New Roman"/>
                <w:b/>
                <w:color w:val="000000"/>
                <w:sz w:val="20"/>
                <w:szCs w:val="20"/>
              </w:rPr>
              <w:t>Constant</w:t>
            </w:r>
            <w:r>
              <w:rPr>
                <w:rFonts w:eastAsia="Times New Roman" w:cs="Times New Roman"/>
                <w:b/>
                <w:color w:val="000000"/>
                <w:sz w:val="20"/>
                <w:szCs w:val="20"/>
              </w:rPr>
              <w:t xml:space="preserve"> </w:t>
            </w:r>
            <w:r w:rsidRPr="00C71057">
              <w:rPr>
                <w:rFonts w:eastAsia="Times New Roman" w:cs="Times New Roman"/>
                <w:bCs/>
                <w:color w:val="000000"/>
                <w:sz w:val="20"/>
                <w:szCs w:val="20"/>
              </w:rPr>
              <w:t>(6)</w:t>
            </w:r>
          </w:p>
        </w:tc>
        <w:tc>
          <w:tcPr>
            <w:tcW w:w="916" w:type="dxa"/>
            <w:tcBorders>
              <w:top w:val="nil"/>
              <w:left w:val="nil"/>
              <w:bottom w:val="double" w:sz="4" w:space="0" w:color="auto"/>
              <w:right w:val="single" w:sz="4" w:space="0" w:color="auto"/>
            </w:tcBorders>
            <w:shd w:val="clear" w:color="auto" w:fill="auto"/>
            <w:noWrap/>
            <w:vAlign w:val="center"/>
            <w:hideMark/>
          </w:tcPr>
          <w:p w14:paraId="019F8DBA" w14:textId="77777777" w:rsidR="00A82F1D" w:rsidRPr="000147EF" w:rsidRDefault="00A82F1D" w:rsidP="004601C9">
            <w:pPr>
              <w:jc w:val="center"/>
              <w:rPr>
                <w:rFonts w:cs="Times New Roman"/>
                <w:color w:val="000000"/>
                <w:sz w:val="20"/>
                <w:szCs w:val="20"/>
              </w:rPr>
            </w:pPr>
            <w:r w:rsidRPr="00BD51E7">
              <w:rPr>
                <w:rFonts w:cs="Times New Roman"/>
                <w:color w:val="000000"/>
                <w:sz w:val="20"/>
                <w:szCs w:val="20"/>
              </w:rPr>
              <w:t>-0.626</w:t>
            </w:r>
          </w:p>
        </w:tc>
        <w:tc>
          <w:tcPr>
            <w:tcW w:w="879" w:type="dxa"/>
            <w:tcBorders>
              <w:top w:val="nil"/>
              <w:left w:val="nil"/>
              <w:bottom w:val="double" w:sz="4" w:space="0" w:color="auto"/>
              <w:right w:val="single" w:sz="4" w:space="0" w:color="auto"/>
            </w:tcBorders>
            <w:shd w:val="clear" w:color="auto" w:fill="auto"/>
            <w:noWrap/>
            <w:vAlign w:val="center"/>
            <w:hideMark/>
          </w:tcPr>
          <w:p w14:paraId="610CC47A" w14:textId="77777777" w:rsidR="00A82F1D" w:rsidRPr="000147EF" w:rsidRDefault="00A82F1D" w:rsidP="004601C9">
            <w:pPr>
              <w:jc w:val="center"/>
              <w:rPr>
                <w:rFonts w:cs="Times New Roman"/>
                <w:color w:val="000000"/>
                <w:sz w:val="20"/>
                <w:szCs w:val="20"/>
              </w:rPr>
            </w:pPr>
            <w:r w:rsidRPr="00BD51E7">
              <w:rPr>
                <w:rFonts w:cs="Times New Roman"/>
                <w:color w:val="000000"/>
                <w:sz w:val="20"/>
                <w:szCs w:val="20"/>
              </w:rPr>
              <w:t>-7.73</w:t>
            </w:r>
          </w:p>
        </w:tc>
        <w:tc>
          <w:tcPr>
            <w:tcW w:w="916" w:type="dxa"/>
            <w:gridSpan w:val="2"/>
            <w:tcBorders>
              <w:top w:val="nil"/>
              <w:left w:val="nil"/>
              <w:bottom w:val="double" w:sz="4" w:space="0" w:color="auto"/>
              <w:right w:val="single" w:sz="4" w:space="0" w:color="auto"/>
            </w:tcBorders>
            <w:shd w:val="clear" w:color="auto" w:fill="auto"/>
            <w:noWrap/>
            <w:vAlign w:val="center"/>
            <w:hideMark/>
          </w:tcPr>
          <w:p w14:paraId="41DA6718" w14:textId="77777777" w:rsidR="00A82F1D" w:rsidRPr="000147EF" w:rsidRDefault="00A82F1D" w:rsidP="004601C9">
            <w:pPr>
              <w:jc w:val="center"/>
              <w:rPr>
                <w:rFonts w:cs="Times New Roman"/>
                <w:color w:val="000000"/>
                <w:sz w:val="20"/>
                <w:szCs w:val="20"/>
              </w:rPr>
            </w:pPr>
            <w:r w:rsidRPr="00BD51E7">
              <w:rPr>
                <w:rFonts w:cs="Times New Roman"/>
                <w:color w:val="000000"/>
                <w:sz w:val="20"/>
                <w:szCs w:val="20"/>
              </w:rPr>
              <w:t>-1.684</w:t>
            </w:r>
          </w:p>
        </w:tc>
        <w:tc>
          <w:tcPr>
            <w:tcW w:w="900" w:type="dxa"/>
            <w:tcBorders>
              <w:top w:val="nil"/>
              <w:left w:val="nil"/>
              <w:bottom w:val="double" w:sz="4" w:space="0" w:color="auto"/>
              <w:right w:val="single" w:sz="4" w:space="0" w:color="auto"/>
            </w:tcBorders>
            <w:shd w:val="clear" w:color="auto" w:fill="auto"/>
            <w:noWrap/>
            <w:vAlign w:val="center"/>
            <w:hideMark/>
          </w:tcPr>
          <w:p w14:paraId="72B1E2CD" w14:textId="77777777" w:rsidR="00A82F1D" w:rsidRPr="000147EF" w:rsidRDefault="00A82F1D" w:rsidP="004601C9">
            <w:pPr>
              <w:jc w:val="center"/>
              <w:rPr>
                <w:rFonts w:cs="Times New Roman"/>
                <w:color w:val="000000"/>
                <w:sz w:val="20"/>
                <w:szCs w:val="20"/>
              </w:rPr>
            </w:pPr>
            <w:r w:rsidRPr="00BD51E7">
              <w:rPr>
                <w:rFonts w:cs="Times New Roman"/>
                <w:color w:val="000000"/>
                <w:sz w:val="20"/>
                <w:szCs w:val="20"/>
              </w:rPr>
              <w:t>-15.407</w:t>
            </w:r>
          </w:p>
        </w:tc>
        <w:tc>
          <w:tcPr>
            <w:tcW w:w="916" w:type="dxa"/>
            <w:tcBorders>
              <w:top w:val="nil"/>
              <w:left w:val="nil"/>
              <w:bottom w:val="double" w:sz="4" w:space="0" w:color="auto"/>
              <w:right w:val="single" w:sz="4" w:space="0" w:color="auto"/>
            </w:tcBorders>
            <w:shd w:val="clear" w:color="auto" w:fill="auto"/>
            <w:noWrap/>
            <w:vAlign w:val="center"/>
            <w:hideMark/>
          </w:tcPr>
          <w:p w14:paraId="2D56BF92" w14:textId="77777777" w:rsidR="00A82F1D" w:rsidRPr="000147EF" w:rsidRDefault="00A82F1D" w:rsidP="004601C9">
            <w:pPr>
              <w:jc w:val="center"/>
              <w:rPr>
                <w:rFonts w:cs="Times New Roman"/>
                <w:color w:val="000000"/>
                <w:sz w:val="20"/>
                <w:szCs w:val="20"/>
              </w:rPr>
            </w:pPr>
            <w:r w:rsidRPr="00BD51E7">
              <w:rPr>
                <w:rFonts w:cs="Times New Roman"/>
                <w:color w:val="000000"/>
                <w:sz w:val="20"/>
                <w:szCs w:val="20"/>
              </w:rPr>
              <w:t>-2.68</w:t>
            </w:r>
            <w:r>
              <w:rPr>
                <w:rFonts w:cs="Times New Roman"/>
                <w:color w:val="000000"/>
                <w:sz w:val="20"/>
                <w:szCs w:val="20"/>
              </w:rPr>
              <w:t>7</w:t>
            </w:r>
          </w:p>
        </w:tc>
        <w:tc>
          <w:tcPr>
            <w:tcW w:w="900" w:type="dxa"/>
            <w:tcBorders>
              <w:top w:val="nil"/>
              <w:left w:val="nil"/>
              <w:bottom w:val="double" w:sz="4" w:space="0" w:color="auto"/>
              <w:right w:val="single" w:sz="4" w:space="0" w:color="auto"/>
            </w:tcBorders>
            <w:shd w:val="clear" w:color="auto" w:fill="auto"/>
            <w:noWrap/>
            <w:vAlign w:val="center"/>
            <w:hideMark/>
          </w:tcPr>
          <w:p w14:paraId="7400097F" w14:textId="77777777" w:rsidR="00A82F1D" w:rsidRPr="000147EF" w:rsidRDefault="00A82F1D" w:rsidP="004601C9">
            <w:pPr>
              <w:jc w:val="center"/>
              <w:rPr>
                <w:rFonts w:cs="Times New Roman"/>
                <w:color w:val="000000"/>
                <w:sz w:val="20"/>
                <w:szCs w:val="20"/>
              </w:rPr>
            </w:pPr>
            <w:r w:rsidRPr="00BD51E7">
              <w:rPr>
                <w:rFonts w:cs="Times New Roman"/>
                <w:color w:val="000000"/>
                <w:sz w:val="20"/>
                <w:szCs w:val="20"/>
              </w:rPr>
              <w:t>-21.582</w:t>
            </w:r>
          </w:p>
        </w:tc>
        <w:tc>
          <w:tcPr>
            <w:tcW w:w="916" w:type="dxa"/>
            <w:tcBorders>
              <w:top w:val="nil"/>
              <w:left w:val="nil"/>
              <w:bottom w:val="double" w:sz="4" w:space="0" w:color="auto"/>
              <w:right w:val="single" w:sz="4" w:space="0" w:color="auto"/>
            </w:tcBorders>
            <w:shd w:val="clear" w:color="auto" w:fill="auto"/>
            <w:noWrap/>
            <w:vAlign w:val="center"/>
            <w:hideMark/>
          </w:tcPr>
          <w:p w14:paraId="40793596" w14:textId="77777777" w:rsidR="00A82F1D" w:rsidRPr="000147EF" w:rsidRDefault="00A82F1D" w:rsidP="004601C9">
            <w:pPr>
              <w:jc w:val="center"/>
              <w:rPr>
                <w:rFonts w:cs="Times New Roman"/>
                <w:color w:val="000000"/>
                <w:sz w:val="20"/>
                <w:szCs w:val="20"/>
              </w:rPr>
            </w:pPr>
            <w:r w:rsidRPr="00BD51E7">
              <w:rPr>
                <w:rFonts w:cs="Times New Roman"/>
                <w:color w:val="000000"/>
                <w:sz w:val="20"/>
                <w:szCs w:val="20"/>
              </w:rPr>
              <w:t>-3.557</w:t>
            </w:r>
          </w:p>
        </w:tc>
        <w:tc>
          <w:tcPr>
            <w:tcW w:w="900" w:type="dxa"/>
            <w:tcBorders>
              <w:top w:val="nil"/>
              <w:left w:val="nil"/>
              <w:bottom w:val="double" w:sz="4" w:space="0" w:color="auto"/>
              <w:right w:val="single" w:sz="4" w:space="0" w:color="auto"/>
            </w:tcBorders>
            <w:shd w:val="clear" w:color="auto" w:fill="auto"/>
            <w:noWrap/>
            <w:vAlign w:val="center"/>
            <w:hideMark/>
          </w:tcPr>
          <w:p w14:paraId="05099D6D" w14:textId="77777777" w:rsidR="00A82F1D" w:rsidRPr="000147EF" w:rsidRDefault="00A82F1D" w:rsidP="004601C9">
            <w:pPr>
              <w:jc w:val="center"/>
              <w:rPr>
                <w:rFonts w:cs="Times New Roman"/>
                <w:color w:val="000000"/>
                <w:sz w:val="20"/>
                <w:szCs w:val="20"/>
              </w:rPr>
            </w:pPr>
            <w:r w:rsidRPr="00BD51E7">
              <w:rPr>
                <w:rFonts w:cs="Times New Roman"/>
                <w:color w:val="000000"/>
                <w:sz w:val="20"/>
                <w:szCs w:val="20"/>
              </w:rPr>
              <w:t>-18.081</w:t>
            </w:r>
          </w:p>
        </w:tc>
        <w:tc>
          <w:tcPr>
            <w:tcW w:w="916" w:type="dxa"/>
            <w:tcBorders>
              <w:top w:val="nil"/>
              <w:left w:val="nil"/>
              <w:bottom w:val="double" w:sz="4" w:space="0" w:color="auto"/>
              <w:right w:val="single" w:sz="4" w:space="0" w:color="auto"/>
            </w:tcBorders>
            <w:shd w:val="clear" w:color="auto" w:fill="auto"/>
            <w:noWrap/>
            <w:vAlign w:val="center"/>
            <w:hideMark/>
          </w:tcPr>
          <w:p w14:paraId="5CE92195" w14:textId="77777777" w:rsidR="00A82F1D" w:rsidRPr="000147EF" w:rsidRDefault="00A82F1D" w:rsidP="004601C9">
            <w:pPr>
              <w:jc w:val="center"/>
              <w:rPr>
                <w:rFonts w:cs="Times New Roman"/>
                <w:color w:val="000000"/>
                <w:sz w:val="20"/>
                <w:szCs w:val="20"/>
              </w:rPr>
            </w:pPr>
            <w:r w:rsidRPr="00BD51E7">
              <w:rPr>
                <w:rFonts w:cs="Times New Roman"/>
                <w:color w:val="000000"/>
                <w:sz w:val="20"/>
                <w:szCs w:val="20"/>
              </w:rPr>
              <w:t>-0.74</w:t>
            </w:r>
            <w:r>
              <w:rPr>
                <w:rFonts w:cs="Times New Roman"/>
                <w:color w:val="000000"/>
                <w:sz w:val="20"/>
                <w:szCs w:val="20"/>
              </w:rPr>
              <w:t>4</w:t>
            </w:r>
          </w:p>
        </w:tc>
        <w:tc>
          <w:tcPr>
            <w:tcW w:w="931" w:type="dxa"/>
            <w:tcBorders>
              <w:top w:val="nil"/>
              <w:left w:val="nil"/>
              <w:bottom w:val="double" w:sz="4" w:space="0" w:color="auto"/>
              <w:right w:val="single" w:sz="4" w:space="0" w:color="auto"/>
            </w:tcBorders>
            <w:shd w:val="clear" w:color="auto" w:fill="auto"/>
            <w:noWrap/>
            <w:vAlign w:val="center"/>
            <w:hideMark/>
          </w:tcPr>
          <w:p w14:paraId="76BA39CD" w14:textId="77777777" w:rsidR="00A82F1D" w:rsidRPr="000147EF" w:rsidRDefault="00A82F1D" w:rsidP="004601C9">
            <w:pPr>
              <w:jc w:val="center"/>
              <w:rPr>
                <w:rFonts w:cs="Times New Roman"/>
                <w:color w:val="000000"/>
                <w:sz w:val="20"/>
                <w:szCs w:val="20"/>
              </w:rPr>
            </w:pPr>
            <w:r w:rsidRPr="00BD51E7">
              <w:rPr>
                <w:rFonts w:cs="Times New Roman"/>
                <w:color w:val="000000"/>
                <w:sz w:val="20"/>
                <w:szCs w:val="20"/>
              </w:rPr>
              <w:t>-9.932</w:t>
            </w:r>
          </w:p>
        </w:tc>
        <w:tc>
          <w:tcPr>
            <w:tcW w:w="916" w:type="dxa"/>
            <w:gridSpan w:val="2"/>
            <w:tcBorders>
              <w:top w:val="nil"/>
              <w:left w:val="nil"/>
              <w:bottom w:val="double" w:sz="4" w:space="0" w:color="auto"/>
              <w:right w:val="single" w:sz="4" w:space="0" w:color="auto"/>
            </w:tcBorders>
            <w:shd w:val="clear" w:color="auto" w:fill="auto"/>
            <w:noWrap/>
            <w:vAlign w:val="center"/>
            <w:hideMark/>
          </w:tcPr>
          <w:p w14:paraId="61486428" w14:textId="77777777" w:rsidR="00A82F1D" w:rsidRPr="000147EF" w:rsidRDefault="00A82F1D" w:rsidP="004601C9">
            <w:pPr>
              <w:jc w:val="center"/>
              <w:rPr>
                <w:rFonts w:cs="Times New Roman"/>
                <w:color w:val="000000"/>
                <w:sz w:val="20"/>
                <w:szCs w:val="20"/>
              </w:rPr>
            </w:pPr>
            <w:r w:rsidRPr="00BD51E7">
              <w:rPr>
                <w:rFonts w:cs="Times New Roman"/>
                <w:color w:val="000000"/>
                <w:sz w:val="20"/>
                <w:szCs w:val="20"/>
              </w:rPr>
              <w:t>-2.5</w:t>
            </w:r>
            <w:r>
              <w:rPr>
                <w:rFonts w:cs="Times New Roman"/>
                <w:color w:val="000000"/>
                <w:sz w:val="20"/>
                <w:szCs w:val="20"/>
              </w:rPr>
              <w:t>80</w:t>
            </w:r>
          </w:p>
        </w:tc>
        <w:tc>
          <w:tcPr>
            <w:tcW w:w="884" w:type="dxa"/>
            <w:tcBorders>
              <w:top w:val="nil"/>
              <w:left w:val="nil"/>
              <w:bottom w:val="double" w:sz="4" w:space="0" w:color="auto"/>
              <w:right w:val="double" w:sz="4" w:space="0" w:color="auto"/>
            </w:tcBorders>
            <w:shd w:val="clear" w:color="auto" w:fill="auto"/>
            <w:noWrap/>
            <w:vAlign w:val="center"/>
            <w:hideMark/>
          </w:tcPr>
          <w:p w14:paraId="313747F2" w14:textId="77777777" w:rsidR="00A82F1D" w:rsidRPr="000147EF" w:rsidRDefault="00A82F1D" w:rsidP="004601C9">
            <w:pPr>
              <w:jc w:val="center"/>
              <w:rPr>
                <w:rFonts w:cs="Times New Roman"/>
                <w:color w:val="000000"/>
                <w:sz w:val="20"/>
                <w:szCs w:val="20"/>
              </w:rPr>
            </w:pPr>
            <w:r w:rsidRPr="00BD51E7">
              <w:rPr>
                <w:rFonts w:cs="Times New Roman"/>
                <w:color w:val="000000"/>
                <w:sz w:val="20"/>
                <w:szCs w:val="20"/>
              </w:rPr>
              <w:t>-23.487</w:t>
            </w:r>
          </w:p>
        </w:tc>
      </w:tr>
      <w:tr w:rsidR="00A82F1D" w:rsidRPr="00E75453" w14:paraId="2AEB9C13" w14:textId="77777777" w:rsidTr="004601C9">
        <w:trPr>
          <w:trHeight w:val="300"/>
        </w:trPr>
        <w:tc>
          <w:tcPr>
            <w:tcW w:w="12855" w:type="dxa"/>
            <w:gridSpan w:val="15"/>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3101BE3B" w14:textId="77777777" w:rsidR="00A82F1D" w:rsidRPr="00E75453" w:rsidRDefault="00A82F1D" w:rsidP="004601C9">
            <w:pPr>
              <w:rPr>
                <w:rFonts w:eastAsia="Times New Roman" w:cs="Times New Roman"/>
                <w:b/>
                <w:bCs/>
                <w:color w:val="000000"/>
                <w:sz w:val="20"/>
                <w:szCs w:val="20"/>
              </w:rPr>
            </w:pPr>
            <w:r w:rsidRPr="00E75453">
              <w:rPr>
                <w:rFonts w:eastAsia="Times New Roman" w:cs="Times New Roman"/>
                <w:b/>
                <w:bCs/>
                <w:color w:val="000000"/>
                <w:sz w:val="20"/>
                <w:szCs w:val="20"/>
              </w:rPr>
              <w:t>Roadway Characteristics</w:t>
            </w:r>
          </w:p>
        </w:tc>
      </w:tr>
      <w:tr w:rsidR="00A82F1D" w:rsidRPr="00E75453" w14:paraId="027C277A" w14:textId="77777777" w:rsidTr="004601C9">
        <w:trPr>
          <w:trHeight w:val="300"/>
        </w:trPr>
        <w:tc>
          <w:tcPr>
            <w:tcW w:w="1965" w:type="dxa"/>
            <w:tcBorders>
              <w:top w:val="double" w:sz="4" w:space="0" w:color="auto"/>
              <w:left w:val="double" w:sz="4" w:space="0" w:color="auto"/>
              <w:bottom w:val="single" w:sz="4" w:space="0" w:color="auto"/>
              <w:right w:val="single" w:sz="4" w:space="0" w:color="auto"/>
            </w:tcBorders>
            <w:shd w:val="clear" w:color="auto" w:fill="auto"/>
            <w:noWrap/>
            <w:vAlign w:val="center"/>
            <w:hideMark/>
          </w:tcPr>
          <w:p w14:paraId="2BCF590C" w14:textId="77777777" w:rsidR="00A82F1D" w:rsidRPr="00E75453" w:rsidRDefault="00A82F1D" w:rsidP="004601C9">
            <w:pPr>
              <w:ind w:left="150"/>
              <w:jc w:val="left"/>
              <w:rPr>
                <w:rFonts w:eastAsia="Times New Roman" w:cs="Times New Roman"/>
                <w:color w:val="000000"/>
                <w:sz w:val="20"/>
                <w:szCs w:val="20"/>
              </w:rPr>
            </w:pPr>
            <w:r w:rsidRPr="00240799">
              <w:rPr>
                <w:rFonts w:eastAsia="Times New Roman" w:cs="Times New Roman"/>
                <w:color w:val="000000"/>
                <w:sz w:val="20"/>
                <w:szCs w:val="20"/>
              </w:rPr>
              <w:t>Proportion of arterial road</w:t>
            </w:r>
            <w:r>
              <w:rPr>
                <w:rFonts w:eastAsia="Times New Roman" w:cs="Times New Roman"/>
                <w:color w:val="000000"/>
                <w:sz w:val="20"/>
                <w:szCs w:val="20"/>
              </w:rPr>
              <w:t>s (2)</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4C97FA86"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0.166</w:t>
            </w:r>
          </w:p>
        </w:tc>
        <w:tc>
          <w:tcPr>
            <w:tcW w:w="879" w:type="dxa"/>
            <w:tcBorders>
              <w:top w:val="double" w:sz="4" w:space="0" w:color="auto"/>
              <w:left w:val="nil"/>
              <w:bottom w:val="single" w:sz="4" w:space="0" w:color="auto"/>
              <w:right w:val="single" w:sz="4" w:space="0" w:color="auto"/>
            </w:tcBorders>
            <w:shd w:val="clear" w:color="auto" w:fill="auto"/>
            <w:noWrap/>
            <w:vAlign w:val="center"/>
            <w:hideMark/>
          </w:tcPr>
          <w:p w14:paraId="7D72C65C"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4.034</w:t>
            </w:r>
          </w:p>
        </w:tc>
        <w:tc>
          <w:tcPr>
            <w:tcW w:w="916" w:type="dxa"/>
            <w:gridSpan w:val="2"/>
            <w:tcBorders>
              <w:top w:val="double" w:sz="4" w:space="0" w:color="auto"/>
              <w:left w:val="nil"/>
              <w:bottom w:val="single" w:sz="4" w:space="0" w:color="auto"/>
              <w:right w:val="single" w:sz="4" w:space="0" w:color="auto"/>
            </w:tcBorders>
            <w:shd w:val="clear" w:color="auto" w:fill="auto"/>
            <w:noWrap/>
            <w:vAlign w:val="center"/>
            <w:hideMark/>
          </w:tcPr>
          <w:p w14:paraId="3730B5E7"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0.166</w:t>
            </w:r>
          </w:p>
        </w:tc>
        <w:tc>
          <w:tcPr>
            <w:tcW w:w="900" w:type="dxa"/>
            <w:tcBorders>
              <w:top w:val="double" w:sz="4" w:space="0" w:color="auto"/>
              <w:left w:val="nil"/>
              <w:bottom w:val="single" w:sz="4" w:space="0" w:color="auto"/>
              <w:right w:val="single" w:sz="4" w:space="0" w:color="auto"/>
            </w:tcBorders>
            <w:shd w:val="clear" w:color="auto" w:fill="auto"/>
            <w:noWrap/>
            <w:vAlign w:val="center"/>
            <w:hideMark/>
          </w:tcPr>
          <w:p w14:paraId="62BF29C5"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4.034</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5AB25603" w14:textId="77777777" w:rsidR="00A82F1D" w:rsidRPr="009D0CA0" w:rsidRDefault="00A82F1D" w:rsidP="004601C9">
            <w:pPr>
              <w:jc w:val="center"/>
              <w:rPr>
                <w:rFonts w:cs="Times New Roman"/>
                <w:color w:val="000000"/>
                <w:sz w:val="20"/>
                <w:szCs w:val="20"/>
              </w:rPr>
            </w:pPr>
            <w:r>
              <w:rPr>
                <w:rFonts w:cs="Times New Roman"/>
                <w:color w:val="000000"/>
                <w:sz w:val="20"/>
                <w:szCs w:val="20"/>
              </w:rPr>
              <w:t>--</w:t>
            </w:r>
            <w:r w:rsidRPr="00734124">
              <w:rPr>
                <w:rFonts w:cs="Times New Roman"/>
                <w:color w:val="000000"/>
                <w:sz w:val="20"/>
                <w:szCs w:val="20"/>
                <w:vertAlign w:val="superscript"/>
              </w:rPr>
              <w:t>1</w:t>
            </w:r>
          </w:p>
        </w:tc>
        <w:tc>
          <w:tcPr>
            <w:tcW w:w="900" w:type="dxa"/>
            <w:tcBorders>
              <w:top w:val="double" w:sz="4" w:space="0" w:color="auto"/>
              <w:left w:val="nil"/>
              <w:bottom w:val="single" w:sz="4" w:space="0" w:color="auto"/>
              <w:right w:val="single" w:sz="4" w:space="0" w:color="auto"/>
            </w:tcBorders>
            <w:shd w:val="clear" w:color="auto" w:fill="auto"/>
            <w:noWrap/>
            <w:vAlign w:val="center"/>
            <w:hideMark/>
          </w:tcPr>
          <w:p w14:paraId="069A9D11" w14:textId="77777777" w:rsidR="00A82F1D" w:rsidRPr="009D0CA0" w:rsidRDefault="00A82F1D" w:rsidP="004601C9">
            <w:pPr>
              <w:jc w:val="center"/>
              <w:rPr>
                <w:rFonts w:cs="Times New Roman"/>
                <w:color w:val="000000"/>
                <w:sz w:val="20"/>
                <w:szCs w:val="20"/>
              </w:rPr>
            </w:pPr>
            <w:r w:rsidRPr="00F06330">
              <w:rPr>
                <w:rFonts w:cs="Times New Roman"/>
                <w:color w:val="000000"/>
                <w:sz w:val="20"/>
                <w:szCs w:val="20"/>
              </w:rPr>
              <w:t>--</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74883ED5" w14:textId="77777777" w:rsidR="00A82F1D" w:rsidRPr="009D0CA0" w:rsidRDefault="00A82F1D" w:rsidP="004601C9">
            <w:pPr>
              <w:jc w:val="center"/>
              <w:rPr>
                <w:rFonts w:cs="Times New Roman"/>
                <w:color w:val="000000"/>
                <w:sz w:val="20"/>
                <w:szCs w:val="20"/>
              </w:rPr>
            </w:pPr>
            <w:r w:rsidRPr="00F06330">
              <w:rPr>
                <w:rFonts w:cs="Times New Roman"/>
                <w:color w:val="000000"/>
                <w:sz w:val="20"/>
                <w:szCs w:val="20"/>
              </w:rPr>
              <w:t>--</w:t>
            </w:r>
          </w:p>
        </w:tc>
        <w:tc>
          <w:tcPr>
            <w:tcW w:w="900" w:type="dxa"/>
            <w:tcBorders>
              <w:top w:val="double" w:sz="4" w:space="0" w:color="auto"/>
              <w:left w:val="nil"/>
              <w:bottom w:val="single" w:sz="4" w:space="0" w:color="auto"/>
              <w:right w:val="single" w:sz="4" w:space="0" w:color="auto"/>
            </w:tcBorders>
            <w:shd w:val="clear" w:color="auto" w:fill="auto"/>
            <w:noWrap/>
            <w:vAlign w:val="center"/>
            <w:hideMark/>
          </w:tcPr>
          <w:p w14:paraId="29DF7148" w14:textId="77777777" w:rsidR="00A82F1D" w:rsidRPr="009D0CA0" w:rsidRDefault="00A82F1D" w:rsidP="004601C9">
            <w:pPr>
              <w:jc w:val="center"/>
              <w:rPr>
                <w:rFonts w:cs="Times New Roman"/>
                <w:color w:val="000000"/>
                <w:sz w:val="20"/>
                <w:szCs w:val="20"/>
              </w:rPr>
            </w:pPr>
            <w:r w:rsidRPr="00F06330">
              <w:rPr>
                <w:rFonts w:cs="Times New Roman"/>
                <w:color w:val="000000"/>
                <w:sz w:val="20"/>
                <w:szCs w:val="20"/>
              </w:rPr>
              <w:t>--</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7C09B364" w14:textId="77777777" w:rsidR="00A82F1D" w:rsidRPr="009D0CA0" w:rsidRDefault="00A82F1D" w:rsidP="004601C9">
            <w:pPr>
              <w:jc w:val="center"/>
              <w:rPr>
                <w:rFonts w:cs="Times New Roman"/>
                <w:color w:val="000000"/>
                <w:sz w:val="20"/>
                <w:szCs w:val="20"/>
              </w:rPr>
            </w:pPr>
            <w:r w:rsidRPr="00FA7C43">
              <w:rPr>
                <w:rFonts w:cs="Times New Roman"/>
                <w:color w:val="000000"/>
                <w:sz w:val="20"/>
                <w:szCs w:val="20"/>
              </w:rPr>
              <w:t>-0.284</w:t>
            </w:r>
          </w:p>
        </w:tc>
        <w:tc>
          <w:tcPr>
            <w:tcW w:w="931" w:type="dxa"/>
            <w:tcBorders>
              <w:top w:val="double" w:sz="4" w:space="0" w:color="auto"/>
              <w:left w:val="nil"/>
              <w:bottom w:val="single" w:sz="4" w:space="0" w:color="auto"/>
              <w:right w:val="single" w:sz="4" w:space="0" w:color="auto"/>
            </w:tcBorders>
            <w:shd w:val="clear" w:color="auto" w:fill="auto"/>
            <w:noWrap/>
            <w:vAlign w:val="center"/>
            <w:hideMark/>
          </w:tcPr>
          <w:p w14:paraId="1B33F42C" w14:textId="77777777" w:rsidR="00A82F1D" w:rsidRPr="009D0CA0" w:rsidRDefault="00A82F1D" w:rsidP="004601C9">
            <w:pPr>
              <w:jc w:val="center"/>
              <w:rPr>
                <w:rFonts w:cs="Times New Roman"/>
                <w:color w:val="000000"/>
                <w:sz w:val="20"/>
                <w:szCs w:val="20"/>
              </w:rPr>
            </w:pPr>
            <w:r w:rsidRPr="00FA7C43">
              <w:rPr>
                <w:rFonts w:cs="Times New Roman"/>
                <w:color w:val="000000"/>
                <w:sz w:val="20"/>
                <w:szCs w:val="20"/>
              </w:rPr>
              <w:t>-5.10</w:t>
            </w:r>
            <w:r>
              <w:rPr>
                <w:rFonts w:cs="Times New Roman"/>
                <w:color w:val="000000"/>
                <w:sz w:val="20"/>
                <w:szCs w:val="20"/>
              </w:rPr>
              <w:t>5</w:t>
            </w:r>
          </w:p>
        </w:tc>
        <w:tc>
          <w:tcPr>
            <w:tcW w:w="916" w:type="dxa"/>
            <w:gridSpan w:val="2"/>
            <w:tcBorders>
              <w:top w:val="double" w:sz="4" w:space="0" w:color="auto"/>
              <w:left w:val="nil"/>
              <w:bottom w:val="single" w:sz="4" w:space="0" w:color="auto"/>
              <w:right w:val="single" w:sz="4" w:space="0" w:color="auto"/>
            </w:tcBorders>
            <w:shd w:val="clear" w:color="auto" w:fill="auto"/>
            <w:noWrap/>
            <w:vAlign w:val="center"/>
            <w:hideMark/>
          </w:tcPr>
          <w:p w14:paraId="332B04BE"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0.166</w:t>
            </w:r>
          </w:p>
        </w:tc>
        <w:tc>
          <w:tcPr>
            <w:tcW w:w="884" w:type="dxa"/>
            <w:tcBorders>
              <w:top w:val="double" w:sz="4" w:space="0" w:color="auto"/>
              <w:left w:val="nil"/>
              <w:bottom w:val="single" w:sz="4" w:space="0" w:color="auto"/>
              <w:right w:val="double" w:sz="4" w:space="0" w:color="auto"/>
            </w:tcBorders>
            <w:shd w:val="clear" w:color="auto" w:fill="auto"/>
            <w:noWrap/>
            <w:vAlign w:val="center"/>
            <w:hideMark/>
          </w:tcPr>
          <w:p w14:paraId="1461AED0"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4.034</w:t>
            </w:r>
          </w:p>
        </w:tc>
      </w:tr>
      <w:tr w:rsidR="00A82F1D" w:rsidRPr="00E75453" w14:paraId="48F42F19" w14:textId="77777777" w:rsidTr="004601C9">
        <w:trPr>
          <w:trHeight w:val="300"/>
        </w:trPr>
        <w:tc>
          <w:tcPr>
            <w:tcW w:w="1965" w:type="dxa"/>
            <w:tcBorders>
              <w:top w:val="nil"/>
              <w:left w:val="double" w:sz="4" w:space="0" w:color="auto"/>
              <w:bottom w:val="single" w:sz="4" w:space="0" w:color="auto"/>
              <w:right w:val="single" w:sz="4" w:space="0" w:color="auto"/>
            </w:tcBorders>
            <w:shd w:val="clear" w:color="auto" w:fill="auto"/>
            <w:noWrap/>
            <w:vAlign w:val="center"/>
            <w:hideMark/>
          </w:tcPr>
          <w:p w14:paraId="7003127D" w14:textId="77777777" w:rsidR="00A82F1D" w:rsidRPr="00E75453" w:rsidRDefault="00A82F1D" w:rsidP="004601C9">
            <w:pPr>
              <w:ind w:left="150"/>
              <w:jc w:val="left"/>
              <w:rPr>
                <w:rFonts w:eastAsia="Times New Roman" w:cs="Times New Roman"/>
                <w:color w:val="000000"/>
                <w:sz w:val="20"/>
                <w:szCs w:val="20"/>
              </w:rPr>
            </w:pPr>
            <w:r w:rsidRPr="00240799">
              <w:rPr>
                <w:rFonts w:eastAsia="Times New Roman" w:cs="Times New Roman"/>
                <w:color w:val="000000"/>
                <w:sz w:val="20"/>
                <w:szCs w:val="20"/>
              </w:rPr>
              <w:t>Number of intersections</w:t>
            </w:r>
            <w:r>
              <w:rPr>
                <w:rFonts w:eastAsia="Times New Roman" w:cs="Times New Roman"/>
                <w:color w:val="000000"/>
                <w:sz w:val="20"/>
                <w:szCs w:val="20"/>
              </w:rPr>
              <w:t xml:space="preserve"> (1)</w:t>
            </w:r>
          </w:p>
        </w:tc>
        <w:tc>
          <w:tcPr>
            <w:tcW w:w="916" w:type="dxa"/>
            <w:tcBorders>
              <w:top w:val="nil"/>
              <w:left w:val="nil"/>
              <w:bottom w:val="single" w:sz="4" w:space="0" w:color="auto"/>
              <w:right w:val="single" w:sz="4" w:space="0" w:color="auto"/>
            </w:tcBorders>
            <w:shd w:val="clear" w:color="auto" w:fill="auto"/>
            <w:noWrap/>
            <w:vAlign w:val="center"/>
            <w:hideMark/>
          </w:tcPr>
          <w:p w14:paraId="40E934D5" w14:textId="77777777" w:rsidR="00A82F1D" w:rsidRPr="009D0CA0" w:rsidRDefault="00A82F1D" w:rsidP="004601C9">
            <w:pPr>
              <w:jc w:val="center"/>
              <w:rPr>
                <w:rFonts w:cs="Times New Roman"/>
                <w:color w:val="000000"/>
                <w:sz w:val="20"/>
                <w:szCs w:val="20"/>
              </w:rPr>
            </w:pPr>
            <w:r w:rsidRPr="00F64293">
              <w:rPr>
                <w:rFonts w:cs="Times New Roman"/>
                <w:color w:val="000000"/>
                <w:sz w:val="20"/>
                <w:szCs w:val="20"/>
              </w:rPr>
              <w:t>--</w:t>
            </w:r>
          </w:p>
        </w:tc>
        <w:tc>
          <w:tcPr>
            <w:tcW w:w="879" w:type="dxa"/>
            <w:tcBorders>
              <w:top w:val="nil"/>
              <w:left w:val="nil"/>
              <w:bottom w:val="single" w:sz="4" w:space="0" w:color="auto"/>
              <w:right w:val="single" w:sz="4" w:space="0" w:color="auto"/>
            </w:tcBorders>
            <w:shd w:val="clear" w:color="auto" w:fill="auto"/>
            <w:noWrap/>
            <w:vAlign w:val="center"/>
            <w:hideMark/>
          </w:tcPr>
          <w:p w14:paraId="4D9C9DAE" w14:textId="77777777" w:rsidR="00A82F1D" w:rsidRPr="009D0CA0" w:rsidRDefault="00A82F1D" w:rsidP="004601C9">
            <w:pPr>
              <w:jc w:val="center"/>
              <w:rPr>
                <w:rFonts w:cs="Times New Roman"/>
                <w:color w:val="000000"/>
                <w:sz w:val="20"/>
                <w:szCs w:val="20"/>
              </w:rPr>
            </w:pPr>
            <w:r w:rsidRPr="00F64293">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hideMark/>
          </w:tcPr>
          <w:p w14:paraId="0C59EEEF"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0.347</w:t>
            </w:r>
          </w:p>
        </w:tc>
        <w:tc>
          <w:tcPr>
            <w:tcW w:w="900" w:type="dxa"/>
            <w:tcBorders>
              <w:top w:val="nil"/>
              <w:left w:val="nil"/>
              <w:bottom w:val="single" w:sz="4" w:space="0" w:color="auto"/>
              <w:right w:val="single" w:sz="4" w:space="0" w:color="auto"/>
            </w:tcBorders>
            <w:shd w:val="clear" w:color="auto" w:fill="auto"/>
            <w:noWrap/>
            <w:vAlign w:val="center"/>
            <w:hideMark/>
          </w:tcPr>
          <w:p w14:paraId="71300EAE"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11.804</w:t>
            </w:r>
          </w:p>
        </w:tc>
        <w:tc>
          <w:tcPr>
            <w:tcW w:w="916" w:type="dxa"/>
            <w:tcBorders>
              <w:top w:val="nil"/>
              <w:left w:val="nil"/>
              <w:bottom w:val="single" w:sz="4" w:space="0" w:color="auto"/>
              <w:right w:val="single" w:sz="4" w:space="0" w:color="auto"/>
            </w:tcBorders>
            <w:shd w:val="clear" w:color="auto" w:fill="auto"/>
            <w:noWrap/>
            <w:vAlign w:val="center"/>
            <w:hideMark/>
          </w:tcPr>
          <w:p w14:paraId="5BB00A77" w14:textId="77777777" w:rsidR="00A82F1D" w:rsidRPr="009D0CA0" w:rsidRDefault="00A82F1D" w:rsidP="004601C9">
            <w:pPr>
              <w:jc w:val="center"/>
              <w:rPr>
                <w:rFonts w:cs="Times New Roman"/>
                <w:color w:val="000000"/>
                <w:sz w:val="20"/>
                <w:szCs w:val="20"/>
              </w:rPr>
            </w:pPr>
            <w:r w:rsidRPr="008F677D">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0B8E6EBF" w14:textId="77777777" w:rsidR="00A82F1D" w:rsidRPr="009D0CA0" w:rsidRDefault="00A82F1D" w:rsidP="004601C9">
            <w:pPr>
              <w:jc w:val="center"/>
              <w:rPr>
                <w:rFonts w:cs="Times New Roman"/>
                <w:color w:val="000000"/>
                <w:sz w:val="20"/>
                <w:szCs w:val="20"/>
              </w:rPr>
            </w:pPr>
            <w:r w:rsidRPr="008F677D">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hideMark/>
          </w:tcPr>
          <w:p w14:paraId="723B3DFF"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0.347</w:t>
            </w:r>
          </w:p>
        </w:tc>
        <w:tc>
          <w:tcPr>
            <w:tcW w:w="900" w:type="dxa"/>
            <w:tcBorders>
              <w:top w:val="nil"/>
              <w:left w:val="nil"/>
              <w:bottom w:val="single" w:sz="4" w:space="0" w:color="auto"/>
              <w:right w:val="single" w:sz="4" w:space="0" w:color="auto"/>
            </w:tcBorders>
            <w:shd w:val="clear" w:color="auto" w:fill="auto"/>
            <w:noWrap/>
            <w:vAlign w:val="center"/>
            <w:hideMark/>
          </w:tcPr>
          <w:p w14:paraId="65C64AB5"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11.804</w:t>
            </w:r>
          </w:p>
        </w:tc>
        <w:tc>
          <w:tcPr>
            <w:tcW w:w="916" w:type="dxa"/>
            <w:tcBorders>
              <w:top w:val="nil"/>
              <w:left w:val="nil"/>
              <w:bottom w:val="single" w:sz="4" w:space="0" w:color="auto"/>
              <w:right w:val="single" w:sz="4" w:space="0" w:color="auto"/>
            </w:tcBorders>
            <w:shd w:val="clear" w:color="auto" w:fill="auto"/>
            <w:noWrap/>
            <w:vAlign w:val="center"/>
            <w:hideMark/>
          </w:tcPr>
          <w:p w14:paraId="032CF153" w14:textId="77777777" w:rsidR="00A82F1D" w:rsidRPr="009D0CA0" w:rsidRDefault="00A82F1D" w:rsidP="004601C9">
            <w:pPr>
              <w:jc w:val="center"/>
              <w:rPr>
                <w:rFonts w:cs="Times New Roman"/>
                <w:color w:val="000000"/>
                <w:sz w:val="20"/>
                <w:szCs w:val="20"/>
              </w:rPr>
            </w:pPr>
            <w:r w:rsidRPr="006142C7">
              <w:rPr>
                <w:rFonts w:cs="Times New Roman"/>
                <w:color w:val="000000"/>
                <w:sz w:val="20"/>
                <w:szCs w:val="20"/>
              </w:rPr>
              <w:t>--</w:t>
            </w:r>
          </w:p>
        </w:tc>
        <w:tc>
          <w:tcPr>
            <w:tcW w:w="931" w:type="dxa"/>
            <w:tcBorders>
              <w:top w:val="nil"/>
              <w:left w:val="nil"/>
              <w:bottom w:val="single" w:sz="4" w:space="0" w:color="auto"/>
              <w:right w:val="single" w:sz="4" w:space="0" w:color="auto"/>
            </w:tcBorders>
            <w:shd w:val="clear" w:color="auto" w:fill="auto"/>
            <w:noWrap/>
            <w:vAlign w:val="center"/>
            <w:hideMark/>
          </w:tcPr>
          <w:p w14:paraId="6E32C262" w14:textId="77777777" w:rsidR="00A82F1D" w:rsidRPr="009D0CA0" w:rsidRDefault="00A82F1D" w:rsidP="004601C9">
            <w:pPr>
              <w:jc w:val="center"/>
              <w:rPr>
                <w:rFonts w:cs="Times New Roman"/>
                <w:color w:val="000000"/>
                <w:sz w:val="20"/>
                <w:szCs w:val="20"/>
              </w:rPr>
            </w:pPr>
            <w:r w:rsidRPr="006142C7">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hideMark/>
          </w:tcPr>
          <w:p w14:paraId="2C582384"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0.347</w:t>
            </w:r>
          </w:p>
        </w:tc>
        <w:tc>
          <w:tcPr>
            <w:tcW w:w="884" w:type="dxa"/>
            <w:tcBorders>
              <w:top w:val="nil"/>
              <w:left w:val="nil"/>
              <w:bottom w:val="single" w:sz="4" w:space="0" w:color="auto"/>
              <w:right w:val="double" w:sz="4" w:space="0" w:color="auto"/>
            </w:tcBorders>
            <w:shd w:val="clear" w:color="auto" w:fill="auto"/>
            <w:noWrap/>
            <w:vAlign w:val="center"/>
            <w:hideMark/>
          </w:tcPr>
          <w:p w14:paraId="4C573760"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11.804</w:t>
            </w:r>
          </w:p>
        </w:tc>
      </w:tr>
      <w:tr w:rsidR="00A82F1D" w:rsidRPr="00E75453" w14:paraId="341F9311" w14:textId="77777777" w:rsidTr="004601C9">
        <w:trPr>
          <w:trHeight w:val="300"/>
        </w:trPr>
        <w:tc>
          <w:tcPr>
            <w:tcW w:w="1965" w:type="dxa"/>
            <w:tcBorders>
              <w:top w:val="nil"/>
              <w:left w:val="double" w:sz="4" w:space="0" w:color="auto"/>
              <w:bottom w:val="single" w:sz="4" w:space="0" w:color="auto"/>
              <w:right w:val="single" w:sz="4" w:space="0" w:color="auto"/>
            </w:tcBorders>
            <w:shd w:val="clear" w:color="auto" w:fill="auto"/>
            <w:noWrap/>
            <w:vAlign w:val="center"/>
          </w:tcPr>
          <w:p w14:paraId="5ABFA806" w14:textId="77777777" w:rsidR="00A82F1D" w:rsidRPr="00240799" w:rsidRDefault="00A82F1D" w:rsidP="004601C9">
            <w:pPr>
              <w:ind w:left="150"/>
              <w:jc w:val="left"/>
              <w:rPr>
                <w:rFonts w:eastAsia="Times New Roman" w:cs="Times New Roman"/>
                <w:color w:val="000000"/>
                <w:sz w:val="20"/>
                <w:szCs w:val="20"/>
              </w:rPr>
            </w:pPr>
            <w:r w:rsidRPr="00240799">
              <w:rPr>
                <w:rFonts w:eastAsia="Times New Roman" w:cs="Times New Roman"/>
                <w:color w:val="000000"/>
                <w:sz w:val="20"/>
                <w:szCs w:val="20"/>
              </w:rPr>
              <w:t>Signal intensity</w:t>
            </w:r>
            <w:r>
              <w:rPr>
                <w:rFonts w:eastAsia="Times New Roman" w:cs="Times New Roman"/>
                <w:color w:val="000000"/>
                <w:sz w:val="20"/>
                <w:szCs w:val="20"/>
              </w:rPr>
              <w:t xml:space="preserve"> (3)</w:t>
            </w:r>
          </w:p>
        </w:tc>
        <w:tc>
          <w:tcPr>
            <w:tcW w:w="916" w:type="dxa"/>
            <w:tcBorders>
              <w:top w:val="nil"/>
              <w:left w:val="nil"/>
              <w:bottom w:val="single" w:sz="4" w:space="0" w:color="auto"/>
              <w:right w:val="single" w:sz="4" w:space="0" w:color="auto"/>
            </w:tcBorders>
            <w:shd w:val="clear" w:color="auto" w:fill="auto"/>
            <w:noWrap/>
            <w:vAlign w:val="center"/>
          </w:tcPr>
          <w:p w14:paraId="059DD523"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0.416</w:t>
            </w:r>
          </w:p>
        </w:tc>
        <w:tc>
          <w:tcPr>
            <w:tcW w:w="879" w:type="dxa"/>
            <w:tcBorders>
              <w:top w:val="nil"/>
              <w:left w:val="nil"/>
              <w:bottom w:val="single" w:sz="4" w:space="0" w:color="auto"/>
              <w:right w:val="single" w:sz="4" w:space="0" w:color="auto"/>
            </w:tcBorders>
            <w:shd w:val="clear" w:color="auto" w:fill="auto"/>
            <w:noWrap/>
            <w:vAlign w:val="center"/>
          </w:tcPr>
          <w:p w14:paraId="130642DC"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2.422</w:t>
            </w:r>
          </w:p>
        </w:tc>
        <w:tc>
          <w:tcPr>
            <w:tcW w:w="916" w:type="dxa"/>
            <w:gridSpan w:val="2"/>
            <w:tcBorders>
              <w:top w:val="nil"/>
              <w:left w:val="nil"/>
              <w:bottom w:val="single" w:sz="4" w:space="0" w:color="auto"/>
              <w:right w:val="single" w:sz="4" w:space="0" w:color="auto"/>
            </w:tcBorders>
            <w:shd w:val="clear" w:color="auto" w:fill="auto"/>
            <w:noWrap/>
            <w:vAlign w:val="center"/>
          </w:tcPr>
          <w:p w14:paraId="723FACAA" w14:textId="77777777" w:rsidR="00A82F1D" w:rsidRPr="009D0CA0" w:rsidRDefault="00A82F1D" w:rsidP="004601C9">
            <w:pPr>
              <w:jc w:val="center"/>
              <w:rPr>
                <w:rFonts w:cs="Times New Roman"/>
                <w:color w:val="000000"/>
                <w:sz w:val="20"/>
                <w:szCs w:val="20"/>
              </w:rPr>
            </w:pPr>
            <w:r w:rsidRPr="004C2B5D">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0FCFDF2F" w14:textId="77777777" w:rsidR="00A82F1D" w:rsidRPr="009D0CA0" w:rsidRDefault="00A82F1D" w:rsidP="004601C9">
            <w:pPr>
              <w:jc w:val="center"/>
              <w:rPr>
                <w:rFonts w:cs="Times New Roman"/>
                <w:color w:val="000000"/>
                <w:sz w:val="20"/>
                <w:szCs w:val="20"/>
              </w:rPr>
            </w:pPr>
            <w:r w:rsidRPr="004C2B5D">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tcPr>
          <w:p w14:paraId="34B1D76E"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-0.630</w:t>
            </w:r>
          </w:p>
        </w:tc>
        <w:tc>
          <w:tcPr>
            <w:tcW w:w="900" w:type="dxa"/>
            <w:tcBorders>
              <w:top w:val="nil"/>
              <w:left w:val="nil"/>
              <w:bottom w:val="single" w:sz="4" w:space="0" w:color="auto"/>
              <w:right w:val="single" w:sz="4" w:space="0" w:color="auto"/>
            </w:tcBorders>
            <w:shd w:val="clear" w:color="auto" w:fill="auto"/>
            <w:noWrap/>
            <w:vAlign w:val="center"/>
          </w:tcPr>
          <w:p w14:paraId="25A26A22"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-3.277</w:t>
            </w:r>
          </w:p>
        </w:tc>
        <w:tc>
          <w:tcPr>
            <w:tcW w:w="916" w:type="dxa"/>
            <w:tcBorders>
              <w:top w:val="nil"/>
              <w:left w:val="nil"/>
              <w:bottom w:val="single" w:sz="4" w:space="0" w:color="auto"/>
              <w:right w:val="single" w:sz="4" w:space="0" w:color="auto"/>
            </w:tcBorders>
            <w:shd w:val="clear" w:color="auto" w:fill="auto"/>
            <w:noWrap/>
            <w:vAlign w:val="center"/>
          </w:tcPr>
          <w:p w14:paraId="62CE65A7" w14:textId="77777777" w:rsidR="00A82F1D" w:rsidRPr="009D0CA0" w:rsidRDefault="00A82F1D" w:rsidP="004601C9">
            <w:pPr>
              <w:jc w:val="center"/>
              <w:rPr>
                <w:rFonts w:cs="Times New Roman"/>
                <w:color w:val="000000"/>
                <w:sz w:val="20"/>
                <w:szCs w:val="20"/>
              </w:rPr>
            </w:pPr>
            <w:r w:rsidRPr="00AE196A">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231EA690" w14:textId="77777777" w:rsidR="00A82F1D" w:rsidRPr="009D0CA0" w:rsidRDefault="00A82F1D" w:rsidP="004601C9">
            <w:pPr>
              <w:jc w:val="center"/>
              <w:rPr>
                <w:rFonts w:cs="Times New Roman"/>
                <w:color w:val="000000"/>
                <w:sz w:val="20"/>
                <w:szCs w:val="20"/>
              </w:rPr>
            </w:pPr>
            <w:r w:rsidRPr="00AE196A">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tcPr>
          <w:p w14:paraId="69E8B58E"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-0.447</w:t>
            </w:r>
          </w:p>
        </w:tc>
        <w:tc>
          <w:tcPr>
            <w:tcW w:w="931" w:type="dxa"/>
            <w:tcBorders>
              <w:top w:val="nil"/>
              <w:left w:val="nil"/>
              <w:bottom w:val="single" w:sz="4" w:space="0" w:color="auto"/>
              <w:right w:val="single" w:sz="4" w:space="0" w:color="auto"/>
            </w:tcBorders>
            <w:shd w:val="clear" w:color="auto" w:fill="auto"/>
            <w:noWrap/>
            <w:vAlign w:val="center"/>
          </w:tcPr>
          <w:p w14:paraId="1F8A0139"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-1.746</w:t>
            </w:r>
          </w:p>
        </w:tc>
        <w:tc>
          <w:tcPr>
            <w:tcW w:w="916" w:type="dxa"/>
            <w:gridSpan w:val="2"/>
            <w:tcBorders>
              <w:top w:val="nil"/>
              <w:left w:val="nil"/>
              <w:bottom w:val="single" w:sz="4" w:space="0" w:color="auto"/>
              <w:right w:val="single" w:sz="4" w:space="0" w:color="auto"/>
            </w:tcBorders>
            <w:shd w:val="clear" w:color="auto" w:fill="auto"/>
            <w:noWrap/>
            <w:vAlign w:val="center"/>
          </w:tcPr>
          <w:p w14:paraId="0C5DAC1F"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0.416</w:t>
            </w:r>
          </w:p>
        </w:tc>
        <w:tc>
          <w:tcPr>
            <w:tcW w:w="884" w:type="dxa"/>
            <w:tcBorders>
              <w:top w:val="nil"/>
              <w:left w:val="nil"/>
              <w:bottom w:val="single" w:sz="4" w:space="0" w:color="auto"/>
              <w:right w:val="double" w:sz="4" w:space="0" w:color="auto"/>
            </w:tcBorders>
            <w:shd w:val="clear" w:color="auto" w:fill="auto"/>
            <w:noWrap/>
            <w:vAlign w:val="center"/>
          </w:tcPr>
          <w:p w14:paraId="00A0CE86"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2.422</w:t>
            </w:r>
          </w:p>
        </w:tc>
      </w:tr>
      <w:tr w:rsidR="00A82F1D" w:rsidRPr="00E75453" w14:paraId="6F40FE53" w14:textId="77777777" w:rsidTr="004601C9">
        <w:trPr>
          <w:trHeight w:val="300"/>
        </w:trPr>
        <w:tc>
          <w:tcPr>
            <w:tcW w:w="1965" w:type="dxa"/>
            <w:tcBorders>
              <w:top w:val="nil"/>
              <w:left w:val="double" w:sz="4" w:space="0" w:color="auto"/>
              <w:bottom w:val="single" w:sz="4" w:space="0" w:color="auto"/>
              <w:right w:val="single" w:sz="4" w:space="0" w:color="auto"/>
            </w:tcBorders>
            <w:shd w:val="clear" w:color="auto" w:fill="auto"/>
            <w:noWrap/>
            <w:vAlign w:val="center"/>
          </w:tcPr>
          <w:p w14:paraId="3A59C958" w14:textId="77777777" w:rsidR="00A82F1D" w:rsidRPr="00240799" w:rsidRDefault="00A82F1D" w:rsidP="004601C9">
            <w:pPr>
              <w:ind w:left="150"/>
              <w:jc w:val="left"/>
              <w:rPr>
                <w:rFonts w:eastAsia="Times New Roman" w:cs="Times New Roman"/>
                <w:color w:val="000000"/>
                <w:sz w:val="20"/>
                <w:szCs w:val="20"/>
              </w:rPr>
            </w:pPr>
            <w:r w:rsidRPr="00240799">
              <w:rPr>
                <w:rFonts w:eastAsia="Times New Roman" w:cs="Times New Roman"/>
                <w:color w:val="000000"/>
                <w:sz w:val="20"/>
                <w:szCs w:val="20"/>
              </w:rPr>
              <w:t>Road length over 55mph</w:t>
            </w:r>
            <w:r>
              <w:rPr>
                <w:rFonts w:eastAsia="Times New Roman" w:cs="Times New Roman"/>
                <w:color w:val="000000"/>
                <w:sz w:val="20"/>
                <w:szCs w:val="20"/>
              </w:rPr>
              <w:t xml:space="preserve"> (5)</w:t>
            </w:r>
          </w:p>
        </w:tc>
        <w:tc>
          <w:tcPr>
            <w:tcW w:w="916" w:type="dxa"/>
            <w:tcBorders>
              <w:top w:val="nil"/>
              <w:left w:val="nil"/>
              <w:bottom w:val="single" w:sz="4" w:space="0" w:color="auto"/>
              <w:right w:val="single" w:sz="4" w:space="0" w:color="auto"/>
            </w:tcBorders>
            <w:shd w:val="clear" w:color="auto" w:fill="auto"/>
            <w:noWrap/>
            <w:vAlign w:val="center"/>
          </w:tcPr>
          <w:p w14:paraId="218E15F7"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0.468</w:t>
            </w:r>
          </w:p>
        </w:tc>
        <w:tc>
          <w:tcPr>
            <w:tcW w:w="879" w:type="dxa"/>
            <w:tcBorders>
              <w:top w:val="nil"/>
              <w:left w:val="nil"/>
              <w:bottom w:val="single" w:sz="4" w:space="0" w:color="auto"/>
              <w:right w:val="single" w:sz="4" w:space="0" w:color="auto"/>
            </w:tcBorders>
            <w:shd w:val="clear" w:color="auto" w:fill="auto"/>
            <w:noWrap/>
            <w:vAlign w:val="center"/>
          </w:tcPr>
          <w:p w14:paraId="62ED708E"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3.679</w:t>
            </w:r>
          </w:p>
        </w:tc>
        <w:tc>
          <w:tcPr>
            <w:tcW w:w="916" w:type="dxa"/>
            <w:gridSpan w:val="2"/>
            <w:tcBorders>
              <w:top w:val="nil"/>
              <w:left w:val="nil"/>
              <w:bottom w:val="single" w:sz="4" w:space="0" w:color="auto"/>
              <w:right w:val="single" w:sz="4" w:space="0" w:color="auto"/>
            </w:tcBorders>
            <w:shd w:val="clear" w:color="auto" w:fill="auto"/>
            <w:noWrap/>
            <w:vAlign w:val="center"/>
          </w:tcPr>
          <w:p w14:paraId="4A03F0E5"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-1.573</w:t>
            </w:r>
          </w:p>
        </w:tc>
        <w:tc>
          <w:tcPr>
            <w:tcW w:w="900" w:type="dxa"/>
            <w:tcBorders>
              <w:top w:val="nil"/>
              <w:left w:val="nil"/>
              <w:bottom w:val="single" w:sz="4" w:space="0" w:color="auto"/>
              <w:right w:val="single" w:sz="4" w:space="0" w:color="auto"/>
            </w:tcBorders>
            <w:shd w:val="clear" w:color="auto" w:fill="auto"/>
            <w:noWrap/>
            <w:vAlign w:val="center"/>
          </w:tcPr>
          <w:p w14:paraId="143D5DF5"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-7.679</w:t>
            </w:r>
          </w:p>
        </w:tc>
        <w:tc>
          <w:tcPr>
            <w:tcW w:w="916" w:type="dxa"/>
            <w:tcBorders>
              <w:top w:val="nil"/>
              <w:left w:val="nil"/>
              <w:bottom w:val="single" w:sz="4" w:space="0" w:color="auto"/>
              <w:right w:val="single" w:sz="4" w:space="0" w:color="auto"/>
            </w:tcBorders>
            <w:shd w:val="clear" w:color="auto" w:fill="auto"/>
            <w:noWrap/>
            <w:vAlign w:val="center"/>
          </w:tcPr>
          <w:p w14:paraId="114A2E8A"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0.468</w:t>
            </w:r>
          </w:p>
        </w:tc>
        <w:tc>
          <w:tcPr>
            <w:tcW w:w="900" w:type="dxa"/>
            <w:tcBorders>
              <w:top w:val="nil"/>
              <w:left w:val="nil"/>
              <w:bottom w:val="single" w:sz="4" w:space="0" w:color="auto"/>
              <w:right w:val="single" w:sz="4" w:space="0" w:color="auto"/>
            </w:tcBorders>
            <w:shd w:val="clear" w:color="auto" w:fill="auto"/>
            <w:noWrap/>
            <w:vAlign w:val="center"/>
          </w:tcPr>
          <w:p w14:paraId="65E80FE4"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3.679</w:t>
            </w:r>
          </w:p>
        </w:tc>
        <w:tc>
          <w:tcPr>
            <w:tcW w:w="916" w:type="dxa"/>
            <w:tcBorders>
              <w:top w:val="nil"/>
              <w:left w:val="nil"/>
              <w:bottom w:val="single" w:sz="4" w:space="0" w:color="auto"/>
              <w:right w:val="single" w:sz="4" w:space="0" w:color="auto"/>
            </w:tcBorders>
            <w:shd w:val="clear" w:color="auto" w:fill="auto"/>
            <w:noWrap/>
            <w:vAlign w:val="center"/>
          </w:tcPr>
          <w:p w14:paraId="12B67AAB"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-1.022</w:t>
            </w:r>
          </w:p>
        </w:tc>
        <w:tc>
          <w:tcPr>
            <w:tcW w:w="900" w:type="dxa"/>
            <w:tcBorders>
              <w:top w:val="nil"/>
              <w:left w:val="nil"/>
              <w:bottom w:val="single" w:sz="4" w:space="0" w:color="auto"/>
              <w:right w:val="single" w:sz="4" w:space="0" w:color="auto"/>
            </w:tcBorders>
            <w:shd w:val="clear" w:color="auto" w:fill="auto"/>
            <w:noWrap/>
            <w:vAlign w:val="center"/>
          </w:tcPr>
          <w:p w14:paraId="7D8CA79E"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-2.877</w:t>
            </w:r>
          </w:p>
        </w:tc>
        <w:tc>
          <w:tcPr>
            <w:tcW w:w="916" w:type="dxa"/>
            <w:tcBorders>
              <w:top w:val="nil"/>
              <w:left w:val="nil"/>
              <w:bottom w:val="single" w:sz="4" w:space="0" w:color="auto"/>
              <w:right w:val="single" w:sz="4" w:space="0" w:color="auto"/>
            </w:tcBorders>
            <w:shd w:val="clear" w:color="auto" w:fill="auto"/>
            <w:noWrap/>
            <w:vAlign w:val="center"/>
          </w:tcPr>
          <w:p w14:paraId="18074CC4"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0.892</w:t>
            </w:r>
          </w:p>
        </w:tc>
        <w:tc>
          <w:tcPr>
            <w:tcW w:w="931" w:type="dxa"/>
            <w:tcBorders>
              <w:top w:val="nil"/>
              <w:left w:val="nil"/>
              <w:bottom w:val="single" w:sz="4" w:space="0" w:color="auto"/>
              <w:right w:val="single" w:sz="4" w:space="0" w:color="auto"/>
            </w:tcBorders>
            <w:shd w:val="clear" w:color="auto" w:fill="auto"/>
            <w:noWrap/>
            <w:vAlign w:val="center"/>
          </w:tcPr>
          <w:p w14:paraId="6B18B220"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7.676</w:t>
            </w:r>
          </w:p>
        </w:tc>
        <w:tc>
          <w:tcPr>
            <w:tcW w:w="916" w:type="dxa"/>
            <w:gridSpan w:val="2"/>
            <w:tcBorders>
              <w:top w:val="nil"/>
              <w:left w:val="nil"/>
              <w:bottom w:val="single" w:sz="4" w:space="0" w:color="auto"/>
              <w:right w:val="single" w:sz="4" w:space="0" w:color="auto"/>
            </w:tcBorders>
            <w:shd w:val="clear" w:color="auto" w:fill="auto"/>
            <w:noWrap/>
            <w:vAlign w:val="center"/>
          </w:tcPr>
          <w:p w14:paraId="2D7654EF"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-1.172</w:t>
            </w:r>
          </w:p>
        </w:tc>
        <w:tc>
          <w:tcPr>
            <w:tcW w:w="884" w:type="dxa"/>
            <w:tcBorders>
              <w:top w:val="nil"/>
              <w:left w:val="nil"/>
              <w:bottom w:val="single" w:sz="4" w:space="0" w:color="auto"/>
              <w:right w:val="double" w:sz="4" w:space="0" w:color="auto"/>
            </w:tcBorders>
            <w:shd w:val="clear" w:color="auto" w:fill="auto"/>
            <w:noWrap/>
            <w:vAlign w:val="center"/>
          </w:tcPr>
          <w:p w14:paraId="2FA53076"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-4.591</w:t>
            </w:r>
          </w:p>
        </w:tc>
      </w:tr>
      <w:tr w:rsidR="00A82F1D" w:rsidRPr="00E75453" w14:paraId="0A6482D8" w14:textId="77777777" w:rsidTr="004601C9">
        <w:trPr>
          <w:trHeight w:val="300"/>
        </w:trPr>
        <w:tc>
          <w:tcPr>
            <w:tcW w:w="1965" w:type="dxa"/>
            <w:tcBorders>
              <w:top w:val="nil"/>
              <w:left w:val="double" w:sz="4" w:space="0" w:color="auto"/>
              <w:bottom w:val="single" w:sz="4" w:space="0" w:color="auto"/>
              <w:right w:val="single" w:sz="4" w:space="0" w:color="auto"/>
            </w:tcBorders>
            <w:shd w:val="clear" w:color="auto" w:fill="auto"/>
            <w:noWrap/>
            <w:vAlign w:val="center"/>
          </w:tcPr>
          <w:p w14:paraId="2B699FBA" w14:textId="77777777" w:rsidR="00A82F1D" w:rsidRPr="00240799" w:rsidRDefault="00A82F1D" w:rsidP="004601C9">
            <w:pPr>
              <w:ind w:left="420"/>
              <w:jc w:val="left"/>
              <w:rPr>
                <w:rFonts w:eastAsia="Times New Roman" w:cs="Times New Roman"/>
                <w:color w:val="000000"/>
                <w:sz w:val="20"/>
                <w:szCs w:val="20"/>
              </w:rPr>
            </w:pPr>
            <w:r>
              <w:rPr>
                <w:rFonts w:eastAsia="Times New Roman" w:cs="Times New Roman"/>
                <w:color w:val="000000"/>
                <w:sz w:val="20"/>
                <w:szCs w:val="20"/>
              </w:rPr>
              <w:t>Standard deviation</w:t>
            </w:r>
          </w:p>
        </w:tc>
        <w:tc>
          <w:tcPr>
            <w:tcW w:w="916" w:type="dxa"/>
            <w:tcBorders>
              <w:top w:val="nil"/>
              <w:left w:val="nil"/>
              <w:bottom w:val="single" w:sz="4" w:space="0" w:color="auto"/>
              <w:right w:val="single" w:sz="4" w:space="0" w:color="auto"/>
            </w:tcBorders>
            <w:shd w:val="clear" w:color="auto" w:fill="auto"/>
            <w:noWrap/>
            <w:vAlign w:val="center"/>
          </w:tcPr>
          <w:p w14:paraId="0E2179DD" w14:textId="77777777" w:rsidR="00A82F1D" w:rsidRPr="008F3A44" w:rsidRDefault="00A82F1D" w:rsidP="004601C9">
            <w:pPr>
              <w:jc w:val="center"/>
              <w:rPr>
                <w:rFonts w:cs="Times New Roman"/>
                <w:color w:val="000000"/>
                <w:sz w:val="20"/>
                <w:szCs w:val="20"/>
              </w:rPr>
            </w:pPr>
            <w:r w:rsidRPr="008906AB">
              <w:rPr>
                <w:rFonts w:cs="Times New Roman"/>
                <w:color w:val="000000"/>
                <w:sz w:val="20"/>
                <w:szCs w:val="20"/>
              </w:rPr>
              <w:t>--</w:t>
            </w:r>
          </w:p>
        </w:tc>
        <w:tc>
          <w:tcPr>
            <w:tcW w:w="879" w:type="dxa"/>
            <w:tcBorders>
              <w:top w:val="nil"/>
              <w:left w:val="nil"/>
              <w:bottom w:val="single" w:sz="4" w:space="0" w:color="auto"/>
              <w:right w:val="single" w:sz="4" w:space="0" w:color="auto"/>
            </w:tcBorders>
            <w:shd w:val="clear" w:color="auto" w:fill="auto"/>
            <w:noWrap/>
            <w:vAlign w:val="center"/>
          </w:tcPr>
          <w:p w14:paraId="354CDE37" w14:textId="77777777" w:rsidR="00A82F1D" w:rsidRPr="008F3A44" w:rsidRDefault="00A82F1D" w:rsidP="004601C9">
            <w:pPr>
              <w:jc w:val="center"/>
              <w:rPr>
                <w:rFonts w:cs="Times New Roman"/>
                <w:color w:val="000000"/>
                <w:sz w:val="20"/>
                <w:szCs w:val="20"/>
              </w:rPr>
            </w:pPr>
            <w:r w:rsidRPr="008906AB">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tcPr>
          <w:p w14:paraId="60F5B008" w14:textId="77777777" w:rsidR="00A82F1D" w:rsidRPr="008F3A44" w:rsidRDefault="00A82F1D" w:rsidP="004601C9">
            <w:pPr>
              <w:jc w:val="center"/>
              <w:rPr>
                <w:rFonts w:cs="Times New Roman"/>
                <w:color w:val="000000"/>
                <w:sz w:val="20"/>
                <w:szCs w:val="20"/>
              </w:rPr>
            </w:pPr>
            <w:r w:rsidRPr="009152A4">
              <w:rPr>
                <w:rFonts w:cs="Times New Roman"/>
                <w:color w:val="000000"/>
                <w:sz w:val="20"/>
                <w:szCs w:val="20"/>
              </w:rPr>
              <w:t>0.903</w:t>
            </w:r>
          </w:p>
        </w:tc>
        <w:tc>
          <w:tcPr>
            <w:tcW w:w="900" w:type="dxa"/>
            <w:tcBorders>
              <w:top w:val="nil"/>
              <w:left w:val="nil"/>
              <w:bottom w:val="single" w:sz="4" w:space="0" w:color="auto"/>
              <w:right w:val="single" w:sz="4" w:space="0" w:color="auto"/>
            </w:tcBorders>
            <w:shd w:val="clear" w:color="auto" w:fill="auto"/>
            <w:noWrap/>
            <w:vAlign w:val="center"/>
          </w:tcPr>
          <w:p w14:paraId="4C6F0AC2" w14:textId="77777777" w:rsidR="00A82F1D" w:rsidRPr="008F3A44" w:rsidRDefault="00A82F1D" w:rsidP="004601C9">
            <w:pPr>
              <w:jc w:val="center"/>
              <w:rPr>
                <w:rFonts w:cs="Times New Roman"/>
                <w:color w:val="000000"/>
                <w:sz w:val="20"/>
                <w:szCs w:val="20"/>
              </w:rPr>
            </w:pPr>
            <w:r w:rsidRPr="009152A4">
              <w:rPr>
                <w:rFonts w:cs="Times New Roman"/>
                <w:color w:val="000000"/>
                <w:sz w:val="20"/>
                <w:szCs w:val="20"/>
              </w:rPr>
              <w:t>3.288</w:t>
            </w:r>
          </w:p>
        </w:tc>
        <w:tc>
          <w:tcPr>
            <w:tcW w:w="916" w:type="dxa"/>
            <w:tcBorders>
              <w:top w:val="nil"/>
              <w:left w:val="nil"/>
              <w:bottom w:val="single" w:sz="4" w:space="0" w:color="auto"/>
              <w:right w:val="single" w:sz="4" w:space="0" w:color="auto"/>
            </w:tcBorders>
            <w:shd w:val="clear" w:color="auto" w:fill="auto"/>
            <w:noWrap/>
            <w:vAlign w:val="center"/>
          </w:tcPr>
          <w:p w14:paraId="5AFC84E0" w14:textId="77777777" w:rsidR="00A82F1D" w:rsidRPr="008F3A44" w:rsidRDefault="00A82F1D" w:rsidP="004601C9">
            <w:pPr>
              <w:jc w:val="center"/>
              <w:rPr>
                <w:rFonts w:cs="Times New Roman"/>
                <w:color w:val="000000"/>
                <w:sz w:val="20"/>
                <w:szCs w:val="20"/>
              </w:rPr>
            </w:pPr>
            <w:r w:rsidRPr="00BC4F2B">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24825B65" w14:textId="77777777" w:rsidR="00A82F1D" w:rsidRPr="008F3A44" w:rsidRDefault="00A82F1D" w:rsidP="004601C9">
            <w:pPr>
              <w:jc w:val="center"/>
              <w:rPr>
                <w:rFonts w:cs="Times New Roman"/>
                <w:color w:val="000000"/>
                <w:sz w:val="20"/>
                <w:szCs w:val="20"/>
              </w:rPr>
            </w:pPr>
            <w:r w:rsidRPr="00BC4F2B">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tcPr>
          <w:p w14:paraId="37F8F940" w14:textId="77777777" w:rsidR="00A82F1D" w:rsidRPr="008F3A44" w:rsidRDefault="00A82F1D" w:rsidP="004601C9">
            <w:pPr>
              <w:jc w:val="center"/>
              <w:rPr>
                <w:rFonts w:cs="Times New Roman"/>
                <w:color w:val="000000"/>
                <w:sz w:val="20"/>
                <w:szCs w:val="20"/>
              </w:rPr>
            </w:pPr>
            <w:r w:rsidRPr="00BC4F2B">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657ED1A2" w14:textId="77777777" w:rsidR="00A82F1D" w:rsidRPr="008F3A44" w:rsidRDefault="00A82F1D" w:rsidP="004601C9">
            <w:pPr>
              <w:jc w:val="center"/>
              <w:rPr>
                <w:rFonts w:cs="Times New Roman"/>
                <w:color w:val="000000"/>
                <w:sz w:val="20"/>
                <w:szCs w:val="20"/>
              </w:rPr>
            </w:pPr>
            <w:r w:rsidRPr="00BC4F2B">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tcPr>
          <w:p w14:paraId="4D3D1555" w14:textId="77777777" w:rsidR="00A82F1D" w:rsidRPr="008F3A44" w:rsidRDefault="00A82F1D" w:rsidP="004601C9">
            <w:pPr>
              <w:jc w:val="center"/>
              <w:rPr>
                <w:rFonts w:cs="Times New Roman"/>
                <w:color w:val="000000"/>
                <w:sz w:val="20"/>
                <w:szCs w:val="20"/>
              </w:rPr>
            </w:pPr>
            <w:r w:rsidRPr="00BC4F2B">
              <w:rPr>
                <w:rFonts w:cs="Times New Roman"/>
                <w:color w:val="000000"/>
                <w:sz w:val="20"/>
                <w:szCs w:val="20"/>
              </w:rPr>
              <w:t>--</w:t>
            </w:r>
          </w:p>
        </w:tc>
        <w:tc>
          <w:tcPr>
            <w:tcW w:w="931" w:type="dxa"/>
            <w:tcBorders>
              <w:top w:val="nil"/>
              <w:left w:val="nil"/>
              <w:bottom w:val="single" w:sz="4" w:space="0" w:color="auto"/>
              <w:right w:val="single" w:sz="4" w:space="0" w:color="auto"/>
            </w:tcBorders>
            <w:shd w:val="clear" w:color="auto" w:fill="auto"/>
            <w:noWrap/>
            <w:vAlign w:val="center"/>
          </w:tcPr>
          <w:p w14:paraId="3B6843C8" w14:textId="77777777" w:rsidR="00A82F1D" w:rsidRPr="008F3A44" w:rsidRDefault="00A82F1D" w:rsidP="004601C9">
            <w:pPr>
              <w:jc w:val="center"/>
              <w:rPr>
                <w:rFonts w:cs="Times New Roman"/>
                <w:color w:val="000000"/>
                <w:sz w:val="20"/>
                <w:szCs w:val="20"/>
              </w:rPr>
            </w:pPr>
            <w:r w:rsidRPr="00BC4F2B">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tcPr>
          <w:p w14:paraId="29FD2AB2" w14:textId="77777777" w:rsidR="00A82F1D" w:rsidRPr="008F3A44" w:rsidRDefault="00A82F1D" w:rsidP="004601C9">
            <w:pPr>
              <w:jc w:val="center"/>
              <w:rPr>
                <w:rFonts w:cs="Times New Roman"/>
                <w:color w:val="000000"/>
                <w:sz w:val="20"/>
                <w:szCs w:val="20"/>
              </w:rPr>
            </w:pPr>
            <w:r w:rsidRPr="00BC4F2B">
              <w:rPr>
                <w:rFonts w:cs="Times New Roman"/>
                <w:color w:val="000000"/>
                <w:sz w:val="20"/>
                <w:szCs w:val="20"/>
              </w:rPr>
              <w:t>--</w:t>
            </w:r>
          </w:p>
        </w:tc>
        <w:tc>
          <w:tcPr>
            <w:tcW w:w="884" w:type="dxa"/>
            <w:tcBorders>
              <w:top w:val="nil"/>
              <w:left w:val="nil"/>
              <w:bottom w:val="single" w:sz="4" w:space="0" w:color="auto"/>
              <w:right w:val="double" w:sz="4" w:space="0" w:color="auto"/>
            </w:tcBorders>
            <w:shd w:val="clear" w:color="auto" w:fill="auto"/>
            <w:noWrap/>
            <w:vAlign w:val="center"/>
          </w:tcPr>
          <w:p w14:paraId="705BBCBD" w14:textId="77777777" w:rsidR="00A82F1D" w:rsidRPr="008F3A44" w:rsidRDefault="00A82F1D" w:rsidP="004601C9">
            <w:pPr>
              <w:jc w:val="center"/>
              <w:rPr>
                <w:rFonts w:cs="Times New Roman"/>
                <w:color w:val="000000"/>
                <w:sz w:val="20"/>
                <w:szCs w:val="20"/>
              </w:rPr>
            </w:pPr>
            <w:r w:rsidRPr="00BC4F2B">
              <w:rPr>
                <w:rFonts w:cs="Times New Roman"/>
                <w:color w:val="000000"/>
                <w:sz w:val="20"/>
                <w:szCs w:val="20"/>
              </w:rPr>
              <w:t>--</w:t>
            </w:r>
          </w:p>
        </w:tc>
      </w:tr>
      <w:tr w:rsidR="00A82F1D" w:rsidRPr="00E75453" w14:paraId="07513E57" w14:textId="77777777" w:rsidTr="004601C9">
        <w:trPr>
          <w:trHeight w:val="300"/>
        </w:trPr>
        <w:tc>
          <w:tcPr>
            <w:tcW w:w="1965" w:type="dxa"/>
            <w:tcBorders>
              <w:top w:val="nil"/>
              <w:left w:val="double" w:sz="4" w:space="0" w:color="auto"/>
              <w:bottom w:val="single" w:sz="4" w:space="0" w:color="auto"/>
              <w:right w:val="single" w:sz="4" w:space="0" w:color="auto"/>
            </w:tcBorders>
            <w:shd w:val="clear" w:color="auto" w:fill="auto"/>
            <w:noWrap/>
            <w:vAlign w:val="center"/>
          </w:tcPr>
          <w:p w14:paraId="4CFC4666" w14:textId="77777777" w:rsidR="00A82F1D" w:rsidRPr="00240799" w:rsidRDefault="00A82F1D" w:rsidP="004601C9">
            <w:pPr>
              <w:ind w:left="150"/>
              <w:jc w:val="left"/>
              <w:rPr>
                <w:rFonts w:eastAsia="Times New Roman" w:cs="Times New Roman"/>
                <w:color w:val="000000"/>
                <w:sz w:val="20"/>
                <w:szCs w:val="20"/>
              </w:rPr>
            </w:pPr>
            <w:r>
              <w:rPr>
                <w:rFonts w:eastAsia="Times New Roman" w:cs="Times New Roman"/>
                <w:color w:val="000000"/>
                <w:sz w:val="20"/>
                <w:szCs w:val="20"/>
              </w:rPr>
              <w:t>Variance of Speed (2)</w:t>
            </w:r>
          </w:p>
        </w:tc>
        <w:tc>
          <w:tcPr>
            <w:tcW w:w="916" w:type="dxa"/>
            <w:tcBorders>
              <w:top w:val="nil"/>
              <w:left w:val="nil"/>
              <w:bottom w:val="single" w:sz="4" w:space="0" w:color="auto"/>
              <w:right w:val="single" w:sz="4" w:space="0" w:color="auto"/>
            </w:tcBorders>
            <w:shd w:val="clear" w:color="auto" w:fill="auto"/>
            <w:noWrap/>
            <w:vAlign w:val="center"/>
          </w:tcPr>
          <w:p w14:paraId="05259E29" w14:textId="77777777" w:rsidR="00A82F1D" w:rsidRPr="009E3BE2" w:rsidRDefault="00A82F1D" w:rsidP="004601C9">
            <w:pPr>
              <w:jc w:val="center"/>
              <w:rPr>
                <w:rFonts w:cs="Times New Roman"/>
                <w:color w:val="000000"/>
                <w:sz w:val="20"/>
                <w:szCs w:val="20"/>
              </w:rPr>
            </w:pPr>
            <w:r w:rsidRPr="008F3A44">
              <w:rPr>
                <w:rFonts w:cs="Times New Roman"/>
                <w:color w:val="000000"/>
                <w:sz w:val="20"/>
                <w:szCs w:val="20"/>
              </w:rPr>
              <w:t>0.040</w:t>
            </w:r>
          </w:p>
        </w:tc>
        <w:tc>
          <w:tcPr>
            <w:tcW w:w="879" w:type="dxa"/>
            <w:tcBorders>
              <w:top w:val="nil"/>
              <w:left w:val="nil"/>
              <w:bottom w:val="single" w:sz="4" w:space="0" w:color="auto"/>
              <w:right w:val="single" w:sz="4" w:space="0" w:color="auto"/>
            </w:tcBorders>
            <w:shd w:val="clear" w:color="auto" w:fill="auto"/>
            <w:noWrap/>
            <w:vAlign w:val="center"/>
          </w:tcPr>
          <w:p w14:paraId="0F313BFA" w14:textId="77777777" w:rsidR="00A82F1D" w:rsidRPr="009E3BE2" w:rsidRDefault="00A82F1D" w:rsidP="004601C9">
            <w:pPr>
              <w:jc w:val="center"/>
              <w:rPr>
                <w:rFonts w:cs="Times New Roman"/>
                <w:color w:val="000000"/>
                <w:sz w:val="20"/>
                <w:szCs w:val="20"/>
              </w:rPr>
            </w:pPr>
            <w:r w:rsidRPr="008F3A44">
              <w:rPr>
                <w:rFonts w:cs="Times New Roman"/>
                <w:color w:val="000000"/>
                <w:sz w:val="20"/>
                <w:szCs w:val="20"/>
              </w:rPr>
              <w:t>3.697</w:t>
            </w:r>
          </w:p>
        </w:tc>
        <w:tc>
          <w:tcPr>
            <w:tcW w:w="916" w:type="dxa"/>
            <w:gridSpan w:val="2"/>
            <w:tcBorders>
              <w:top w:val="nil"/>
              <w:left w:val="nil"/>
              <w:bottom w:val="single" w:sz="4" w:space="0" w:color="auto"/>
              <w:right w:val="single" w:sz="4" w:space="0" w:color="auto"/>
            </w:tcBorders>
            <w:shd w:val="clear" w:color="auto" w:fill="auto"/>
            <w:noWrap/>
            <w:vAlign w:val="center"/>
          </w:tcPr>
          <w:p w14:paraId="6ED69852"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0.040</w:t>
            </w:r>
          </w:p>
        </w:tc>
        <w:tc>
          <w:tcPr>
            <w:tcW w:w="900" w:type="dxa"/>
            <w:tcBorders>
              <w:top w:val="nil"/>
              <w:left w:val="nil"/>
              <w:bottom w:val="single" w:sz="4" w:space="0" w:color="auto"/>
              <w:right w:val="single" w:sz="4" w:space="0" w:color="auto"/>
            </w:tcBorders>
            <w:shd w:val="clear" w:color="auto" w:fill="auto"/>
            <w:noWrap/>
            <w:vAlign w:val="center"/>
          </w:tcPr>
          <w:p w14:paraId="399E6BF7"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3.697</w:t>
            </w:r>
          </w:p>
        </w:tc>
        <w:tc>
          <w:tcPr>
            <w:tcW w:w="916" w:type="dxa"/>
            <w:tcBorders>
              <w:top w:val="nil"/>
              <w:left w:val="nil"/>
              <w:bottom w:val="single" w:sz="4" w:space="0" w:color="auto"/>
              <w:right w:val="single" w:sz="4" w:space="0" w:color="auto"/>
            </w:tcBorders>
            <w:shd w:val="clear" w:color="auto" w:fill="auto"/>
            <w:noWrap/>
            <w:vAlign w:val="center"/>
          </w:tcPr>
          <w:p w14:paraId="0DA0A50C" w14:textId="77777777" w:rsidR="00A82F1D" w:rsidRPr="009E3BE2" w:rsidRDefault="00A82F1D" w:rsidP="004601C9">
            <w:pPr>
              <w:jc w:val="center"/>
              <w:rPr>
                <w:rFonts w:cs="Times New Roman"/>
                <w:color w:val="000000"/>
                <w:sz w:val="20"/>
                <w:szCs w:val="20"/>
              </w:rPr>
            </w:pPr>
            <w:r w:rsidRPr="008F3A44">
              <w:rPr>
                <w:rFonts w:cs="Times New Roman"/>
                <w:color w:val="000000"/>
                <w:sz w:val="20"/>
                <w:szCs w:val="20"/>
              </w:rPr>
              <w:t>0.069</w:t>
            </w:r>
          </w:p>
        </w:tc>
        <w:tc>
          <w:tcPr>
            <w:tcW w:w="900" w:type="dxa"/>
            <w:tcBorders>
              <w:top w:val="nil"/>
              <w:left w:val="nil"/>
              <w:bottom w:val="single" w:sz="4" w:space="0" w:color="auto"/>
              <w:right w:val="single" w:sz="4" w:space="0" w:color="auto"/>
            </w:tcBorders>
            <w:shd w:val="clear" w:color="auto" w:fill="auto"/>
            <w:noWrap/>
            <w:vAlign w:val="center"/>
          </w:tcPr>
          <w:p w14:paraId="66E86751" w14:textId="77777777" w:rsidR="00A82F1D" w:rsidRPr="009E3BE2" w:rsidRDefault="00A82F1D" w:rsidP="004601C9">
            <w:pPr>
              <w:jc w:val="center"/>
              <w:rPr>
                <w:rFonts w:cs="Times New Roman"/>
                <w:color w:val="000000"/>
                <w:sz w:val="20"/>
                <w:szCs w:val="20"/>
              </w:rPr>
            </w:pPr>
            <w:r w:rsidRPr="008F3A44">
              <w:rPr>
                <w:rFonts w:cs="Times New Roman"/>
                <w:color w:val="000000"/>
                <w:sz w:val="20"/>
                <w:szCs w:val="20"/>
              </w:rPr>
              <w:t>4.451</w:t>
            </w:r>
          </w:p>
        </w:tc>
        <w:tc>
          <w:tcPr>
            <w:tcW w:w="916" w:type="dxa"/>
            <w:tcBorders>
              <w:top w:val="nil"/>
              <w:left w:val="nil"/>
              <w:bottom w:val="single" w:sz="4" w:space="0" w:color="auto"/>
              <w:right w:val="single" w:sz="4" w:space="0" w:color="auto"/>
            </w:tcBorders>
            <w:shd w:val="clear" w:color="auto" w:fill="auto"/>
            <w:noWrap/>
            <w:vAlign w:val="center"/>
          </w:tcPr>
          <w:p w14:paraId="7CD083D6" w14:textId="77777777" w:rsidR="00A82F1D" w:rsidRPr="009D0CA0" w:rsidRDefault="00A82F1D" w:rsidP="004601C9">
            <w:pPr>
              <w:jc w:val="center"/>
              <w:rPr>
                <w:rFonts w:cs="Times New Roman"/>
                <w:color w:val="000000"/>
                <w:sz w:val="20"/>
                <w:szCs w:val="20"/>
              </w:rPr>
            </w:pPr>
            <w:r w:rsidRPr="000D1648">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665E9AC8" w14:textId="77777777" w:rsidR="00A82F1D" w:rsidRPr="009D0CA0" w:rsidRDefault="00A82F1D" w:rsidP="004601C9">
            <w:pPr>
              <w:jc w:val="center"/>
              <w:rPr>
                <w:rFonts w:cs="Times New Roman"/>
                <w:color w:val="000000"/>
                <w:sz w:val="20"/>
                <w:szCs w:val="20"/>
              </w:rPr>
            </w:pPr>
            <w:r w:rsidRPr="000D1648">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tcPr>
          <w:p w14:paraId="5664D62D" w14:textId="77777777" w:rsidR="00A82F1D" w:rsidRPr="009D0CA0" w:rsidRDefault="00A82F1D" w:rsidP="004601C9">
            <w:pPr>
              <w:jc w:val="center"/>
              <w:rPr>
                <w:rFonts w:cs="Times New Roman"/>
                <w:color w:val="000000"/>
                <w:sz w:val="20"/>
                <w:szCs w:val="20"/>
              </w:rPr>
            </w:pPr>
            <w:r w:rsidRPr="000D1648">
              <w:rPr>
                <w:rFonts w:cs="Times New Roman"/>
                <w:color w:val="000000"/>
                <w:sz w:val="20"/>
                <w:szCs w:val="20"/>
              </w:rPr>
              <w:t>--</w:t>
            </w:r>
          </w:p>
        </w:tc>
        <w:tc>
          <w:tcPr>
            <w:tcW w:w="931" w:type="dxa"/>
            <w:tcBorders>
              <w:top w:val="nil"/>
              <w:left w:val="nil"/>
              <w:bottom w:val="single" w:sz="4" w:space="0" w:color="auto"/>
              <w:right w:val="single" w:sz="4" w:space="0" w:color="auto"/>
            </w:tcBorders>
            <w:shd w:val="clear" w:color="auto" w:fill="auto"/>
            <w:noWrap/>
            <w:vAlign w:val="center"/>
          </w:tcPr>
          <w:p w14:paraId="75796F49" w14:textId="77777777" w:rsidR="00A82F1D" w:rsidRPr="009D0CA0" w:rsidRDefault="00A82F1D" w:rsidP="004601C9">
            <w:pPr>
              <w:jc w:val="center"/>
              <w:rPr>
                <w:rFonts w:cs="Times New Roman"/>
                <w:color w:val="000000"/>
                <w:sz w:val="20"/>
                <w:szCs w:val="20"/>
              </w:rPr>
            </w:pPr>
            <w:r w:rsidRPr="000D1648">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tcPr>
          <w:p w14:paraId="4EAF35C9" w14:textId="77777777" w:rsidR="00A82F1D" w:rsidRPr="009D0CA0" w:rsidRDefault="00A82F1D" w:rsidP="004601C9">
            <w:pPr>
              <w:jc w:val="center"/>
              <w:rPr>
                <w:rFonts w:cs="Times New Roman"/>
                <w:color w:val="000000"/>
                <w:sz w:val="20"/>
                <w:szCs w:val="20"/>
              </w:rPr>
            </w:pPr>
            <w:r w:rsidRPr="00C21C03">
              <w:rPr>
                <w:rFonts w:cs="Times New Roman"/>
                <w:color w:val="000000"/>
                <w:sz w:val="20"/>
                <w:szCs w:val="20"/>
              </w:rPr>
              <w:t>--</w:t>
            </w:r>
          </w:p>
        </w:tc>
        <w:tc>
          <w:tcPr>
            <w:tcW w:w="884" w:type="dxa"/>
            <w:tcBorders>
              <w:top w:val="nil"/>
              <w:left w:val="nil"/>
              <w:bottom w:val="single" w:sz="4" w:space="0" w:color="auto"/>
              <w:right w:val="double" w:sz="4" w:space="0" w:color="auto"/>
            </w:tcBorders>
            <w:shd w:val="clear" w:color="auto" w:fill="auto"/>
            <w:noWrap/>
            <w:vAlign w:val="center"/>
          </w:tcPr>
          <w:p w14:paraId="32AF3A02" w14:textId="77777777" w:rsidR="00A82F1D" w:rsidRPr="009D0CA0" w:rsidRDefault="00A82F1D" w:rsidP="004601C9">
            <w:pPr>
              <w:jc w:val="center"/>
              <w:rPr>
                <w:rFonts w:cs="Times New Roman"/>
                <w:color w:val="000000"/>
                <w:sz w:val="20"/>
                <w:szCs w:val="20"/>
              </w:rPr>
            </w:pPr>
            <w:r w:rsidRPr="00C21C03">
              <w:rPr>
                <w:rFonts w:cs="Times New Roman"/>
                <w:color w:val="000000"/>
                <w:sz w:val="20"/>
                <w:szCs w:val="20"/>
              </w:rPr>
              <w:t>--</w:t>
            </w:r>
          </w:p>
        </w:tc>
      </w:tr>
      <w:tr w:rsidR="00A82F1D" w:rsidRPr="00E75453" w14:paraId="70083646" w14:textId="77777777" w:rsidTr="004601C9">
        <w:trPr>
          <w:trHeight w:val="300"/>
        </w:trPr>
        <w:tc>
          <w:tcPr>
            <w:tcW w:w="1965" w:type="dxa"/>
            <w:tcBorders>
              <w:top w:val="nil"/>
              <w:left w:val="double" w:sz="4" w:space="0" w:color="auto"/>
              <w:bottom w:val="single" w:sz="4" w:space="0" w:color="auto"/>
              <w:right w:val="single" w:sz="4" w:space="0" w:color="auto"/>
            </w:tcBorders>
            <w:shd w:val="clear" w:color="auto" w:fill="auto"/>
            <w:noWrap/>
            <w:vAlign w:val="center"/>
            <w:hideMark/>
          </w:tcPr>
          <w:p w14:paraId="52D13A64" w14:textId="77777777" w:rsidR="00A82F1D" w:rsidRPr="00E75453" w:rsidRDefault="00A82F1D" w:rsidP="004601C9">
            <w:pPr>
              <w:ind w:left="150"/>
              <w:jc w:val="left"/>
              <w:rPr>
                <w:rFonts w:eastAsia="Times New Roman" w:cs="Times New Roman"/>
                <w:color w:val="000000"/>
                <w:sz w:val="20"/>
                <w:szCs w:val="20"/>
              </w:rPr>
            </w:pPr>
            <w:r>
              <w:rPr>
                <w:rFonts w:eastAsia="Times New Roman" w:cs="Times New Roman"/>
                <w:color w:val="000000"/>
                <w:sz w:val="20"/>
                <w:szCs w:val="20"/>
              </w:rPr>
              <w:t>Roads with separated median (2)</w:t>
            </w:r>
          </w:p>
        </w:tc>
        <w:tc>
          <w:tcPr>
            <w:tcW w:w="916" w:type="dxa"/>
            <w:tcBorders>
              <w:top w:val="nil"/>
              <w:left w:val="nil"/>
              <w:bottom w:val="single" w:sz="4" w:space="0" w:color="auto"/>
              <w:right w:val="single" w:sz="4" w:space="0" w:color="auto"/>
            </w:tcBorders>
            <w:shd w:val="clear" w:color="auto" w:fill="auto"/>
            <w:noWrap/>
            <w:vAlign w:val="center"/>
            <w:hideMark/>
          </w:tcPr>
          <w:p w14:paraId="3FB9DD4E"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0.172</w:t>
            </w:r>
          </w:p>
        </w:tc>
        <w:tc>
          <w:tcPr>
            <w:tcW w:w="879" w:type="dxa"/>
            <w:tcBorders>
              <w:top w:val="nil"/>
              <w:left w:val="nil"/>
              <w:bottom w:val="single" w:sz="4" w:space="0" w:color="auto"/>
              <w:right w:val="single" w:sz="4" w:space="0" w:color="auto"/>
            </w:tcBorders>
            <w:shd w:val="clear" w:color="auto" w:fill="auto"/>
            <w:noWrap/>
            <w:vAlign w:val="center"/>
            <w:hideMark/>
          </w:tcPr>
          <w:p w14:paraId="586BBE0B"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3.798</w:t>
            </w:r>
          </w:p>
        </w:tc>
        <w:tc>
          <w:tcPr>
            <w:tcW w:w="916" w:type="dxa"/>
            <w:gridSpan w:val="2"/>
            <w:tcBorders>
              <w:top w:val="nil"/>
              <w:left w:val="nil"/>
              <w:bottom w:val="single" w:sz="4" w:space="0" w:color="auto"/>
              <w:right w:val="single" w:sz="4" w:space="0" w:color="auto"/>
            </w:tcBorders>
            <w:shd w:val="clear" w:color="auto" w:fill="auto"/>
            <w:noWrap/>
            <w:vAlign w:val="center"/>
            <w:hideMark/>
          </w:tcPr>
          <w:p w14:paraId="38669B7D"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0.172</w:t>
            </w:r>
          </w:p>
        </w:tc>
        <w:tc>
          <w:tcPr>
            <w:tcW w:w="900" w:type="dxa"/>
            <w:tcBorders>
              <w:top w:val="nil"/>
              <w:left w:val="nil"/>
              <w:bottom w:val="single" w:sz="4" w:space="0" w:color="auto"/>
              <w:right w:val="single" w:sz="4" w:space="0" w:color="auto"/>
            </w:tcBorders>
            <w:shd w:val="clear" w:color="auto" w:fill="auto"/>
            <w:noWrap/>
            <w:vAlign w:val="center"/>
            <w:hideMark/>
          </w:tcPr>
          <w:p w14:paraId="5367EF0A"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3.798</w:t>
            </w:r>
          </w:p>
        </w:tc>
        <w:tc>
          <w:tcPr>
            <w:tcW w:w="916" w:type="dxa"/>
            <w:tcBorders>
              <w:top w:val="nil"/>
              <w:left w:val="nil"/>
              <w:bottom w:val="single" w:sz="4" w:space="0" w:color="auto"/>
              <w:right w:val="single" w:sz="4" w:space="0" w:color="auto"/>
            </w:tcBorders>
            <w:shd w:val="clear" w:color="auto" w:fill="auto"/>
            <w:noWrap/>
            <w:vAlign w:val="center"/>
            <w:hideMark/>
          </w:tcPr>
          <w:p w14:paraId="554A2A4C"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0.172</w:t>
            </w:r>
          </w:p>
        </w:tc>
        <w:tc>
          <w:tcPr>
            <w:tcW w:w="900" w:type="dxa"/>
            <w:tcBorders>
              <w:top w:val="nil"/>
              <w:left w:val="nil"/>
              <w:bottom w:val="single" w:sz="4" w:space="0" w:color="auto"/>
              <w:right w:val="single" w:sz="4" w:space="0" w:color="auto"/>
            </w:tcBorders>
            <w:shd w:val="clear" w:color="auto" w:fill="auto"/>
            <w:noWrap/>
            <w:vAlign w:val="center"/>
            <w:hideMark/>
          </w:tcPr>
          <w:p w14:paraId="19459362"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3.798</w:t>
            </w:r>
          </w:p>
        </w:tc>
        <w:tc>
          <w:tcPr>
            <w:tcW w:w="916" w:type="dxa"/>
            <w:tcBorders>
              <w:top w:val="nil"/>
              <w:left w:val="nil"/>
              <w:bottom w:val="single" w:sz="4" w:space="0" w:color="auto"/>
              <w:right w:val="single" w:sz="4" w:space="0" w:color="auto"/>
            </w:tcBorders>
            <w:shd w:val="clear" w:color="auto" w:fill="auto"/>
            <w:noWrap/>
            <w:vAlign w:val="center"/>
            <w:hideMark/>
          </w:tcPr>
          <w:p w14:paraId="1D33CE0D"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-0.156</w:t>
            </w:r>
          </w:p>
        </w:tc>
        <w:tc>
          <w:tcPr>
            <w:tcW w:w="900" w:type="dxa"/>
            <w:tcBorders>
              <w:top w:val="nil"/>
              <w:left w:val="nil"/>
              <w:bottom w:val="single" w:sz="4" w:space="0" w:color="auto"/>
              <w:right w:val="single" w:sz="4" w:space="0" w:color="auto"/>
            </w:tcBorders>
            <w:shd w:val="clear" w:color="auto" w:fill="auto"/>
            <w:noWrap/>
            <w:vAlign w:val="center"/>
            <w:hideMark/>
          </w:tcPr>
          <w:p w14:paraId="67748C15"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-1.411</w:t>
            </w:r>
          </w:p>
        </w:tc>
        <w:tc>
          <w:tcPr>
            <w:tcW w:w="916" w:type="dxa"/>
            <w:tcBorders>
              <w:top w:val="nil"/>
              <w:left w:val="nil"/>
              <w:bottom w:val="single" w:sz="4" w:space="0" w:color="auto"/>
              <w:right w:val="single" w:sz="4" w:space="0" w:color="auto"/>
            </w:tcBorders>
            <w:shd w:val="clear" w:color="auto" w:fill="auto"/>
            <w:noWrap/>
            <w:vAlign w:val="center"/>
            <w:hideMark/>
          </w:tcPr>
          <w:p w14:paraId="7D2EE6C7" w14:textId="77777777" w:rsidR="00A82F1D" w:rsidRPr="009D0CA0" w:rsidRDefault="00A82F1D" w:rsidP="004601C9">
            <w:pPr>
              <w:jc w:val="center"/>
              <w:rPr>
                <w:rFonts w:cs="Times New Roman"/>
                <w:color w:val="000000"/>
                <w:sz w:val="20"/>
                <w:szCs w:val="20"/>
              </w:rPr>
            </w:pPr>
            <w:r w:rsidRPr="004B2357">
              <w:rPr>
                <w:rFonts w:cs="Times New Roman"/>
                <w:color w:val="000000"/>
                <w:sz w:val="20"/>
                <w:szCs w:val="20"/>
              </w:rPr>
              <w:t>--</w:t>
            </w:r>
          </w:p>
        </w:tc>
        <w:tc>
          <w:tcPr>
            <w:tcW w:w="931" w:type="dxa"/>
            <w:tcBorders>
              <w:top w:val="nil"/>
              <w:left w:val="nil"/>
              <w:bottom w:val="single" w:sz="4" w:space="0" w:color="auto"/>
              <w:right w:val="single" w:sz="4" w:space="0" w:color="auto"/>
            </w:tcBorders>
            <w:shd w:val="clear" w:color="auto" w:fill="auto"/>
            <w:noWrap/>
            <w:vAlign w:val="center"/>
            <w:hideMark/>
          </w:tcPr>
          <w:p w14:paraId="0B5868BE" w14:textId="77777777" w:rsidR="00A82F1D" w:rsidRPr="009D0CA0" w:rsidRDefault="00A82F1D" w:rsidP="004601C9">
            <w:pPr>
              <w:jc w:val="center"/>
              <w:rPr>
                <w:rFonts w:cs="Times New Roman"/>
                <w:color w:val="000000"/>
                <w:sz w:val="20"/>
                <w:szCs w:val="20"/>
              </w:rPr>
            </w:pPr>
            <w:r w:rsidRPr="004B2357">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hideMark/>
          </w:tcPr>
          <w:p w14:paraId="59B6EBA8" w14:textId="77777777" w:rsidR="00A82F1D" w:rsidRPr="009D0CA0" w:rsidRDefault="00A82F1D" w:rsidP="004601C9">
            <w:pPr>
              <w:jc w:val="center"/>
              <w:rPr>
                <w:rFonts w:cs="Times New Roman"/>
                <w:color w:val="000000"/>
                <w:sz w:val="20"/>
                <w:szCs w:val="20"/>
              </w:rPr>
            </w:pPr>
            <w:r w:rsidRPr="00C21C03">
              <w:rPr>
                <w:rFonts w:cs="Times New Roman"/>
                <w:color w:val="000000"/>
                <w:sz w:val="20"/>
                <w:szCs w:val="20"/>
              </w:rPr>
              <w:t>--</w:t>
            </w:r>
          </w:p>
        </w:tc>
        <w:tc>
          <w:tcPr>
            <w:tcW w:w="884" w:type="dxa"/>
            <w:tcBorders>
              <w:top w:val="nil"/>
              <w:left w:val="nil"/>
              <w:bottom w:val="single" w:sz="4" w:space="0" w:color="auto"/>
              <w:right w:val="double" w:sz="4" w:space="0" w:color="auto"/>
            </w:tcBorders>
            <w:shd w:val="clear" w:color="auto" w:fill="auto"/>
            <w:noWrap/>
            <w:vAlign w:val="center"/>
            <w:hideMark/>
          </w:tcPr>
          <w:p w14:paraId="597B736E" w14:textId="77777777" w:rsidR="00A82F1D" w:rsidRPr="009D0CA0" w:rsidRDefault="00A82F1D" w:rsidP="004601C9">
            <w:pPr>
              <w:jc w:val="center"/>
              <w:rPr>
                <w:rFonts w:cs="Times New Roman"/>
                <w:color w:val="000000"/>
                <w:sz w:val="20"/>
                <w:szCs w:val="20"/>
              </w:rPr>
            </w:pPr>
            <w:r w:rsidRPr="00C21C03">
              <w:rPr>
                <w:rFonts w:cs="Times New Roman"/>
                <w:color w:val="000000"/>
                <w:sz w:val="20"/>
                <w:szCs w:val="20"/>
              </w:rPr>
              <w:t>--</w:t>
            </w:r>
          </w:p>
        </w:tc>
      </w:tr>
      <w:tr w:rsidR="00A82F1D" w:rsidRPr="00E75453" w14:paraId="058E913A" w14:textId="77777777" w:rsidTr="004601C9">
        <w:trPr>
          <w:trHeight w:val="300"/>
        </w:trPr>
        <w:tc>
          <w:tcPr>
            <w:tcW w:w="1965" w:type="dxa"/>
            <w:tcBorders>
              <w:top w:val="nil"/>
              <w:left w:val="double" w:sz="4" w:space="0" w:color="auto"/>
              <w:bottom w:val="single" w:sz="4" w:space="0" w:color="auto"/>
              <w:right w:val="single" w:sz="4" w:space="0" w:color="auto"/>
            </w:tcBorders>
            <w:shd w:val="clear" w:color="auto" w:fill="auto"/>
            <w:noWrap/>
            <w:vAlign w:val="center"/>
            <w:hideMark/>
          </w:tcPr>
          <w:p w14:paraId="06170A2D" w14:textId="77777777" w:rsidR="00A82F1D" w:rsidRPr="00E75453" w:rsidRDefault="00A82F1D" w:rsidP="004601C9">
            <w:pPr>
              <w:ind w:left="150"/>
              <w:jc w:val="left"/>
              <w:rPr>
                <w:rFonts w:eastAsia="Times New Roman" w:cs="Times New Roman"/>
                <w:color w:val="000000"/>
                <w:sz w:val="20"/>
                <w:szCs w:val="20"/>
              </w:rPr>
            </w:pPr>
            <w:r w:rsidRPr="00240799">
              <w:rPr>
                <w:rFonts w:eastAsia="Times New Roman" w:cs="Times New Roman"/>
                <w:color w:val="000000"/>
                <w:sz w:val="20"/>
                <w:szCs w:val="20"/>
              </w:rPr>
              <w:t>Average outside shoulder width</w:t>
            </w:r>
            <w:r>
              <w:rPr>
                <w:rFonts w:eastAsia="Times New Roman" w:cs="Times New Roman"/>
                <w:color w:val="000000"/>
                <w:sz w:val="20"/>
                <w:szCs w:val="20"/>
              </w:rPr>
              <w:t xml:space="preserve"> (4)</w:t>
            </w:r>
          </w:p>
        </w:tc>
        <w:tc>
          <w:tcPr>
            <w:tcW w:w="916" w:type="dxa"/>
            <w:tcBorders>
              <w:top w:val="nil"/>
              <w:left w:val="nil"/>
              <w:bottom w:val="single" w:sz="4" w:space="0" w:color="auto"/>
              <w:right w:val="single" w:sz="4" w:space="0" w:color="auto"/>
            </w:tcBorders>
            <w:shd w:val="clear" w:color="auto" w:fill="auto"/>
            <w:noWrap/>
            <w:vAlign w:val="center"/>
            <w:hideMark/>
          </w:tcPr>
          <w:p w14:paraId="3CEE25CF"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-0.308</w:t>
            </w:r>
          </w:p>
        </w:tc>
        <w:tc>
          <w:tcPr>
            <w:tcW w:w="879" w:type="dxa"/>
            <w:tcBorders>
              <w:top w:val="nil"/>
              <w:left w:val="nil"/>
              <w:bottom w:val="single" w:sz="4" w:space="0" w:color="auto"/>
              <w:right w:val="single" w:sz="4" w:space="0" w:color="auto"/>
            </w:tcBorders>
            <w:shd w:val="clear" w:color="auto" w:fill="auto"/>
            <w:noWrap/>
            <w:vAlign w:val="center"/>
            <w:hideMark/>
          </w:tcPr>
          <w:p w14:paraId="172D384A"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-7.120</w:t>
            </w:r>
          </w:p>
        </w:tc>
        <w:tc>
          <w:tcPr>
            <w:tcW w:w="916" w:type="dxa"/>
            <w:gridSpan w:val="2"/>
            <w:tcBorders>
              <w:top w:val="nil"/>
              <w:left w:val="nil"/>
              <w:bottom w:val="single" w:sz="4" w:space="0" w:color="auto"/>
              <w:right w:val="single" w:sz="4" w:space="0" w:color="auto"/>
            </w:tcBorders>
            <w:shd w:val="clear" w:color="auto" w:fill="auto"/>
            <w:noWrap/>
            <w:vAlign w:val="center"/>
            <w:hideMark/>
          </w:tcPr>
          <w:p w14:paraId="3CD52A4D"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-0.439</w:t>
            </w:r>
          </w:p>
        </w:tc>
        <w:tc>
          <w:tcPr>
            <w:tcW w:w="900" w:type="dxa"/>
            <w:tcBorders>
              <w:top w:val="nil"/>
              <w:left w:val="nil"/>
              <w:bottom w:val="single" w:sz="4" w:space="0" w:color="auto"/>
              <w:right w:val="single" w:sz="4" w:space="0" w:color="auto"/>
            </w:tcBorders>
            <w:shd w:val="clear" w:color="auto" w:fill="auto"/>
            <w:noWrap/>
            <w:vAlign w:val="center"/>
            <w:hideMark/>
          </w:tcPr>
          <w:p w14:paraId="58C4A762"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-8.323</w:t>
            </w:r>
          </w:p>
        </w:tc>
        <w:tc>
          <w:tcPr>
            <w:tcW w:w="916" w:type="dxa"/>
            <w:tcBorders>
              <w:top w:val="nil"/>
              <w:left w:val="nil"/>
              <w:bottom w:val="single" w:sz="4" w:space="0" w:color="auto"/>
              <w:right w:val="single" w:sz="4" w:space="0" w:color="auto"/>
            </w:tcBorders>
            <w:shd w:val="clear" w:color="auto" w:fill="auto"/>
            <w:noWrap/>
            <w:vAlign w:val="center"/>
            <w:hideMark/>
          </w:tcPr>
          <w:p w14:paraId="0B564B86"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-0.563</w:t>
            </w:r>
          </w:p>
        </w:tc>
        <w:tc>
          <w:tcPr>
            <w:tcW w:w="900" w:type="dxa"/>
            <w:tcBorders>
              <w:top w:val="nil"/>
              <w:left w:val="nil"/>
              <w:bottom w:val="single" w:sz="4" w:space="0" w:color="auto"/>
              <w:right w:val="single" w:sz="4" w:space="0" w:color="auto"/>
            </w:tcBorders>
            <w:shd w:val="clear" w:color="auto" w:fill="auto"/>
            <w:noWrap/>
            <w:vAlign w:val="center"/>
            <w:hideMark/>
          </w:tcPr>
          <w:p w14:paraId="089BFCE5"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-9.800</w:t>
            </w:r>
          </w:p>
        </w:tc>
        <w:tc>
          <w:tcPr>
            <w:tcW w:w="916" w:type="dxa"/>
            <w:tcBorders>
              <w:top w:val="nil"/>
              <w:left w:val="nil"/>
              <w:bottom w:val="single" w:sz="4" w:space="0" w:color="auto"/>
              <w:right w:val="single" w:sz="4" w:space="0" w:color="auto"/>
            </w:tcBorders>
            <w:shd w:val="clear" w:color="auto" w:fill="auto"/>
            <w:noWrap/>
            <w:vAlign w:val="center"/>
            <w:hideMark/>
          </w:tcPr>
          <w:p w14:paraId="63418CEB"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-0.308</w:t>
            </w:r>
          </w:p>
        </w:tc>
        <w:tc>
          <w:tcPr>
            <w:tcW w:w="900" w:type="dxa"/>
            <w:tcBorders>
              <w:top w:val="nil"/>
              <w:left w:val="nil"/>
              <w:bottom w:val="single" w:sz="4" w:space="0" w:color="auto"/>
              <w:right w:val="single" w:sz="4" w:space="0" w:color="auto"/>
            </w:tcBorders>
            <w:shd w:val="clear" w:color="auto" w:fill="auto"/>
            <w:noWrap/>
            <w:vAlign w:val="center"/>
            <w:hideMark/>
          </w:tcPr>
          <w:p w14:paraId="64C80842"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-7.120</w:t>
            </w:r>
          </w:p>
        </w:tc>
        <w:tc>
          <w:tcPr>
            <w:tcW w:w="916" w:type="dxa"/>
            <w:tcBorders>
              <w:top w:val="nil"/>
              <w:left w:val="nil"/>
              <w:bottom w:val="single" w:sz="4" w:space="0" w:color="auto"/>
              <w:right w:val="single" w:sz="4" w:space="0" w:color="auto"/>
            </w:tcBorders>
            <w:shd w:val="clear" w:color="auto" w:fill="auto"/>
            <w:noWrap/>
            <w:vAlign w:val="center"/>
            <w:hideMark/>
          </w:tcPr>
          <w:p w14:paraId="68F1B39A"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-0.115</w:t>
            </w:r>
          </w:p>
        </w:tc>
        <w:tc>
          <w:tcPr>
            <w:tcW w:w="931" w:type="dxa"/>
            <w:tcBorders>
              <w:top w:val="nil"/>
              <w:left w:val="nil"/>
              <w:bottom w:val="single" w:sz="4" w:space="0" w:color="auto"/>
              <w:right w:val="single" w:sz="4" w:space="0" w:color="auto"/>
            </w:tcBorders>
            <w:shd w:val="clear" w:color="auto" w:fill="auto"/>
            <w:noWrap/>
            <w:vAlign w:val="center"/>
            <w:hideMark/>
          </w:tcPr>
          <w:p w14:paraId="1B83FCCE"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-2.621</w:t>
            </w:r>
          </w:p>
        </w:tc>
        <w:tc>
          <w:tcPr>
            <w:tcW w:w="916" w:type="dxa"/>
            <w:gridSpan w:val="2"/>
            <w:tcBorders>
              <w:top w:val="nil"/>
              <w:left w:val="nil"/>
              <w:bottom w:val="single" w:sz="4" w:space="0" w:color="auto"/>
              <w:right w:val="single" w:sz="4" w:space="0" w:color="auto"/>
            </w:tcBorders>
            <w:shd w:val="clear" w:color="auto" w:fill="auto"/>
            <w:noWrap/>
            <w:vAlign w:val="center"/>
            <w:hideMark/>
          </w:tcPr>
          <w:p w14:paraId="318626DB" w14:textId="77777777" w:rsidR="00A82F1D" w:rsidRPr="009D0CA0" w:rsidRDefault="00A82F1D" w:rsidP="004601C9">
            <w:pPr>
              <w:jc w:val="center"/>
              <w:rPr>
                <w:rFonts w:cs="Times New Roman"/>
                <w:color w:val="000000"/>
                <w:sz w:val="20"/>
                <w:szCs w:val="20"/>
              </w:rPr>
            </w:pPr>
            <w:r w:rsidRPr="00C21C03">
              <w:rPr>
                <w:rFonts w:cs="Times New Roman"/>
                <w:color w:val="000000"/>
                <w:sz w:val="20"/>
                <w:szCs w:val="20"/>
              </w:rPr>
              <w:t>--</w:t>
            </w:r>
          </w:p>
        </w:tc>
        <w:tc>
          <w:tcPr>
            <w:tcW w:w="884" w:type="dxa"/>
            <w:tcBorders>
              <w:top w:val="nil"/>
              <w:left w:val="nil"/>
              <w:bottom w:val="single" w:sz="4" w:space="0" w:color="auto"/>
              <w:right w:val="double" w:sz="4" w:space="0" w:color="auto"/>
            </w:tcBorders>
            <w:shd w:val="clear" w:color="auto" w:fill="auto"/>
            <w:noWrap/>
            <w:vAlign w:val="center"/>
            <w:hideMark/>
          </w:tcPr>
          <w:p w14:paraId="028D65FF" w14:textId="77777777" w:rsidR="00A82F1D" w:rsidRPr="009D0CA0" w:rsidRDefault="00A82F1D" w:rsidP="004601C9">
            <w:pPr>
              <w:jc w:val="center"/>
              <w:rPr>
                <w:rFonts w:cs="Times New Roman"/>
                <w:color w:val="000000"/>
                <w:sz w:val="20"/>
                <w:szCs w:val="20"/>
              </w:rPr>
            </w:pPr>
            <w:r w:rsidRPr="00C21C03">
              <w:rPr>
                <w:rFonts w:cs="Times New Roman"/>
                <w:color w:val="000000"/>
                <w:sz w:val="20"/>
                <w:szCs w:val="20"/>
              </w:rPr>
              <w:t>--</w:t>
            </w:r>
          </w:p>
        </w:tc>
      </w:tr>
      <w:tr w:rsidR="00A82F1D" w:rsidRPr="00E75453" w14:paraId="1A523A5E" w14:textId="77777777" w:rsidTr="004601C9">
        <w:trPr>
          <w:trHeight w:val="300"/>
        </w:trPr>
        <w:tc>
          <w:tcPr>
            <w:tcW w:w="1965" w:type="dxa"/>
            <w:tcBorders>
              <w:top w:val="nil"/>
              <w:left w:val="double" w:sz="4" w:space="0" w:color="auto"/>
              <w:bottom w:val="double" w:sz="4" w:space="0" w:color="auto"/>
              <w:right w:val="single" w:sz="4" w:space="0" w:color="auto"/>
            </w:tcBorders>
            <w:shd w:val="clear" w:color="auto" w:fill="auto"/>
            <w:noWrap/>
            <w:vAlign w:val="center"/>
            <w:hideMark/>
          </w:tcPr>
          <w:p w14:paraId="49660A48" w14:textId="77777777" w:rsidR="00A82F1D" w:rsidRPr="00E75453" w:rsidRDefault="00A82F1D" w:rsidP="004601C9">
            <w:pPr>
              <w:ind w:left="150"/>
              <w:jc w:val="left"/>
              <w:rPr>
                <w:rFonts w:eastAsia="Times New Roman" w:cs="Times New Roman"/>
                <w:color w:val="000000"/>
                <w:sz w:val="20"/>
                <w:szCs w:val="20"/>
              </w:rPr>
            </w:pPr>
            <w:r>
              <w:rPr>
                <w:rFonts w:eastAsia="Times New Roman" w:cs="Times New Roman"/>
                <w:color w:val="000000"/>
                <w:sz w:val="20"/>
                <w:szCs w:val="20"/>
              </w:rPr>
              <w:t>Average s</w:t>
            </w:r>
            <w:r w:rsidRPr="00240799">
              <w:rPr>
                <w:rFonts w:eastAsia="Times New Roman" w:cs="Times New Roman"/>
                <w:color w:val="000000"/>
                <w:sz w:val="20"/>
                <w:szCs w:val="20"/>
              </w:rPr>
              <w:t>idewalk width</w:t>
            </w:r>
            <w:r>
              <w:rPr>
                <w:rFonts w:eastAsia="Times New Roman" w:cs="Times New Roman"/>
                <w:color w:val="000000"/>
                <w:sz w:val="20"/>
                <w:szCs w:val="20"/>
              </w:rPr>
              <w:t xml:space="preserve"> (1)</w:t>
            </w:r>
          </w:p>
        </w:tc>
        <w:tc>
          <w:tcPr>
            <w:tcW w:w="916" w:type="dxa"/>
            <w:tcBorders>
              <w:top w:val="nil"/>
              <w:left w:val="nil"/>
              <w:bottom w:val="double" w:sz="4" w:space="0" w:color="auto"/>
              <w:right w:val="single" w:sz="4" w:space="0" w:color="auto"/>
            </w:tcBorders>
            <w:shd w:val="clear" w:color="auto" w:fill="auto"/>
            <w:noWrap/>
            <w:vAlign w:val="center"/>
            <w:hideMark/>
          </w:tcPr>
          <w:p w14:paraId="6AA53D11" w14:textId="77777777" w:rsidR="00A82F1D" w:rsidRPr="009D0CA0" w:rsidRDefault="00A82F1D" w:rsidP="004601C9">
            <w:pPr>
              <w:jc w:val="center"/>
              <w:rPr>
                <w:rFonts w:cs="Times New Roman"/>
                <w:color w:val="000000"/>
                <w:sz w:val="20"/>
                <w:szCs w:val="20"/>
              </w:rPr>
            </w:pPr>
            <w:r w:rsidRPr="00B32DD8">
              <w:rPr>
                <w:rFonts w:cs="Times New Roman"/>
                <w:color w:val="000000"/>
                <w:sz w:val="20"/>
                <w:szCs w:val="20"/>
              </w:rPr>
              <w:t>--</w:t>
            </w:r>
          </w:p>
        </w:tc>
        <w:tc>
          <w:tcPr>
            <w:tcW w:w="879" w:type="dxa"/>
            <w:tcBorders>
              <w:top w:val="nil"/>
              <w:left w:val="nil"/>
              <w:bottom w:val="double" w:sz="4" w:space="0" w:color="auto"/>
              <w:right w:val="single" w:sz="4" w:space="0" w:color="auto"/>
            </w:tcBorders>
            <w:shd w:val="clear" w:color="auto" w:fill="auto"/>
            <w:noWrap/>
            <w:vAlign w:val="center"/>
            <w:hideMark/>
          </w:tcPr>
          <w:p w14:paraId="6024ACAF" w14:textId="77777777" w:rsidR="00A82F1D" w:rsidRPr="009D0CA0" w:rsidRDefault="00A82F1D" w:rsidP="004601C9">
            <w:pPr>
              <w:jc w:val="center"/>
              <w:rPr>
                <w:rFonts w:cs="Times New Roman"/>
                <w:color w:val="000000"/>
                <w:sz w:val="20"/>
                <w:szCs w:val="20"/>
              </w:rPr>
            </w:pPr>
            <w:r w:rsidRPr="00B32DD8">
              <w:rPr>
                <w:rFonts w:cs="Times New Roman"/>
                <w:color w:val="000000"/>
                <w:sz w:val="20"/>
                <w:szCs w:val="20"/>
              </w:rPr>
              <w:t>--</w:t>
            </w:r>
          </w:p>
        </w:tc>
        <w:tc>
          <w:tcPr>
            <w:tcW w:w="916" w:type="dxa"/>
            <w:gridSpan w:val="2"/>
            <w:tcBorders>
              <w:top w:val="nil"/>
              <w:left w:val="nil"/>
              <w:bottom w:val="double" w:sz="4" w:space="0" w:color="auto"/>
              <w:right w:val="single" w:sz="4" w:space="0" w:color="auto"/>
            </w:tcBorders>
            <w:shd w:val="clear" w:color="auto" w:fill="auto"/>
            <w:noWrap/>
            <w:vAlign w:val="center"/>
            <w:hideMark/>
          </w:tcPr>
          <w:p w14:paraId="7A01AAE9" w14:textId="77777777" w:rsidR="00A82F1D" w:rsidRPr="009D0CA0" w:rsidRDefault="00A82F1D" w:rsidP="004601C9">
            <w:pPr>
              <w:jc w:val="center"/>
              <w:rPr>
                <w:rFonts w:cs="Times New Roman"/>
                <w:color w:val="000000"/>
                <w:sz w:val="20"/>
                <w:szCs w:val="20"/>
              </w:rPr>
            </w:pPr>
            <w:r w:rsidRPr="00B32DD8">
              <w:rPr>
                <w:rFonts w:cs="Times New Roman"/>
                <w:color w:val="000000"/>
                <w:sz w:val="20"/>
                <w:szCs w:val="20"/>
              </w:rPr>
              <w:t>--</w:t>
            </w:r>
          </w:p>
        </w:tc>
        <w:tc>
          <w:tcPr>
            <w:tcW w:w="900" w:type="dxa"/>
            <w:tcBorders>
              <w:top w:val="nil"/>
              <w:left w:val="nil"/>
              <w:bottom w:val="double" w:sz="4" w:space="0" w:color="auto"/>
              <w:right w:val="single" w:sz="4" w:space="0" w:color="auto"/>
            </w:tcBorders>
            <w:shd w:val="clear" w:color="auto" w:fill="auto"/>
            <w:noWrap/>
            <w:vAlign w:val="center"/>
            <w:hideMark/>
          </w:tcPr>
          <w:p w14:paraId="2D0697B8" w14:textId="77777777" w:rsidR="00A82F1D" w:rsidRPr="009D0CA0" w:rsidRDefault="00A82F1D" w:rsidP="004601C9">
            <w:pPr>
              <w:jc w:val="center"/>
              <w:rPr>
                <w:rFonts w:cs="Times New Roman"/>
                <w:color w:val="000000"/>
                <w:sz w:val="20"/>
                <w:szCs w:val="20"/>
              </w:rPr>
            </w:pPr>
            <w:r w:rsidRPr="00B32DD8">
              <w:rPr>
                <w:rFonts w:cs="Times New Roman"/>
                <w:color w:val="000000"/>
                <w:sz w:val="20"/>
                <w:szCs w:val="20"/>
              </w:rPr>
              <w:t>--</w:t>
            </w:r>
          </w:p>
        </w:tc>
        <w:tc>
          <w:tcPr>
            <w:tcW w:w="916" w:type="dxa"/>
            <w:tcBorders>
              <w:top w:val="nil"/>
              <w:left w:val="nil"/>
              <w:bottom w:val="double" w:sz="4" w:space="0" w:color="auto"/>
              <w:right w:val="single" w:sz="4" w:space="0" w:color="auto"/>
            </w:tcBorders>
            <w:shd w:val="clear" w:color="auto" w:fill="auto"/>
            <w:noWrap/>
            <w:vAlign w:val="center"/>
            <w:hideMark/>
          </w:tcPr>
          <w:p w14:paraId="70F7370C" w14:textId="77777777" w:rsidR="00A82F1D" w:rsidRPr="009D0CA0" w:rsidRDefault="00A82F1D" w:rsidP="004601C9">
            <w:pPr>
              <w:jc w:val="center"/>
              <w:rPr>
                <w:rFonts w:cs="Times New Roman"/>
                <w:color w:val="000000"/>
                <w:sz w:val="20"/>
                <w:szCs w:val="20"/>
              </w:rPr>
            </w:pPr>
            <w:r w:rsidRPr="00B32DD8">
              <w:rPr>
                <w:rFonts w:cs="Times New Roman"/>
                <w:color w:val="000000"/>
                <w:sz w:val="20"/>
                <w:szCs w:val="20"/>
              </w:rPr>
              <w:t>--</w:t>
            </w:r>
          </w:p>
        </w:tc>
        <w:tc>
          <w:tcPr>
            <w:tcW w:w="900" w:type="dxa"/>
            <w:tcBorders>
              <w:top w:val="nil"/>
              <w:left w:val="nil"/>
              <w:bottom w:val="double" w:sz="4" w:space="0" w:color="auto"/>
              <w:right w:val="single" w:sz="4" w:space="0" w:color="auto"/>
            </w:tcBorders>
            <w:shd w:val="clear" w:color="auto" w:fill="auto"/>
            <w:noWrap/>
            <w:vAlign w:val="center"/>
            <w:hideMark/>
          </w:tcPr>
          <w:p w14:paraId="5707B2F5" w14:textId="77777777" w:rsidR="00A82F1D" w:rsidRPr="009D0CA0" w:rsidRDefault="00A82F1D" w:rsidP="004601C9">
            <w:pPr>
              <w:jc w:val="center"/>
              <w:rPr>
                <w:rFonts w:cs="Times New Roman"/>
                <w:color w:val="000000"/>
                <w:sz w:val="20"/>
                <w:szCs w:val="20"/>
              </w:rPr>
            </w:pPr>
            <w:r w:rsidRPr="00B32DD8">
              <w:rPr>
                <w:rFonts w:cs="Times New Roman"/>
                <w:color w:val="000000"/>
                <w:sz w:val="20"/>
                <w:szCs w:val="20"/>
              </w:rPr>
              <w:t>--</w:t>
            </w:r>
          </w:p>
        </w:tc>
        <w:tc>
          <w:tcPr>
            <w:tcW w:w="916" w:type="dxa"/>
            <w:tcBorders>
              <w:top w:val="nil"/>
              <w:left w:val="nil"/>
              <w:bottom w:val="double" w:sz="4" w:space="0" w:color="auto"/>
              <w:right w:val="single" w:sz="4" w:space="0" w:color="auto"/>
            </w:tcBorders>
            <w:shd w:val="clear" w:color="auto" w:fill="auto"/>
            <w:noWrap/>
            <w:vAlign w:val="center"/>
            <w:hideMark/>
          </w:tcPr>
          <w:p w14:paraId="5D69348C" w14:textId="77777777" w:rsidR="00A82F1D" w:rsidRPr="009D0CA0" w:rsidRDefault="00A82F1D" w:rsidP="004601C9">
            <w:pPr>
              <w:jc w:val="center"/>
              <w:rPr>
                <w:rFonts w:cs="Times New Roman"/>
                <w:color w:val="000000"/>
                <w:sz w:val="20"/>
                <w:szCs w:val="20"/>
              </w:rPr>
            </w:pPr>
            <w:r w:rsidRPr="00B32DD8">
              <w:rPr>
                <w:rFonts w:cs="Times New Roman"/>
                <w:color w:val="000000"/>
                <w:sz w:val="20"/>
                <w:szCs w:val="20"/>
              </w:rPr>
              <w:t>--</w:t>
            </w:r>
          </w:p>
        </w:tc>
        <w:tc>
          <w:tcPr>
            <w:tcW w:w="900" w:type="dxa"/>
            <w:tcBorders>
              <w:top w:val="nil"/>
              <w:left w:val="nil"/>
              <w:bottom w:val="double" w:sz="4" w:space="0" w:color="auto"/>
              <w:right w:val="single" w:sz="4" w:space="0" w:color="auto"/>
            </w:tcBorders>
            <w:shd w:val="clear" w:color="auto" w:fill="auto"/>
            <w:noWrap/>
            <w:vAlign w:val="center"/>
            <w:hideMark/>
          </w:tcPr>
          <w:p w14:paraId="2811CD01" w14:textId="77777777" w:rsidR="00A82F1D" w:rsidRPr="009D0CA0" w:rsidRDefault="00A82F1D" w:rsidP="004601C9">
            <w:pPr>
              <w:jc w:val="center"/>
              <w:rPr>
                <w:rFonts w:cs="Times New Roman"/>
                <w:color w:val="000000"/>
                <w:sz w:val="20"/>
                <w:szCs w:val="20"/>
              </w:rPr>
            </w:pPr>
            <w:r w:rsidRPr="00B32DD8">
              <w:rPr>
                <w:rFonts w:cs="Times New Roman"/>
                <w:color w:val="000000"/>
                <w:sz w:val="20"/>
                <w:szCs w:val="20"/>
              </w:rPr>
              <w:t>--</w:t>
            </w:r>
          </w:p>
        </w:tc>
        <w:tc>
          <w:tcPr>
            <w:tcW w:w="916" w:type="dxa"/>
            <w:tcBorders>
              <w:top w:val="nil"/>
              <w:left w:val="nil"/>
              <w:bottom w:val="double" w:sz="4" w:space="0" w:color="auto"/>
              <w:right w:val="single" w:sz="4" w:space="0" w:color="auto"/>
            </w:tcBorders>
            <w:shd w:val="clear" w:color="auto" w:fill="auto"/>
            <w:noWrap/>
            <w:vAlign w:val="center"/>
            <w:hideMark/>
          </w:tcPr>
          <w:p w14:paraId="4DF279A7" w14:textId="77777777" w:rsidR="00A82F1D" w:rsidRPr="009D0CA0" w:rsidRDefault="00A82F1D" w:rsidP="004601C9">
            <w:pPr>
              <w:jc w:val="center"/>
              <w:rPr>
                <w:rFonts w:cs="Times New Roman"/>
                <w:color w:val="000000"/>
                <w:sz w:val="20"/>
                <w:szCs w:val="20"/>
              </w:rPr>
            </w:pPr>
            <w:r w:rsidRPr="00B32DD8">
              <w:rPr>
                <w:rFonts w:cs="Times New Roman"/>
                <w:color w:val="000000"/>
                <w:sz w:val="20"/>
                <w:szCs w:val="20"/>
              </w:rPr>
              <w:t>--</w:t>
            </w:r>
          </w:p>
        </w:tc>
        <w:tc>
          <w:tcPr>
            <w:tcW w:w="931" w:type="dxa"/>
            <w:tcBorders>
              <w:top w:val="nil"/>
              <w:left w:val="nil"/>
              <w:bottom w:val="double" w:sz="4" w:space="0" w:color="auto"/>
              <w:right w:val="single" w:sz="4" w:space="0" w:color="auto"/>
            </w:tcBorders>
            <w:shd w:val="clear" w:color="auto" w:fill="auto"/>
            <w:noWrap/>
            <w:vAlign w:val="center"/>
            <w:hideMark/>
          </w:tcPr>
          <w:p w14:paraId="6A31D0C9" w14:textId="77777777" w:rsidR="00A82F1D" w:rsidRPr="009D0CA0" w:rsidRDefault="00A82F1D" w:rsidP="004601C9">
            <w:pPr>
              <w:jc w:val="center"/>
              <w:rPr>
                <w:rFonts w:cs="Times New Roman"/>
                <w:color w:val="000000"/>
                <w:sz w:val="20"/>
                <w:szCs w:val="20"/>
              </w:rPr>
            </w:pPr>
            <w:r w:rsidRPr="00B32DD8">
              <w:rPr>
                <w:rFonts w:cs="Times New Roman"/>
                <w:color w:val="000000"/>
                <w:sz w:val="20"/>
                <w:szCs w:val="20"/>
              </w:rPr>
              <w:t>--</w:t>
            </w:r>
          </w:p>
        </w:tc>
        <w:tc>
          <w:tcPr>
            <w:tcW w:w="916" w:type="dxa"/>
            <w:gridSpan w:val="2"/>
            <w:tcBorders>
              <w:top w:val="nil"/>
              <w:left w:val="nil"/>
              <w:bottom w:val="double" w:sz="4" w:space="0" w:color="auto"/>
              <w:right w:val="single" w:sz="4" w:space="0" w:color="auto"/>
            </w:tcBorders>
            <w:shd w:val="clear" w:color="auto" w:fill="auto"/>
            <w:noWrap/>
            <w:vAlign w:val="center"/>
            <w:hideMark/>
          </w:tcPr>
          <w:p w14:paraId="1423960D"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-0.215</w:t>
            </w:r>
          </w:p>
        </w:tc>
        <w:tc>
          <w:tcPr>
            <w:tcW w:w="884" w:type="dxa"/>
            <w:tcBorders>
              <w:top w:val="nil"/>
              <w:left w:val="nil"/>
              <w:bottom w:val="double" w:sz="4" w:space="0" w:color="auto"/>
              <w:right w:val="double" w:sz="4" w:space="0" w:color="auto"/>
            </w:tcBorders>
            <w:shd w:val="clear" w:color="auto" w:fill="auto"/>
            <w:noWrap/>
            <w:vAlign w:val="center"/>
            <w:hideMark/>
          </w:tcPr>
          <w:p w14:paraId="34401AD5" w14:textId="77777777" w:rsidR="00A82F1D" w:rsidRPr="009D0CA0" w:rsidRDefault="00A82F1D" w:rsidP="004601C9">
            <w:pPr>
              <w:jc w:val="center"/>
              <w:rPr>
                <w:rFonts w:cs="Times New Roman"/>
                <w:color w:val="000000"/>
                <w:sz w:val="20"/>
                <w:szCs w:val="20"/>
              </w:rPr>
            </w:pPr>
            <w:r w:rsidRPr="008F3A44">
              <w:rPr>
                <w:rFonts w:cs="Times New Roman"/>
                <w:color w:val="000000"/>
                <w:sz w:val="20"/>
                <w:szCs w:val="20"/>
              </w:rPr>
              <w:t>-3.693</w:t>
            </w:r>
          </w:p>
        </w:tc>
      </w:tr>
      <w:tr w:rsidR="00A82F1D" w:rsidRPr="00E75453" w14:paraId="157B9F41" w14:textId="77777777" w:rsidTr="004601C9">
        <w:trPr>
          <w:trHeight w:val="300"/>
        </w:trPr>
        <w:tc>
          <w:tcPr>
            <w:tcW w:w="12855" w:type="dxa"/>
            <w:gridSpan w:val="15"/>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5F95EB95" w14:textId="77777777" w:rsidR="00A82F1D" w:rsidRPr="00E75453" w:rsidRDefault="00A82F1D" w:rsidP="004601C9">
            <w:pPr>
              <w:rPr>
                <w:rFonts w:eastAsia="Times New Roman" w:cs="Times New Roman"/>
                <w:b/>
                <w:bCs/>
                <w:color w:val="000000"/>
                <w:sz w:val="20"/>
                <w:szCs w:val="20"/>
              </w:rPr>
            </w:pPr>
            <w:r w:rsidRPr="00E75453">
              <w:rPr>
                <w:rFonts w:eastAsia="Times New Roman" w:cs="Times New Roman"/>
                <w:b/>
                <w:bCs/>
                <w:color w:val="000000"/>
                <w:sz w:val="20"/>
                <w:szCs w:val="20"/>
              </w:rPr>
              <w:t>Traffic Characteristic</w:t>
            </w:r>
          </w:p>
        </w:tc>
      </w:tr>
      <w:tr w:rsidR="00A82F1D" w:rsidRPr="00E75453" w14:paraId="5257EFFF" w14:textId="77777777" w:rsidTr="004601C9">
        <w:trPr>
          <w:trHeight w:val="300"/>
        </w:trPr>
        <w:tc>
          <w:tcPr>
            <w:tcW w:w="1965" w:type="dxa"/>
            <w:tcBorders>
              <w:top w:val="double" w:sz="4" w:space="0" w:color="auto"/>
              <w:left w:val="double" w:sz="4" w:space="0" w:color="auto"/>
              <w:bottom w:val="single" w:sz="4" w:space="0" w:color="auto"/>
              <w:right w:val="single" w:sz="4" w:space="0" w:color="auto"/>
            </w:tcBorders>
            <w:shd w:val="clear" w:color="auto" w:fill="auto"/>
            <w:noWrap/>
            <w:vAlign w:val="center"/>
            <w:hideMark/>
          </w:tcPr>
          <w:p w14:paraId="42993836" w14:textId="77777777" w:rsidR="00A82F1D" w:rsidRPr="00E75453" w:rsidRDefault="00A82F1D" w:rsidP="004601C9">
            <w:pPr>
              <w:ind w:left="150"/>
              <w:rPr>
                <w:rFonts w:eastAsia="Times New Roman" w:cs="Times New Roman"/>
                <w:color w:val="000000"/>
                <w:sz w:val="20"/>
                <w:szCs w:val="20"/>
              </w:rPr>
            </w:pPr>
            <w:r w:rsidRPr="00240799">
              <w:rPr>
                <w:rFonts w:eastAsia="Times New Roman" w:cs="Times New Roman"/>
                <w:color w:val="000000"/>
                <w:sz w:val="20"/>
                <w:szCs w:val="20"/>
              </w:rPr>
              <w:t>VMT</w:t>
            </w:r>
            <w:r>
              <w:rPr>
                <w:rFonts w:eastAsia="Times New Roman" w:cs="Times New Roman"/>
                <w:color w:val="000000"/>
                <w:sz w:val="20"/>
                <w:szCs w:val="20"/>
              </w:rPr>
              <w:t xml:space="preserve"> (4)</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0B0E40EB" w14:textId="77777777" w:rsidR="00A82F1D" w:rsidRPr="00F26EFE" w:rsidRDefault="00A82F1D" w:rsidP="004601C9">
            <w:pPr>
              <w:jc w:val="center"/>
              <w:rPr>
                <w:rFonts w:cs="Times New Roman"/>
                <w:color w:val="000000"/>
                <w:sz w:val="20"/>
                <w:szCs w:val="20"/>
              </w:rPr>
            </w:pPr>
            <w:r w:rsidRPr="00E0777D">
              <w:rPr>
                <w:rFonts w:cs="Times New Roman"/>
                <w:color w:val="000000"/>
                <w:sz w:val="20"/>
                <w:szCs w:val="20"/>
              </w:rPr>
              <w:t>--</w:t>
            </w:r>
          </w:p>
        </w:tc>
        <w:tc>
          <w:tcPr>
            <w:tcW w:w="879" w:type="dxa"/>
            <w:tcBorders>
              <w:top w:val="double" w:sz="4" w:space="0" w:color="auto"/>
              <w:left w:val="nil"/>
              <w:bottom w:val="single" w:sz="4" w:space="0" w:color="auto"/>
              <w:right w:val="single" w:sz="4" w:space="0" w:color="auto"/>
            </w:tcBorders>
            <w:shd w:val="clear" w:color="auto" w:fill="auto"/>
            <w:noWrap/>
            <w:vAlign w:val="center"/>
            <w:hideMark/>
          </w:tcPr>
          <w:p w14:paraId="3CDD2DEB" w14:textId="77777777" w:rsidR="00A82F1D" w:rsidRPr="00F26EFE" w:rsidRDefault="00A82F1D" w:rsidP="004601C9">
            <w:pPr>
              <w:jc w:val="center"/>
              <w:rPr>
                <w:rFonts w:cs="Times New Roman"/>
                <w:color w:val="000000"/>
                <w:sz w:val="20"/>
                <w:szCs w:val="20"/>
              </w:rPr>
            </w:pPr>
            <w:r w:rsidRPr="00E0777D">
              <w:rPr>
                <w:rFonts w:cs="Times New Roman"/>
                <w:color w:val="000000"/>
                <w:sz w:val="20"/>
                <w:szCs w:val="20"/>
              </w:rPr>
              <w:t>--</w:t>
            </w:r>
          </w:p>
        </w:tc>
        <w:tc>
          <w:tcPr>
            <w:tcW w:w="916" w:type="dxa"/>
            <w:gridSpan w:val="2"/>
            <w:tcBorders>
              <w:top w:val="double" w:sz="4" w:space="0" w:color="auto"/>
              <w:left w:val="nil"/>
              <w:bottom w:val="single" w:sz="4" w:space="0" w:color="auto"/>
              <w:right w:val="single" w:sz="4" w:space="0" w:color="auto"/>
            </w:tcBorders>
            <w:shd w:val="clear" w:color="auto" w:fill="auto"/>
            <w:noWrap/>
            <w:vAlign w:val="center"/>
            <w:hideMark/>
          </w:tcPr>
          <w:p w14:paraId="0C377334" w14:textId="77777777" w:rsidR="00A82F1D" w:rsidRPr="00F26EFE" w:rsidRDefault="00A82F1D" w:rsidP="004601C9">
            <w:pPr>
              <w:jc w:val="center"/>
              <w:rPr>
                <w:rFonts w:cs="Times New Roman"/>
                <w:color w:val="000000"/>
                <w:sz w:val="20"/>
                <w:szCs w:val="20"/>
              </w:rPr>
            </w:pPr>
            <w:r w:rsidRPr="00A4250B">
              <w:rPr>
                <w:rFonts w:cs="Times New Roman"/>
                <w:color w:val="000000"/>
                <w:sz w:val="20"/>
                <w:szCs w:val="20"/>
              </w:rPr>
              <w:t>0.131</w:t>
            </w:r>
          </w:p>
        </w:tc>
        <w:tc>
          <w:tcPr>
            <w:tcW w:w="900" w:type="dxa"/>
            <w:tcBorders>
              <w:top w:val="double" w:sz="4" w:space="0" w:color="auto"/>
              <w:left w:val="nil"/>
              <w:bottom w:val="single" w:sz="4" w:space="0" w:color="auto"/>
              <w:right w:val="single" w:sz="4" w:space="0" w:color="auto"/>
            </w:tcBorders>
            <w:shd w:val="clear" w:color="auto" w:fill="auto"/>
            <w:noWrap/>
            <w:vAlign w:val="center"/>
            <w:hideMark/>
          </w:tcPr>
          <w:p w14:paraId="464B5BC5" w14:textId="77777777" w:rsidR="00A82F1D" w:rsidRPr="00F26EFE" w:rsidRDefault="00A82F1D" w:rsidP="004601C9">
            <w:pPr>
              <w:jc w:val="center"/>
              <w:rPr>
                <w:rFonts w:cs="Times New Roman"/>
                <w:color w:val="000000"/>
                <w:sz w:val="20"/>
                <w:szCs w:val="20"/>
              </w:rPr>
            </w:pPr>
            <w:r w:rsidRPr="00A4250B">
              <w:rPr>
                <w:rFonts w:cs="Times New Roman"/>
                <w:color w:val="000000"/>
                <w:sz w:val="20"/>
                <w:szCs w:val="20"/>
              </w:rPr>
              <w:t>8.496</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540C7227" w14:textId="77777777" w:rsidR="00A82F1D" w:rsidRPr="00F26EFE" w:rsidRDefault="00A82F1D" w:rsidP="004601C9">
            <w:pPr>
              <w:jc w:val="center"/>
              <w:rPr>
                <w:rFonts w:cs="Times New Roman"/>
                <w:color w:val="000000"/>
                <w:sz w:val="20"/>
                <w:szCs w:val="20"/>
              </w:rPr>
            </w:pPr>
            <w:r w:rsidRPr="00A4250B">
              <w:rPr>
                <w:rFonts w:cs="Times New Roman"/>
                <w:color w:val="000000"/>
                <w:sz w:val="20"/>
                <w:szCs w:val="20"/>
              </w:rPr>
              <w:t>0.259</w:t>
            </w:r>
          </w:p>
        </w:tc>
        <w:tc>
          <w:tcPr>
            <w:tcW w:w="900" w:type="dxa"/>
            <w:tcBorders>
              <w:top w:val="double" w:sz="4" w:space="0" w:color="auto"/>
              <w:left w:val="nil"/>
              <w:bottom w:val="single" w:sz="4" w:space="0" w:color="auto"/>
              <w:right w:val="single" w:sz="4" w:space="0" w:color="auto"/>
            </w:tcBorders>
            <w:shd w:val="clear" w:color="auto" w:fill="auto"/>
            <w:noWrap/>
            <w:vAlign w:val="center"/>
            <w:hideMark/>
          </w:tcPr>
          <w:p w14:paraId="7C8416FC" w14:textId="77777777" w:rsidR="00A82F1D" w:rsidRPr="00F26EFE" w:rsidRDefault="00A82F1D" w:rsidP="004601C9">
            <w:pPr>
              <w:jc w:val="center"/>
              <w:rPr>
                <w:rFonts w:cs="Times New Roman"/>
                <w:color w:val="000000"/>
                <w:sz w:val="20"/>
                <w:szCs w:val="20"/>
              </w:rPr>
            </w:pPr>
            <w:r w:rsidRPr="00A4250B">
              <w:rPr>
                <w:rFonts w:cs="Times New Roman"/>
                <w:color w:val="000000"/>
                <w:sz w:val="20"/>
                <w:szCs w:val="20"/>
              </w:rPr>
              <w:t>16.909</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7272B30F" w14:textId="77777777" w:rsidR="00A82F1D" w:rsidRPr="00F26EFE" w:rsidRDefault="00A82F1D" w:rsidP="004601C9">
            <w:pPr>
              <w:jc w:val="center"/>
              <w:rPr>
                <w:rFonts w:cs="Times New Roman"/>
                <w:color w:val="000000"/>
                <w:sz w:val="20"/>
                <w:szCs w:val="20"/>
              </w:rPr>
            </w:pPr>
            <w:r w:rsidRPr="00A4250B">
              <w:rPr>
                <w:rFonts w:cs="Times New Roman"/>
                <w:color w:val="000000"/>
                <w:sz w:val="20"/>
                <w:szCs w:val="20"/>
              </w:rPr>
              <w:t>0.185</w:t>
            </w:r>
          </w:p>
        </w:tc>
        <w:tc>
          <w:tcPr>
            <w:tcW w:w="900" w:type="dxa"/>
            <w:tcBorders>
              <w:top w:val="double" w:sz="4" w:space="0" w:color="auto"/>
              <w:left w:val="nil"/>
              <w:bottom w:val="single" w:sz="4" w:space="0" w:color="auto"/>
              <w:right w:val="single" w:sz="4" w:space="0" w:color="auto"/>
            </w:tcBorders>
            <w:shd w:val="clear" w:color="auto" w:fill="auto"/>
            <w:noWrap/>
            <w:vAlign w:val="center"/>
            <w:hideMark/>
          </w:tcPr>
          <w:p w14:paraId="354C4DD8" w14:textId="77777777" w:rsidR="00A82F1D" w:rsidRPr="00F26EFE" w:rsidRDefault="00A82F1D" w:rsidP="004601C9">
            <w:pPr>
              <w:jc w:val="center"/>
              <w:rPr>
                <w:rFonts w:cs="Times New Roman"/>
                <w:color w:val="000000"/>
                <w:sz w:val="20"/>
                <w:szCs w:val="20"/>
              </w:rPr>
            </w:pPr>
            <w:r w:rsidRPr="00A4250B">
              <w:rPr>
                <w:rFonts w:cs="Times New Roman"/>
                <w:color w:val="000000"/>
                <w:sz w:val="20"/>
                <w:szCs w:val="20"/>
              </w:rPr>
              <w:t>8.852</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4B533A00" w14:textId="77777777" w:rsidR="00A82F1D" w:rsidRPr="00F26EFE" w:rsidRDefault="00A82F1D" w:rsidP="004601C9">
            <w:pPr>
              <w:jc w:val="center"/>
              <w:rPr>
                <w:rFonts w:cs="Times New Roman"/>
                <w:color w:val="000000"/>
                <w:sz w:val="20"/>
                <w:szCs w:val="20"/>
              </w:rPr>
            </w:pPr>
            <w:r w:rsidRPr="00AE00A7">
              <w:rPr>
                <w:rFonts w:cs="Times New Roman"/>
                <w:color w:val="000000"/>
                <w:sz w:val="20"/>
                <w:szCs w:val="20"/>
              </w:rPr>
              <w:t>--</w:t>
            </w:r>
          </w:p>
        </w:tc>
        <w:tc>
          <w:tcPr>
            <w:tcW w:w="931" w:type="dxa"/>
            <w:tcBorders>
              <w:top w:val="double" w:sz="4" w:space="0" w:color="auto"/>
              <w:left w:val="nil"/>
              <w:bottom w:val="single" w:sz="4" w:space="0" w:color="auto"/>
              <w:right w:val="single" w:sz="4" w:space="0" w:color="auto"/>
            </w:tcBorders>
            <w:shd w:val="clear" w:color="auto" w:fill="auto"/>
            <w:noWrap/>
            <w:vAlign w:val="center"/>
            <w:hideMark/>
          </w:tcPr>
          <w:p w14:paraId="52E4E65E" w14:textId="77777777" w:rsidR="00A82F1D" w:rsidRPr="00F26EFE" w:rsidRDefault="00A82F1D" w:rsidP="004601C9">
            <w:pPr>
              <w:jc w:val="center"/>
              <w:rPr>
                <w:rFonts w:cs="Times New Roman"/>
                <w:color w:val="000000"/>
                <w:sz w:val="20"/>
                <w:szCs w:val="20"/>
              </w:rPr>
            </w:pPr>
            <w:r w:rsidRPr="00AE00A7">
              <w:rPr>
                <w:rFonts w:cs="Times New Roman"/>
                <w:color w:val="000000"/>
                <w:sz w:val="20"/>
                <w:szCs w:val="20"/>
              </w:rPr>
              <w:t>--</w:t>
            </w:r>
          </w:p>
        </w:tc>
        <w:tc>
          <w:tcPr>
            <w:tcW w:w="916" w:type="dxa"/>
            <w:gridSpan w:val="2"/>
            <w:tcBorders>
              <w:top w:val="double" w:sz="4" w:space="0" w:color="auto"/>
              <w:left w:val="nil"/>
              <w:bottom w:val="single" w:sz="4" w:space="0" w:color="auto"/>
              <w:right w:val="single" w:sz="4" w:space="0" w:color="auto"/>
            </w:tcBorders>
            <w:shd w:val="clear" w:color="auto" w:fill="auto"/>
            <w:noWrap/>
            <w:vAlign w:val="center"/>
            <w:hideMark/>
          </w:tcPr>
          <w:p w14:paraId="32669238" w14:textId="77777777" w:rsidR="00A82F1D" w:rsidRPr="00F26EFE" w:rsidRDefault="00A82F1D" w:rsidP="004601C9">
            <w:pPr>
              <w:jc w:val="center"/>
              <w:rPr>
                <w:rFonts w:cs="Times New Roman"/>
                <w:color w:val="000000"/>
                <w:sz w:val="20"/>
                <w:szCs w:val="20"/>
              </w:rPr>
            </w:pPr>
            <w:r w:rsidRPr="00A4250B">
              <w:rPr>
                <w:rFonts w:cs="Times New Roman"/>
                <w:color w:val="000000"/>
                <w:sz w:val="20"/>
                <w:szCs w:val="20"/>
              </w:rPr>
              <w:t>0.021</w:t>
            </w:r>
          </w:p>
        </w:tc>
        <w:tc>
          <w:tcPr>
            <w:tcW w:w="884" w:type="dxa"/>
            <w:tcBorders>
              <w:top w:val="double" w:sz="4" w:space="0" w:color="auto"/>
              <w:left w:val="nil"/>
              <w:bottom w:val="single" w:sz="4" w:space="0" w:color="auto"/>
              <w:right w:val="double" w:sz="4" w:space="0" w:color="auto"/>
            </w:tcBorders>
            <w:shd w:val="clear" w:color="auto" w:fill="auto"/>
            <w:noWrap/>
            <w:vAlign w:val="center"/>
            <w:hideMark/>
          </w:tcPr>
          <w:p w14:paraId="240441AB" w14:textId="77777777" w:rsidR="00A82F1D" w:rsidRPr="00F26EFE" w:rsidRDefault="00A82F1D" w:rsidP="004601C9">
            <w:pPr>
              <w:jc w:val="center"/>
              <w:rPr>
                <w:rFonts w:cs="Times New Roman"/>
                <w:color w:val="000000"/>
                <w:sz w:val="20"/>
                <w:szCs w:val="20"/>
              </w:rPr>
            </w:pPr>
            <w:r w:rsidRPr="00A4250B">
              <w:rPr>
                <w:rFonts w:cs="Times New Roman"/>
                <w:color w:val="000000"/>
                <w:sz w:val="20"/>
                <w:szCs w:val="20"/>
              </w:rPr>
              <w:t>1.678</w:t>
            </w:r>
          </w:p>
        </w:tc>
      </w:tr>
      <w:tr w:rsidR="00A82F1D" w:rsidRPr="00E75453" w14:paraId="453162E0" w14:textId="77777777" w:rsidTr="004601C9">
        <w:trPr>
          <w:trHeight w:val="300"/>
        </w:trPr>
        <w:tc>
          <w:tcPr>
            <w:tcW w:w="1965" w:type="dxa"/>
            <w:tcBorders>
              <w:top w:val="nil"/>
              <w:left w:val="double" w:sz="4" w:space="0" w:color="auto"/>
              <w:bottom w:val="double" w:sz="4" w:space="0" w:color="auto"/>
              <w:right w:val="single" w:sz="4" w:space="0" w:color="auto"/>
            </w:tcBorders>
            <w:shd w:val="clear" w:color="auto" w:fill="auto"/>
            <w:noWrap/>
            <w:vAlign w:val="center"/>
            <w:hideMark/>
          </w:tcPr>
          <w:p w14:paraId="129EF04B" w14:textId="77777777" w:rsidR="00A82F1D" w:rsidRPr="00E75453" w:rsidRDefault="00A82F1D" w:rsidP="004601C9">
            <w:pPr>
              <w:ind w:left="150"/>
              <w:rPr>
                <w:rFonts w:eastAsia="Times New Roman" w:cs="Times New Roman"/>
                <w:color w:val="000000"/>
                <w:sz w:val="20"/>
                <w:szCs w:val="20"/>
              </w:rPr>
            </w:pPr>
            <w:r w:rsidRPr="00240799">
              <w:rPr>
                <w:rFonts w:eastAsia="Times New Roman" w:cs="Times New Roman"/>
                <w:color w:val="000000"/>
                <w:sz w:val="20"/>
                <w:szCs w:val="20"/>
              </w:rPr>
              <w:t>Truck VMT</w:t>
            </w:r>
            <w:r>
              <w:rPr>
                <w:rFonts w:eastAsia="Times New Roman" w:cs="Times New Roman"/>
                <w:color w:val="000000"/>
                <w:sz w:val="20"/>
                <w:szCs w:val="20"/>
              </w:rPr>
              <w:t xml:space="preserve"> (2)</w:t>
            </w:r>
          </w:p>
        </w:tc>
        <w:tc>
          <w:tcPr>
            <w:tcW w:w="916" w:type="dxa"/>
            <w:tcBorders>
              <w:top w:val="nil"/>
              <w:left w:val="nil"/>
              <w:bottom w:val="double" w:sz="4" w:space="0" w:color="auto"/>
              <w:right w:val="single" w:sz="4" w:space="0" w:color="auto"/>
            </w:tcBorders>
            <w:shd w:val="clear" w:color="auto" w:fill="auto"/>
            <w:noWrap/>
            <w:vAlign w:val="center"/>
            <w:hideMark/>
          </w:tcPr>
          <w:p w14:paraId="76751AE0" w14:textId="77777777" w:rsidR="00A82F1D" w:rsidRPr="00F26EFE" w:rsidRDefault="00A82F1D" w:rsidP="004601C9">
            <w:pPr>
              <w:jc w:val="center"/>
              <w:rPr>
                <w:rFonts w:cs="Times New Roman"/>
                <w:color w:val="000000"/>
                <w:sz w:val="20"/>
                <w:szCs w:val="20"/>
              </w:rPr>
            </w:pPr>
            <w:r w:rsidRPr="00A4250B">
              <w:rPr>
                <w:rFonts w:cs="Times New Roman"/>
                <w:color w:val="000000"/>
                <w:sz w:val="20"/>
                <w:szCs w:val="20"/>
              </w:rPr>
              <w:t>0.179</w:t>
            </w:r>
          </w:p>
        </w:tc>
        <w:tc>
          <w:tcPr>
            <w:tcW w:w="879" w:type="dxa"/>
            <w:tcBorders>
              <w:top w:val="nil"/>
              <w:left w:val="nil"/>
              <w:bottom w:val="double" w:sz="4" w:space="0" w:color="auto"/>
              <w:right w:val="single" w:sz="4" w:space="0" w:color="auto"/>
            </w:tcBorders>
            <w:shd w:val="clear" w:color="auto" w:fill="auto"/>
            <w:noWrap/>
            <w:vAlign w:val="center"/>
            <w:hideMark/>
          </w:tcPr>
          <w:p w14:paraId="0594F4F8" w14:textId="77777777" w:rsidR="00A82F1D" w:rsidRPr="00F26EFE" w:rsidRDefault="00A82F1D" w:rsidP="004601C9">
            <w:pPr>
              <w:jc w:val="center"/>
              <w:rPr>
                <w:rFonts w:cs="Times New Roman"/>
                <w:color w:val="000000"/>
                <w:sz w:val="20"/>
                <w:szCs w:val="20"/>
              </w:rPr>
            </w:pPr>
            <w:r w:rsidRPr="00A4250B">
              <w:rPr>
                <w:rFonts w:cs="Times New Roman"/>
                <w:color w:val="000000"/>
                <w:sz w:val="20"/>
                <w:szCs w:val="20"/>
              </w:rPr>
              <w:t>15.852</w:t>
            </w:r>
          </w:p>
        </w:tc>
        <w:tc>
          <w:tcPr>
            <w:tcW w:w="916" w:type="dxa"/>
            <w:gridSpan w:val="2"/>
            <w:tcBorders>
              <w:top w:val="nil"/>
              <w:left w:val="nil"/>
              <w:bottom w:val="double" w:sz="4" w:space="0" w:color="auto"/>
              <w:right w:val="single" w:sz="4" w:space="0" w:color="auto"/>
            </w:tcBorders>
            <w:shd w:val="clear" w:color="auto" w:fill="auto"/>
            <w:noWrap/>
            <w:vAlign w:val="center"/>
            <w:hideMark/>
          </w:tcPr>
          <w:p w14:paraId="3E868FA8" w14:textId="77777777" w:rsidR="00A82F1D" w:rsidRPr="00F26EFE" w:rsidRDefault="00A82F1D" w:rsidP="004601C9">
            <w:pPr>
              <w:jc w:val="center"/>
              <w:rPr>
                <w:rFonts w:cs="Times New Roman"/>
                <w:color w:val="000000"/>
                <w:sz w:val="20"/>
                <w:szCs w:val="20"/>
              </w:rPr>
            </w:pPr>
            <w:r w:rsidRPr="002D15AE">
              <w:rPr>
                <w:rFonts w:cs="Times New Roman"/>
                <w:color w:val="000000"/>
                <w:sz w:val="20"/>
                <w:szCs w:val="20"/>
              </w:rPr>
              <w:t>--</w:t>
            </w:r>
          </w:p>
        </w:tc>
        <w:tc>
          <w:tcPr>
            <w:tcW w:w="900" w:type="dxa"/>
            <w:tcBorders>
              <w:top w:val="nil"/>
              <w:left w:val="nil"/>
              <w:bottom w:val="double" w:sz="4" w:space="0" w:color="auto"/>
              <w:right w:val="single" w:sz="4" w:space="0" w:color="auto"/>
            </w:tcBorders>
            <w:shd w:val="clear" w:color="auto" w:fill="auto"/>
            <w:noWrap/>
            <w:vAlign w:val="center"/>
            <w:hideMark/>
          </w:tcPr>
          <w:p w14:paraId="4B41F766" w14:textId="77777777" w:rsidR="00A82F1D" w:rsidRPr="00F26EFE" w:rsidRDefault="00A82F1D" w:rsidP="004601C9">
            <w:pPr>
              <w:jc w:val="center"/>
              <w:rPr>
                <w:rFonts w:cs="Times New Roman"/>
                <w:color w:val="000000"/>
                <w:sz w:val="20"/>
                <w:szCs w:val="20"/>
              </w:rPr>
            </w:pPr>
            <w:r w:rsidRPr="002D15AE">
              <w:rPr>
                <w:rFonts w:cs="Times New Roman"/>
                <w:color w:val="000000"/>
                <w:sz w:val="20"/>
                <w:szCs w:val="20"/>
              </w:rPr>
              <w:t>--</w:t>
            </w:r>
          </w:p>
        </w:tc>
        <w:tc>
          <w:tcPr>
            <w:tcW w:w="916" w:type="dxa"/>
            <w:tcBorders>
              <w:top w:val="nil"/>
              <w:left w:val="nil"/>
              <w:bottom w:val="double" w:sz="4" w:space="0" w:color="auto"/>
              <w:right w:val="single" w:sz="4" w:space="0" w:color="auto"/>
            </w:tcBorders>
            <w:shd w:val="clear" w:color="auto" w:fill="auto"/>
            <w:noWrap/>
            <w:vAlign w:val="center"/>
            <w:hideMark/>
          </w:tcPr>
          <w:p w14:paraId="3CBCD5F4" w14:textId="77777777" w:rsidR="00A82F1D" w:rsidRPr="00F26EFE" w:rsidRDefault="00A82F1D" w:rsidP="004601C9">
            <w:pPr>
              <w:jc w:val="center"/>
              <w:rPr>
                <w:rFonts w:cs="Times New Roman"/>
                <w:color w:val="000000"/>
                <w:sz w:val="20"/>
                <w:szCs w:val="20"/>
              </w:rPr>
            </w:pPr>
            <w:r w:rsidRPr="002D15AE">
              <w:rPr>
                <w:rFonts w:cs="Times New Roman"/>
                <w:color w:val="000000"/>
                <w:sz w:val="20"/>
                <w:szCs w:val="20"/>
              </w:rPr>
              <w:t>--</w:t>
            </w:r>
          </w:p>
        </w:tc>
        <w:tc>
          <w:tcPr>
            <w:tcW w:w="900" w:type="dxa"/>
            <w:tcBorders>
              <w:top w:val="nil"/>
              <w:left w:val="nil"/>
              <w:bottom w:val="double" w:sz="4" w:space="0" w:color="auto"/>
              <w:right w:val="single" w:sz="4" w:space="0" w:color="auto"/>
            </w:tcBorders>
            <w:shd w:val="clear" w:color="auto" w:fill="auto"/>
            <w:noWrap/>
            <w:vAlign w:val="center"/>
            <w:hideMark/>
          </w:tcPr>
          <w:p w14:paraId="3368B993" w14:textId="77777777" w:rsidR="00A82F1D" w:rsidRPr="00F26EFE" w:rsidRDefault="00A82F1D" w:rsidP="004601C9">
            <w:pPr>
              <w:jc w:val="center"/>
              <w:rPr>
                <w:rFonts w:cs="Times New Roman"/>
                <w:color w:val="000000"/>
                <w:sz w:val="20"/>
                <w:szCs w:val="20"/>
              </w:rPr>
            </w:pPr>
            <w:r w:rsidRPr="002D15AE">
              <w:rPr>
                <w:rFonts w:cs="Times New Roman"/>
                <w:color w:val="000000"/>
                <w:sz w:val="20"/>
                <w:szCs w:val="20"/>
              </w:rPr>
              <w:t>--</w:t>
            </w:r>
          </w:p>
        </w:tc>
        <w:tc>
          <w:tcPr>
            <w:tcW w:w="916" w:type="dxa"/>
            <w:tcBorders>
              <w:top w:val="nil"/>
              <w:left w:val="nil"/>
              <w:bottom w:val="double" w:sz="4" w:space="0" w:color="auto"/>
              <w:right w:val="single" w:sz="4" w:space="0" w:color="auto"/>
            </w:tcBorders>
            <w:shd w:val="clear" w:color="auto" w:fill="auto"/>
            <w:noWrap/>
            <w:vAlign w:val="center"/>
            <w:hideMark/>
          </w:tcPr>
          <w:p w14:paraId="53A3FE43" w14:textId="77777777" w:rsidR="00A82F1D" w:rsidRPr="00F26EFE" w:rsidRDefault="00A82F1D" w:rsidP="004601C9">
            <w:pPr>
              <w:jc w:val="center"/>
              <w:rPr>
                <w:rFonts w:cs="Times New Roman"/>
                <w:color w:val="000000"/>
                <w:sz w:val="20"/>
                <w:szCs w:val="20"/>
              </w:rPr>
            </w:pPr>
            <w:r w:rsidRPr="002D15AE">
              <w:rPr>
                <w:rFonts w:cs="Times New Roman"/>
                <w:color w:val="000000"/>
                <w:sz w:val="20"/>
                <w:szCs w:val="20"/>
              </w:rPr>
              <w:t>--</w:t>
            </w:r>
          </w:p>
        </w:tc>
        <w:tc>
          <w:tcPr>
            <w:tcW w:w="900" w:type="dxa"/>
            <w:tcBorders>
              <w:top w:val="nil"/>
              <w:left w:val="nil"/>
              <w:bottom w:val="double" w:sz="4" w:space="0" w:color="auto"/>
              <w:right w:val="single" w:sz="4" w:space="0" w:color="auto"/>
            </w:tcBorders>
            <w:shd w:val="clear" w:color="auto" w:fill="auto"/>
            <w:noWrap/>
            <w:vAlign w:val="center"/>
            <w:hideMark/>
          </w:tcPr>
          <w:p w14:paraId="555E4394" w14:textId="77777777" w:rsidR="00A82F1D" w:rsidRPr="00F26EFE" w:rsidRDefault="00A82F1D" w:rsidP="004601C9">
            <w:pPr>
              <w:jc w:val="center"/>
              <w:rPr>
                <w:rFonts w:cs="Times New Roman"/>
                <w:color w:val="000000"/>
                <w:sz w:val="20"/>
                <w:szCs w:val="20"/>
              </w:rPr>
            </w:pPr>
            <w:r w:rsidRPr="002D15AE">
              <w:rPr>
                <w:rFonts w:cs="Times New Roman"/>
                <w:color w:val="000000"/>
                <w:sz w:val="20"/>
                <w:szCs w:val="20"/>
              </w:rPr>
              <w:t>--</w:t>
            </w:r>
          </w:p>
        </w:tc>
        <w:tc>
          <w:tcPr>
            <w:tcW w:w="916" w:type="dxa"/>
            <w:tcBorders>
              <w:top w:val="nil"/>
              <w:left w:val="nil"/>
              <w:bottom w:val="double" w:sz="4" w:space="0" w:color="auto"/>
              <w:right w:val="single" w:sz="4" w:space="0" w:color="auto"/>
            </w:tcBorders>
            <w:shd w:val="clear" w:color="auto" w:fill="auto"/>
            <w:noWrap/>
            <w:vAlign w:val="center"/>
            <w:hideMark/>
          </w:tcPr>
          <w:p w14:paraId="1C536C8B" w14:textId="77777777" w:rsidR="00A82F1D" w:rsidRPr="00F26EFE" w:rsidRDefault="00A82F1D" w:rsidP="004601C9">
            <w:pPr>
              <w:jc w:val="center"/>
              <w:rPr>
                <w:rFonts w:cs="Times New Roman"/>
                <w:color w:val="000000"/>
                <w:sz w:val="20"/>
                <w:szCs w:val="20"/>
              </w:rPr>
            </w:pPr>
            <w:r w:rsidRPr="00A4250B">
              <w:rPr>
                <w:rFonts w:cs="Times New Roman"/>
                <w:color w:val="000000"/>
                <w:sz w:val="20"/>
                <w:szCs w:val="20"/>
              </w:rPr>
              <w:t>0.270</w:t>
            </w:r>
          </w:p>
        </w:tc>
        <w:tc>
          <w:tcPr>
            <w:tcW w:w="931" w:type="dxa"/>
            <w:tcBorders>
              <w:top w:val="nil"/>
              <w:left w:val="nil"/>
              <w:bottom w:val="double" w:sz="4" w:space="0" w:color="auto"/>
              <w:right w:val="single" w:sz="4" w:space="0" w:color="auto"/>
            </w:tcBorders>
            <w:shd w:val="clear" w:color="auto" w:fill="auto"/>
            <w:noWrap/>
            <w:vAlign w:val="center"/>
            <w:hideMark/>
          </w:tcPr>
          <w:p w14:paraId="4777D9ED" w14:textId="77777777" w:rsidR="00A82F1D" w:rsidRPr="00F26EFE" w:rsidRDefault="00A82F1D" w:rsidP="004601C9">
            <w:pPr>
              <w:jc w:val="center"/>
              <w:rPr>
                <w:rFonts w:cs="Times New Roman"/>
                <w:color w:val="000000"/>
                <w:sz w:val="20"/>
                <w:szCs w:val="20"/>
              </w:rPr>
            </w:pPr>
            <w:r w:rsidRPr="00A4250B">
              <w:rPr>
                <w:rFonts w:cs="Times New Roman"/>
                <w:color w:val="000000"/>
                <w:sz w:val="20"/>
                <w:szCs w:val="20"/>
              </w:rPr>
              <w:t>26.819</w:t>
            </w:r>
          </w:p>
        </w:tc>
        <w:tc>
          <w:tcPr>
            <w:tcW w:w="916" w:type="dxa"/>
            <w:gridSpan w:val="2"/>
            <w:tcBorders>
              <w:top w:val="nil"/>
              <w:left w:val="nil"/>
              <w:bottom w:val="double" w:sz="4" w:space="0" w:color="auto"/>
              <w:right w:val="single" w:sz="4" w:space="0" w:color="auto"/>
            </w:tcBorders>
            <w:shd w:val="clear" w:color="auto" w:fill="auto"/>
            <w:noWrap/>
            <w:vAlign w:val="center"/>
            <w:hideMark/>
          </w:tcPr>
          <w:p w14:paraId="5BF0333C" w14:textId="77777777" w:rsidR="00A82F1D" w:rsidRPr="00F26EFE" w:rsidRDefault="00A82F1D" w:rsidP="004601C9">
            <w:pPr>
              <w:jc w:val="center"/>
              <w:rPr>
                <w:rFonts w:cs="Times New Roman"/>
                <w:color w:val="000000"/>
                <w:sz w:val="20"/>
                <w:szCs w:val="20"/>
              </w:rPr>
            </w:pPr>
            <w:r w:rsidRPr="00AE00A7">
              <w:rPr>
                <w:rFonts w:cs="Times New Roman"/>
                <w:color w:val="000000"/>
                <w:sz w:val="20"/>
                <w:szCs w:val="20"/>
              </w:rPr>
              <w:t>--</w:t>
            </w:r>
          </w:p>
        </w:tc>
        <w:tc>
          <w:tcPr>
            <w:tcW w:w="884" w:type="dxa"/>
            <w:tcBorders>
              <w:top w:val="nil"/>
              <w:left w:val="nil"/>
              <w:bottom w:val="double" w:sz="4" w:space="0" w:color="auto"/>
              <w:right w:val="double" w:sz="4" w:space="0" w:color="auto"/>
            </w:tcBorders>
            <w:shd w:val="clear" w:color="auto" w:fill="auto"/>
            <w:noWrap/>
            <w:vAlign w:val="center"/>
            <w:hideMark/>
          </w:tcPr>
          <w:p w14:paraId="28EA7258" w14:textId="77777777" w:rsidR="00A82F1D" w:rsidRPr="00F26EFE" w:rsidRDefault="00A82F1D" w:rsidP="004601C9">
            <w:pPr>
              <w:jc w:val="center"/>
              <w:rPr>
                <w:rFonts w:cs="Times New Roman"/>
                <w:color w:val="000000"/>
                <w:sz w:val="20"/>
                <w:szCs w:val="20"/>
              </w:rPr>
            </w:pPr>
            <w:r w:rsidRPr="00AE00A7">
              <w:rPr>
                <w:rFonts w:cs="Times New Roman"/>
                <w:color w:val="000000"/>
                <w:sz w:val="20"/>
                <w:szCs w:val="20"/>
              </w:rPr>
              <w:t>--</w:t>
            </w:r>
          </w:p>
        </w:tc>
      </w:tr>
      <w:tr w:rsidR="00A82F1D" w:rsidRPr="00E75453" w14:paraId="446FD21D" w14:textId="77777777" w:rsidTr="004601C9">
        <w:trPr>
          <w:trHeight w:val="300"/>
        </w:trPr>
        <w:tc>
          <w:tcPr>
            <w:tcW w:w="12855" w:type="dxa"/>
            <w:gridSpan w:val="15"/>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12AAFB1A" w14:textId="77777777" w:rsidR="00A82F1D" w:rsidRPr="00E75453" w:rsidRDefault="00A82F1D" w:rsidP="004601C9">
            <w:pPr>
              <w:rPr>
                <w:rFonts w:eastAsia="Times New Roman" w:cs="Times New Roman"/>
                <w:b/>
                <w:bCs/>
                <w:color w:val="000000"/>
                <w:sz w:val="20"/>
                <w:szCs w:val="20"/>
              </w:rPr>
            </w:pPr>
            <w:r w:rsidRPr="00E75453">
              <w:rPr>
                <w:rFonts w:eastAsia="Times New Roman" w:cs="Times New Roman"/>
                <w:b/>
                <w:bCs/>
                <w:color w:val="000000"/>
                <w:sz w:val="20"/>
                <w:szCs w:val="20"/>
              </w:rPr>
              <w:t>Land-use attributes</w:t>
            </w:r>
          </w:p>
        </w:tc>
      </w:tr>
      <w:tr w:rsidR="00A82F1D" w:rsidRPr="00E75453" w14:paraId="311FF38A" w14:textId="77777777" w:rsidTr="004601C9">
        <w:trPr>
          <w:trHeight w:val="300"/>
        </w:trPr>
        <w:tc>
          <w:tcPr>
            <w:tcW w:w="1965" w:type="dxa"/>
            <w:tcBorders>
              <w:top w:val="double" w:sz="4" w:space="0" w:color="auto"/>
              <w:left w:val="double" w:sz="4" w:space="0" w:color="auto"/>
              <w:bottom w:val="single" w:sz="4" w:space="0" w:color="auto"/>
              <w:right w:val="single" w:sz="4" w:space="0" w:color="auto"/>
            </w:tcBorders>
            <w:shd w:val="clear" w:color="auto" w:fill="auto"/>
            <w:noWrap/>
            <w:vAlign w:val="center"/>
          </w:tcPr>
          <w:p w14:paraId="10DC68D2" w14:textId="77777777" w:rsidR="00A82F1D" w:rsidRPr="00240799" w:rsidRDefault="00A82F1D" w:rsidP="004601C9">
            <w:pPr>
              <w:ind w:left="150"/>
              <w:rPr>
                <w:rFonts w:eastAsia="Times New Roman" w:cs="Times New Roman"/>
                <w:color w:val="000000"/>
                <w:sz w:val="20"/>
                <w:szCs w:val="20"/>
              </w:rPr>
            </w:pPr>
            <w:r w:rsidRPr="00240799">
              <w:rPr>
                <w:rFonts w:eastAsia="Times New Roman" w:cs="Times New Roman"/>
                <w:color w:val="000000"/>
                <w:sz w:val="20"/>
                <w:szCs w:val="20"/>
              </w:rPr>
              <w:t>Urban area</w:t>
            </w:r>
            <w:r>
              <w:rPr>
                <w:rFonts w:eastAsia="Times New Roman" w:cs="Times New Roman"/>
                <w:color w:val="000000"/>
                <w:sz w:val="20"/>
                <w:szCs w:val="20"/>
              </w:rPr>
              <w:t xml:space="preserve"> (4)</w:t>
            </w:r>
          </w:p>
        </w:tc>
        <w:tc>
          <w:tcPr>
            <w:tcW w:w="916" w:type="dxa"/>
            <w:tcBorders>
              <w:top w:val="double" w:sz="4" w:space="0" w:color="auto"/>
              <w:left w:val="nil"/>
              <w:bottom w:val="single" w:sz="4" w:space="0" w:color="auto"/>
              <w:right w:val="single" w:sz="4" w:space="0" w:color="auto"/>
            </w:tcBorders>
            <w:shd w:val="clear" w:color="auto" w:fill="auto"/>
            <w:noWrap/>
            <w:vAlign w:val="center"/>
          </w:tcPr>
          <w:p w14:paraId="72AE024C" w14:textId="77777777" w:rsidR="00A82F1D" w:rsidRPr="00F0666B" w:rsidRDefault="00A82F1D" w:rsidP="004601C9">
            <w:pPr>
              <w:jc w:val="center"/>
              <w:rPr>
                <w:rFonts w:cs="Times New Roman"/>
                <w:color w:val="000000"/>
                <w:sz w:val="20"/>
                <w:szCs w:val="20"/>
              </w:rPr>
            </w:pPr>
            <w:r w:rsidRPr="00A4250B">
              <w:rPr>
                <w:rFonts w:cs="Times New Roman"/>
                <w:color w:val="000000"/>
                <w:sz w:val="20"/>
                <w:szCs w:val="20"/>
              </w:rPr>
              <w:t>0.164</w:t>
            </w:r>
          </w:p>
        </w:tc>
        <w:tc>
          <w:tcPr>
            <w:tcW w:w="879" w:type="dxa"/>
            <w:tcBorders>
              <w:top w:val="double" w:sz="4" w:space="0" w:color="auto"/>
              <w:left w:val="nil"/>
              <w:bottom w:val="single" w:sz="4" w:space="0" w:color="auto"/>
              <w:right w:val="single" w:sz="4" w:space="0" w:color="auto"/>
            </w:tcBorders>
            <w:shd w:val="clear" w:color="auto" w:fill="auto"/>
            <w:noWrap/>
            <w:vAlign w:val="center"/>
          </w:tcPr>
          <w:p w14:paraId="189B1ECA" w14:textId="77777777" w:rsidR="00A82F1D" w:rsidRPr="00F0666B" w:rsidRDefault="00A82F1D" w:rsidP="004601C9">
            <w:pPr>
              <w:jc w:val="center"/>
              <w:rPr>
                <w:rFonts w:cs="Times New Roman"/>
                <w:color w:val="000000"/>
                <w:sz w:val="20"/>
                <w:szCs w:val="20"/>
              </w:rPr>
            </w:pPr>
            <w:r w:rsidRPr="00A4250B">
              <w:rPr>
                <w:rFonts w:cs="Times New Roman"/>
                <w:color w:val="000000"/>
                <w:sz w:val="20"/>
                <w:szCs w:val="20"/>
              </w:rPr>
              <w:t>15.359</w:t>
            </w:r>
          </w:p>
        </w:tc>
        <w:tc>
          <w:tcPr>
            <w:tcW w:w="916" w:type="dxa"/>
            <w:gridSpan w:val="2"/>
            <w:tcBorders>
              <w:top w:val="double" w:sz="4" w:space="0" w:color="auto"/>
              <w:left w:val="nil"/>
              <w:bottom w:val="single" w:sz="4" w:space="0" w:color="auto"/>
              <w:right w:val="single" w:sz="4" w:space="0" w:color="auto"/>
            </w:tcBorders>
            <w:shd w:val="clear" w:color="auto" w:fill="auto"/>
            <w:noWrap/>
            <w:vAlign w:val="center"/>
          </w:tcPr>
          <w:p w14:paraId="11F8E48E" w14:textId="77777777" w:rsidR="00A82F1D" w:rsidRPr="00F0666B" w:rsidRDefault="00A82F1D" w:rsidP="004601C9">
            <w:pPr>
              <w:jc w:val="center"/>
              <w:rPr>
                <w:rFonts w:cs="Times New Roman"/>
                <w:color w:val="000000"/>
                <w:sz w:val="20"/>
                <w:szCs w:val="20"/>
              </w:rPr>
            </w:pPr>
            <w:r w:rsidRPr="00A4250B">
              <w:rPr>
                <w:rFonts w:cs="Times New Roman"/>
                <w:color w:val="000000"/>
                <w:sz w:val="20"/>
                <w:szCs w:val="20"/>
              </w:rPr>
              <w:t>0.164</w:t>
            </w:r>
          </w:p>
        </w:tc>
        <w:tc>
          <w:tcPr>
            <w:tcW w:w="900" w:type="dxa"/>
            <w:tcBorders>
              <w:top w:val="double" w:sz="4" w:space="0" w:color="auto"/>
              <w:left w:val="nil"/>
              <w:bottom w:val="single" w:sz="4" w:space="0" w:color="auto"/>
              <w:right w:val="single" w:sz="4" w:space="0" w:color="auto"/>
            </w:tcBorders>
            <w:shd w:val="clear" w:color="auto" w:fill="auto"/>
            <w:noWrap/>
            <w:vAlign w:val="center"/>
          </w:tcPr>
          <w:p w14:paraId="1464E5C5" w14:textId="77777777" w:rsidR="00A82F1D" w:rsidRPr="00F0666B" w:rsidRDefault="00A82F1D" w:rsidP="004601C9">
            <w:pPr>
              <w:jc w:val="center"/>
              <w:rPr>
                <w:rFonts w:cs="Times New Roman"/>
                <w:color w:val="000000"/>
                <w:sz w:val="20"/>
                <w:szCs w:val="20"/>
              </w:rPr>
            </w:pPr>
            <w:r w:rsidRPr="00A4250B">
              <w:rPr>
                <w:rFonts w:cs="Times New Roman"/>
                <w:color w:val="000000"/>
                <w:sz w:val="20"/>
                <w:szCs w:val="20"/>
              </w:rPr>
              <w:t>15.359</w:t>
            </w:r>
          </w:p>
        </w:tc>
        <w:tc>
          <w:tcPr>
            <w:tcW w:w="916" w:type="dxa"/>
            <w:tcBorders>
              <w:top w:val="double" w:sz="4" w:space="0" w:color="auto"/>
              <w:left w:val="nil"/>
              <w:bottom w:val="single" w:sz="4" w:space="0" w:color="auto"/>
              <w:right w:val="single" w:sz="4" w:space="0" w:color="auto"/>
            </w:tcBorders>
            <w:shd w:val="clear" w:color="auto" w:fill="auto"/>
            <w:noWrap/>
            <w:vAlign w:val="center"/>
          </w:tcPr>
          <w:p w14:paraId="7DCF634C" w14:textId="77777777" w:rsidR="00A82F1D" w:rsidRPr="00F0666B" w:rsidRDefault="00A82F1D" w:rsidP="004601C9">
            <w:pPr>
              <w:jc w:val="center"/>
              <w:rPr>
                <w:rFonts w:cs="Times New Roman"/>
                <w:color w:val="000000"/>
                <w:sz w:val="20"/>
                <w:szCs w:val="20"/>
              </w:rPr>
            </w:pPr>
            <w:r w:rsidRPr="00A4250B">
              <w:rPr>
                <w:rFonts w:cs="Times New Roman"/>
                <w:color w:val="000000"/>
                <w:sz w:val="20"/>
                <w:szCs w:val="20"/>
              </w:rPr>
              <w:t>0.149</w:t>
            </w:r>
          </w:p>
        </w:tc>
        <w:tc>
          <w:tcPr>
            <w:tcW w:w="900" w:type="dxa"/>
            <w:tcBorders>
              <w:top w:val="double" w:sz="4" w:space="0" w:color="auto"/>
              <w:left w:val="nil"/>
              <w:bottom w:val="single" w:sz="4" w:space="0" w:color="auto"/>
              <w:right w:val="single" w:sz="4" w:space="0" w:color="auto"/>
            </w:tcBorders>
            <w:shd w:val="clear" w:color="auto" w:fill="auto"/>
            <w:noWrap/>
            <w:vAlign w:val="center"/>
          </w:tcPr>
          <w:p w14:paraId="1821454F" w14:textId="77777777" w:rsidR="00A82F1D" w:rsidRPr="00F0666B" w:rsidRDefault="00A82F1D" w:rsidP="004601C9">
            <w:pPr>
              <w:jc w:val="center"/>
              <w:rPr>
                <w:rFonts w:cs="Times New Roman"/>
                <w:color w:val="000000"/>
                <w:sz w:val="20"/>
                <w:szCs w:val="20"/>
              </w:rPr>
            </w:pPr>
            <w:r w:rsidRPr="00A4250B">
              <w:rPr>
                <w:rFonts w:cs="Times New Roman"/>
                <w:color w:val="000000"/>
                <w:sz w:val="20"/>
                <w:szCs w:val="20"/>
              </w:rPr>
              <w:t>9.530</w:t>
            </w:r>
          </w:p>
        </w:tc>
        <w:tc>
          <w:tcPr>
            <w:tcW w:w="916" w:type="dxa"/>
            <w:tcBorders>
              <w:top w:val="double" w:sz="4" w:space="0" w:color="auto"/>
              <w:left w:val="nil"/>
              <w:bottom w:val="single" w:sz="4" w:space="0" w:color="auto"/>
              <w:right w:val="single" w:sz="4" w:space="0" w:color="auto"/>
            </w:tcBorders>
            <w:shd w:val="clear" w:color="auto" w:fill="auto"/>
            <w:noWrap/>
            <w:vAlign w:val="center"/>
          </w:tcPr>
          <w:p w14:paraId="4F6CB45A" w14:textId="77777777" w:rsidR="00A82F1D" w:rsidRPr="00F0666B" w:rsidRDefault="00A82F1D" w:rsidP="004601C9">
            <w:pPr>
              <w:jc w:val="center"/>
              <w:rPr>
                <w:rFonts w:cs="Times New Roman"/>
                <w:color w:val="000000"/>
                <w:sz w:val="20"/>
                <w:szCs w:val="20"/>
              </w:rPr>
            </w:pPr>
            <w:r w:rsidRPr="00A4250B">
              <w:rPr>
                <w:rFonts w:cs="Times New Roman"/>
                <w:color w:val="000000"/>
                <w:sz w:val="20"/>
                <w:szCs w:val="20"/>
              </w:rPr>
              <w:t>0.111</w:t>
            </w:r>
          </w:p>
        </w:tc>
        <w:tc>
          <w:tcPr>
            <w:tcW w:w="900" w:type="dxa"/>
            <w:tcBorders>
              <w:top w:val="double" w:sz="4" w:space="0" w:color="auto"/>
              <w:left w:val="nil"/>
              <w:bottom w:val="single" w:sz="4" w:space="0" w:color="auto"/>
              <w:right w:val="single" w:sz="4" w:space="0" w:color="auto"/>
            </w:tcBorders>
            <w:shd w:val="clear" w:color="auto" w:fill="auto"/>
            <w:noWrap/>
            <w:vAlign w:val="center"/>
          </w:tcPr>
          <w:p w14:paraId="184FB392" w14:textId="77777777" w:rsidR="00A82F1D" w:rsidRPr="00F0666B" w:rsidRDefault="00A82F1D" w:rsidP="004601C9">
            <w:pPr>
              <w:jc w:val="center"/>
              <w:rPr>
                <w:rFonts w:cs="Times New Roman"/>
                <w:color w:val="000000"/>
                <w:sz w:val="20"/>
                <w:szCs w:val="20"/>
              </w:rPr>
            </w:pPr>
            <w:r w:rsidRPr="00A4250B">
              <w:rPr>
                <w:rFonts w:cs="Times New Roman"/>
                <w:color w:val="000000"/>
                <w:sz w:val="20"/>
                <w:szCs w:val="20"/>
              </w:rPr>
              <w:t>4.094</w:t>
            </w:r>
          </w:p>
        </w:tc>
        <w:tc>
          <w:tcPr>
            <w:tcW w:w="916" w:type="dxa"/>
            <w:tcBorders>
              <w:top w:val="double" w:sz="4" w:space="0" w:color="auto"/>
              <w:left w:val="nil"/>
              <w:bottom w:val="single" w:sz="4" w:space="0" w:color="auto"/>
              <w:right w:val="single" w:sz="4" w:space="0" w:color="auto"/>
            </w:tcBorders>
            <w:shd w:val="clear" w:color="auto" w:fill="auto"/>
            <w:noWrap/>
            <w:vAlign w:val="center"/>
          </w:tcPr>
          <w:p w14:paraId="44A89778" w14:textId="77777777" w:rsidR="00A82F1D" w:rsidRPr="00F0666B" w:rsidRDefault="00A82F1D" w:rsidP="004601C9">
            <w:pPr>
              <w:jc w:val="center"/>
              <w:rPr>
                <w:rFonts w:cs="Times New Roman"/>
                <w:color w:val="000000"/>
                <w:sz w:val="20"/>
                <w:szCs w:val="20"/>
              </w:rPr>
            </w:pPr>
            <w:r w:rsidRPr="00AE5F4A">
              <w:rPr>
                <w:rFonts w:cs="Times New Roman"/>
                <w:color w:val="000000"/>
                <w:sz w:val="20"/>
                <w:szCs w:val="20"/>
              </w:rPr>
              <w:t>--</w:t>
            </w:r>
          </w:p>
        </w:tc>
        <w:tc>
          <w:tcPr>
            <w:tcW w:w="931" w:type="dxa"/>
            <w:tcBorders>
              <w:top w:val="double" w:sz="4" w:space="0" w:color="auto"/>
              <w:left w:val="nil"/>
              <w:bottom w:val="single" w:sz="4" w:space="0" w:color="auto"/>
              <w:right w:val="single" w:sz="4" w:space="0" w:color="auto"/>
            </w:tcBorders>
            <w:shd w:val="clear" w:color="auto" w:fill="auto"/>
            <w:noWrap/>
            <w:vAlign w:val="center"/>
          </w:tcPr>
          <w:p w14:paraId="12C7AF9D" w14:textId="77777777" w:rsidR="00A82F1D" w:rsidRPr="00F0666B" w:rsidRDefault="00A82F1D" w:rsidP="004601C9">
            <w:pPr>
              <w:jc w:val="center"/>
              <w:rPr>
                <w:rFonts w:cs="Times New Roman"/>
                <w:color w:val="000000"/>
                <w:sz w:val="20"/>
                <w:szCs w:val="20"/>
              </w:rPr>
            </w:pPr>
            <w:r w:rsidRPr="00AE5F4A">
              <w:rPr>
                <w:rFonts w:cs="Times New Roman"/>
                <w:color w:val="000000"/>
                <w:sz w:val="20"/>
                <w:szCs w:val="20"/>
              </w:rPr>
              <w:t>--</w:t>
            </w:r>
          </w:p>
        </w:tc>
        <w:tc>
          <w:tcPr>
            <w:tcW w:w="916" w:type="dxa"/>
            <w:gridSpan w:val="2"/>
            <w:tcBorders>
              <w:top w:val="double" w:sz="4" w:space="0" w:color="auto"/>
              <w:left w:val="nil"/>
              <w:bottom w:val="single" w:sz="4" w:space="0" w:color="auto"/>
              <w:right w:val="single" w:sz="4" w:space="0" w:color="auto"/>
            </w:tcBorders>
            <w:shd w:val="clear" w:color="auto" w:fill="auto"/>
            <w:noWrap/>
            <w:vAlign w:val="center"/>
          </w:tcPr>
          <w:p w14:paraId="11A8C56C" w14:textId="77777777" w:rsidR="00A82F1D" w:rsidRPr="00F0666B" w:rsidRDefault="00A82F1D" w:rsidP="004601C9">
            <w:pPr>
              <w:jc w:val="center"/>
              <w:rPr>
                <w:rFonts w:cs="Times New Roman"/>
                <w:color w:val="000000"/>
                <w:sz w:val="20"/>
                <w:szCs w:val="20"/>
              </w:rPr>
            </w:pPr>
            <w:r w:rsidRPr="00A4250B">
              <w:rPr>
                <w:rFonts w:cs="Times New Roman"/>
                <w:color w:val="000000"/>
                <w:sz w:val="20"/>
                <w:szCs w:val="20"/>
              </w:rPr>
              <w:t>0.114</w:t>
            </w:r>
          </w:p>
        </w:tc>
        <w:tc>
          <w:tcPr>
            <w:tcW w:w="884" w:type="dxa"/>
            <w:tcBorders>
              <w:top w:val="double" w:sz="4" w:space="0" w:color="auto"/>
              <w:left w:val="nil"/>
              <w:bottom w:val="single" w:sz="4" w:space="0" w:color="auto"/>
              <w:right w:val="double" w:sz="4" w:space="0" w:color="auto"/>
            </w:tcBorders>
            <w:shd w:val="clear" w:color="auto" w:fill="auto"/>
            <w:noWrap/>
            <w:vAlign w:val="center"/>
          </w:tcPr>
          <w:p w14:paraId="12AA7A3B" w14:textId="77777777" w:rsidR="00A82F1D" w:rsidRPr="00F0666B" w:rsidRDefault="00A82F1D" w:rsidP="004601C9">
            <w:pPr>
              <w:jc w:val="center"/>
              <w:rPr>
                <w:rFonts w:cs="Times New Roman"/>
                <w:color w:val="000000"/>
                <w:sz w:val="20"/>
                <w:szCs w:val="20"/>
              </w:rPr>
            </w:pPr>
            <w:r w:rsidRPr="00A4250B">
              <w:rPr>
                <w:rFonts w:cs="Times New Roman"/>
                <w:color w:val="000000"/>
                <w:sz w:val="20"/>
                <w:szCs w:val="20"/>
              </w:rPr>
              <w:t>6.279</w:t>
            </w:r>
          </w:p>
        </w:tc>
      </w:tr>
      <w:tr w:rsidR="00A82F1D" w:rsidRPr="00E75453" w14:paraId="12B930B3" w14:textId="77777777" w:rsidTr="004601C9">
        <w:trPr>
          <w:trHeight w:val="300"/>
        </w:trPr>
        <w:tc>
          <w:tcPr>
            <w:tcW w:w="1965" w:type="dxa"/>
            <w:tcBorders>
              <w:top w:val="nil"/>
              <w:left w:val="double" w:sz="4" w:space="0" w:color="auto"/>
              <w:bottom w:val="single" w:sz="4" w:space="0" w:color="auto"/>
              <w:right w:val="single" w:sz="4" w:space="0" w:color="auto"/>
            </w:tcBorders>
            <w:shd w:val="clear" w:color="auto" w:fill="auto"/>
            <w:noWrap/>
            <w:vAlign w:val="center"/>
            <w:hideMark/>
          </w:tcPr>
          <w:p w14:paraId="31CEC143" w14:textId="77777777" w:rsidR="00A82F1D" w:rsidRPr="00E75453" w:rsidRDefault="00A82F1D" w:rsidP="004601C9">
            <w:pPr>
              <w:ind w:left="150"/>
              <w:rPr>
                <w:rFonts w:eastAsia="Times New Roman" w:cs="Times New Roman"/>
                <w:color w:val="000000"/>
                <w:sz w:val="20"/>
                <w:szCs w:val="20"/>
              </w:rPr>
            </w:pPr>
            <w:r w:rsidRPr="00240799">
              <w:rPr>
                <w:rFonts w:eastAsia="Times New Roman" w:cs="Times New Roman"/>
                <w:color w:val="000000"/>
                <w:sz w:val="20"/>
                <w:szCs w:val="20"/>
              </w:rPr>
              <w:t>Office area</w:t>
            </w:r>
            <w:r>
              <w:rPr>
                <w:rFonts w:eastAsia="Times New Roman" w:cs="Times New Roman"/>
                <w:color w:val="000000"/>
                <w:sz w:val="20"/>
                <w:szCs w:val="20"/>
              </w:rPr>
              <w:t xml:space="preserve"> (2)</w:t>
            </w:r>
          </w:p>
        </w:tc>
        <w:tc>
          <w:tcPr>
            <w:tcW w:w="916" w:type="dxa"/>
            <w:tcBorders>
              <w:top w:val="nil"/>
              <w:left w:val="nil"/>
              <w:bottom w:val="single" w:sz="4" w:space="0" w:color="auto"/>
              <w:right w:val="single" w:sz="4" w:space="0" w:color="auto"/>
            </w:tcBorders>
            <w:shd w:val="clear" w:color="auto" w:fill="auto"/>
            <w:noWrap/>
            <w:vAlign w:val="center"/>
            <w:hideMark/>
          </w:tcPr>
          <w:p w14:paraId="63D8EFCB" w14:textId="77777777" w:rsidR="00A82F1D" w:rsidRPr="00F0666B" w:rsidRDefault="00A82F1D" w:rsidP="004601C9">
            <w:pPr>
              <w:jc w:val="center"/>
              <w:rPr>
                <w:rFonts w:cs="Times New Roman"/>
                <w:color w:val="000000"/>
                <w:sz w:val="20"/>
                <w:szCs w:val="20"/>
              </w:rPr>
            </w:pPr>
            <w:r w:rsidRPr="00A4250B">
              <w:rPr>
                <w:rFonts w:cs="Times New Roman"/>
                <w:color w:val="000000"/>
                <w:sz w:val="20"/>
                <w:szCs w:val="20"/>
              </w:rPr>
              <w:t>0.148</w:t>
            </w:r>
          </w:p>
        </w:tc>
        <w:tc>
          <w:tcPr>
            <w:tcW w:w="879" w:type="dxa"/>
            <w:tcBorders>
              <w:top w:val="nil"/>
              <w:left w:val="nil"/>
              <w:bottom w:val="single" w:sz="4" w:space="0" w:color="auto"/>
              <w:right w:val="single" w:sz="4" w:space="0" w:color="auto"/>
            </w:tcBorders>
            <w:shd w:val="clear" w:color="auto" w:fill="auto"/>
            <w:noWrap/>
            <w:vAlign w:val="center"/>
            <w:hideMark/>
          </w:tcPr>
          <w:p w14:paraId="14743164" w14:textId="77777777" w:rsidR="00A82F1D" w:rsidRPr="00F0666B" w:rsidRDefault="00A82F1D" w:rsidP="004601C9">
            <w:pPr>
              <w:jc w:val="center"/>
              <w:rPr>
                <w:rFonts w:cs="Times New Roman"/>
                <w:color w:val="000000"/>
                <w:sz w:val="20"/>
                <w:szCs w:val="20"/>
              </w:rPr>
            </w:pPr>
            <w:r w:rsidRPr="00A4250B">
              <w:rPr>
                <w:rFonts w:cs="Times New Roman"/>
                <w:color w:val="000000"/>
                <w:sz w:val="20"/>
                <w:szCs w:val="20"/>
              </w:rPr>
              <w:t>10.384</w:t>
            </w:r>
          </w:p>
        </w:tc>
        <w:tc>
          <w:tcPr>
            <w:tcW w:w="916" w:type="dxa"/>
            <w:gridSpan w:val="2"/>
            <w:tcBorders>
              <w:top w:val="nil"/>
              <w:left w:val="nil"/>
              <w:bottom w:val="single" w:sz="4" w:space="0" w:color="auto"/>
              <w:right w:val="single" w:sz="4" w:space="0" w:color="auto"/>
            </w:tcBorders>
            <w:shd w:val="clear" w:color="auto" w:fill="auto"/>
            <w:noWrap/>
            <w:vAlign w:val="center"/>
            <w:hideMark/>
          </w:tcPr>
          <w:p w14:paraId="4897795B" w14:textId="77777777" w:rsidR="00A82F1D" w:rsidRPr="00F0666B" w:rsidRDefault="00A82F1D" w:rsidP="004601C9">
            <w:pPr>
              <w:jc w:val="center"/>
              <w:rPr>
                <w:rFonts w:cs="Times New Roman"/>
                <w:color w:val="000000"/>
                <w:sz w:val="20"/>
                <w:szCs w:val="20"/>
              </w:rPr>
            </w:pPr>
            <w:r w:rsidRPr="0024037E">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76178274" w14:textId="77777777" w:rsidR="00A82F1D" w:rsidRPr="00F0666B" w:rsidRDefault="00A82F1D" w:rsidP="004601C9">
            <w:pPr>
              <w:jc w:val="center"/>
              <w:rPr>
                <w:rFonts w:cs="Times New Roman"/>
                <w:color w:val="000000"/>
                <w:sz w:val="20"/>
                <w:szCs w:val="20"/>
              </w:rPr>
            </w:pPr>
            <w:r w:rsidRPr="0024037E">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hideMark/>
          </w:tcPr>
          <w:p w14:paraId="7EF499A4" w14:textId="77777777" w:rsidR="00A82F1D" w:rsidRPr="00F0666B" w:rsidRDefault="00A82F1D" w:rsidP="004601C9">
            <w:pPr>
              <w:jc w:val="center"/>
              <w:rPr>
                <w:rFonts w:cs="Times New Roman"/>
                <w:color w:val="000000"/>
                <w:sz w:val="20"/>
                <w:szCs w:val="20"/>
              </w:rPr>
            </w:pPr>
            <w:r w:rsidRPr="00A4250B">
              <w:rPr>
                <w:rFonts w:cs="Times New Roman"/>
                <w:color w:val="000000"/>
                <w:sz w:val="20"/>
                <w:szCs w:val="20"/>
              </w:rPr>
              <w:t>0.148</w:t>
            </w:r>
          </w:p>
        </w:tc>
        <w:tc>
          <w:tcPr>
            <w:tcW w:w="900" w:type="dxa"/>
            <w:tcBorders>
              <w:top w:val="nil"/>
              <w:left w:val="nil"/>
              <w:bottom w:val="single" w:sz="4" w:space="0" w:color="auto"/>
              <w:right w:val="single" w:sz="4" w:space="0" w:color="auto"/>
            </w:tcBorders>
            <w:shd w:val="clear" w:color="auto" w:fill="auto"/>
            <w:noWrap/>
            <w:vAlign w:val="center"/>
            <w:hideMark/>
          </w:tcPr>
          <w:p w14:paraId="08B73260" w14:textId="77777777" w:rsidR="00A82F1D" w:rsidRPr="00F0666B" w:rsidRDefault="00A82F1D" w:rsidP="004601C9">
            <w:pPr>
              <w:jc w:val="center"/>
              <w:rPr>
                <w:rFonts w:cs="Times New Roman"/>
                <w:color w:val="000000"/>
                <w:sz w:val="20"/>
                <w:szCs w:val="20"/>
              </w:rPr>
            </w:pPr>
            <w:r w:rsidRPr="00A4250B">
              <w:rPr>
                <w:rFonts w:cs="Times New Roman"/>
                <w:color w:val="000000"/>
                <w:sz w:val="20"/>
                <w:szCs w:val="20"/>
              </w:rPr>
              <w:t>10.384</w:t>
            </w:r>
          </w:p>
        </w:tc>
        <w:tc>
          <w:tcPr>
            <w:tcW w:w="916" w:type="dxa"/>
            <w:tcBorders>
              <w:top w:val="nil"/>
              <w:left w:val="nil"/>
              <w:bottom w:val="single" w:sz="4" w:space="0" w:color="auto"/>
              <w:right w:val="single" w:sz="4" w:space="0" w:color="auto"/>
            </w:tcBorders>
            <w:shd w:val="clear" w:color="auto" w:fill="auto"/>
            <w:noWrap/>
            <w:vAlign w:val="center"/>
            <w:hideMark/>
          </w:tcPr>
          <w:p w14:paraId="771441D9" w14:textId="77777777" w:rsidR="00A82F1D" w:rsidRPr="00F0666B" w:rsidRDefault="00A82F1D" w:rsidP="004601C9">
            <w:pPr>
              <w:jc w:val="center"/>
              <w:rPr>
                <w:rFonts w:cs="Times New Roman"/>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hideMark/>
          </w:tcPr>
          <w:p w14:paraId="5F2F0BC7" w14:textId="77777777" w:rsidR="00A82F1D" w:rsidRPr="00F0666B" w:rsidRDefault="00A82F1D" w:rsidP="004601C9">
            <w:pPr>
              <w:jc w:val="center"/>
              <w:rPr>
                <w:rFonts w:cs="Times New Roman"/>
                <w:color w:val="000000"/>
                <w:sz w:val="20"/>
                <w:szCs w:val="20"/>
              </w:rPr>
            </w:pPr>
          </w:p>
        </w:tc>
        <w:tc>
          <w:tcPr>
            <w:tcW w:w="916" w:type="dxa"/>
            <w:tcBorders>
              <w:top w:val="nil"/>
              <w:left w:val="nil"/>
              <w:bottom w:val="single" w:sz="4" w:space="0" w:color="auto"/>
              <w:right w:val="single" w:sz="4" w:space="0" w:color="auto"/>
            </w:tcBorders>
            <w:shd w:val="clear" w:color="auto" w:fill="auto"/>
            <w:noWrap/>
            <w:vAlign w:val="center"/>
            <w:hideMark/>
          </w:tcPr>
          <w:p w14:paraId="2AE3CB81" w14:textId="77777777" w:rsidR="00A82F1D" w:rsidRPr="00F0666B" w:rsidRDefault="00A82F1D" w:rsidP="004601C9">
            <w:pPr>
              <w:jc w:val="center"/>
              <w:rPr>
                <w:rFonts w:cs="Times New Roman"/>
                <w:color w:val="000000"/>
                <w:sz w:val="20"/>
                <w:szCs w:val="20"/>
              </w:rPr>
            </w:pPr>
            <w:r w:rsidRPr="00AE5F4A">
              <w:rPr>
                <w:rFonts w:cs="Times New Roman"/>
                <w:color w:val="000000"/>
                <w:sz w:val="20"/>
                <w:szCs w:val="20"/>
              </w:rPr>
              <w:t>--</w:t>
            </w:r>
          </w:p>
        </w:tc>
        <w:tc>
          <w:tcPr>
            <w:tcW w:w="931" w:type="dxa"/>
            <w:tcBorders>
              <w:top w:val="nil"/>
              <w:left w:val="nil"/>
              <w:bottom w:val="single" w:sz="4" w:space="0" w:color="auto"/>
              <w:right w:val="single" w:sz="4" w:space="0" w:color="auto"/>
            </w:tcBorders>
            <w:shd w:val="clear" w:color="auto" w:fill="auto"/>
            <w:noWrap/>
            <w:vAlign w:val="center"/>
            <w:hideMark/>
          </w:tcPr>
          <w:p w14:paraId="0002D129" w14:textId="77777777" w:rsidR="00A82F1D" w:rsidRPr="00F0666B" w:rsidRDefault="00A82F1D" w:rsidP="004601C9">
            <w:pPr>
              <w:jc w:val="center"/>
              <w:rPr>
                <w:rFonts w:cs="Times New Roman"/>
                <w:color w:val="000000"/>
                <w:sz w:val="20"/>
                <w:szCs w:val="20"/>
              </w:rPr>
            </w:pPr>
            <w:r w:rsidRPr="00AE5F4A">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hideMark/>
          </w:tcPr>
          <w:p w14:paraId="071EB557" w14:textId="77777777" w:rsidR="00A82F1D" w:rsidRPr="00F0666B" w:rsidRDefault="00A82F1D" w:rsidP="004601C9">
            <w:pPr>
              <w:jc w:val="center"/>
              <w:rPr>
                <w:rFonts w:cs="Times New Roman"/>
                <w:color w:val="000000"/>
                <w:sz w:val="20"/>
                <w:szCs w:val="20"/>
              </w:rPr>
            </w:pPr>
            <w:r w:rsidRPr="00FA7C43">
              <w:rPr>
                <w:rFonts w:cs="Times New Roman"/>
                <w:color w:val="000000"/>
                <w:sz w:val="20"/>
                <w:szCs w:val="20"/>
              </w:rPr>
              <w:t>0.1</w:t>
            </w:r>
            <w:r>
              <w:rPr>
                <w:rFonts w:cs="Times New Roman"/>
                <w:color w:val="000000"/>
                <w:sz w:val="20"/>
                <w:szCs w:val="20"/>
              </w:rPr>
              <w:t>27</w:t>
            </w:r>
          </w:p>
        </w:tc>
        <w:tc>
          <w:tcPr>
            <w:tcW w:w="884" w:type="dxa"/>
            <w:tcBorders>
              <w:top w:val="nil"/>
              <w:left w:val="nil"/>
              <w:bottom w:val="single" w:sz="4" w:space="0" w:color="auto"/>
              <w:right w:val="double" w:sz="4" w:space="0" w:color="auto"/>
            </w:tcBorders>
            <w:shd w:val="clear" w:color="auto" w:fill="auto"/>
            <w:noWrap/>
            <w:vAlign w:val="center"/>
            <w:hideMark/>
          </w:tcPr>
          <w:p w14:paraId="401F7ADC" w14:textId="77777777" w:rsidR="00A82F1D" w:rsidRPr="00F0666B" w:rsidRDefault="00A82F1D" w:rsidP="004601C9">
            <w:pPr>
              <w:jc w:val="center"/>
              <w:rPr>
                <w:rFonts w:cs="Times New Roman"/>
                <w:color w:val="000000"/>
                <w:sz w:val="20"/>
                <w:szCs w:val="20"/>
              </w:rPr>
            </w:pPr>
            <w:r w:rsidRPr="00FA7C43">
              <w:rPr>
                <w:rFonts w:cs="Times New Roman"/>
                <w:color w:val="000000"/>
                <w:sz w:val="20"/>
                <w:szCs w:val="20"/>
              </w:rPr>
              <w:t>7.389</w:t>
            </w:r>
          </w:p>
        </w:tc>
      </w:tr>
      <w:tr w:rsidR="00A82F1D" w:rsidRPr="00E75453" w14:paraId="300C8E4F" w14:textId="77777777" w:rsidTr="004601C9">
        <w:trPr>
          <w:trHeight w:val="300"/>
        </w:trPr>
        <w:tc>
          <w:tcPr>
            <w:tcW w:w="1965" w:type="dxa"/>
            <w:tcBorders>
              <w:top w:val="nil"/>
              <w:left w:val="double" w:sz="4" w:space="0" w:color="auto"/>
              <w:bottom w:val="single" w:sz="4" w:space="0" w:color="auto"/>
              <w:right w:val="single" w:sz="4" w:space="0" w:color="auto"/>
            </w:tcBorders>
            <w:shd w:val="clear" w:color="auto" w:fill="auto"/>
            <w:noWrap/>
            <w:vAlign w:val="center"/>
            <w:hideMark/>
          </w:tcPr>
          <w:p w14:paraId="658DF72D" w14:textId="77777777" w:rsidR="00A82F1D" w:rsidRPr="00E75453" w:rsidRDefault="00A82F1D" w:rsidP="004601C9">
            <w:pPr>
              <w:ind w:left="150"/>
              <w:rPr>
                <w:rFonts w:eastAsia="Times New Roman" w:cs="Times New Roman"/>
                <w:color w:val="000000"/>
                <w:sz w:val="20"/>
                <w:szCs w:val="20"/>
              </w:rPr>
            </w:pPr>
            <w:r w:rsidRPr="00240799">
              <w:rPr>
                <w:rFonts w:eastAsia="Times New Roman" w:cs="Times New Roman"/>
                <w:color w:val="000000"/>
                <w:sz w:val="20"/>
                <w:szCs w:val="20"/>
              </w:rPr>
              <w:t>Residential area</w:t>
            </w:r>
            <w:r>
              <w:rPr>
                <w:rFonts w:eastAsia="Times New Roman" w:cs="Times New Roman"/>
                <w:color w:val="000000"/>
                <w:sz w:val="20"/>
                <w:szCs w:val="20"/>
              </w:rPr>
              <w:t xml:space="preserve"> (1)</w:t>
            </w:r>
          </w:p>
        </w:tc>
        <w:tc>
          <w:tcPr>
            <w:tcW w:w="916" w:type="dxa"/>
            <w:tcBorders>
              <w:top w:val="nil"/>
              <w:left w:val="nil"/>
              <w:bottom w:val="single" w:sz="4" w:space="0" w:color="auto"/>
              <w:right w:val="single" w:sz="4" w:space="0" w:color="auto"/>
            </w:tcBorders>
            <w:shd w:val="clear" w:color="auto" w:fill="auto"/>
            <w:noWrap/>
            <w:vAlign w:val="center"/>
            <w:hideMark/>
          </w:tcPr>
          <w:p w14:paraId="12506360" w14:textId="77777777" w:rsidR="00A82F1D" w:rsidRPr="00F0666B" w:rsidRDefault="00A82F1D" w:rsidP="004601C9">
            <w:pPr>
              <w:jc w:val="center"/>
              <w:rPr>
                <w:rFonts w:cs="Times New Roman"/>
                <w:color w:val="000000"/>
                <w:sz w:val="20"/>
                <w:szCs w:val="20"/>
              </w:rPr>
            </w:pPr>
            <w:r w:rsidRPr="00C83D6A">
              <w:rPr>
                <w:rFonts w:cs="Times New Roman"/>
                <w:color w:val="000000"/>
                <w:sz w:val="20"/>
                <w:szCs w:val="20"/>
              </w:rPr>
              <w:t>--</w:t>
            </w:r>
          </w:p>
        </w:tc>
        <w:tc>
          <w:tcPr>
            <w:tcW w:w="879" w:type="dxa"/>
            <w:tcBorders>
              <w:top w:val="nil"/>
              <w:left w:val="nil"/>
              <w:bottom w:val="single" w:sz="4" w:space="0" w:color="auto"/>
              <w:right w:val="single" w:sz="4" w:space="0" w:color="auto"/>
            </w:tcBorders>
            <w:shd w:val="clear" w:color="auto" w:fill="auto"/>
            <w:noWrap/>
            <w:vAlign w:val="center"/>
            <w:hideMark/>
          </w:tcPr>
          <w:p w14:paraId="31010E2D" w14:textId="77777777" w:rsidR="00A82F1D" w:rsidRPr="00F0666B" w:rsidRDefault="00A82F1D" w:rsidP="004601C9">
            <w:pPr>
              <w:jc w:val="center"/>
              <w:rPr>
                <w:rFonts w:cs="Times New Roman"/>
                <w:color w:val="000000"/>
                <w:sz w:val="20"/>
                <w:szCs w:val="20"/>
              </w:rPr>
            </w:pPr>
            <w:r w:rsidRPr="00C83D6A">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hideMark/>
          </w:tcPr>
          <w:p w14:paraId="1089A5F3" w14:textId="77777777" w:rsidR="00A82F1D" w:rsidRPr="00F0666B" w:rsidRDefault="00A82F1D" w:rsidP="004601C9">
            <w:pPr>
              <w:jc w:val="center"/>
              <w:rPr>
                <w:rFonts w:cs="Times New Roman"/>
                <w:color w:val="000000"/>
                <w:sz w:val="20"/>
                <w:szCs w:val="20"/>
              </w:rPr>
            </w:pPr>
            <w:r w:rsidRPr="0024037E">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0BB00757" w14:textId="77777777" w:rsidR="00A82F1D" w:rsidRPr="00F0666B" w:rsidRDefault="00A82F1D" w:rsidP="004601C9">
            <w:pPr>
              <w:jc w:val="center"/>
              <w:rPr>
                <w:rFonts w:cs="Times New Roman"/>
                <w:color w:val="000000"/>
                <w:sz w:val="20"/>
                <w:szCs w:val="20"/>
              </w:rPr>
            </w:pPr>
            <w:r w:rsidRPr="0024037E">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hideMark/>
          </w:tcPr>
          <w:p w14:paraId="7B164096" w14:textId="77777777" w:rsidR="00A82F1D" w:rsidRPr="00F0666B" w:rsidRDefault="00A82F1D" w:rsidP="004601C9">
            <w:pPr>
              <w:jc w:val="center"/>
              <w:rPr>
                <w:rFonts w:cs="Times New Roman"/>
                <w:color w:val="000000"/>
                <w:sz w:val="20"/>
                <w:szCs w:val="20"/>
              </w:rPr>
            </w:pPr>
            <w:r w:rsidRPr="00A4250B">
              <w:rPr>
                <w:rFonts w:cs="Times New Roman"/>
                <w:color w:val="000000"/>
                <w:sz w:val="20"/>
                <w:szCs w:val="20"/>
              </w:rPr>
              <w:t>-0.077</w:t>
            </w:r>
          </w:p>
        </w:tc>
        <w:tc>
          <w:tcPr>
            <w:tcW w:w="900" w:type="dxa"/>
            <w:tcBorders>
              <w:top w:val="nil"/>
              <w:left w:val="nil"/>
              <w:bottom w:val="single" w:sz="4" w:space="0" w:color="auto"/>
              <w:right w:val="single" w:sz="4" w:space="0" w:color="auto"/>
            </w:tcBorders>
            <w:shd w:val="clear" w:color="auto" w:fill="auto"/>
            <w:noWrap/>
            <w:vAlign w:val="center"/>
            <w:hideMark/>
          </w:tcPr>
          <w:p w14:paraId="1FB8AC3C" w14:textId="77777777" w:rsidR="00A82F1D" w:rsidRPr="00F0666B" w:rsidRDefault="00A82F1D" w:rsidP="004601C9">
            <w:pPr>
              <w:jc w:val="center"/>
              <w:rPr>
                <w:rFonts w:cs="Times New Roman"/>
                <w:color w:val="000000"/>
                <w:sz w:val="20"/>
                <w:szCs w:val="20"/>
              </w:rPr>
            </w:pPr>
            <w:r w:rsidRPr="00A4250B">
              <w:rPr>
                <w:rFonts w:cs="Times New Roman"/>
                <w:color w:val="000000"/>
                <w:sz w:val="20"/>
                <w:szCs w:val="20"/>
              </w:rPr>
              <w:t>-6.915</w:t>
            </w:r>
          </w:p>
        </w:tc>
        <w:tc>
          <w:tcPr>
            <w:tcW w:w="916" w:type="dxa"/>
            <w:tcBorders>
              <w:top w:val="nil"/>
              <w:left w:val="nil"/>
              <w:bottom w:val="single" w:sz="4" w:space="0" w:color="auto"/>
              <w:right w:val="single" w:sz="4" w:space="0" w:color="auto"/>
            </w:tcBorders>
            <w:shd w:val="clear" w:color="auto" w:fill="auto"/>
            <w:noWrap/>
            <w:vAlign w:val="center"/>
            <w:hideMark/>
          </w:tcPr>
          <w:p w14:paraId="0AB44973" w14:textId="77777777" w:rsidR="00A82F1D" w:rsidRPr="00F0666B" w:rsidRDefault="00A82F1D" w:rsidP="004601C9">
            <w:pPr>
              <w:jc w:val="center"/>
              <w:rPr>
                <w:rFonts w:cs="Times New Roman"/>
                <w:color w:val="000000"/>
                <w:sz w:val="20"/>
                <w:szCs w:val="20"/>
              </w:rPr>
            </w:pPr>
            <w:r w:rsidRPr="00A4250B">
              <w:rPr>
                <w:rFonts w:cs="Times New Roman"/>
                <w:color w:val="000000"/>
                <w:sz w:val="20"/>
                <w:szCs w:val="20"/>
              </w:rPr>
              <w:t>-0.077</w:t>
            </w:r>
          </w:p>
        </w:tc>
        <w:tc>
          <w:tcPr>
            <w:tcW w:w="900" w:type="dxa"/>
            <w:tcBorders>
              <w:top w:val="nil"/>
              <w:left w:val="nil"/>
              <w:bottom w:val="single" w:sz="4" w:space="0" w:color="auto"/>
              <w:right w:val="single" w:sz="4" w:space="0" w:color="auto"/>
            </w:tcBorders>
            <w:shd w:val="clear" w:color="auto" w:fill="auto"/>
            <w:noWrap/>
            <w:vAlign w:val="center"/>
            <w:hideMark/>
          </w:tcPr>
          <w:p w14:paraId="4172777A" w14:textId="77777777" w:rsidR="00A82F1D" w:rsidRPr="00F0666B" w:rsidRDefault="00A82F1D" w:rsidP="004601C9">
            <w:pPr>
              <w:jc w:val="center"/>
              <w:rPr>
                <w:rFonts w:cs="Times New Roman"/>
                <w:color w:val="000000"/>
                <w:sz w:val="20"/>
                <w:szCs w:val="20"/>
              </w:rPr>
            </w:pPr>
            <w:r w:rsidRPr="00A4250B">
              <w:rPr>
                <w:rFonts w:cs="Times New Roman"/>
                <w:color w:val="000000"/>
                <w:sz w:val="20"/>
                <w:szCs w:val="20"/>
              </w:rPr>
              <w:t>-6.915</w:t>
            </w:r>
          </w:p>
        </w:tc>
        <w:tc>
          <w:tcPr>
            <w:tcW w:w="916" w:type="dxa"/>
            <w:tcBorders>
              <w:top w:val="nil"/>
              <w:left w:val="nil"/>
              <w:bottom w:val="single" w:sz="4" w:space="0" w:color="auto"/>
              <w:right w:val="single" w:sz="4" w:space="0" w:color="auto"/>
            </w:tcBorders>
            <w:shd w:val="clear" w:color="auto" w:fill="auto"/>
            <w:noWrap/>
            <w:vAlign w:val="center"/>
            <w:hideMark/>
          </w:tcPr>
          <w:p w14:paraId="5F5E4DB9" w14:textId="77777777" w:rsidR="00A82F1D" w:rsidRPr="00F0666B" w:rsidRDefault="00A82F1D" w:rsidP="004601C9">
            <w:pPr>
              <w:jc w:val="center"/>
              <w:rPr>
                <w:rFonts w:cs="Times New Roman"/>
                <w:color w:val="000000"/>
                <w:sz w:val="20"/>
                <w:szCs w:val="20"/>
              </w:rPr>
            </w:pPr>
            <w:r w:rsidRPr="00AE5F4A">
              <w:rPr>
                <w:rFonts w:cs="Times New Roman"/>
                <w:color w:val="000000"/>
                <w:sz w:val="20"/>
                <w:szCs w:val="20"/>
              </w:rPr>
              <w:t>--</w:t>
            </w:r>
          </w:p>
        </w:tc>
        <w:tc>
          <w:tcPr>
            <w:tcW w:w="931" w:type="dxa"/>
            <w:tcBorders>
              <w:top w:val="nil"/>
              <w:left w:val="nil"/>
              <w:bottom w:val="single" w:sz="4" w:space="0" w:color="auto"/>
              <w:right w:val="single" w:sz="4" w:space="0" w:color="auto"/>
            </w:tcBorders>
            <w:shd w:val="clear" w:color="auto" w:fill="auto"/>
            <w:noWrap/>
            <w:vAlign w:val="center"/>
            <w:hideMark/>
          </w:tcPr>
          <w:p w14:paraId="3FD89A35" w14:textId="77777777" w:rsidR="00A82F1D" w:rsidRPr="00F0666B" w:rsidRDefault="00A82F1D" w:rsidP="004601C9">
            <w:pPr>
              <w:jc w:val="center"/>
              <w:rPr>
                <w:rFonts w:cs="Times New Roman"/>
                <w:color w:val="000000"/>
                <w:sz w:val="20"/>
                <w:szCs w:val="20"/>
              </w:rPr>
            </w:pPr>
            <w:r w:rsidRPr="00AE5F4A">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hideMark/>
          </w:tcPr>
          <w:p w14:paraId="73A0C196" w14:textId="77777777" w:rsidR="00A82F1D" w:rsidRPr="00F0666B" w:rsidRDefault="00A82F1D" w:rsidP="004601C9">
            <w:pPr>
              <w:jc w:val="center"/>
              <w:rPr>
                <w:rFonts w:cs="Times New Roman"/>
                <w:color w:val="000000"/>
                <w:sz w:val="20"/>
                <w:szCs w:val="20"/>
              </w:rPr>
            </w:pPr>
            <w:r w:rsidRPr="00AE00A7">
              <w:rPr>
                <w:rFonts w:cs="Times New Roman"/>
                <w:color w:val="000000"/>
                <w:sz w:val="20"/>
                <w:szCs w:val="20"/>
              </w:rPr>
              <w:t>--</w:t>
            </w:r>
          </w:p>
        </w:tc>
        <w:tc>
          <w:tcPr>
            <w:tcW w:w="884" w:type="dxa"/>
            <w:tcBorders>
              <w:top w:val="nil"/>
              <w:left w:val="nil"/>
              <w:bottom w:val="single" w:sz="4" w:space="0" w:color="auto"/>
              <w:right w:val="double" w:sz="4" w:space="0" w:color="auto"/>
            </w:tcBorders>
            <w:shd w:val="clear" w:color="auto" w:fill="auto"/>
            <w:noWrap/>
            <w:vAlign w:val="center"/>
            <w:hideMark/>
          </w:tcPr>
          <w:p w14:paraId="792F8BA1" w14:textId="77777777" w:rsidR="00A82F1D" w:rsidRPr="00F0666B" w:rsidRDefault="00A82F1D" w:rsidP="004601C9">
            <w:pPr>
              <w:jc w:val="center"/>
              <w:rPr>
                <w:rFonts w:cs="Times New Roman"/>
                <w:color w:val="000000"/>
                <w:sz w:val="20"/>
                <w:szCs w:val="20"/>
              </w:rPr>
            </w:pPr>
            <w:r w:rsidRPr="00AE00A7">
              <w:rPr>
                <w:rFonts w:cs="Times New Roman"/>
                <w:color w:val="000000"/>
                <w:sz w:val="20"/>
                <w:szCs w:val="20"/>
              </w:rPr>
              <w:t>--</w:t>
            </w:r>
          </w:p>
        </w:tc>
      </w:tr>
      <w:tr w:rsidR="00A82F1D" w:rsidRPr="00E75453" w14:paraId="0BE58516" w14:textId="77777777" w:rsidTr="004601C9">
        <w:trPr>
          <w:trHeight w:val="300"/>
        </w:trPr>
        <w:tc>
          <w:tcPr>
            <w:tcW w:w="12855" w:type="dxa"/>
            <w:gridSpan w:val="15"/>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6CBC390C" w14:textId="77777777" w:rsidR="00A82F1D" w:rsidRPr="00E75453" w:rsidRDefault="00A82F1D" w:rsidP="004601C9">
            <w:pPr>
              <w:rPr>
                <w:rFonts w:eastAsia="Times New Roman" w:cs="Times New Roman"/>
                <w:b/>
                <w:bCs/>
                <w:color w:val="000000"/>
                <w:sz w:val="20"/>
                <w:szCs w:val="20"/>
              </w:rPr>
            </w:pPr>
            <w:r w:rsidRPr="00E75453">
              <w:rPr>
                <w:rFonts w:eastAsia="Times New Roman" w:cs="Times New Roman"/>
                <w:b/>
                <w:bCs/>
                <w:color w:val="000000"/>
                <w:sz w:val="20"/>
                <w:szCs w:val="20"/>
              </w:rPr>
              <w:t>Built environment characteristic</w:t>
            </w:r>
          </w:p>
        </w:tc>
      </w:tr>
      <w:tr w:rsidR="00A82F1D" w:rsidRPr="00E75453" w14:paraId="05985789" w14:textId="77777777" w:rsidTr="004601C9">
        <w:trPr>
          <w:trHeight w:val="300"/>
        </w:trPr>
        <w:tc>
          <w:tcPr>
            <w:tcW w:w="1965" w:type="dxa"/>
            <w:tcBorders>
              <w:top w:val="double" w:sz="4" w:space="0" w:color="auto"/>
              <w:left w:val="double" w:sz="4" w:space="0" w:color="auto"/>
              <w:bottom w:val="single" w:sz="4" w:space="0" w:color="auto"/>
              <w:right w:val="single" w:sz="4" w:space="0" w:color="auto"/>
            </w:tcBorders>
            <w:shd w:val="clear" w:color="auto" w:fill="auto"/>
            <w:noWrap/>
            <w:vAlign w:val="center"/>
            <w:hideMark/>
          </w:tcPr>
          <w:p w14:paraId="7F2F5D0D" w14:textId="77777777" w:rsidR="00A82F1D" w:rsidRPr="00E75453" w:rsidRDefault="00A82F1D" w:rsidP="004601C9">
            <w:pPr>
              <w:ind w:left="150"/>
              <w:rPr>
                <w:rFonts w:eastAsia="Times New Roman" w:cs="Times New Roman"/>
                <w:color w:val="000000"/>
                <w:sz w:val="20"/>
                <w:szCs w:val="20"/>
              </w:rPr>
            </w:pPr>
            <w:r w:rsidRPr="00240799">
              <w:rPr>
                <w:rFonts w:eastAsia="Times New Roman" w:cs="Times New Roman"/>
                <w:color w:val="000000"/>
                <w:sz w:val="20"/>
                <w:szCs w:val="20"/>
              </w:rPr>
              <w:t>No. of restaurant</w:t>
            </w:r>
            <w:r>
              <w:rPr>
                <w:rFonts w:eastAsia="Times New Roman" w:cs="Times New Roman"/>
                <w:color w:val="000000"/>
                <w:sz w:val="20"/>
                <w:szCs w:val="20"/>
              </w:rPr>
              <w:t>s (3)</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5711C78A" w14:textId="77777777" w:rsidR="00A82F1D" w:rsidRPr="00907452" w:rsidRDefault="00A82F1D" w:rsidP="004601C9">
            <w:pPr>
              <w:jc w:val="center"/>
              <w:rPr>
                <w:rFonts w:cs="Times New Roman"/>
                <w:color w:val="000000"/>
                <w:sz w:val="20"/>
                <w:szCs w:val="20"/>
              </w:rPr>
            </w:pPr>
            <w:r w:rsidRPr="00A4250B">
              <w:rPr>
                <w:rFonts w:cs="Times New Roman"/>
                <w:color w:val="000000"/>
                <w:sz w:val="20"/>
                <w:szCs w:val="20"/>
              </w:rPr>
              <w:t>0.273</w:t>
            </w:r>
          </w:p>
        </w:tc>
        <w:tc>
          <w:tcPr>
            <w:tcW w:w="879" w:type="dxa"/>
            <w:tcBorders>
              <w:top w:val="double" w:sz="4" w:space="0" w:color="auto"/>
              <w:left w:val="nil"/>
              <w:bottom w:val="single" w:sz="4" w:space="0" w:color="auto"/>
              <w:right w:val="single" w:sz="4" w:space="0" w:color="auto"/>
            </w:tcBorders>
            <w:shd w:val="clear" w:color="auto" w:fill="auto"/>
            <w:noWrap/>
            <w:vAlign w:val="center"/>
            <w:hideMark/>
          </w:tcPr>
          <w:p w14:paraId="6020D0DF" w14:textId="77777777" w:rsidR="00A82F1D" w:rsidRPr="00907452" w:rsidRDefault="00A82F1D" w:rsidP="004601C9">
            <w:pPr>
              <w:jc w:val="center"/>
              <w:rPr>
                <w:rFonts w:cs="Times New Roman"/>
                <w:color w:val="000000"/>
                <w:sz w:val="20"/>
                <w:szCs w:val="20"/>
              </w:rPr>
            </w:pPr>
            <w:r w:rsidRPr="00A4250B">
              <w:rPr>
                <w:rFonts w:cs="Times New Roman"/>
                <w:color w:val="000000"/>
                <w:sz w:val="20"/>
                <w:szCs w:val="20"/>
              </w:rPr>
              <w:t>10.432</w:t>
            </w:r>
          </w:p>
        </w:tc>
        <w:tc>
          <w:tcPr>
            <w:tcW w:w="916" w:type="dxa"/>
            <w:gridSpan w:val="2"/>
            <w:tcBorders>
              <w:top w:val="double" w:sz="4" w:space="0" w:color="auto"/>
              <w:left w:val="nil"/>
              <w:bottom w:val="single" w:sz="4" w:space="0" w:color="auto"/>
              <w:right w:val="single" w:sz="4" w:space="0" w:color="auto"/>
            </w:tcBorders>
            <w:shd w:val="clear" w:color="auto" w:fill="auto"/>
            <w:noWrap/>
            <w:vAlign w:val="center"/>
            <w:hideMark/>
          </w:tcPr>
          <w:p w14:paraId="65F9EFBF" w14:textId="77777777" w:rsidR="00A82F1D" w:rsidRPr="00907452" w:rsidRDefault="00A82F1D" w:rsidP="004601C9">
            <w:pPr>
              <w:jc w:val="center"/>
              <w:rPr>
                <w:rFonts w:cs="Times New Roman"/>
                <w:color w:val="000000"/>
                <w:sz w:val="20"/>
                <w:szCs w:val="20"/>
              </w:rPr>
            </w:pPr>
            <w:r w:rsidRPr="00A37185">
              <w:rPr>
                <w:rFonts w:cs="Times New Roman"/>
                <w:color w:val="000000"/>
                <w:sz w:val="20"/>
                <w:szCs w:val="20"/>
              </w:rPr>
              <w:t>--</w:t>
            </w:r>
          </w:p>
        </w:tc>
        <w:tc>
          <w:tcPr>
            <w:tcW w:w="900" w:type="dxa"/>
            <w:tcBorders>
              <w:top w:val="double" w:sz="4" w:space="0" w:color="auto"/>
              <w:left w:val="nil"/>
              <w:bottom w:val="single" w:sz="4" w:space="0" w:color="auto"/>
              <w:right w:val="single" w:sz="4" w:space="0" w:color="auto"/>
            </w:tcBorders>
            <w:shd w:val="clear" w:color="auto" w:fill="auto"/>
            <w:noWrap/>
            <w:vAlign w:val="center"/>
            <w:hideMark/>
          </w:tcPr>
          <w:p w14:paraId="406F7271" w14:textId="77777777" w:rsidR="00A82F1D" w:rsidRPr="00907452" w:rsidRDefault="00A82F1D" w:rsidP="004601C9">
            <w:pPr>
              <w:jc w:val="center"/>
              <w:rPr>
                <w:rFonts w:cs="Times New Roman"/>
                <w:color w:val="000000"/>
                <w:sz w:val="20"/>
                <w:szCs w:val="20"/>
              </w:rPr>
            </w:pPr>
            <w:r w:rsidRPr="00A37185">
              <w:rPr>
                <w:rFonts w:cs="Times New Roman"/>
                <w:color w:val="000000"/>
                <w:sz w:val="20"/>
                <w:szCs w:val="20"/>
              </w:rPr>
              <w:t>--</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0E861CCA" w14:textId="77777777" w:rsidR="00A82F1D" w:rsidRPr="00907452" w:rsidRDefault="00A82F1D" w:rsidP="004601C9">
            <w:pPr>
              <w:jc w:val="center"/>
              <w:rPr>
                <w:rFonts w:cs="Times New Roman"/>
                <w:color w:val="000000"/>
                <w:sz w:val="20"/>
                <w:szCs w:val="20"/>
              </w:rPr>
            </w:pPr>
            <w:r w:rsidRPr="00A4250B">
              <w:rPr>
                <w:rFonts w:cs="Times New Roman"/>
                <w:color w:val="000000"/>
                <w:sz w:val="20"/>
                <w:szCs w:val="20"/>
              </w:rPr>
              <w:t>0.084</w:t>
            </w:r>
          </w:p>
        </w:tc>
        <w:tc>
          <w:tcPr>
            <w:tcW w:w="900" w:type="dxa"/>
            <w:tcBorders>
              <w:top w:val="double" w:sz="4" w:space="0" w:color="auto"/>
              <w:left w:val="nil"/>
              <w:bottom w:val="single" w:sz="4" w:space="0" w:color="auto"/>
              <w:right w:val="single" w:sz="4" w:space="0" w:color="auto"/>
            </w:tcBorders>
            <w:shd w:val="clear" w:color="auto" w:fill="auto"/>
            <w:noWrap/>
            <w:vAlign w:val="center"/>
            <w:hideMark/>
          </w:tcPr>
          <w:p w14:paraId="4A0B2CA7" w14:textId="77777777" w:rsidR="00A82F1D" w:rsidRPr="00907452" w:rsidRDefault="00A82F1D" w:rsidP="004601C9">
            <w:pPr>
              <w:jc w:val="center"/>
              <w:rPr>
                <w:rFonts w:cs="Times New Roman"/>
                <w:color w:val="000000"/>
                <w:sz w:val="20"/>
                <w:szCs w:val="20"/>
              </w:rPr>
            </w:pPr>
            <w:r w:rsidRPr="00A4250B">
              <w:rPr>
                <w:rFonts w:cs="Times New Roman"/>
                <w:color w:val="000000"/>
                <w:sz w:val="20"/>
                <w:szCs w:val="20"/>
              </w:rPr>
              <w:t>3.394</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29BCD025" w14:textId="77777777" w:rsidR="00A82F1D" w:rsidRPr="00907452" w:rsidRDefault="00A82F1D" w:rsidP="004601C9">
            <w:pPr>
              <w:jc w:val="center"/>
              <w:rPr>
                <w:rFonts w:cs="Times New Roman"/>
                <w:color w:val="000000"/>
                <w:sz w:val="20"/>
                <w:szCs w:val="20"/>
              </w:rPr>
            </w:pPr>
            <w:r w:rsidRPr="00816F93">
              <w:rPr>
                <w:rFonts w:cs="Times New Roman"/>
                <w:color w:val="000000"/>
                <w:sz w:val="20"/>
                <w:szCs w:val="20"/>
              </w:rPr>
              <w:t>--</w:t>
            </w:r>
          </w:p>
        </w:tc>
        <w:tc>
          <w:tcPr>
            <w:tcW w:w="900" w:type="dxa"/>
            <w:tcBorders>
              <w:top w:val="double" w:sz="4" w:space="0" w:color="auto"/>
              <w:left w:val="nil"/>
              <w:bottom w:val="single" w:sz="4" w:space="0" w:color="auto"/>
              <w:right w:val="single" w:sz="4" w:space="0" w:color="auto"/>
            </w:tcBorders>
            <w:shd w:val="clear" w:color="auto" w:fill="auto"/>
            <w:noWrap/>
            <w:vAlign w:val="center"/>
            <w:hideMark/>
          </w:tcPr>
          <w:p w14:paraId="4B89EE3D" w14:textId="77777777" w:rsidR="00A82F1D" w:rsidRPr="00907452" w:rsidRDefault="00A82F1D" w:rsidP="004601C9">
            <w:pPr>
              <w:jc w:val="center"/>
              <w:rPr>
                <w:rFonts w:cs="Times New Roman"/>
                <w:color w:val="000000"/>
                <w:sz w:val="20"/>
                <w:szCs w:val="20"/>
              </w:rPr>
            </w:pPr>
            <w:r w:rsidRPr="00816F93">
              <w:rPr>
                <w:rFonts w:cs="Times New Roman"/>
                <w:color w:val="000000"/>
                <w:sz w:val="20"/>
                <w:szCs w:val="20"/>
              </w:rPr>
              <w:t>--</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058568FD" w14:textId="77777777" w:rsidR="00A82F1D" w:rsidRPr="00907452" w:rsidRDefault="00A82F1D" w:rsidP="004601C9">
            <w:pPr>
              <w:jc w:val="center"/>
              <w:rPr>
                <w:rFonts w:cs="Times New Roman"/>
                <w:color w:val="000000"/>
                <w:sz w:val="20"/>
                <w:szCs w:val="20"/>
              </w:rPr>
            </w:pPr>
            <w:r w:rsidRPr="00816F93">
              <w:rPr>
                <w:rFonts w:cs="Times New Roman"/>
                <w:color w:val="000000"/>
                <w:sz w:val="20"/>
                <w:szCs w:val="20"/>
              </w:rPr>
              <w:t>--</w:t>
            </w:r>
          </w:p>
        </w:tc>
        <w:tc>
          <w:tcPr>
            <w:tcW w:w="931" w:type="dxa"/>
            <w:tcBorders>
              <w:top w:val="double" w:sz="4" w:space="0" w:color="auto"/>
              <w:left w:val="nil"/>
              <w:bottom w:val="single" w:sz="4" w:space="0" w:color="auto"/>
              <w:right w:val="single" w:sz="4" w:space="0" w:color="auto"/>
            </w:tcBorders>
            <w:shd w:val="clear" w:color="auto" w:fill="auto"/>
            <w:noWrap/>
            <w:vAlign w:val="center"/>
            <w:hideMark/>
          </w:tcPr>
          <w:p w14:paraId="6A1968AE" w14:textId="77777777" w:rsidR="00A82F1D" w:rsidRPr="00907452" w:rsidRDefault="00A82F1D" w:rsidP="004601C9">
            <w:pPr>
              <w:jc w:val="center"/>
              <w:rPr>
                <w:rFonts w:cs="Times New Roman"/>
                <w:color w:val="000000"/>
                <w:sz w:val="20"/>
                <w:szCs w:val="20"/>
              </w:rPr>
            </w:pPr>
            <w:r w:rsidRPr="00816F93">
              <w:rPr>
                <w:rFonts w:cs="Times New Roman"/>
                <w:color w:val="000000"/>
                <w:sz w:val="20"/>
                <w:szCs w:val="20"/>
              </w:rPr>
              <w:t>--</w:t>
            </w:r>
          </w:p>
        </w:tc>
        <w:tc>
          <w:tcPr>
            <w:tcW w:w="916" w:type="dxa"/>
            <w:gridSpan w:val="2"/>
            <w:tcBorders>
              <w:top w:val="double" w:sz="4" w:space="0" w:color="auto"/>
              <w:left w:val="nil"/>
              <w:bottom w:val="single" w:sz="4" w:space="0" w:color="auto"/>
              <w:right w:val="single" w:sz="4" w:space="0" w:color="auto"/>
            </w:tcBorders>
            <w:shd w:val="clear" w:color="auto" w:fill="auto"/>
            <w:noWrap/>
            <w:vAlign w:val="center"/>
            <w:hideMark/>
          </w:tcPr>
          <w:p w14:paraId="6BD1D2F2" w14:textId="77777777" w:rsidR="00A82F1D" w:rsidRPr="00907452" w:rsidRDefault="00A82F1D" w:rsidP="004601C9">
            <w:pPr>
              <w:jc w:val="center"/>
              <w:rPr>
                <w:rFonts w:cs="Times New Roman"/>
                <w:color w:val="000000"/>
                <w:sz w:val="20"/>
                <w:szCs w:val="20"/>
              </w:rPr>
            </w:pPr>
            <w:r w:rsidRPr="00A4250B">
              <w:rPr>
                <w:rFonts w:cs="Times New Roman"/>
                <w:color w:val="000000"/>
                <w:sz w:val="20"/>
                <w:szCs w:val="20"/>
              </w:rPr>
              <w:t>0.175</w:t>
            </w:r>
          </w:p>
        </w:tc>
        <w:tc>
          <w:tcPr>
            <w:tcW w:w="884" w:type="dxa"/>
            <w:tcBorders>
              <w:top w:val="double" w:sz="4" w:space="0" w:color="auto"/>
              <w:left w:val="nil"/>
              <w:bottom w:val="single" w:sz="4" w:space="0" w:color="auto"/>
              <w:right w:val="double" w:sz="4" w:space="0" w:color="auto"/>
            </w:tcBorders>
            <w:shd w:val="clear" w:color="auto" w:fill="auto"/>
            <w:noWrap/>
            <w:vAlign w:val="center"/>
            <w:hideMark/>
          </w:tcPr>
          <w:p w14:paraId="6B9671CB" w14:textId="77777777" w:rsidR="00A82F1D" w:rsidRPr="00907452" w:rsidRDefault="00A82F1D" w:rsidP="004601C9">
            <w:pPr>
              <w:jc w:val="center"/>
              <w:rPr>
                <w:rFonts w:cs="Times New Roman"/>
                <w:color w:val="000000"/>
                <w:sz w:val="20"/>
                <w:szCs w:val="20"/>
              </w:rPr>
            </w:pPr>
            <w:r w:rsidRPr="00A4250B">
              <w:rPr>
                <w:rFonts w:cs="Times New Roman"/>
                <w:color w:val="000000"/>
                <w:sz w:val="20"/>
                <w:szCs w:val="20"/>
              </w:rPr>
              <w:t>7.958</w:t>
            </w:r>
          </w:p>
        </w:tc>
      </w:tr>
      <w:tr w:rsidR="00A82F1D" w:rsidRPr="00E75453" w14:paraId="7EBF87E9" w14:textId="77777777" w:rsidTr="004601C9">
        <w:trPr>
          <w:trHeight w:val="300"/>
        </w:trPr>
        <w:tc>
          <w:tcPr>
            <w:tcW w:w="1965" w:type="dxa"/>
            <w:tcBorders>
              <w:top w:val="single" w:sz="4" w:space="0" w:color="auto"/>
              <w:left w:val="double" w:sz="4" w:space="0" w:color="auto"/>
              <w:bottom w:val="double" w:sz="4" w:space="0" w:color="auto"/>
              <w:right w:val="single" w:sz="4" w:space="0" w:color="auto"/>
            </w:tcBorders>
            <w:shd w:val="clear" w:color="auto" w:fill="auto"/>
            <w:noWrap/>
            <w:vAlign w:val="center"/>
            <w:hideMark/>
          </w:tcPr>
          <w:p w14:paraId="4062CDB4" w14:textId="77777777" w:rsidR="00A82F1D" w:rsidRPr="00E75453" w:rsidRDefault="00A82F1D" w:rsidP="004601C9">
            <w:pPr>
              <w:ind w:left="150"/>
              <w:jc w:val="left"/>
              <w:rPr>
                <w:rFonts w:eastAsia="Times New Roman" w:cs="Times New Roman"/>
                <w:color w:val="000000"/>
                <w:sz w:val="20"/>
                <w:szCs w:val="20"/>
              </w:rPr>
            </w:pPr>
            <w:r w:rsidRPr="00240799">
              <w:rPr>
                <w:rFonts w:eastAsia="Times New Roman" w:cs="Times New Roman"/>
                <w:color w:val="000000"/>
                <w:sz w:val="20"/>
                <w:szCs w:val="20"/>
              </w:rPr>
              <w:lastRenderedPageBreak/>
              <w:t>No. of shopping center</w:t>
            </w:r>
            <w:r>
              <w:rPr>
                <w:rFonts w:eastAsia="Times New Roman" w:cs="Times New Roman"/>
                <w:color w:val="000000"/>
                <w:sz w:val="20"/>
                <w:szCs w:val="20"/>
              </w:rPr>
              <w:t>s (1)</w:t>
            </w:r>
          </w:p>
        </w:tc>
        <w:tc>
          <w:tcPr>
            <w:tcW w:w="916" w:type="dxa"/>
            <w:tcBorders>
              <w:top w:val="single" w:sz="4" w:space="0" w:color="auto"/>
              <w:left w:val="nil"/>
              <w:bottom w:val="double" w:sz="4" w:space="0" w:color="auto"/>
              <w:right w:val="single" w:sz="4" w:space="0" w:color="auto"/>
            </w:tcBorders>
            <w:shd w:val="clear" w:color="auto" w:fill="auto"/>
            <w:noWrap/>
            <w:vAlign w:val="center"/>
            <w:hideMark/>
          </w:tcPr>
          <w:p w14:paraId="297A4F4E" w14:textId="77777777" w:rsidR="00A82F1D" w:rsidRPr="00907452" w:rsidRDefault="00A82F1D" w:rsidP="004601C9">
            <w:pPr>
              <w:jc w:val="center"/>
              <w:rPr>
                <w:rFonts w:cs="Times New Roman"/>
                <w:color w:val="000000"/>
                <w:sz w:val="20"/>
                <w:szCs w:val="20"/>
              </w:rPr>
            </w:pPr>
            <w:r w:rsidRPr="00A4250B">
              <w:rPr>
                <w:rFonts w:cs="Times New Roman"/>
                <w:color w:val="000000"/>
                <w:sz w:val="20"/>
                <w:szCs w:val="20"/>
              </w:rPr>
              <w:t>0.030</w:t>
            </w:r>
          </w:p>
        </w:tc>
        <w:tc>
          <w:tcPr>
            <w:tcW w:w="879" w:type="dxa"/>
            <w:tcBorders>
              <w:top w:val="single" w:sz="4" w:space="0" w:color="auto"/>
              <w:left w:val="nil"/>
              <w:bottom w:val="double" w:sz="4" w:space="0" w:color="auto"/>
              <w:right w:val="single" w:sz="4" w:space="0" w:color="auto"/>
            </w:tcBorders>
            <w:shd w:val="clear" w:color="auto" w:fill="auto"/>
            <w:noWrap/>
            <w:vAlign w:val="center"/>
            <w:hideMark/>
          </w:tcPr>
          <w:p w14:paraId="54411FCD" w14:textId="77777777" w:rsidR="00A82F1D" w:rsidRPr="00907452" w:rsidRDefault="00A82F1D" w:rsidP="004601C9">
            <w:pPr>
              <w:jc w:val="center"/>
              <w:rPr>
                <w:rFonts w:cs="Times New Roman"/>
                <w:color w:val="000000"/>
                <w:sz w:val="20"/>
                <w:szCs w:val="20"/>
              </w:rPr>
            </w:pPr>
            <w:r w:rsidRPr="00A4250B">
              <w:rPr>
                <w:rFonts w:cs="Times New Roman"/>
                <w:color w:val="000000"/>
                <w:sz w:val="20"/>
                <w:szCs w:val="20"/>
              </w:rPr>
              <w:t>1.712</w:t>
            </w:r>
          </w:p>
        </w:tc>
        <w:tc>
          <w:tcPr>
            <w:tcW w:w="916" w:type="dxa"/>
            <w:gridSpan w:val="2"/>
            <w:tcBorders>
              <w:top w:val="single" w:sz="4" w:space="0" w:color="auto"/>
              <w:left w:val="nil"/>
              <w:bottom w:val="double" w:sz="4" w:space="0" w:color="auto"/>
              <w:right w:val="single" w:sz="4" w:space="0" w:color="auto"/>
            </w:tcBorders>
            <w:shd w:val="clear" w:color="auto" w:fill="auto"/>
            <w:noWrap/>
            <w:vAlign w:val="center"/>
            <w:hideMark/>
          </w:tcPr>
          <w:p w14:paraId="616DEBB7" w14:textId="77777777" w:rsidR="00A82F1D" w:rsidRPr="00907452" w:rsidRDefault="00A82F1D" w:rsidP="004601C9">
            <w:pPr>
              <w:jc w:val="center"/>
              <w:rPr>
                <w:rFonts w:cs="Times New Roman"/>
                <w:color w:val="000000"/>
                <w:sz w:val="20"/>
                <w:szCs w:val="20"/>
              </w:rPr>
            </w:pPr>
            <w:r w:rsidRPr="00A37185">
              <w:rPr>
                <w:rFonts w:cs="Times New Roman"/>
                <w:color w:val="000000"/>
                <w:sz w:val="20"/>
                <w:szCs w:val="20"/>
              </w:rPr>
              <w:t>--</w:t>
            </w:r>
          </w:p>
        </w:tc>
        <w:tc>
          <w:tcPr>
            <w:tcW w:w="900" w:type="dxa"/>
            <w:tcBorders>
              <w:top w:val="single" w:sz="4" w:space="0" w:color="auto"/>
              <w:left w:val="nil"/>
              <w:bottom w:val="double" w:sz="4" w:space="0" w:color="auto"/>
              <w:right w:val="single" w:sz="4" w:space="0" w:color="auto"/>
            </w:tcBorders>
            <w:shd w:val="clear" w:color="auto" w:fill="auto"/>
            <w:noWrap/>
            <w:vAlign w:val="center"/>
            <w:hideMark/>
          </w:tcPr>
          <w:p w14:paraId="50F8A911" w14:textId="77777777" w:rsidR="00A82F1D" w:rsidRPr="00907452" w:rsidRDefault="00A82F1D" w:rsidP="004601C9">
            <w:pPr>
              <w:jc w:val="center"/>
              <w:rPr>
                <w:rFonts w:cs="Times New Roman"/>
                <w:color w:val="000000"/>
                <w:sz w:val="20"/>
                <w:szCs w:val="20"/>
              </w:rPr>
            </w:pPr>
            <w:r w:rsidRPr="00A37185">
              <w:rPr>
                <w:rFonts w:cs="Times New Roman"/>
                <w:color w:val="000000"/>
                <w:sz w:val="20"/>
                <w:szCs w:val="20"/>
              </w:rPr>
              <w:t>--</w:t>
            </w:r>
          </w:p>
        </w:tc>
        <w:tc>
          <w:tcPr>
            <w:tcW w:w="916" w:type="dxa"/>
            <w:tcBorders>
              <w:top w:val="single" w:sz="4" w:space="0" w:color="auto"/>
              <w:left w:val="nil"/>
              <w:bottom w:val="double" w:sz="4" w:space="0" w:color="auto"/>
              <w:right w:val="single" w:sz="4" w:space="0" w:color="auto"/>
            </w:tcBorders>
            <w:shd w:val="clear" w:color="auto" w:fill="auto"/>
            <w:noWrap/>
            <w:vAlign w:val="center"/>
            <w:hideMark/>
          </w:tcPr>
          <w:p w14:paraId="6E7AC5FE" w14:textId="77777777" w:rsidR="00A82F1D" w:rsidRPr="00907452" w:rsidRDefault="00A82F1D" w:rsidP="004601C9">
            <w:pPr>
              <w:jc w:val="center"/>
              <w:rPr>
                <w:rFonts w:cs="Times New Roman"/>
                <w:color w:val="000000"/>
                <w:sz w:val="20"/>
                <w:szCs w:val="20"/>
              </w:rPr>
            </w:pPr>
            <w:r w:rsidRPr="00A4250B">
              <w:rPr>
                <w:rFonts w:cs="Times New Roman"/>
                <w:color w:val="000000"/>
                <w:sz w:val="20"/>
                <w:szCs w:val="20"/>
              </w:rPr>
              <w:t>0.030</w:t>
            </w:r>
          </w:p>
        </w:tc>
        <w:tc>
          <w:tcPr>
            <w:tcW w:w="900" w:type="dxa"/>
            <w:tcBorders>
              <w:top w:val="single" w:sz="4" w:space="0" w:color="auto"/>
              <w:left w:val="nil"/>
              <w:bottom w:val="double" w:sz="4" w:space="0" w:color="auto"/>
              <w:right w:val="single" w:sz="4" w:space="0" w:color="auto"/>
            </w:tcBorders>
            <w:shd w:val="clear" w:color="auto" w:fill="auto"/>
            <w:noWrap/>
            <w:vAlign w:val="center"/>
            <w:hideMark/>
          </w:tcPr>
          <w:p w14:paraId="770A92C9" w14:textId="77777777" w:rsidR="00A82F1D" w:rsidRPr="00907452" w:rsidRDefault="00A82F1D" w:rsidP="004601C9">
            <w:pPr>
              <w:jc w:val="center"/>
              <w:rPr>
                <w:rFonts w:cs="Times New Roman"/>
                <w:color w:val="000000"/>
                <w:sz w:val="20"/>
                <w:szCs w:val="20"/>
              </w:rPr>
            </w:pPr>
            <w:r w:rsidRPr="00A4250B">
              <w:rPr>
                <w:rFonts w:cs="Times New Roman"/>
                <w:color w:val="000000"/>
                <w:sz w:val="20"/>
                <w:szCs w:val="20"/>
              </w:rPr>
              <w:t>1.712</w:t>
            </w:r>
          </w:p>
        </w:tc>
        <w:tc>
          <w:tcPr>
            <w:tcW w:w="916" w:type="dxa"/>
            <w:tcBorders>
              <w:top w:val="single" w:sz="4" w:space="0" w:color="auto"/>
              <w:left w:val="nil"/>
              <w:bottom w:val="double" w:sz="4" w:space="0" w:color="auto"/>
              <w:right w:val="single" w:sz="4" w:space="0" w:color="auto"/>
            </w:tcBorders>
            <w:shd w:val="clear" w:color="auto" w:fill="auto"/>
            <w:noWrap/>
            <w:vAlign w:val="center"/>
            <w:hideMark/>
          </w:tcPr>
          <w:p w14:paraId="6BAE306A" w14:textId="77777777" w:rsidR="00A82F1D" w:rsidRPr="00907452" w:rsidRDefault="00A82F1D" w:rsidP="004601C9">
            <w:pPr>
              <w:jc w:val="center"/>
              <w:rPr>
                <w:rFonts w:cs="Times New Roman"/>
                <w:color w:val="000000"/>
                <w:sz w:val="20"/>
                <w:szCs w:val="20"/>
              </w:rPr>
            </w:pPr>
            <w:r w:rsidRPr="00816F93">
              <w:rPr>
                <w:rFonts w:cs="Times New Roman"/>
                <w:color w:val="000000"/>
                <w:sz w:val="20"/>
                <w:szCs w:val="20"/>
              </w:rPr>
              <w:t>--</w:t>
            </w:r>
          </w:p>
        </w:tc>
        <w:tc>
          <w:tcPr>
            <w:tcW w:w="900" w:type="dxa"/>
            <w:tcBorders>
              <w:top w:val="single" w:sz="4" w:space="0" w:color="auto"/>
              <w:left w:val="nil"/>
              <w:bottom w:val="double" w:sz="4" w:space="0" w:color="auto"/>
              <w:right w:val="single" w:sz="4" w:space="0" w:color="auto"/>
            </w:tcBorders>
            <w:shd w:val="clear" w:color="auto" w:fill="auto"/>
            <w:noWrap/>
            <w:vAlign w:val="center"/>
            <w:hideMark/>
          </w:tcPr>
          <w:p w14:paraId="1484350B" w14:textId="77777777" w:rsidR="00A82F1D" w:rsidRPr="00907452" w:rsidRDefault="00A82F1D" w:rsidP="004601C9">
            <w:pPr>
              <w:jc w:val="center"/>
              <w:rPr>
                <w:rFonts w:cs="Times New Roman"/>
                <w:color w:val="000000"/>
                <w:sz w:val="20"/>
                <w:szCs w:val="20"/>
              </w:rPr>
            </w:pPr>
            <w:r w:rsidRPr="00816F93">
              <w:rPr>
                <w:rFonts w:cs="Times New Roman"/>
                <w:color w:val="000000"/>
                <w:sz w:val="20"/>
                <w:szCs w:val="20"/>
              </w:rPr>
              <w:t>--</w:t>
            </w:r>
          </w:p>
        </w:tc>
        <w:tc>
          <w:tcPr>
            <w:tcW w:w="916" w:type="dxa"/>
            <w:tcBorders>
              <w:top w:val="single" w:sz="4" w:space="0" w:color="auto"/>
              <w:left w:val="nil"/>
              <w:bottom w:val="double" w:sz="4" w:space="0" w:color="auto"/>
              <w:right w:val="single" w:sz="4" w:space="0" w:color="auto"/>
            </w:tcBorders>
            <w:shd w:val="clear" w:color="auto" w:fill="auto"/>
            <w:noWrap/>
            <w:vAlign w:val="center"/>
            <w:hideMark/>
          </w:tcPr>
          <w:p w14:paraId="2EF39514" w14:textId="77777777" w:rsidR="00A82F1D" w:rsidRPr="00907452" w:rsidRDefault="00A82F1D" w:rsidP="004601C9">
            <w:pPr>
              <w:jc w:val="center"/>
              <w:rPr>
                <w:rFonts w:cs="Times New Roman"/>
                <w:color w:val="000000"/>
                <w:sz w:val="20"/>
                <w:szCs w:val="20"/>
              </w:rPr>
            </w:pPr>
            <w:r w:rsidRPr="00816F93">
              <w:rPr>
                <w:rFonts w:cs="Times New Roman"/>
                <w:color w:val="000000"/>
                <w:sz w:val="20"/>
                <w:szCs w:val="20"/>
              </w:rPr>
              <w:t>--</w:t>
            </w:r>
          </w:p>
        </w:tc>
        <w:tc>
          <w:tcPr>
            <w:tcW w:w="931" w:type="dxa"/>
            <w:tcBorders>
              <w:top w:val="single" w:sz="4" w:space="0" w:color="auto"/>
              <w:left w:val="nil"/>
              <w:bottom w:val="double" w:sz="4" w:space="0" w:color="auto"/>
              <w:right w:val="single" w:sz="4" w:space="0" w:color="auto"/>
            </w:tcBorders>
            <w:shd w:val="clear" w:color="auto" w:fill="auto"/>
            <w:noWrap/>
            <w:vAlign w:val="center"/>
            <w:hideMark/>
          </w:tcPr>
          <w:p w14:paraId="51AAEEF1" w14:textId="77777777" w:rsidR="00A82F1D" w:rsidRPr="00907452" w:rsidRDefault="00A82F1D" w:rsidP="004601C9">
            <w:pPr>
              <w:jc w:val="center"/>
              <w:rPr>
                <w:rFonts w:cs="Times New Roman"/>
                <w:color w:val="000000"/>
                <w:sz w:val="20"/>
                <w:szCs w:val="20"/>
              </w:rPr>
            </w:pPr>
            <w:r w:rsidRPr="00816F93">
              <w:rPr>
                <w:rFonts w:cs="Times New Roman"/>
                <w:color w:val="000000"/>
                <w:sz w:val="20"/>
                <w:szCs w:val="20"/>
              </w:rPr>
              <w:t>--</w:t>
            </w:r>
          </w:p>
        </w:tc>
        <w:tc>
          <w:tcPr>
            <w:tcW w:w="916" w:type="dxa"/>
            <w:gridSpan w:val="2"/>
            <w:tcBorders>
              <w:top w:val="single" w:sz="4" w:space="0" w:color="auto"/>
              <w:left w:val="nil"/>
              <w:bottom w:val="double" w:sz="4" w:space="0" w:color="auto"/>
              <w:right w:val="single" w:sz="4" w:space="0" w:color="auto"/>
            </w:tcBorders>
            <w:shd w:val="clear" w:color="auto" w:fill="auto"/>
            <w:noWrap/>
            <w:vAlign w:val="center"/>
            <w:hideMark/>
          </w:tcPr>
          <w:p w14:paraId="259D62C0" w14:textId="77777777" w:rsidR="00A82F1D" w:rsidRPr="00907452" w:rsidRDefault="00A82F1D" w:rsidP="004601C9">
            <w:pPr>
              <w:jc w:val="center"/>
              <w:rPr>
                <w:rFonts w:cs="Times New Roman"/>
                <w:color w:val="000000"/>
                <w:sz w:val="20"/>
                <w:szCs w:val="20"/>
              </w:rPr>
            </w:pPr>
            <w:r w:rsidRPr="00AD539A">
              <w:rPr>
                <w:rFonts w:cs="Times New Roman"/>
                <w:color w:val="000000"/>
                <w:sz w:val="20"/>
                <w:szCs w:val="20"/>
              </w:rPr>
              <w:t>--</w:t>
            </w:r>
          </w:p>
        </w:tc>
        <w:tc>
          <w:tcPr>
            <w:tcW w:w="884" w:type="dxa"/>
            <w:tcBorders>
              <w:top w:val="single" w:sz="4" w:space="0" w:color="auto"/>
              <w:left w:val="nil"/>
              <w:bottom w:val="double" w:sz="4" w:space="0" w:color="auto"/>
              <w:right w:val="double" w:sz="4" w:space="0" w:color="auto"/>
            </w:tcBorders>
            <w:shd w:val="clear" w:color="auto" w:fill="auto"/>
            <w:noWrap/>
            <w:vAlign w:val="center"/>
            <w:hideMark/>
          </w:tcPr>
          <w:p w14:paraId="21E2395E" w14:textId="77777777" w:rsidR="00A82F1D" w:rsidRPr="00907452" w:rsidRDefault="00A82F1D" w:rsidP="004601C9">
            <w:pPr>
              <w:jc w:val="center"/>
              <w:rPr>
                <w:rFonts w:cs="Times New Roman"/>
                <w:color w:val="000000"/>
                <w:sz w:val="20"/>
                <w:szCs w:val="20"/>
              </w:rPr>
            </w:pPr>
            <w:r w:rsidRPr="00AD539A">
              <w:rPr>
                <w:rFonts w:cs="Times New Roman"/>
                <w:color w:val="000000"/>
                <w:sz w:val="20"/>
                <w:szCs w:val="20"/>
              </w:rPr>
              <w:t>--</w:t>
            </w:r>
          </w:p>
        </w:tc>
      </w:tr>
      <w:tr w:rsidR="00A82F1D" w:rsidRPr="00E75453" w14:paraId="3E266317" w14:textId="77777777" w:rsidTr="004601C9">
        <w:trPr>
          <w:trHeight w:val="300"/>
        </w:trPr>
        <w:tc>
          <w:tcPr>
            <w:tcW w:w="12855" w:type="dxa"/>
            <w:gridSpan w:val="15"/>
            <w:tcBorders>
              <w:top w:val="double" w:sz="4" w:space="0" w:color="auto"/>
              <w:left w:val="double" w:sz="4" w:space="0" w:color="auto"/>
              <w:bottom w:val="single" w:sz="4" w:space="0" w:color="auto"/>
              <w:right w:val="double" w:sz="4" w:space="0" w:color="auto"/>
            </w:tcBorders>
            <w:shd w:val="clear" w:color="auto" w:fill="auto"/>
            <w:noWrap/>
            <w:vAlign w:val="center"/>
            <w:hideMark/>
          </w:tcPr>
          <w:p w14:paraId="14CE01C3" w14:textId="77777777" w:rsidR="00A82F1D" w:rsidRPr="00E75453" w:rsidRDefault="00A82F1D" w:rsidP="004601C9">
            <w:pPr>
              <w:rPr>
                <w:rFonts w:eastAsia="Times New Roman" w:cs="Times New Roman"/>
                <w:b/>
                <w:bCs/>
                <w:color w:val="000000"/>
                <w:sz w:val="20"/>
                <w:szCs w:val="20"/>
              </w:rPr>
            </w:pPr>
            <w:r w:rsidRPr="00E75453">
              <w:rPr>
                <w:rFonts w:eastAsia="Times New Roman" w:cs="Times New Roman"/>
                <w:b/>
                <w:bCs/>
                <w:color w:val="000000"/>
                <w:sz w:val="20"/>
                <w:szCs w:val="20"/>
              </w:rPr>
              <w:t>Socio-demographic characteristics</w:t>
            </w:r>
          </w:p>
        </w:tc>
      </w:tr>
      <w:tr w:rsidR="00A82F1D" w:rsidRPr="00E75453" w14:paraId="0932B79C" w14:textId="77777777" w:rsidTr="004601C9">
        <w:trPr>
          <w:trHeight w:val="300"/>
        </w:trPr>
        <w:tc>
          <w:tcPr>
            <w:tcW w:w="1965"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61B44D9C" w14:textId="77777777" w:rsidR="00A82F1D" w:rsidRPr="00E75453" w:rsidRDefault="00A82F1D" w:rsidP="004601C9">
            <w:pPr>
              <w:ind w:left="150"/>
              <w:rPr>
                <w:rFonts w:eastAsia="Times New Roman" w:cs="Times New Roman"/>
                <w:color w:val="000000"/>
                <w:sz w:val="20"/>
                <w:szCs w:val="20"/>
              </w:rPr>
            </w:pPr>
            <w:r w:rsidRPr="00240799">
              <w:rPr>
                <w:rFonts w:eastAsia="Times New Roman" w:cs="Times New Roman"/>
                <w:color w:val="000000"/>
                <w:sz w:val="20"/>
                <w:szCs w:val="20"/>
              </w:rPr>
              <w:t>Non-motorists</w:t>
            </w:r>
            <w:r>
              <w:rPr>
                <w:rFonts w:eastAsia="Times New Roman" w:cs="Times New Roman"/>
                <w:color w:val="000000"/>
                <w:sz w:val="20"/>
                <w:szCs w:val="20"/>
              </w:rPr>
              <w:t xml:space="preserve"> (3)</w:t>
            </w:r>
          </w:p>
        </w:tc>
        <w:tc>
          <w:tcPr>
            <w:tcW w:w="916" w:type="dxa"/>
            <w:tcBorders>
              <w:top w:val="single" w:sz="4" w:space="0" w:color="auto"/>
              <w:left w:val="nil"/>
              <w:bottom w:val="single" w:sz="4" w:space="0" w:color="auto"/>
              <w:right w:val="single" w:sz="4" w:space="0" w:color="auto"/>
            </w:tcBorders>
            <w:shd w:val="clear" w:color="auto" w:fill="auto"/>
            <w:noWrap/>
            <w:vAlign w:val="center"/>
            <w:hideMark/>
          </w:tcPr>
          <w:p w14:paraId="5D1234DC" w14:textId="77777777" w:rsidR="00A82F1D" w:rsidRPr="00D72CE4" w:rsidRDefault="00A82F1D" w:rsidP="004601C9">
            <w:pPr>
              <w:jc w:val="center"/>
              <w:rPr>
                <w:rFonts w:cs="Times New Roman"/>
                <w:color w:val="000000"/>
                <w:sz w:val="20"/>
                <w:szCs w:val="20"/>
              </w:rPr>
            </w:pPr>
            <w:r w:rsidRPr="00A4250B">
              <w:rPr>
                <w:rFonts w:cs="Times New Roman"/>
                <w:color w:val="000000"/>
                <w:sz w:val="20"/>
                <w:szCs w:val="20"/>
              </w:rPr>
              <w:t>0.052</w:t>
            </w:r>
          </w:p>
        </w:tc>
        <w:tc>
          <w:tcPr>
            <w:tcW w:w="879" w:type="dxa"/>
            <w:tcBorders>
              <w:top w:val="single" w:sz="4" w:space="0" w:color="auto"/>
              <w:left w:val="nil"/>
              <w:bottom w:val="single" w:sz="4" w:space="0" w:color="auto"/>
              <w:right w:val="single" w:sz="4" w:space="0" w:color="auto"/>
            </w:tcBorders>
            <w:shd w:val="clear" w:color="auto" w:fill="auto"/>
            <w:noWrap/>
            <w:vAlign w:val="center"/>
            <w:hideMark/>
          </w:tcPr>
          <w:p w14:paraId="1E82B7F0" w14:textId="77777777" w:rsidR="00A82F1D" w:rsidRPr="00D72CE4" w:rsidRDefault="00A82F1D" w:rsidP="004601C9">
            <w:pPr>
              <w:jc w:val="center"/>
              <w:rPr>
                <w:rFonts w:cs="Times New Roman"/>
                <w:color w:val="000000"/>
                <w:sz w:val="20"/>
                <w:szCs w:val="20"/>
              </w:rPr>
            </w:pPr>
            <w:r w:rsidRPr="00A4250B">
              <w:rPr>
                <w:rFonts w:cs="Times New Roman"/>
                <w:color w:val="000000"/>
                <w:sz w:val="20"/>
                <w:szCs w:val="20"/>
              </w:rPr>
              <w:t>2.892</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17D727C4" w14:textId="77777777" w:rsidR="00A82F1D" w:rsidRPr="00D72CE4" w:rsidRDefault="00A82F1D" w:rsidP="004601C9">
            <w:pPr>
              <w:jc w:val="center"/>
              <w:rPr>
                <w:rFonts w:cs="Times New Roman"/>
                <w:color w:val="000000"/>
                <w:sz w:val="20"/>
                <w:szCs w:val="20"/>
              </w:rPr>
            </w:pPr>
            <w:r w:rsidRPr="00A4250B">
              <w:rPr>
                <w:rFonts w:cs="Times New Roman"/>
                <w:color w:val="000000"/>
                <w:sz w:val="20"/>
                <w:szCs w:val="20"/>
              </w:rPr>
              <w:t>0.148</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341D38CF" w14:textId="77777777" w:rsidR="00A82F1D" w:rsidRPr="00D72CE4" w:rsidRDefault="00A82F1D" w:rsidP="004601C9">
            <w:pPr>
              <w:jc w:val="center"/>
              <w:rPr>
                <w:rFonts w:cs="Times New Roman"/>
                <w:color w:val="000000"/>
                <w:sz w:val="20"/>
                <w:szCs w:val="20"/>
              </w:rPr>
            </w:pPr>
            <w:r w:rsidRPr="00A4250B">
              <w:rPr>
                <w:rFonts w:cs="Times New Roman"/>
                <w:color w:val="000000"/>
                <w:sz w:val="20"/>
                <w:szCs w:val="20"/>
              </w:rPr>
              <w:t>7.166</w:t>
            </w:r>
          </w:p>
        </w:tc>
        <w:tc>
          <w:tcPr>
            <w:tcW w:w="916" w:type="dxa"/>
            <w:tcBorders>
              <w:top w:val="single" w:sz="4" w:space="0" w:color="auto"/>
              <w:left w:val="nil"/>
              <w:bottom w:val="single" w:sz="4" w:space="0" w:color="auto"/>
              <w:right w:val="single" w:sz="4" w:space="0" w:color="auto"/>
            </w:tcBorders>
            <w:shd w:val="clear" w:color="auto" w:fill="auto"/>
            <w:noWrap/>
            <w:vAlign w:val="center"/>
            <w:hideMark/>
          </w:tcPr>
          <w:p w14:paraId="6019364A" w14:textId="77777777" w:rsidR="00A82F1D" w:rsidRPr="00D72CE4" w:rsidRDefault="00A82F1D" w:rsidP="004601C9">
            <w:pPr>
              <w:jc w:val="center"/>
              <w:rPr>
                <w:rFonts w:cs="Times New Roman"/>
                <w:color w:val="000000"/>
                <w:sz w:val="20"/>
                <w:szCs w:val="20"/>
              </w:rPr>
            </w:pPr>
            <w:r w:rsidRPr="00A4250B">
              <w:rPr>
                <w:rFonts w:cs="Times New Roman"/>
                <w:color w:val="000000"/>
                <w:sz w:val="20"/>
                <w:szCs w:val="20"/>
              </w:rPr>
              <w:t>0.168</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2448D99" w14:textId="77777777" w:rsidR="00A82F1D" w:rsidRPr="00D72CE4" w:rsidRDefault="00A82F1D" w:rsidP="004601C9">
            <w:pPr>
              <w:jc w:val="center"/>
              <w:rPr>
                <w:rFonts w:cs="Times New Roman"/>
                <w:color w:val="000000"/>
                <w:sz w:val="20"/>
                <w:szCs w:val="20"/>
              </w:rPr>
            </w:pPr>
            <w:r w:rsidRPr="00A4250B">
              <w:rPr>
                <w:rFonts w:cs="Times New Roman"/>
                <w:color w:val="000000"/>
                <w:sz w:val="20"/>
                <w:szCs w:val="20"/>
              </w:rPr>
              <w:t>7.581</w:t>
            </w:r>
          </w:p>
        </w:tc>
        <w:tc>
          <w:tcPr>
            <w:tcW w:w="916" w:type="dxa"/>
            <w:tcBorders>
              <w:top w:val="single" w:sz="4" w:space="0" w:color="auto"/>
              <w:left w:val="nil"/>
              <w:bottom w:val="single" w:sz="4" w:space="0" w:color="auto"/>
              <w:right w:val="single" w:sz="4" w:space="0" w:color="auto"/>
            </w:tcBorders>
            <w:shd w:val="clear" w:color="auto" w:fill="auto"/>
            <w:noWrap/>
            <w:vAlign w:val="center"/>
            <w:hideMark/>
          </w:tcPr>
          <w:p w14:paraId="5AF902D1" w14:textId="77777777" w:rsidR="00A82F1D" w:rsidRPr="00D72CE4" w:rsidRDefault="00A82F1D" w:rsidP="004601C9">
            <w:pPr>
              <w:jc w:val="center"/>
              <w:rPr>
                <w:rFonts w:cs="Times New Roman"/>
                <w:color w:val="000000"/>
                <w:sz w:val="20"/>
                <w:szCs w:val="20"/>
              </w:rPr>
            </w:pPr>
            <w:r w:rsidRPr="00122959">
              <w:rPr>
                <w:rFonts w:cs="Times New Roman"/>
                <w:color w:val="000000"/>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DEDFCC5" w14:textId="77777777" w:rsidR="00A82F1D" w:rsidRPr="00D72CE4" w:rsidRDefault="00A82F1D" w:rsidP="004601C9">
            <w:pPr>
              <w:jc w:val="center"/>
              <w:rPr>
                <w:rFonts w:cs="Times New Roman"/>
                <w:color w:val="000000"/>
                <w:sz w:val="20"/>
                <w:szCs w:val="20"/>
              </w:rPr>
            </w:pPr>
            <w:r w:rsidRPr="00122959">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hideMark/>
          </w:tcPr>
          <w:p w14:paraId="4E06DA2C" w14:textId="77777777" w:rsidR="00A82F1D" w:rsidRPr="00D72CE4" w:rsidRDefault="00A82F1D" w:rsidP="004601C9">
            <w:pPr>
              <w:jc w:val="center"/>
              <w:rPr>
                <w:rFonts w:cs="Times New Roman"/>
                <w:color w:val="000000"/>
                <w:sz w:val="20"/>
                <w:szCs w:val="20"/>
              </w:rPr>
            </w:pPr>
            <w:r w:rsidRPr="00122959">
              <w:rPr>
                <w:rFonts w:cs="Times New Roman"/>
                <w:color w:val="000000"/>
                <w:sz w:val="20"/>
                <w:szCs w:val="20"/>
              </w:rPr>
              <w:t>--</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14:paraId="77ECA432" w14:textId="77777777" w:rsidR="00A82F1D" w:rsidRPr="00D72CE4" w:rsidRDefault="00A82F1D" w:rsidP="004601C9">
            <w:pPr>
              <w:jc w:val="center"/>
              <w:rPr>
                <w:rFonts w:cs="Times New Roman"/>
                <w:color w:val="000000"/>
                <w:sz w:val="20"/>
                <w:szCs w:val="20"/>
              </w:rPr>
            </w:pPr>
            <w:r w:rsidRPr="00122959">
              <w:rPr>
                <w:rFonts w:cs="Times New Roman"/>
                <w:color w:val="000000"/>
                <w:sz w:val="20"/>
                <w:szCs w:val="20"/>
              </w:rPr>
              <w:t>--</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C6406AD" w14:textId="77777777" w:rsidR="00A82F1D" w:rsidRPr="00D72CE4" w:rsidRDefault="00A82F1D" w:rsidP="004601C9">
            <w:pPr>
              <w:jc w:val="center"/>
              <w:rPr>
                <w:rFonts w:cs="Times New Roman"/>
                <w:color w:val="000000"/>
                <w:sz w:val="20"/>
                <w:szCs w:val="20"/>
              </w:rPr>
            </w:pPr>
            <w:r w:rsidRPr="00A4250B">
              <w:rPr>
                <w:rFonts w:cs="Times New Roman"/>
                <w:color w:val="000000"/>
                <w:sz w:val="20"/>
                <w:szCs w:val="20"/>
              </w:rPr>
              <w:t>0.052</w:t>
            </w:r>
          </w:p>
        </w:tc>
        <w:tc>
          <w:tcPr>
            <w:tcW w:w="884" w:type="dxa"/>
            <w:tcBorders>
              <w:top w:val="single" w:sz="4" w:space="0" w:color="auto"/>
              <w:left w:val="nil"/>
              <w:bottom w:val="single" w:sz="4" w:space="0" w:color="auto"/>
              <w:right w:val="double" w:sz="4" w:space="0" w:color="auto"/>
            </w:tcBorders>
            <w:shd w:val="clear" w:color="auto" w:fill="auto"/>
            <w:noWrap/>
            <w:vAlign w:val="center"/>
            <w:hideMark/>
          </w:tcPr>
          <w:p w14:paraId="34610612" w14:textId="77777777" w:rsidR="00A82F1D" w:rsidRPr="00D72CE4" w:rsidRDefault="00A82F1D" w:rsidP="004601C9">
            <w:pPr>
              <w:jc w:val="center"/>
              <w:rPr>
                <w:rFonts w:cs="Times New Roman"/>
                <w:color w:val="000000"/>
                <w:sz w:val="20"/>
                <w:szCs w:val="20"/>
              </w:rPr>
            </w:pPr>
            <w:r w:rsidRPr="00A4250B">
              <w:rPr>
                <w:rFonts w:cs="Times New Roman"/>
                <w:color w:val="000000"/>
                <w:sz w:val="20"/>
                <w:szCs w:val="20"/>
              </w:rPr>
              <w:t>2.892</w:t>
            </w:r>
          </w:p>
        </w:tc>
      </w:tr>
      <w:tr w:rsidR="00A82F1D" w:rsidRPr="00E75453" w14:paraId="47E239D3" w14:textId="77777777" w:rsidTr="004601C9">
        <w:trPr>
          <w:trHeight w:val="300"/>
        </w:trPr>
        <w:tc>
          <w:tcPr>
            <w:tcW w:w="1965" w:type="dxa"/>
            <w:tcBorders>
              <w:top w:val="nil"/>
              <w:left w:val="double" w:sz="4" w:space="0" w:color="auto"/>
              <w:bottom w:val="single" w:sz="4" w:space="0" w:color="auto"/>
              <w:right w:val="single" w:sz="4" w:space="0" w:color="auto"/>
            </w:tcBorders>
            <w:shd w:val="clear" w:color="auto" w:fill="auto"/>
            <w:noWrap/>
            <w:vAlign w:val="center"/>
            <w:hideMark/>
          </w:tcPr>
          <w:p w14:paraId="79BA91B1" w14:textId="77777777" w:rsidR="00A82F1D" w:rsidRPr="00E75453" w:rsidRDefault="00A82F1D" w:rsidP="004601C9">
            <w:pPr>
              <w:ind w:left="150"/>
              <w:rPr>
                <w:rFonts w:eastAsia="Times New Roman" w:cs="Times New Roman"/>
                <w:color w:val="000000"/>
                <w:sz w:val="20"/>
                <w:szCs w:val="20"/>
              </w:rPr>
            </w:pPr>
            <w:r>
              <w:rPr>
                <w:rFonts w:eastAsia="Times New Roman" w:cs="Times New Roman"/>
                <w:color w:val="000000"/>
                <w:sz w:val="20"/>
                <w:szCs w:val="20"/>
              </w:rPr>
              <w:t>Transit users (1)</w:t>
            </w:r>
          </w:p>
        </w:tc>
        <w:tc>
          <w:tcPr>
            <w:tcW w:w="916" w:type="dxa"/>
            <w:tcBorders>
              <w:top w:val="nil"/>
              <w:left w:val="nil"/>
              <w:bottom w:val="single" w:sz="4" w:space="0" w:color="auto"/>
              <w:right w:val="single" w:sz="4" w:space="0" w:color="auto"/>
            </w:tcBorders>
            <w:shd w:val="clear" w:color="auto" w:fill="auto"/>
            <w:noWrap/>
            <w:vAlign w:val="center"/>
            <w:hideMark/>
          </w:tcPr>
          <w:p w14:paraId="05743215" w14:textId="77777777" w:rsidR="00A82F1D" w:rsidRPr="00D72CE4" w:rsidRDefault="00A82F1D" w:rsidP="004601C9">
            <w:pPr>
              <w:jc w:val="center"/>
              <w:rPr>
                <w:rFonts w:cs="Times New Roman"/>
                <w:color w:val="000000"/>
                <w:sz w:val="20"/>
                <w:szCs w:val="20"/>
              </w:rPr>
            </w:pPr>
            <w:r w:rsidRPr="00A4250B">
              <w:rPr>
                <w:rFonts w:cs="Times New Roman"/>
                <w:color w:val="000000"/>
                <w:sz w:val="20"/>
                <w:szCs w:val="20"/>
              </w:rPr>
              <w:t>0.222</w:t>
            </w:r>
          </w:p>
        </w:tc>
        <w:tc>
          <w:tcPr>
            <w:tcW w:w="879" w:type="dxa"/>
            <w:tcBorders>
              <w:top w:val="nil"/>
              <w:left w:val="nil"/>
              <w:bottom w:val="single" w:sz="4" w:space="0" w:color="auto"/>
              <w:right w:val="single" w:sz="4" w:space="0" w:color="auto"/>
            </w:tcBorders>
            <w:shd w:val="clear" w:color="auto" w:fill="auto"/>
            <w:noWrap/>
            <w:vAlign w:val="center"/>
            <w:hideMark/>
          </w:tcPr>
          <w:p w14:paraId="55B20FFE" w14:textId="77777777" w:rsidR="00A82F1D" w:rsidRPr="00D72CE4" w:rsidRDefault="00A82F1D" w:rsidP="004601C9">
            <w:pPr>
              <w:jc w:val="center"/>
              <w:rPr>
                <w:rFonts w:cs="Times New Roman"/>
                <w:color w:val="000000"/>
                <w:sz w:val="20"/>
                <w:szCs w:val="20"/>
              </w:rPr>
            </w:pPr>
            <w:r w:rsidRPr="00A4250B">
              <w:rPr>
                <w:rFonts w:cs="Times New Roman"/>
                <w:color w:val="000000"/>
                <w:sz w:val="20"/>
                <w:szCs w:val="20"/>
              </w:rPr>
              <w:t>13.287</w:t>
            </w:r>
          </w:p>
        </w:tc>
        <w:tc>
          <w:tcPr>
            <w:tcW w:w="916" w:type="dxa"/>
            <w:gridSpan w:val="2"/>
            <w:tcBorders>
              <w:top w:val="nil"/>
              <w:left w:val="nil"/>
              <w:bottom w:val="single" w:sz="4" w:space="0" w:color="auto"/>
              <w:right w:val="single" w:sz="4" w:space="0" w:color="auto"/>
            </w:tcBorders>
            <w:shd w:val="clear" w:color="auto" w:fill="auto"/>
            <w:noWrap/>
            <w:vAlign w:val="center"/>
            <w:hideMark/>
          </w:tcPr>
          <w:p w14:paraId="2B1C5E3D" w14:textId="77777777" w:rsidR="00A82F1D" w:rsidRPr="00D72CE4" w:rsidRDefault="00A82F1D" w:rsidP="004601C9">
            <w:pPr>
              <w:jc w:val="center"/>
              <w:rPr>
                <w:rFonts w:cs="Times New Roman"/>
                <w:color w:val="000000"/>
                <w:sz w:val="20"/>
                <w:szCs w:val="20"/>
              </w:rPr>
            </w:pPr>
            <w:r w:rsidRPr="0097227C">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7A581144" w14:textId="77777777" w:rsidR="00A82F1D" w:rsidRPr="00D72CE4" w:rsidRDefault="00A82F1D" w:rsidP="004601C9">
            <w:pPr>
              <w:jc w:val="center"/>
              <w:rPr>
                <w:rFonts w:cs="Times New Roman"/>
                <w:color w:val="000000"/>
                <w:sz w:val="20"/>
                <w:szCs w:val="20"/>
              </w:rPr>
            </w:pPr>
            <w:r w:rsidRPr="0097227C">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hideMark/>
          </w:tcPr>
          <w:p w14:paraId="1F9B4601" w14:textId="77777777" w:rsidR="00A82F1D" w:rsidRPr="00D72CE4" w:rsidRDefault="00A82F1D" w:rsidP="004601C9">
            <w:pPr>
              <w:jc w:val="center"/>
              <w:rPr>
                <w:rFonts w:cs="Times New Roman"/>
                <w:color w:val="000000"/>
                <w:sz w:val="20"/>
                <w:szCs w:val="20"/>
              </w:rPr>
            </w:pPr>
            <w:r w:rsidRPr="0097227C">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22D96836" w14:textId="77777777" w:rsidR="00A82F1D" w:rsidRPr="00D72CE4" w:rsidRDefault="00A82F1D" w:rsidP="004601C9">
            <w:pPr>
              <w:jc w:val="center"/>
              <w:rPr>
                <w:rFonts w:cs="Times New Roman"/>
                <w:color w:val="000000"/>
                <w:sz w:val="20"/>
                <w:szCs w:val="20"/>
              </w:rPr>
            </w:pPr>
            <w:r w:rsidRPr="0097227C">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hideMark/>
          </w:tcPr>
          <w:p w14:paraId="097F9CEA" w14:textId="77777777" w:rsidR="00A82F1D" w:rsidRPr="00D72CE4" w:rsidRDefault="00A82F1D" w:rsidP="004601C9">
            <w:pPr>
              <w:jc w:val="center"/>
              <w:rPr>
                <w:rFonts w:cs="Times New Roman"/>
                <w:color w:val="000000"/>
                <w:sz w:val="20"/>
                <w:szCs w:val="20"/>
              </w:rPr>
            </w:pPr>
            <w:r w:rsidRPr="0097227C">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7FB36072" w14:textId="77777777" w:rsidR="00A82F1D" w:rsidRPr="00D72CE4" w:rsidRDefault="00A82F1D" w:rsidP="004601C9">
            <w:pPr>
              <w:jc w:val="center"/>
              <w:rPr>
                <w:rFonts w:cs="Times New Roman"/>
                <w:color w:val="000000"/>
                <w:sz w:val="20"/>
                <w:szCs w:val="20"/>
              </w:rPr>
            </w:pPr>
            <w:r w:rsidRPr="0097227C">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hideMark/>
          </w:tcPr>
          <w:p w14:paraId="1F87F266" w14:textId="77777777" w:rsidR="00A82F1D" w:rsidRPr="00D72CE4" w:rsidRDefault="00A82F1D" w:rsidP="004601C9">
            <w:pPr>
              <w:jc w:val="center"/>
              <w:rPr>
                <w:rFonts w:cs="Times New Roman"/>
                <w:color w:val="000000"/>
                <w:sz w:val="20"/>
                <w:szCs w:val="20"/>
              </w:rPr>
            </w:pPr>
            <w:r w:rsidRPr="0097227C">
              <w:rPr>
                <w:rFonts w:cs="Times New Roman"/>
                <w:color w:val="000000"/>
                <w:sz w:val="20"/>
                <w:szCs w:val="20"/>
              </w:rPr>
              <w:t>--</w:t>
            </w:r>
          </w:p>
        </w:tc>
        <w:tc>
          <w:tcPr>
            <w:tcW w:w="931" w:type="dxa"/>
            <w:tcBorders>
              <w:top w:val="nil"/>
              <w:left w:val="nil"/>
              <w:bottom w:val="single" w:sz="4" w:space="0" w:color="auto"/>
              <w:right w:val="single" w:sz="4" w:space="0" w:color="auto"/>
            </w:tcBorders>
            <w:shd w:val="clear" w:color="auto" w:fill="auto"/>
            <w:noWrap/>
            <w:vAlign w:val="center"/>
            <w:hideMark/>
          </w:tcPr>
          <w:p w14:paraId="3D6AE5A2" w14:textId="77777777" w:rsidR="00A82F1D" w:rsidRPr="00D72CE4" w:rsidRDefault="00A82F1D" w:rsidP="004601C9">
            <w:pPr>
              <w:jc w:val="center"/>
              <w:rPr>
                <w:rFonts w:cs="Times New Roman"/>
                <w:color w:val="000000"/>
                <w:sz w:val="20"/>
                <w:szCs w:val="20"/>
              </w:rPr>
            </w:pPr>
            <w:r w:rsidRPr="0097227C">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hideMark/>
          </w:tcPr>
          <w:p w14:paraId="48F842A1" w14:textId="77777777" w:rsidR="00A82F1D" w:rsidRPr="00D72CE4" w:rsidRDefault="00A82F1D" w:rsidP="004601C9">
            <w:pPr>
              <w:jc w:val="center"/>
              <w:rPr>
                <w:rFonts w:cs="Times New Roman"/>
                <w:color w:val="000000"/>
                <w:sz w:val="20"/>
                <w:szCs w:val="20"/>
              </w:rPr>
            </w:pPr>
            <w:r w:rsidRPr="00A4250B">
              <w:rPr>
                <w:rFonts w:cs="Times New Roman"/>
                <w:color w:val="000000"/>
                <w:sz w:val="20"/>
                <w:szCs w:val="20"/>
              </w:rPr>
              <w:t>0.222</w:t>
            </w:r>
          </w:p>
        </w:tc>
        <w:tc>
          <w:tcPr>
            <w:tcW w:w="884" w:type="dxa"/>
            <w:tcBorders>
              <w:top w:val="nil"/>
              <w:left w:val="nil"/>
              <w:bottom w:val="single" w:sz="4" w:space="0" w:color="auto"/>
              <w:right w:val="double" w:sz="4" w:space="0" w:color="auto"/>
            </w:tcBorders>
            <w:shd w:val="clear" w:color="auto" w:fill="auto"/>
            <w:noWrap/>
            <w:vAlign w:val="center"/>
            <w:hideMark/>
          </w:tcPr>
          <w:p w14:paraId="7720FEF7" w14:textId="77777777" w:rsidR="00A82F1D" w:rsidRPr="00D72CE4" w:rsidRDefault="00A82F1D" w:rsidP="004601C9">
            <w:pPr>
              <w:jc w:val="center"/>
              <w:rPr>
                <w:rFonts w:cs="Times New Roman"/>
                <w:color w:val="000000"/>
                <w:sz w:val="20"/>
                <w:szCs w:val="20"/>
              </w:rPr>
            </w:pPr>
            <w:r w:rsidRPr="00A4250B">
              <w:rPr>
                <w:rFonts w:cs="Times New Roman"/>
                <w:color w:val="000000"/>
                <w:sz w:val="20"/>
                <w:szCs w:val="20"/>
              </w:rPr>
              <w:t>13.287</w:t>
            </w:r>
          </w:p>
        </w:tc>
      </w:tr>
      <w:tr w:rsidR="00A82F1D" w:rsidRPr="00E75453" w14:paraId="5BA242EE" w14:textId="77777777" w:rsidTr="004601C9">
        <w:trPr>
          <w:trHeight w:val="300"/>
        </w:trPr>
        <w:tc>
          <w:tcPr>
            <w:tcW w:w="1965" w:type="dxa"/>
            <w:tcBorders>
              <w:top w:val="single" w:sz="4" w:space="0" w:color="auto"/>
              <w:left w:val="double" w:sz="4" w:space="0" w:color="auto"/>
              <w:bottom w:val="double" w:sz="4" w:space="0" w:color="auto"/>
              <w:right w:val="single" w:sz="4" w:space="0" w:color="auto"/>
            </w:tcBorders>
            <w:shd w:val="clear" w:color="auto" w:fill="auto"/>
            <w:noWrap/>
            <w:vAlign w:val="center"/>
            <w:hideMark/>
          </w:tcPr>
          <w:p w14:paraId="4CD1234D" w14:textId="77777777" w:rsidR="00A82F1D" w:rsidRPr="00BC49D9" w:rsidRDefault="00A82F1D" w:rsidP="004601C9">
            <w:pPr>
              <w:rPr>
                <w:rFonts w:eastAsia="Times New Roman" w:cs="Times New Roman"/>
                <w:b/>
                <w:color w:val="000000"/>
                <w:sz w:val="20"/>
                <w:szCs w:val="20"/>
              </w:rPr>
            </w:pPr>
            <w:r w:rsidRPr="00BC49D9">
              <w:rPr>
                <w:rFonts w:eastAsia="Times New Roman" w:cs="Times New Roman"/>
                <w:b/>
                <w:color w:val="000000"/>
                <w:sz w:val="20"/>
                <w:szCs w:val="20"/>
              </w:rPr>
              <w:t>Over dispersion</w:t>
            </w:r>
            <w:r>
              <w:rPr>
                <w:rFonts w:eastAsia="Times New Roman" w:cs="Times New Roman"/>
                <w:b/>
                <w:color w:val="000000"/>
                <w:sz w:val="20"/>
                <w:szCs w:val="20"/>
              </w:rPr>
              <w:t xml:space="preserve"> </w:t>
            </w:r>
            <w:r w:rsidRPr="00C71057">
              <w:rPr>
                <w:rFonts w:eastAsia="Times New Roman" w:cs="Times New Roman"/>
                <w:bCs/>
                <w:color w:val="000000"/>
                <w:sz w:val="20"/>
                <w:szCs w:val="20"/>
              </w:rPr>
              <w:t>(6)</w:t>
            </w:r>
          </w:p>
        </w:tc>
        <w:tc>
          <w:tcPr>
            <w:tcW w:w="916" w:type="dxa"/>
            <w:tcBorders>
              <w:top w:val="single" w:sz="4" w:space="0" w:color="auto"/>
              <w:left w:val="nil"/>
              <w:bottom w:val="double" w:sz="4" w:space="0" w:color="auto"/>
              <w:right w:val="single" w:sz="4" w:space="0" w:color="auto"/>
            </w:tcBorders>
            <w:shd w:val="clear" w:color="auto" w:fill="auto"/>
            <w:noWrap/>
            <w:vAlign w:val="center"/>
            <w:hideMark/>
          </w:tcPr>
          <w:p w14:paraId="0E441E09" w14:textId="77777777" w:rsidR="00A82F1D" w:rsidRPr="00D72CE4" w:rsidRDefault="00A82F1D" w:rsidP="004601C9">
            <w:pPr>
              <w:jc w:val="center"/>
              <w:rPr>
                <w:rFonts w:cs="Times New Roman"/>
                <w:color w:val="000000"/>
                <w:sz w:val="20"/>
                <w:szCs w:val="20"/>
              </w:rPr>
            </w:pPr>
            <w:r w:rsidRPr="00A4250B">
              <w:rPr>
                <w:rFonts w:cs="Times New Roman"/>
                <w:color w:val="000000"/>
                <w:sz w:val="20"/>
                <w:szCs w:val="20"/>
              </w:rPr>
              <w:t>0.671</w:t>
            </w:r>
          </w:p>
        </w:tc>
        <w:tc>
          <w:tcPr>
            <w:tcW w:w="879" w:type="dxa"/>
            <w:tcBorders>
              <w:top w:val="single" w:sz="4" w:space="0" w:color="auto"/>
              <w:left w:val="nil"/>
              <w:bottom w:val="double" w:sz="4" w:space="0" w:color="auto"/>
              <w:right w:val="single" w:sz="4" w:space="0" w:color="auto"/>
            </w:tcBorders>
            <w:shd w:val="clear" w:color="auto" w:fill="auto"/>
            <w:noWrap/>
            <w:vAlign w:val="center"/>
            <w:hideMark/>
          </w:tcPr>
          <w:p w14:paraId="664109AC" w14:textId="77777777" w:rsidR="00A82F1D" w:rsidRPr="00D72CE4" w:rsidRDefault="00A82F1D" w:rsidP="004601C9">
            <w:pPr>
              <w:jc w:val="center"/>
              <w:rPr>
                <w:rFonts w:cs="Times New Roman"/>
                <w:color w:val="000000"/>
                <w:sz w:val="20"/>
                <w:szCs w:val="20"/>
              </w:rPr>
            </w:pPr>
            <w:r w:rsidRPr="00A4250B">
              <w:rPr>
                <w:rFonts w:cs="Times New Roman"/>
                <w:color w:val="000000"/>
                <w:sz w:val="20"/>
                <w:szCs w:val="20"/>
              </w:rPr>
              <w:t>16.130</w:t>
            </w:r>
          </w:p>
        </w:tc>
        <w:tc>
          <w:tcPr>
            <w:tcW w:w="916" w:type="dxa"/>
            <w:gridSpan w:val="2"/>
            <w:tcBorders>
              <w:top w:val="single" w:sz="4" w:space="0" w:color="auto"/>
              <w:left w:val="nil"/>
              <w:bottom w:val="double" w:sz="4" w:space="0" w:color="auto"/>
              <w:right w:val="single" w:sz="4" w:space="0" w:color="auto"/>
            </w:tcBorders>
            <w:shd w:val="clear" w:color="auto" w:fill="auto"/>
            <w:noWrap/>
            <w:vAlign w:val="center"/>
            <w:hideMark/>
          </w:tcPr>
          <w:p w14:paraId="681CF37C" w14:textId="77777777" w:rsidR="00A82F1D" w:rsidRPr="00D72CE4" w:rsidRDefault="00A82F1D" w:rsidP="004601C9">
            <w:pPr>
              <w:jc w:val="center"/>
              <w:rPr>
                <w:rFonts w:cs="Times New Roman"/>
                <w:color w:val="000000"/>
                <w:sz w:val="20"/>
                <w:szCs w:val="20"/>
              </w:rPr>
            </w:pPr>
            <w:r w:rsidRPr="00A4250B">
              <w:rPr>
                <w:rFonts w:cs="Times New Roman"/>
                <w:color w:val="000000"/>
                <w:sz w:val="20"/>
                <w:szCs w:val="20"/>
              </w:rPr>
              <w:t>0.251</w:t>
            </w:r>
          </w:p>
        </w:tc>
        <w:tc>
          <w:tcPr>
            <w:tcW w:w="900" w:type="dxa"/>
            <w:tcBorders>
              <w:top w:val="single" w:sz="4" w:space="0" w:color="auto"/>
              <w:left w:val="nil"/>
              <w:bottom w:val="double" w:sz="4" w:space="0" w:color="auto"/>
              <w:right w:val="single" w:sz="4" w:space="0" w:color="auto"/>
            </w:tcBorders>
            <w:shd w:val="clear" w:color="auto" w:fill="auto"/>
            <w:noWrap/>
            <w:vAlign w:val="center"/>
            <w:hideMark/>
          </w:tcPr>
          <w:p w14:paraId="39B5BA62" w14:textId="77777777" w:rsidR="00A82F1D" w:rsidRPr="00D72CE4" w:rsidRDefault="00A82F1D" w:rsidP="004601C9">
            <w:pPr>
              <w:jc w:val="center"/>
              <w:rPr>
                <w:rFonts w:cs="Times New Roman"/>
                <w:color w:val="000000"/>
                <w:sz w:val="20"/>
                <w:szCs w:val="20"/>
              </w:rPr>
            </w:pPr>
            <w:r w:rsidRPr="00A4250B">
              <w:rPr>
                <w:rFonts w:cs="Times New Roman"/>
                <w:color w:val="000000"/>
                <w:sz w:val="20"/>
                <w:szCs w:val="20"/>
              </w:rPr>
              <w:t>6.515</w:t>
            </w:r>
          </w:p>
        </w:tc>
        <w:tc>
          <w:tcPr>
            <w:tcW w:w="916" w:type="dxa"/>
            <w:tcBorders>
              <w:top w:val="single" w:sz="4" w:space="0" w:color="auto"/>
              <w:left w:val="nil"/>
              <w:bottom w:val="double" w:sz="4" w:space="0" w:color="auto"/>
              <w:right w:val="single" w:sz="4" w:space="0" w:color="auto"/>
            </w:tcBorders>
            <w:shd w:val="clear" w:color="auto" w:fill="auto"/>
            <w:noWrap/>
            <w:vAlign w:val="center"/>
            <w:hideMark/>
          </w:tcPr>
          <w:p w14:paraId="0BBC0F61" w14:textId="77777777" w:rsidR="00A82F1D" w:rsidRPr="00D72CE4" w:rsidRDefault="00A82F1D" w:rsidP="004601C9">
            <w:pPr>
              <w:jc w:val="center"/>
              <w:rPr>
                <w:rFonts w:cs="Times New Roman"/>
                <w:color w:val="000000"/>
                <w:sz w:val="20"/>
                <w:szCs w:val="20"/>
              </w:rPr>
            </w:pPr>
            <w:r w:rsidRPr="00A4250B">
              <w:rPr>
                <w:rFonts w:cs="Times New Roman"/>
                <w:color w:val="000000"/>
                <w:sz w:val="20"/>
                <w:szCs w:val="20"/>
              </w:rPr>
              <w:t>0.284</w:t>
            </w:r>
          </w:p>
        </w:tc>
        <w:tc>
          <w:tcPr>
            <w:tcW w:w="900" w:type="dxa"/>
            <w:tcBorders>
              <w:top w:val="single" w:sz="4" w:space="0" w:color="auto"/>
              <w:left w:val="nil"/>
              <w:bottom w:val="double" w:sz="4" w:space="0" w:color="auto"/>
              <w:right w:val="single" w:sz="4" w:space="0" w:color="auto"/>
            </w:tcBorders>
            <w:shd w:val="clear" w:color="auto" w:fill="auto"/>
            <w:noWrap/>
            <w:vAlign w:val="center"/>
            <w:hideMark/>
          </w:tcPr>
          <w:p w14:paraId="48A6C48B" w14:textId="77777777" w:rsidR="00A82F1D" w:rsidRPr="00D72CE4" w:rsidRDefault="00A82F1D" w:rsidP="004601C9">
            <w:pPr>
              <w:jc w:val="center"/>
              <w:rPr>
                <w:rFonts w:cs="Times New Roman"/>
                <w:color w:val="000000"/>
                <w:sz w:val="20"/>
                <w:szCs w:val="20"/>
              </w:rPr>
            </w:pPr>
            <w:r w:rsidRPr="00A4250B">
              <w:rPr>
                <w:rFonts w:cs="Times New Roman"/>
                <w:color w:val="000000"/>
                <w:sz w:val="20"/>
                <w:szCs w:val="20"/>
              </w:rPr>
              <w:t>8.270</w:t>
            </w:r>
          </w:p>
        </w:tc>
        <w:tc>
          <w:tcPr>
            <w:tcW w:w="916" w:type="dxa"/>
            <w:tcBorders>
              <w:top w:val="single" w:sz="4" w:space="0" w:color="auto"/>
              <w:left w:val="nil"/>
              <w:bottom w:val="double" w:sz="4" w:space="0" w:color="auto"/>
              <w:right w:val="single" w:sz="4" w:space="0" w:color="auto"/>
            </w:tcBorders>
            <w:shd w:val="clear" w:color="auto" w:fill="auto"/>
            <w:noWrap/>
            <w:vAlign w:val="center"/>
            <w:hideMark/>
          </w:tcPr>
          <w:p w14:paraId="40CEED33" w14:textId="77777777" w:rsidR="00A82F1D" w:rsidRPr="00D72CE4" w:rsidRDefault="00A82F1D" w:rsidP="004601C9">
            <w:pPr>
              <w:jc w:val="center"/>
              <w:rPr>
                <w:rFonts w:cs="Times New Roman"/>
                <w:color w:val="000000"/>
                <w:sz w:val="20"/>
                <w:szCs w:val="20"/>
              </w:rPr>
            </w:pPr>
            <w:r w:rsidRPr="00A4250B">
              <w:rPr>
                <w:rFonts w:cs="Times New Roman"/>
                <w:color w:val="000000"/>
                <w:sz w:val="20"/>
                <w:szCs w:val="20"/>
              </w:rPr>
              <w:t>1.002</w:t>
            </w:r>
          </w:p>
        </w:tc>
        <w:tc>
          <w:tcPr>
            <w:tcW w:w="900" w:type="dxa"/>
            <w:tcBorders>
              <w:top w:val="single" w:sz="4" w:space="0" w:color="auto"/>
              <w:left w:val="nil"/>
              <w:bottom w:val="double" w:sz="4" w:space="0" w:color="auto"/>
              <w:right w:val="single" w:sz="4" w:space="0" w:color="auto"/>
            </w:tcBorders>
            <w:shd w:val="clear" w:color="auto" w:fill="auto"/>
            <w:noWrap/>
            <w:vAlign w:val="center"/>
            <w:hideMark/>
          </w:tcPr>
          <w:p w14:paraId="5D6E9C29" w14:textId="77777777" w:rsidR="00A82F1D" w:rsidRPr="00D72CE4" w:rsidRDefault="00A82F1D" w:rsidP="004601C9">
            <w:pPr>
              <w:jc w:val="center"/>
              <w:rPr>
                <w:rFonts w:cs="Times New Roman"/>
                <w:color w:val="000000"/>
                <w:sz w:val="20"/>
                <w:szCs w:val="20"/>
              </w:rPr>
            </w:pPr>
            <w:r w:rsidRPr="00A4250B">
              <w:rPr>
                <w:rFonts w:cs="Times New Roman"/>
                <w:color w:val="000000"/>
                <w:sz w:val="20"/>
                <w:szCs w:val="20"/>
              </w:rPr>
              <w:t>6.245</w:t>
            </w:r>
          </w:p>
        </w:tc>
        <w:tc>
          <w:tcPr>
            <w:tcW w:w="916" w:type="dxa"/>
            <w:tcBorders>
              <w:top w:val="single" w:sz="4" w:space="0" w:color="auto"/>
              <w:left w:val="nil"/>
              <w:bottom w:val="double" w:sz="4" w:space="0" w:color="auto"/>
              <w:right w:val="single" w:sz="4" w:space="0" w:color="auto"/>
            </w:tcBorders>
            <w:shd w:val="clear" w:color="auto" w:fill="auto"/>
            <w:noWrap/>
            <w:vAlign w:val="center"/>
            <w:hideMark/>
          </w:tcPr>
          <w:p w14:paraId="7769BA8A" w14:textId="77777777" w:rsidR="00A82F1D" w:rsidRPr="00D72CE4" w:rsidRDefault="00A82F1D" w:rsidP="004601C9">
            <w:pPr>
              <w:jc w:val="center"/>
              <w:rPr>
                <w:rFonts w:cs="Times New Roman"/>
                <w:color w:val="000000"/>
                <w:sz w:val="20"/>
                <w:szCs w:val="20"/>
              </w:rPr>
            </w:pPr>
            <w:r w:rsidRPr="00A4250B">
              <w:rPr>
                <w:rFonts w:cs="Times New Roman"/>
                <w:color w:val="000000"/>
                <w:sz w:val="20"/>
                <w:szCs w:val="20"/>
              </w:rPr>
              <w:t>0.713</w:t>
            </w:r>
          </w:p>
        </w:tc>
        <w:tc>
          <w:tcPr>
            <w:tcW w:w="931" w:type="dxa"/>
            <w:tcBorders>
              <w:top w:val="single" w:sz="4" w:space="0" w:color="auto"/>
              <w:left w:val="nil"/>
              <w:bottom w:val="double" w:sz="4" w:space="0" w:color="auto"/>
              <w:right w:val="single" w:sz="4" w:space="0" w:color="auto"/>
            </w:tcBorders>
            <w:shd w:val="clear" w:color="auto" w:fill="auto"/>
            <w:noWrap/>
            <w:vAlign w:val="center"/>
            <w:hideMark/>
          </w:tcPr>
          <w:p w14:paraId="2E2644AF" w14:textId="77777777" w:rsidR="00A82F1D" w:rsidRPr="00D72CE4" w:rsidRDefault="00A82F1D" w:rsidP="004601C9">
            <w:pPr>
              <w:jc w:val="center"/>
              <w:rPr>
                <w:rFonts w:cs="Times New Roman"/>
                <w:color w:val="000000"/>
                <w:sz w:val="20"/>
                <w:szCs w:val="20"/>
              </w:rPr>
            </w:pPr>
            <w:r w:rsidRPr="00A4250B">
              <w:rPr>
                <w:rFonts w:cs="Times New Roman"/>
                <w:color w:val="000000"/>
                <w:sz w:val="20"/>
                <w:szCs w:val="20"/>
              </w:rPr>
              <w:t>19.270</w:t>
            </w:r>
          </w:p>
        </w:tc>
        <w:tc>
          <w:tcPr>
            <w:tcW w:w="916" w:type="dxa"/>
            <w:gridSpan w:val="2"/>
            <w:tcBorders>
              <w:top w:val="single" w:sz="4" w:space="0" w:color="auto"/>
              <w:left w:val="nil"/>
              <w:bottom w:val="double" w:sz="4" w:space="0" w:color="auto"/>
              <w:right w:val="single" w:sz="4" w:space="0" w:color="auto"/>
            </w:tcBorders>
            <w:shd w:val="clear" w:color="auto" w:fill="auto"/>
            <w:noWrap/>
            <w:vAlign w:val="center"/>
            <w:hideMark/>
          </w:tcPr>
          <w:p w14:paraId="0D25AD7E" w14:textId="77777777" w:rsidR="00A82F1D" w:rsidRPr="00D72CE4" w:rsidRDefault="00A82F1D" w:rsidP="004601C9">
            <w:pPr>
              <w:jc w:val="center"/>
              <w:rPr>
                <w:rFonts w:cs="Times New Roman"/>
                <w:color w:val="000000"/>
                <w:sz w:val="20"/>
                <w:szCs w:val="20"/>
              </w:rPr>
            </w:pPr>
            <w:r w:rsidRPr="00A4250B">
              <w:rPr>
                <w:rFonts w:cs="Times New Roman"/>
                <w:color w:val="000000"/>
                <w:sz w:val="20"/>
                <w:szCs w:val="20"/>
              </w:rPr>
              <w:t>0.235</w:t>
            </w:r>
          </w:p>
        </w:tc>
        <w:tc>
          <w:tcPr>
            <w:tcW w:w="884" w:type="dxa"/>
            <w:tcBorders>
              <w:top w:val="single" w:sz="4" w:space="0" w:color="auto"/>
              <w:left w:val="nil"/>
              <w:bottom w:val="double" w:sz="4" w:space="0" w:color="auto"/>
              <w:right w:val="double" w:sz="4" w:space="0" w:color="auto"/>
            </w:tcBorders>
            <w:shd w:val="clear" w:color="auto" w:fill="auto"/>
            <w:noWrap/>
            <w:vAlign w:val="center"/>
            <w:hideMark/>
          </w:tcPr>
          <w:p w14:paraId="797D6BEC" w14:textId="77777777" w:rsidR="00A82F1D" w:rsidRPr="00D72CE4" w:rsidRDefault="00A82F1D" w:rsidP="004601C9">
            <w:pPr>
              <w:jc w:val="center"/>
              <w:rPr>
                <w:rFonts w:cs="Times New Roman"/>
                <w:color w:val="000000"/>
                <w:sz w:val="20"/>
                <w:szCs w:val="20"/>
              </w:rPr>
            </w:pPr>
            <w:r w:rsidRPr="00A4250B">
              <w:rPr>
                <w:rFonts w:cs="Times New Roman"/>
                <w:color w:val="000000"/>
                <w:sz w:val="20"/>
                <w:szCs w:val="20"/>
              </w:rPr>
              <w:t>4.459</w:t>
            </w:r>
          </w:p>
        </w:tc>
      </w:tr>
    </w:tbl>
    <w:p w14:paraId="5D17AB28" w14:textId="77777777" w:rsidR="00A82F1D" w:rsidRPr="00F56EC8" w:rsidRDefault="00A82F1D" w:rsidP="00A82F1D">
      <w:pPr>
        <w:rPr>
          <w:sz w:val="20"/>
          <w:szCs w:val="18"/>
          <w:lang w:val="en-US"/>
        </w:rPr>
      </w:pPr>
      <w:r w:rsidRPr="00EC79A3">
        <w:rPr>
          <w:sz w:val="20"/>
          <w:szCs w:val="20"/>
        </w:rPr>
        <w:t>*np=</w:t>
      </w:r>
      <w:r w:rsidRPr="00F56EC8">
        <w:rPr>
          <w:szCs w:val="24"/>
        </w:rPr>
        <w:t xml:space="preserve"> </w:t>
      </w:r>
      <w:r w:rsidRPr="00F56EC8">
        <w:rPr>
          <w:sz w:val="20"/>
          <w:szCs w:val="18"/>
          <w:lang w:val="en-US"/>
        </w:rPr>
        <w:t>number of parameters estimated for each variable from a possible set of six</w:t>
      </w:r>
      <w:r>
        <w:rPr>
          <w:sz w:val="20"/>
          <w:szCs w:val="18"/>
          <w:lang w:val="en-US"/>
        </w:rPr>
        <w:t xml:space="preserve"> (six crash types)</w:t>
      </w:r>
    </w:p>
    <w:p w14:paraId="3D3457A2" w14:textId="77777777" w:rsidR="00A82F1D" w:rsidRDefault="00A82F1D" w:rsidP="006045D8">
      <w:pPr>
        <w:rPr>
          <w:sz w:val="20"/>
          <w:szCs w:val="18"/>
          <w:lang w:val="en-US"/>
        </w:rPr>
      </w:pPr>
      <w:r w:rsidRPr="006612B8">
        <w:rPr>
          <w:rStyle w:val="FootnoteReference"/>
          <w:sz w:val="20"/>
          <w:szCs w:val="18"/>
        </w:rPr>
        <w:footnoteRef/>
      </w:r>
      <w:r w:rsidRPr="006612B8">
        <w:rPr>
          <w:sz w:val="20"/>
          <w:szCs w:val="18"/>
        </w:rPr>
        <w:t xml:space="preserve"> </w:t>
      </w:r>
      <w:r w:rsidRPr="006612B8">
        <w:rPr>
          <w:sz w:val="20"/>
          <w:szCs w:val="18"/>
          <w:lang w:val="en-US"/>
        </w:rPr>
        <w:t xml:space="preserve">--= attribute insignificant at 90% </w:t>
      </w:r>
      <w:r>
        <w:rPr>
          <w:sz w:val="20"/>
          <w:szCs w:val="18"/>
          <w:lang w:val="en-US"/>
        </w:rPr>
        <w:t>confidence</w:t>
      </w:r>
      <w:r w:rsidRPr="006612B8">
        <w:rPr>
          <w:sz w:val="20"/>
          <w:szCs w:val="18"/>
          <w:lang w:val="en-US"/>
        </w:rPr>
        <w:t xml:space="preserve"> level</w:t>
      </w:r>
    </w:p>
    <w:p w14:paraId="2BCC16A8" w14:textId="1480D4F1" w:rsidR="00FF1629" w:rsidRDefault="00FF1629" w:rsidP="006045D8">
      <w:pPr>
        <w:rPr>
          <w:szCs w:val="24"/>
        </w:rPr>
        <w:sectPr w:rsidR="00FF1629" w:rsidSect="00A82F1D">
          <w:headerReference w:type="default" r:id="rId29"/>
          <w:headerReference w:type="first" r:id="rId30"/>
          <w:pgSz w:w="15840" w:h="12240" w:orient="landscape" w:code="1"/>
          <w:pgMar w:top="1469" w:right="1440" w:bottom="1440" w:left="1440" w:header="720" w:footer="720" w:gutter="0"/>
          <w:cols w:space="708"/>
          <w:titlePg/>
          <w:docGrid w:linePitch="360"/>
        </w:sectPr>
      </w:pPr>
    </w:p>
    <w:p w14:paraId="0B55122A" w14:textId="11247504" w:rsidR="003066AA" w:rsidRPr="00873AB4" w:rsidRDefault="006045D8" w:rsidP="006045D8">
      <w:pPr>
        <w:rPr>
          <w:szCs w:val="24"/>
        </w:rPr>
      </w:pPr>
      <w:r w:rsidRPr="00873AB4">
        <w:rPr>
          <w:szCs w:val="24"/>
        </w:rPr>
        <w:lastRenderedPageBreak/>
        <w:t>likely to result in more (less) crashes</w:t>
      </w:r>
      <w:r w:rsidR="00950EB5" w:rsidRPr="00873AB4">
        <w:rPr>
          <w:szCs w:val="24"/>
        </w:rPr>
        <w:t>.</w:t>
      </w:r>
      <w:r w:rsidR="00185C61" w:rsidRPr="00873AB4">
        <w:rPr>
          <w:szCs w:val="24"/>
        </w:rPr>
        <w:t xml:space="preserve"> In the subsequent section</w:t>
      </w:r>
      <w:r w:rsidR="00C76933" w:rsidRPr="00873AB4">
        <w:rPr>
          <w:szCs w:val="24"/>
        </w:rPr>
        <w:t>s</w:t>
      </w:r>
      <w:r w:rsidR="00185C61" w:rsidRPr="00873AB4">
        <w:rPr>
          <w:szCs w:val="24"/>
        </w:rPr>
        <w:t xml:space="preserve">, </w:t>
      </w:r>
      <w:r w:rsidR="003066AA" w:rsidRPr="00873AB4">
        <w:rPr>
          <w:szCs w:val="24"/>
        </w:rPr>
        <w:t>we provide a discussion of model results for different crash types by variable groups.</w:t>
      </w:r>
      <w:r w:rsidR="00B67ABB">
        <w:rPr>
          <w:szCs w:val="24"/>
        </w:rPr>
        <w:t xml:space="preserve"> The reader would note that Table </w:t>
      </w:r>
      <w:r w:rsidR="006E11C4">
        <w:rPr>
          <w:szCs w:val="24"/>
        </w:rPr>
        <w:t>4</w:t>
      </w:r>
      <w:r w:rsidR="00B67ABB">
        <w:rPr>
          <w:szCs w:val="24"/>
        </w:rPr>
        <w:t xml:space="preserve"> identifies the number of parameters estimated for each variable from a possible set of six (one effect for each crash type). </w:t>
      </w:r>
    </w:p>
    <w:p w14:paraId="14D1C955" w14:textId="079C7631" w:rsidR="006C1117" w:rsidRDefault="006C1117" w:rsidP="006045D8">
      <w:pPr>
        <w:rPr>
          <w:szCs w:val="24"/>
        </w:rPr>
      </w:pPr>
    </w:p>
    <w:p w14:paraId="146AB204" w14:textId="41C5F607" w:rsidR="009D6575" w:rsidRDefault="00453E00" w:rsidP="006453A3">
      <w:r w:rsidRPr="0000632F">
        <w:rPr>
          <w:rStyle w:val="Heading4Char"/>
        </w:rPr>
        <w:t xml:space="preserve">Roadway </w:t>
      </w:r>
      <w:r w:rsidR="00407DFB" w:rsidRPr="0000632F">
        <w:rPr>
          <w:rStyle w:val="Heading4Char"/>
        </w:rPr>
        <w:t>Characteristics</w:t>
      </w:r>
      <w:r w:rsidRPr="00453E00">
        <w:rPr>
          <w:szCs w:val="24"/>
          <w:u w:val="single"/>
        </w:rPr>
        <w:t>:</w:t>
      </w:r>
      <w:r w:rsidR="00F90211" w:rsidRPr="00006FCC">
        <w:rPr>
          <w:szCs w:val="24"/>
        </w:rPr>
        <w:t xml:space="preserve"> </w:t>
      </w:r>
      <w:r w:rsidR="00677107" w:rsidRPr="00677107">
        <w:rPr>
          <w:szCs w:val="24"/>
        </w:rPr>
        <w:t xml:space="preserve">The results regarding the impact of proportion of arterial roads reveal that a TAZ with </w:t>
      </w:r>
      <w:r w:rsidR="00AA2642">
        <w:rPr>
          <w:szCs w:val="24"/>
        </w:rPr>
        <w:t xml:space="preserve">higher </w:t>
      </w:r>
      <w:r w:rsidR="00677107" w:rsidRPr="00677107">
        <w:rPr>
          <w:szCs w:val="24"/>
        </w:rPr>
        <w:t xml:space="preserve">proportion of arterial road </w:t>
      </w:r>
      <w:r w:rsidR="00873AB4">
        <w:rPr>
          <w:szCs w:val="24"/>
        </w:rPr>
        <w:t>is</w:t>
      </w:r>
      <w:r w:rsidR="00873AB4" w:rsidRPr="00677107">
        <w:rPr>
          <w:szCs w:val="24"/>
        </w:rPr>
        <w:t xml:space="preserve"> </w:t>
      </w:r>
      <w:r w:rsidR="00677107" w:rsidRPr="00677107">
        <w:rPr>
          <w:szCs w:val="24"/>
        </w:rPr>
        <w:t xml:space="preserve">more likely to </w:t>
      </w:r>
      <w:r w:rsidR="001E7C0B">
        <w:rPr>
          <w:szCs w:val="24"/>
        </w:rPr>
        <w:t xml:space="preserve">experience </w:t>
      </w:r>
      <w:r w:rsidR="001E7C0B" w:rsidRPr="00677107">
        <w:rPr>
          <w:szCs w:val="24"/>
        </w:rPr>
        <w:t>increased</w:t>
      </w:r>
      <w:r w:rsidR="00677107" w:rsidRPr="00677107">
        <w:rPr>
          <w:szCs w:val="24"/>
        </w:rPr>
        <w:t xml:space="preserve"> incidence of rear-end, angular and non-motorized crash</w:t>
      </w:r>
      <w:r w:rsidR="00677107">
        <w:rPr>
          <w:szCs w:val="24"/>
        </w:rPr>
        <w:t>es while the number of single vehicle crashes reduces.</w:t>
      </w:r>
      <w:r w:rsidR="001E7C0B">
        <w:rPr>
          <w:szCs w:val="24"/>
        </w:rPr>
        <w:t xml:space="preserve"> </w:t>
      </w:r>
      <w:r w:rsidR="00DD451A">
        <w:rPr>
          <w:szCs w:val="24"/>
        </w:rPr>
        <w:t xml:space="preserve">Single vehicle crashes (rollover and off-road) usually occur on high speed roads. On arterial roads, there is likely to be higher traffic interactions reducing operating speed and thus contributing to fewer single vehicle crashes. At the same time, the increased traffic interactions result in higher number of rear-end and angular crashes. It is also important to note that the influence of arterial roads is not different for </w:t>
      </w:r>
      <w:r w:rsidR="00DD451A">
        <w:t xml:space="preserve">rear-end, angular and non-motorized crashes i.e. a single parameter is adequate to accommodate for the impact of the variable. Traditional approaches in frequency modeling would have estimated </w:t>
      </w:r>
      <w:r w:rsidR="00B67ABB">
        <w:t>three</w:t>
      </w:r>
      <w:r w:rsidR="00DD451A">
        <w:t xml:space="preserve"> separate parameters while in our model</w:t>
      </w:r>
      <w:r w:rsidR="008E1633">
        <w:t>,</w:t>
      </w:r>
      <w:r w:rsidR="00DD451A">
        <w:t xml:space="preserve"> we estimate a single parameter. </w:t>
      </w:r>
      <w:r w:rsidR="006C30D3">
        <w:t xml:space="preserve">This is </w:t>
      </w:r>
      <w:r w:rsidR="004A3FA2">
        <w:t>a</w:t>
      </w:r>
      <w:r w:rsidR="00DD451A">
        <w:t>n</w:t>
      </w:r>
      <w:r w:rsidR="006C30D3">
        <w:t xml:space="preserve"> example of how the proposed </w:t>
      </w:r>
      <w:r w:rsidR="004A3FA2">
        <w:t>framework allow</w:t>
      </w:r>
      <w:r w:rsidR="00DD451A">
        <w:t>s</w:t>
      </w:r>
      <w:r w:rsidR="004A3FA2">
        <w:t xml:space="preserve"> us to</w:t>
      </w:r>
      <w:r w:rsidR="006C30D3">
        <w:t xml:space="preserve"> obtain a parsimonious specification (see</w:t>
      </w:r>
      <w:r w:rsidR="0097008B">
        <w:t xml:space="preserve"> </w:t>
      </w:r>
      <w:r w:rsidR="0097008B">
        <w:fldChar w:fldCharType="begin" w:fldLock="1"/>
      </w:r>
      <w:r w:rsidR="002F3C91">
        <w:instrText>ADDIN CSL_CITATION {"citationItems":[{"id":"ITEM-1","itemData":{"DOI":"10.1016/j.amar.2019.100107","ISSN":"22136657","abstract":"In safety literature, simulation-based multivariate framework is the most commonly employed approach for analyzing multiple crash frequency dependent variables. The current research effort contributes to literature on crash frequency analysis by suggesting an alternative and mathematically simpler approach for analyzing multiple crash frequency variables for the same study unit. The proposed recasts a multivariate distributional problem as a repeated measure univariate problem. Specifically, we employed a simpler panel random parameter based univariate model framework to analyze zonal level crash counts for different crash types. The empirical analysis is based on the traffic analysis zone (TAZ) level crash count data for both motorized and non-motorized crashes from Central Florida for the year 2016. The performance of the proposed framework is compared with the performance of the random parameter multivariate negative binomial model (RPMNB) using a host of metrics for estimation sample and hold-out sample. The resulting goodness of fit and predictive measures clearly highlight the comparable performance offered by the proposed framework relative to the commonly used RPMNB model with substantially fewer parameters. The comparison exercise is augmented by computing aggregate level elasticity effects for both PMNB and RPMNB models. The results clearly highlight the comparable performance offered by the proposed PMNB model relative to the traditional RPMNB model. In summary, the proposed framework allows for a parsimonious specification without compromising the model explanatory power and provides similar performance as the most traditional multivariate NB model for analyzing different crash dimensions.","author":[{"dropping-particle":"","family":"Bhowmik","given":"Tanmoy","non-dropping-particle":"","parse-names":false,"suffix":""},{"dropping-particle":"","family":"Yasmin","given":"Shamsunnahar","non-dropping-particle":"","parse-names":false,"suffix":""},{"dropping-particle":"","family":"Eluru","given":"Naveen","non-dropping-particle":"","parse-names":false,"suffix":""}],"container-title":"Analytic Methods in Accident Research","id":"ITEM-1","issued":{"date-parts":[["2019"]]},"title":"Do we need multivariate modeling approaches to model crash frequency by crash types? A panel mixed approach to modeling crash frequency by crash types","type":"article-journal","volume":"24"},"uris":["http://www.mendeley.com/documents/?uuid=9dc0906e-2da2-4234-a3bb-895cfabe6868"]}],"mendeley":{"formattedCitation":"(Bhowmik et al., 2019b)","manualFormatting":"(Bhowmik et al., 2019a)","plainTextFormattedCitation":"(Bhowmik et al., 2019b)","previouslyFormattedCitation":"(Bhowmik et al., 2019b)"},"properties":{"noteIndex":0},"schema":"https://github.com/citation-style-language/schema/raw/master/csl-citation.json"}</w:instrText>
      </w:r>
      <w:r w:rsidR="0097008B">
        <w:fldChar w:fldCharType="separate"/>
      </w:r>
      <w:r w:rsidR="0052670E" w:rsidRPr="0052670E">
        <w:rPr>
          <w:noProof/>
        </w:rPr>
        <w:t>(Bhowmik et al., 2019</w:t>
      </w:r>
      <w:r w:rsidR="000B5ADD">
        <w:rPr>
          <w:noProof/>
        </w:rPr>
        <w:t>a</w:t>
      </w:r>
      <w:r w:rsidR="0052670E" w:rsidRPr="0052670E">
        <w:rPr>
          <w:noProof/>
        </w:rPr>
        <w:t>)</w:t>
      </w:r>
      <w:r w:rsidR="0097008B">
        <w:fldChar w:fldCharType="end"/>
      </w:r>
      <w:r w:rsidR="006C30D3">
        <w:t xml:space="preserve"> </w:t>
      </w:r>
      <w:r w:rsidR="0097008B">
        <w:t>f</w:t>
      </w:r>
      <w:r w:rsidR="006C30D3">
        <w:t xml:space="preserve">or </w:t>
      </w:r>
      <w:r w:rsidR="005B5AE8">
        <w:t xml:space="preserve">similar </w:t>
      </w:r>
      <w:r w:rsidR="00DD451A">
        <w:t>results</w:t>
      </w:r>
      <w:r w:rsidR="006C30D3">
        <w:t>)</w:t>
      </w:r>
      <w:r w:rsidR="0097008B">
        <w:t>.</w:t>
      </w:r>
      <w:r w:rsidR="00BB0E0E">
        <w:t xml:space="preserve"> </w:t>
      </w:r>
      <w:r w:rsidR="00DD451A">
        <w:t xml:space="preserve">Consistent with earlier research, the current analysis also found that the intersection variable is positively associated with angular and non-motorized crashes </w:t>
      </w:r>
      <w:r w:rsidR="00DD451A">
        <w:fldChar w:fldCharType="begin" w:fldLock="1"/>
      </w:r>
      <w:r w:rsidR="008323B7">
        <w:instrText>ADDIN CSL_CITATION {"citationItems":[{"id":"ITEM-1","itemData":{"DOI":"10.3141/1953-02","ISBN":"0309099625","ISSN":"03611981","abstract":"Longitudinal intersection crash data are observations on a cross section of intersections that are observed over several time periods. Such cross-section and time series data structures have positive temporal correlation within each intersection. Using the basic negative binomial regression leads to invalid statistical inference due to incorrect test statistics and standard errors that are based on the misspecified variance. Generalized estimating equations (GEEs) provide an extension of generalized linear models to the analysis of longitudinal data, which account for the correlation in the repeated observations for a given intersection. In this study, the GEE procedure was used to model the temporal correlation for longitudinal intersection crash data. This analysis was based on 3-year data for 208 four-legged signalized intersections in central Florida. Intersection crash frequencies were fitted through use of GEEs with a negative binomial link function for four correlation structures. Both the functional form and the link function of GEE models were assessed with the cumulative residuals method. This method showed that the total average daily traffic per lane was the best representation of traffic volume, and the GEE model with autoregression structure had the best model performance. Variable relative effect analysis identified the relative effect for the variables in the models. Intersections with heavy traffic, a larger total number of lanes, a large number of phases per cycle, and high speed limits and those in high population areas were correlated with high crash frequencies. The intersections with more exclusive right-turn lanes and with a partial left-turn protection phase had lower crash risks.","author":[{"dropping-particle":"","family":"Xuesong","given":"Wang","non-dropping-particle":"","parse-names":false,"suffix":""},{"dropping-particle":"","family":"Abdel-Aty","given":"Mohamed","non-dropping-particle":"","parse-names":false,"suffix":""},{"dropping-particle":"","family":"Brady","given":"Patrick A.","non-dropping-particle":"","parse-names":false,"suffix":""}],"container-title":"Transportation Research Record","id":"ITEM-1","issue":"1953","issued":{"date-parts":[["2006"]]},"page":"10-20","title":"Crash estimation at signalized intersections significant factors and temporal effect","type":"article-journal","volume":"1953"},"uris":["http://www.mendeley.com/documents/?uuid=1067c4ef-b496-4606-9903-f622c218cc0c"]},{"id":"ITEM-2","itemData":{"DOI":"10.1186/1476-069X-8-47","ISSN":"1476069X","PMID":"19845962","abstract":"Background. Bicycling has the potential to improve fitness, diminish obesity, and reduce noise, air pollution, and greenhouse gases associated with travel. However, bicyclists incur a higher risk of injuries requiring hospitalization than motor vehicle occupants. Therefore, understanding ways of making bicycling safer and increasing rates of bicycling are important to improving population health. There is a growing body of research examining transportation infrastructure and the risk of injury to bicyclists. Methods. We reviewed studies of the impact of transportation infrastructure on bicyclist safety. The results were tabulated within two categories of infrastructure, namely that at intersections (e.g. roundabouts, traffic lights) or between intersections on \"straightaways\" (e.g. bike lanes or paths). To assess safety, studies examining the following outcomes were included: injuries; injury severity; and crashes (collisions and/or falls). Results. The literature to date on transportation infrastructure and cyclist safety is limited by the incomplete range of facilities studied and difficulties in controlling for exposure to risk. However, evidence from the 23 papers reviewed (eight that examined intersections and 15 that examined straightaways) suggests that infrastructure influences injury and crash risk. Intersection studies focused mainly on roundabouts. They found that multi-lane roundabouts can significantly increase risk to bicyclists unless a separated cycle track is included in the design. Studies of straightaways grouped facilities into few categories, such that facilities with potentially different risks may have been classified within a single category. Results to date suggest that sidewalks and multi-use trails pose the highest risk, major roads are more hazardous than minor roads, and the presence of bicycle facilities (e.g. on-road bike routes, on-road marked bike lanes, and off-road bike paths) was associated with the lowest risk. Conclusion. Evidence is beginning to accumulate that purpose-built bicycle-specific facilities reduce crashes and injuries among cyclists, providing the basis for initial transportation engineering guidelines for cyclist safety. Street lighting, paved surfaces, and low-angled grades are additional factors that appear to improve cyclist safety. Future research examining a greater variety of infrastructure would allow development of more detailed guidelines. © 2009 Reynolds et al; licensee BioMed Central Ltd.","author":[{"dropping-particle":"","family":"Reynolds","given":"Conor C.O.","non-dropping-particle":"","parse-names":false,"suffix":""},{"dropping-particle":"","family":"Harris","given":"M. Anne","non-dropping-particle":"","parse-names":false,"suffix":""},{"dropping-particle":"","family":"Teschke","given":"Kay","non-dropping-particle":"","parse-names":false,"suffix":""},{"dropping-particle":"","family":"Cripton","given":"Peter A.","non-dropping-particle":"","parse-names":false,"suffix":""},{"dropping-particle":"","family":"Winters","given":"Meghan","non-dropping-particle":"","parse-names":false,"suffix":""}],"container-title":"Environmental Health: A Global Access Science Source","id":"ITEM-2","issue":"1","issued":{"date-parts":[["2009"]]},"page":"2-4","title":"The impact of transportation infrastructure on bicycling injuries and crashes: A review of the literature","type":"article-journal","volume":"8"},"uris":["http://www.mendeley.com/documents/?uuid=58de405d-0e21-4c14-8dce-757c6cca9583"]}],"mendeley":{"formattedCitation":"(Reynolds et al., 2009; Xuesong et al., 2006)","plainTextFormattedCitation":"(Reynolds et al., 2009; Xuesong et al., 2006)","previouslyFormattedCitation":"(Reynolds et al., 2009; Xuesong et al., 2006)"},"properties":{"noteIndex":0},"schema":"https://github.com/citation-style-language/schema/raw/master/csl-citation.json"}</w:instrText>
      </w:r>
      <w:r w:rsidR="00DD451A">
        <w:fldChar w:fldCharType="separate"/>
      </w:r>
      <w:r w:rsidR="00B81912" w:rsidRPr="00B81912">
        <w:rPr>
          <w:noProof/>
        </w:rPr>
        <w:t>(Reynolds et al., 2009; Xuesong et al., 2006)</w:t>
      </w:r>
      <w:r w:rsidR="00DD451A">
        <w:fldChar w:fldCharType="end"/>
      </w:r>
      <w:r w:rsidR="00DD451A">
        <w:t xml:space="preserve">. </w:t>
      </w:r>
      <w:r w:rsidR="00F8681A">
        <w:t xml:space="preserve">Interestingly, </w:t>
      </w:r>
      <w:r w:rsidR="00DD451A">
        <w:t xml:space="preserve">the </w:t>
      </w:r>
      <w:r w:rsidR="00F8681A">
        <w:t xml:space="preserve">number of intersections </w:t>
      </w:r>
      <w:r w:rsidR="00DD451A">
        <w:t xml:space="preserve">variable </w:t>
      </w:r>
      <w:r w:rsidR="00A61102">
        <w:t>ha</w:t>
      </w:r>
      <w:r w:rsidR="00DD451A">
        <w:t>s</w:t>
      </w:r>
      <w:r w:rsidR="00A61102">
        <w:t xml:space="preserve"> </w:t>
      </w:r>
      <w:r w:rsidR="00DD451A">
        <w:t xml:space="preserve">a </w:t>
      </w:r>
      <w:r w:rsidR="00A61102">
        <w:t>positive coefficient for head-on crashes.</w:t>
      </w:r>
      <w:r w:rsidR="00671D75">
        <w:t xml:space="preserve"> </w:t>
      </w:r>
      <w:r w:rsidR="00DD451A">
        <w:t>While the result might seem counter-intuitive</w:t>
      </w:r>
      <w:r w:rsidR="00671D75">
        <w:t xml:space="preserve">, a possible </w:t>
      </w:r>
      <w:r w:rsidR="00DD451A">
        <w:t xml:space="preserve">reason </w:t>
      </w:r>
      <w:r w:rsidR="00671D75">
        <w:t>c</w:t>
      </w:r>
      <w:r w:rsidR="00DD451A">
        <w:t xml:space="preserve">ould be that </w:t>
      </w:r>
      <w:r w:rsidR="009A7536">
        <w:t xml:space="preserve">vehicles turning left at an intersection stop at the outside lane </w:t>
      </w:r>
      <w:r w:rsidR="00DD451A">
        <w:t xml:space="preserve">that </w:t>
      </w:r>
      <w:r w:rsidR="009A7536">
        <w:t xml:space="preserve">is closest to the oncoming traffic and as a consequence, </w:t>
      </w:r>
      <w:r w:rsidR="00C44110">
        <w:t>the possibility</w:t>
      </w:r>
      <w:r w:rsidR="00426345">
        <w:t xml:space="preserve"> of getting hit by the opposing traffic </w:t>
      </w:r>
      <w:r w:rsidR="009607B5">
        <w:t xml:space="preserve">is likely to </w:t>
      </w:r>
      <w:r w:rsidR="00C44110">
        <w:t>increase</w:t>
      </w:r>
      <w:r w:rsidR="00DD451A">
        <w:t xml:space="preserve"> </w:t>
      </w:r>
      <w:r w:rsidR="00CF7661">
        <w:t xml:space="preserve">(see </w:t>
      </w:r>
      <w:r w:rsidR="00CF7661">
        <w:fldChar w:fldCharType="begin" w:fldLock="1"/>
      </w:r>
      <w:r w:rsidR="000305C6">
        <w:instrText>ADDIN CSL_CITATION {"citationItems":[{"id":"ITEM-1","itemData":{"DOI":"10.1016/j.aap.2013.10.001","ISSN":"00014575","PMID":"24172088","abstract":"Head-on crashes are among the most severe collision types and of great concern to road safety authorities. Therefore, it justifies more efforts to reduce both the frequency and severity of this collision type. To this end, it is necessary to first identify factors associating with the crash occurrence. This can be done by developing crash prediction models that relate crash outcomes to a set of contributing factors. This study intends to identify the factors affecting both the frequency and severity of head-on crashes that occurred on 448 segments of five federal roads in Malaysia. Data on road characteristics and crash history were collected on the study segments during a 4-year period between 2007 and 2010. The frequency of head-on crashes were fitted by developing and comparing seven count-data models including Poisson, standard negative binomial (NB), random-effect negative binomial, hurdle Poisson, hurdle negative binomial, zero-inflated Poisson, and zero-inflated negative binomial models. To model crash severity, a random-effect generalized ordered probit model (REGOPM) was used given a head-on crash had occurred. With respect to the crash frequency, the random-effect negative binomial (RENB) model was found to outperform the other models according to goodness of fit measures. Based on the results of the model, the variables horizontal curvature, terrain type, heavy-vehicle traffic, and access points were found to be positively related to the frequency of head-on crashes, while posted speed limit and shoulder width decreased the crash frequency. With regard to the crash severity, the results of REGOPM showed that horizontal curvature, paved shoulder width, terrain type, and side friction were associated with more severe crashes, whereas land use, access points, and presence of median reduced the probability of severe crashes. Based on the results of this study, some potential countermeasures were proposed to minimize the risk of head-on crashes. © 2013 Elsevier Ltd. All rights reserved.","author":[{"dropping-particle":"","family":"Hosseinpour","given":"Mehdi","non-dropping-particle":"","parse-names":false,"suffix":""},{"dropping-particle":"","family":"Yahaya","given":"Ahmad Shukri","non-dropping-particle":"","parse-names":false,"suffix":""},{"dropping-particle":"","family":"Sadullah","given":"Ahmad Farhan","non-dropping-particle":"","parse-names":false,"suffix":""}],"container-title":"Accident Analysis and Prevention","id":"ITEM-1","issued":{"date-parts":[["2014"]]},"page":"209-222","title":"Exploring the effects of roadway characteristics on the frequency and severity of head-on crashes: Case studies from Malaysian Federal Roads","type":"article-journal","volume":"62"},"uris":["http://www.mendeley.com/documents/?uuid=5faa3ffc-d2db-4cfc-a6e2-b59b59e34004"]}],"mendeley":{"formattedCitation":"(Hosseinpour et al., 2014)","plainTextFormattedCitation":"(Hosseinpour et al., 2014)","previouslyFormattedCitation":"(Hosseinpour et al., 2014)"},"properties":{"noteIndex":0},"schema":"https://github.com/citation-style-language/schema/raw/master/csl-citation.json"}</w:instrText>
      </w:r>
      <w:r w:rsidR="00CF7661">
        <w:fldChar w:fldCharType="separate"/>
      </w:r>
      <w:r w:rsidR="00097239" w:rsidRPr="00097239">
        <w:rPr>
          <w:noProof/>
        </w:rPr>
        <w:t>(Hosseinpour et al., 2014)</w:t>
      </w:r>
      <w:r w:rsidR="00CF7661">
        <w:fldChar w:fldCharType="end"/>
      </w:r>
      <w:r w:rsidR="00CF7661">
        <w:t xml:space="preserve"> for similar effect)</w:t>
      </w:r>
      <w:r w:rsidR="00A61F85">
        <w:t xml:space="preserve">. </w:t>
      </w:r>
      <w:r w:rsidR="009F0E2B">
        <w:t>The variable correspond</w:t>
      </w:r>
      <w:r w:rsidR="00DD451A">
        <w:t>ing</w:t>
      </w:r>
      <w:r w:rsidR="009F0E2B">
        <w:t xml:space="preserve"> to signal intensity </w:t>
      </w:r>
      <w:r w:rsidR="008A0096">
        <w:t>offer</w:t>
      </w:r>
      <w:r w:rsidR="00DD451A">
        <w:t>s</w:t>
      </w:r>
      <w:r w:rsidR="008A0096">
        <w:t xml:space="preserve"> </w:t>
      </w:r>
      <w:r w:rsidR="009F0E2B">
        <w:t xml:space="preserve">interesting </w:t>
      </w:r>
      <w:r w:rsidR="008A0096">
        <w:t>insight</w:t>
      </w:r>
      <w:r w:rsidR="009F0E2B">
        <w:t>s. While an increase in the variable is positively associated with rear-end and non-motorized crash</w:t>
      </w:r>
      <w:r w:rsidR="00DD451A">
        <w:t>es</w:t>
      </w:r>
      <w:r w:rsidR="009F0E2B">
        <w:t xml:space="preserve">, </w:t>
      </w:r>
      <w:r w:rsidR="00057E9A">
        <w:t>a</w:t>
      </w:r>
      <w:r w:rsidR="009F0E2B">
        <w:t xml:space="preserve"> negative relation is observed for sideswipe and single vehicle crashes. </w:t>
      </w:r>
      <w:r w:rsidR="007F3AAD" w:rsidRPr="00EB43AB">
        <w:t xml:space="preserve">The </w:t>
      </w:r>
      <w:r w:rsidR="00C624CD">
        <w:t>trend is intuitive</w:t>
      </w:r>
      <w:r w:rsidR="007F3AAD" w:rsidRPr="00EB43AB">
        <w:t xml:space="preserve"> as the density of traffic intersections increases</w:t>
      </w:r>
      <w:r w:rsidR="00903D76">
        <w:t xml:space="preserve"> the</w:t>
      </w:r>
      <w:r w:rsidR="007F3AAD" w:rsidRPr="00EB43AB">
        <w:t xml:space="preserve"> potential conflicts between vehicles</w:t>
      </w:r>
      <w:r w:rsidR="007F3AAD">
        <w:t xml:space="preserve"> to vehicles </w:t>
      </w:r>
      <w:r w:rsidR="007F3AAD" w:rsidRPr="00EB43AB">
        <w:t xml:space="preserve">and </w:t>
      </w:r>
      <w:r w:rsidR="007F3AAD">
        <w:t>vehicles to non-motorists</w:t>
      </w:r>
      <w:r w:rsidR="007F3AAD" w:rsidRPr="00EB43AB">
        <w:t xml:space="preserve">. </w:t>
      </w:r>
      <w:r w:rsidR="009F0E2B">
        <w:t xml:space="preserve">At the same time, </w:t>
      </w:r>
      <w:r w:rsidR="00DD451A">
        <w:t xml:space="preserve">these conflicts </w:t>
      </w:r>
      <w:r w:rsidR="008E1633">
        <w:t xml:space="preserve">result in </w:t>
      </w:r>
      <w:r w:rsidR="00DD451A">
        <w:t xml:space="preserve">lower </w:t>
      </w:r>
      <w:r w:rsidR="009F0E2B">
        <w:t xml:space="preserve">operating speed </w:t>
      </w:r>
      <w:r w:rsidR="00DD451A">
        <w:t xml:space="preserve">thus reducing </w:t>
      </w:r>
      <w:r w:rsidR="009F0E2B">
        <w:t xml:space="preserve">single vehicle crashes. </w:t>
      </w:r>
    </w:p>
    <w:p w14:paraId="12F55344" w14:textId="5C0F9E1F" w:rsidR="00922056" w:rsidRDefault="00C96104" w:rsidP="00635DC8">
      <w:pPr>
        <w:ind w:firstLine="720"/>
      </w:pPr>
      <w:r>
        <w:t>The parameter associated with proportion of road over or equal to 55 mph speed limit exhibit</w:t>
      </w:r>
      <w:r w:rsidR="00174DAE">
        <w:t>s</w:t>
      </w:r>
      <w:r>
        <w:t xml:space="preserve"> contrasting </w:t>
      </w:r>
      <w:r w:rsidR="00174DAE">
        <w:t xml:space="preserve">impact </w:t>
      </w:r>
      <w:r>
        <w:t xml:space="preserve">on </w:t>
      </w:r>
      <w:r w:rsidR="00557797">
        <w:t xml:space="preserve">crash occurrence </w:t>
      </w:r>
      <w:r w:rsidR="00174DAE">
        <w:t xml:space="preserve">across </w:t>
      </w:r>
      <w:r>
        <w:t xml:space="preserve">crash types. </w:t>
      </w:r>
      <w:r w:rsidR="007023CA">
        <w:t xml:space="preserve">The estimated results show that TAZs having higher percentage of roads over 55mph speed limit results in increased incidence of rear-end, sideswipe and single vehicle crashes while the likelihood of angular, </w:t>
      </w:r>
      <w:proofErr w:type="gramStart"/>
      <w:r w:rsidR="007023CA">
        <w:t>head-on</w:t>
      </w:r>
      <w:proofErr w:type="gramEnd"/>
      <w:r w:rsidR="007023CA">
        <w:t xml:space="preserve"> and non-motorized crash reduces. </w:t>
      </w:r>
      <w:r w:rsidR="00593626">
        <w:t xml:space="preserve">Within the positive effects, the </w:t>
      </w:r>
      <w:r w:rsidR="00174DAE">
        <w:t>parameter</w:t>
      </w:r>
      <w:r w:rsidR="00593626">
        <w:t xml:space="preserve"> for single vehicle </w:t>
      </w:r>
      <w:r w:rsidR="00C24825">
        <w:t>crashes</w:t>
      </w:r>
      <w:r w:rsidR="00174DAE">
        <w:t xml:space="preserve"> has a higher magnitude</w:t>
      </w:r>
      <w:r w:rsidR="00214E11">
        <w:t xml:space="preserve"> </w:t>
      </w:r>
      <w:r w:rsidR="00214E11">
        <w:fldChar w:fldCharType="begin" w:fldLock="1"/>
      </w:r>
      <w:r w:rsidR="000305C6">
        <w:instrText>ADDIN CSL_CITATION {"citationItems":[{"id":"ITEM-1","itemData":{"DOI":"10.1016/j.aap.2013.04.025","ISSN":"00014575","PMID":"23727550","abstract":"This study presents multi-level analyses for single- and multi-vehicle crashes on a mountainous freeway. Data from a 15-mile mountainous freeway section on I-70 were investigated. Both aggregate and disaggregate models for the two crash conditions were developed. Five years of crash data were used in the aggregate investigation, while the disaggregate models utilized one year of crash data along with real-time traffic and weather data. For the aggregate analyses, safety performance functions were developed for the purpose of revealing the contributing factors for each crash type. Two methodologies, a Bayesian bivariate Poisson-lognormal model and a Bayesian hierarchical Poisson model with correlated random effects, were estimated to simultaneously analyze the two crash conditions with consideration of possible correlations. Except for the factors related to geometric characteristics, two exposure parameters (annual average daily traffic and segment length) were included. Two different sets of significant explanatory and exposure variables were identified for the single-vehicle (SV) and multi-vehicle (MV) crashes. It was found that the Bayesian bivariate Poisson-lognormal model is superior to the Bayesian hierarchical Poisson model, the former with a substantially lower DIC and more significant variables. In addition to the aggregate analyses, microscopic real-time crash risk evaluation models were developed for the two crash conditions. Multi-level Bayesian logistic regression models were estimated with the random parameters accounting for seasonal variations, crash-unit-level diversity and segment-level random effects capturing unobserved heterogeneity caused by the geometric characteristics. The model results indicate that the effects of the selected variables on crash occurrence vary across seasons and crash units; and that geometric characteristic variables contribute to the segment variations: the more unobserved heterogeneity have been accounted, the better classification ability. Potential applications of the modeling results from both analysis approaches are discussed. © 2013 Elsevier Ltd. All rights reserved.","author":[{"dropping-particle":"","family":"Yu","given":"Rongjie","non-dropping-particle":"","parse-names":false,"suffix":""},{"dropping-particle":"","family":"Abdel-Aty","given":"Mohamed","non-dropping-particle":"","parse-names":false,"suffix":""}],"container-title":"Accident Analysis and Prevention","id":"ITEM-1","issued":{"date-parts":[["2013"]]},"page":"97-105","title":"Multi-level Bayesian analyses for single- and multi-vehicle freeway crashes","type":"article-journal","volume":"58"},"uris":["http://www.mendeley.com/documents/?uuid=5730f7d5-2730-4332-88be-6769a95c8b91"]}],"mendeley":{"formattedCitation":"(Yu and Abdel-Aty, 2013)","plainTextFormattedCitation":"(Yu and Abdel-Aty, 2013)","previouslyFormattedCitation":"(Yu and Abdel-Aty, 2013)"},"properties":{"noteIndex":0},"schema":"https://github.com/citation-style-language/schema/raw/master/csl-citation.json"}</w:instrText>
      </w:r>
      <w:r w:rsidR="00214E11">
        <w:fldChar w:fldCharType="separate"/>
      </w:r>
      <w:r w:rsidR="00097239" w:rsidRPr="00097239">
        <w:rPr>
          <w:noProof/>
        </w:rPr>
        <w:t>(Yu and Abdel-Aty, 2013)</w:t>
      </w:r>
      <w:r w:rsidR="00214E11">
        <w:fldChar w:fldCharType="end"/>
      </w:r>
      <w:r w:rsidR="00593626">
        <w:t xml:space="preserve">. </w:t>
      </w:r>
      <w:r w:rsidR="0038088A">
        <w:t xml:space="preserve">Moreover, we found that </w:t>
      </w:r>
      <w:r w:rsidR="00174DAE">
        <w:t xml:space="preserve">the impact of the </w:t>
      </w:r>
      <w:r w:rsidR="0038088A">
        <w:t xml:space="preserve">proportion of road over 55mph has significant variability </w:t>
      </w:r>
      <w:r w:rsidR="00174DAE">
        <w:t>on</w:t>
      </w:r>
      <w:r w:rsidR="0038088A">
        <w:t xml:space="preserve"> angular crashes (indicated by the standard deviation parameter) which implies that the overall impact is </w:t>
      </w:r>
      <w:r w:rsidR="007D146E">
        <w:t xml:space="preserve">most </w:t>
      </w:r>
      <w:r w:rsidR="0038088A">
        <w:t>likely to be negative (9</w:t>
      </w:r>
      <w:r w:rsidR="00C56846">
        <w:t>6</w:t>
      </w:r>
      <w:r w:rsidR="0038088A">
        <w:t xml:space="preserve">%). </w:t>
      </w:r>
      <w:r w:rsidR="00A06E7F">
        <w:t xml:space="preserve">Further, variance of speed is also found to be significant </w:t>
      </w:r>
      <w:r w:rsidR="008C3CA1">
        <w:t>in rear-end, angular and sideswipe crash count component with a positive impact.</w:t>
      </w:r>
      <w:r w:rsidR="00EB5937">
        <w:t xml:space="preserve"> </w:t>
      </w:r>
      <w:r w:rsidR="00E9404A">
        <w:t>In terms of proportion of road with separate median, the variable is found to have the same positive effect on rear-end, angular and sideswipe crashes</w:t>
      </w:r>
      <w:r w:rsidR="000D4B9C">
        <w:t xml:space="preserve"> whereas a negative coefficient is observed for head-on crashes.</w:t>
      </w:r>
      <w:r w:rsidR="00E9404A">
        <w:t xml:space="preserve"> </w:t>
      </w:r>
      <w:r w:rsidR="00761F84">
        <w:t>Road</w:t>
      </w:r>
      <w:r w:rsidR="00174DAE">
        <w:t>s</w:t>
      </w:r>
      <w:r w:rsidR="00761F84">
        <w:t xml:space="preserve"> with separated median,</w:t>
      </w:r>
      <w:r w:rsidR="00174DAE">
        <w:t xml:space="preserve"> such as</w:t>
      </w:r>
      <w:r w:rsidR="00761F84">
        <w:t xml:space="preserve"> </w:t>
      </w:r>
      <w:r w:rsidR="00174DAE">
        <w:t xml:space="preserve">with </w:t>
      </w:r>
      <w:r w:rsidR="00761F84">
        <w:t>guardrail, restricts a vehicle</w:t>
      </w:r>
      <w:r w:rsidR="00922056">
        <w:t xml:space="preserve"> from entering the opposing direction. On the other hand, vehicles hitting the guardrail have a higher likelihood of colliding with the vehicles in the same direction. Hence, the result is expected. As found in previous studies </w:t>
      </w:r>
      <w:r w:rsidR="00922056">
        <w:fldChar w:fldCharType="begin" w:fldLock="1"/>
      </w:r>
      <w:r w:rsidR="00B81912">
        <w:instrText>ADDIN CSL_CITATION {"citationItems":[{"id":"ITEM-1","itemData":{"DOI":"10.1016/j.amar.2018.06.001","ISBN":"1133715060","ISSN":"22136657","abstract":"In recent years, there is growing recognition that common unobserved factors that influence crash frequency by one attribute level are also likely to influence crash frequency by other attribute levels. The most common approach employed to address the potential unobserved heterogeneity in safety literature is the development of multivariate crash frequency models. The current study proposes an alternative joint econometric framework to accommodate for the presence of unobserved heterogeneity – referred to as joint negative binomial-multinomial logit fractional split (NB-MNLFS) model. Furthermore, the study undertakes a first of its kind comparison exercise between the most commonly used multivariate model (multivariate random parameter negative binomial model) and the proposed joint approach by generating an equivalent log-likelihood measure. The empirical analysis is based on the zonal level crash count data for different collision types from the state of Florida for the year 2015. The model results highlight the presence of common unobserved effects affecting the two components of the joint model as well as the presence of parameter heterogeneity. The equivalent log-likelihood and goodness of fit measures clearly highlight the comparable performance offered by the proposed joint model relative to the commonly used multivariate approach. Overall, the model interpretations and fit measures clearly highlight the potential complementary role of the proposed approach for crash frequency analyses.","author":[{"dropping-particle":"","family":"Bhowmik","given":"Tanmoy","non-dropping-particle":"","parse-names":false,"suffix":""},{"dropping-particle":"","family":"Yasmin","given":"Shamsunnahar","non-dropping-particle":"","parse-names":false,"suffix":""},{"dropping-particle":"","family":"Eluru","given":"Naveen","non-dropping-particle":"","parse-names":false,"suffix":""}],"container-title":"Analytic Methods in Accident Research","id":"ITEM-1","issue":"3","issued":{"date-parts":[["2018"]]},"page":"16-32","title":"A joint econometric approach for modeling crash counts by collision type","type":"article-journal","volume":"19"},"uris":["http://www.mendeley.com/documents/?uuid=2e823530-c053-4dd9-8697-5f3f0ab9e0b4"]},{"id":"ITEM-2","itemData":{"DOI":"10.3141/2165-02","ISBN":"D758745064105U70","ISSN":"03611981","abstract":"Multinomial logit (MNL) models have been applied extensively in transportation engineering, marketing, and recreational demand modeling. Thus far, this type of model has not been used to estimate the proportion of crashes by collision type. This study investigated the applicability of MNL models to predict the proportion of crashes by collision type and to estimate crash counts by collision type. MNL models were compared with two other methods described in recent publications to estimate crash counts by collision type: (a) fixed proportions of crash counts for all collision types and (b) collision type models. This study employed data collected between 2002 and 2006 on crashes that occurred on rural, two-lane, undivided highway segments in Minnesota. The study results showed that the MNL model could be used to predict the proportion of crashes by collision type, at least for the data set used. Furthermore, the method based on the MNL model was found useful to estimate crash counts by collision type, and it performed better than the method based on the use of fixed proportions. The use of collision type models, however, was still found to be the best way to estimate crash counts by specific collision type. In cases where collision type models are affected by the small sample size and a low sample-mean problem, the method based on the MNL model is recommended.","author":[{"dropping-particle":"","family":"Geedipally","given":"Srinivas Reddy","non-dropping-particle":"","parse-names":false,"suffix":""},{"dropping-particle":"","family":"Patil","given":"Sunil","non-dropping-particle":"","parse-names":false,"suffix":""},{"dropping-particle":"","family":"Lord","given":"Dominique","non-dropping-particle":"","parse-names":false,"suffix":""}],"container-title":"Transportation Research Record","id":"ITEM-2","issue":"2165","issued":{"date-parts":[["2010"]]},"page":"12-20","publisher":"Transportation Research Board of the National Academies","title":"Examination of methods to estimate crash counts by collision type","type":"article-journal","volume":"2165"},"uris":["http://www.mendeley.com/documents/?uuid=aa92b77a-9b4d-4dc3-85eb-7d90f3b856c1"]}],"mendeley":{"formattedCitation":"(Bhowmik et al., 2018; Geedipally et al., 2010)","plainTextFormattedCitation":"(Bhowmik et al., 2018; Geedipally et al., 2010)","previouslyFormattedCitation":"(Bhowmik et al., 2018; Geedipally et al., 2010)"},"properties":{"noteIndex":0},"schema":"https://github.com/citation-style-language/schema/raw/master/csl-citation.json"}</w:instrText>
      </w:r>
      <w:r w:rsidR="00922056">
        <w:fldChar w:fldCharType="separate"/>
      </w:r>
      <w:r w:rsidR="006454BB" w:rsidRPr="006454BB">
        <w:rPr>
          <w:noProof/>
        </w:rPr>
        <w:t>(Bhowmik et al., 2018; Geedipally et al., 2010)</w:t>
      </w:r>
      <w:r w:rsidR="00922056">
        <w:fldChar w:fldCharType="end"/>
      </w:r>
      <w:r w:rsidR="00922056">
        <w:t xml:space="preserve">, average outside shoulder width reveals a negative association with all motorized crash types. Outside shoulder width in a road reflects the extra margin of safety for </w:t>
      </w:r>
      <w:r w:rsidR="00922056">
        <w:lastRenderedPageBreak/>
        <w:t>vehicular maneuvers and thus reduce the potential of all kinds of motorized crashes. With respect to sidewalk width, a number of earlier research concluded that increased sidewalk width is associated with higher pedestrian activity and as a result, they are more exposed to crashes. In our current study, we found an opposing (negative) effect of average sidewalk width for non-motorized crashes.</w:t>
      </w:r>
      <w:r w:rsidR="00922056" w:rsidRPr="00C445EA">
        <w:t xml:space="preserve"> </w:t>
      </w:r>
      <w:r w:rsidR="00922056">
        <w:t xml:space="preserve">However, there is a reasonable explanation for the effect identified. First, the reader would note that we consider the non-motorist activity separately in the model framework (will be discussed in the following sections) and second, increased sidewalk width will provide additional safety to the non-motorist from colliding with a motorized vehicle. </w:t>
      </w:r>
    </w:p>
    <w:p w14:paraId="3A81D236" w14:textId="38DD4E7F" w:rsidR="00922056" w:rsidRDefault="00922056" w:rsidP="00922056"/>
    <w:p w14:paraId="1F9680AD" w14:textId="13578898" w:rsidR="00D15811" w:rsidRDefault="00922056" w:rsidP="00DF60BD">
      <w:r w:rsidRPr="0000632F">
        <w:rPr>
          <w:rStyle w:val="Heading4Char"/>
        </w:rPr>
        <w:t>Traffic Characteristics</w:t>
      </w:r>
      <w:r w:rsidRPr="00453E00">
        <w:rPr>
          <w:szCs w:val="24"/>
          <w:u w:val="single"/>
        </w:rPr>
        <w:t>:</w:t>
      </w:r>
      <w:r w:rsidRPr="007C26AC">
        <w:rPr>
          <w:szCs w:val="24"/>
        </w:rPr>
        <w:t xml:space="preserve"> </w:t>
      </w:r>
      <w:r>
        <w:t>The parameters associated with traffic characteristics highlight intuitive trends. Positive coefficient of VMT clearly underscores the higher propensity of angular, sideswipe, head-on and non-motorized crashes with increased VMT. VMT variable serves as a surrogate for exposure for traffic volume and therefore, with higher exposure, the likelihood of getting involved in a crash increases. On the other hand, zones with increased exposure to truck volume are likely to have a higher risk of getting involved in rear</w:t>
      </w:r>
      <w:r w:rsidR="00FC2747">
        <w:t>-</w:t>
      </w:r>
      <w:r>
        <w:t xml:space="preserve">end and single vehicle crashes, consistent with earlier research findings </w:t>
      </w:r>
      <w:r>
        <w:fldChar w:fldCharType="begin" w:fldLock="1"/>
      </w:r>
      <w:r w:rsidR="00B81912">
        <w:instrText>ADDIN CSL_CITATION {"citationItems":[{"id":"ITEM-1","itemData":{"DOI":"10.3141/2165-02","ISBN":"D758745064105U70","ISSN":"03611981","abstract":"Multinomial logit (MNL) models have been applied extensively in transportation engineering, marketing, and recreational demand modeling. Thus far, this type of model has not been used to estimate the proportion of crashes by collision type. This study investigated the applicability of MNL models to predict the proportion of crashes by collision type and to estimate crash counts by collision type. MNL models were compared with two other methods described in recent publications to estimate crash counts by collision type: (a) fixed proportions of crash counts for all collision types and (b) collision type models. This study employed data collected between 2002 and 2006 on crashes that occurred on rural, two-lane, undivided highway segments in Minnesota. The study results showed that the MNL model could be used to predict the proportion of crashes by collision type, at least for the data set used. Furthermore, the method based on the MNL model was found useful to estimate crash counts by collision type, and it performed better than the method based on the use of fixed proportions. The use of collision type models, however, was still found to be the best way to estimate crash counts by specific collision type. In cases where collision type models are affected by the small sample size and a low sample-mean problem, the method based on the MNL model is recommended.","author":[{"dropping-particle":"","family":"Geedipally","given":"Srinivas Reddy","non-dropping-particle":"","parse-names":false,"suffix":""},{"dropping-particle":"","family":"Patil","given":"Sunil","non-dropping-particle":"","parse-names":false,"suffix":""},{"dropping-particle":"","family":"Lord","given":"Dominique","non-dropping-particle":"","parse-names":false,"suffix":""}],"container-title":"Transportation Research Record","id":"ITEM-1","issue":"2165","issued":{"date-parts":[["2010"]]},"page":"12-20","publisher":"Transportation Research Board of the National Academies","title":"Examination of methods to estimate crash counts by collision type","type":"article-journal","volume":"2165"},"uris":["http://www.mendeley.com/documents/?uuid=aa92b77a-9b4d-4dc3-85eb-7d90f3b856c1"]}],"mendeley":{"formattedCitation":"(Geedipally et al., 2010)","plainTextFormattedCitation":"(Geedipally et al., 2010)","previouslyFormattedCitation":"(Geedipally et al., 2010)"},"properties":{"noteIndex":0},"schema":"https://github.com/citation-style-language/schema/raw/master/csl-citation.json"}</w:instrText>
      </w:r>
      <w:r>
        <w:fldChar w:fldCharType="separate"/>
      </w:r>
      <w:r w:rsidR="00097239" w:rsidRPr="00097239">
        <w:rPr>
          <w:noProof/>
        </w:rPr>
        <w:t>(Geedipally et al., 2010)</w:t>
      </w:r>
      <w:r>
        <w:fldChar w:fldCharType="end"/>
      </w:r>
      <w:r>
        <w:t xml:space="preserve">. </w:t>
      </w:r>
    </w:p>
    <w:p w14:paraId="02230DD7" w14:textId="77777777" w:rsidR="00D15811" w:rsidRDefault="00D15811" w:rsidP="00DF60BD"/>
    <w:p w14:paraId="31B3E840" w14:textId="165EB1D4" w:rsidR="00DF60BD" w:rsidRDefault="00DF60BD" w:rsidP="00DF60BD">
      <w:pPr>
        <w:rPr>
          <w:szCs w:val="24"/>
        </w:rPr>
      </w:pPr>
      <w:r w:rsidRPr="0000632F">
        <w:rPr>
          <w:rStyle w:val="Heading4Char"/>
        </w:rPr>
        <w:t>Land-use Attributes</w:t>
      </w:r>
      <w:r w:rsidRPr="00453E00">
        <w:rPr>
          <w:szCs w:val="24"/>
          <w:u w:val="single"/>
        </w:rPr>
        <w:t>:</w:t>
      </w:r>
      <w:r w:rsidRPr="0030523A">
        <w:rPr>
          <w:szCs w:val="24"/>
        </w:rPr>
        <w:t xml:space="preserve"> With respect to land-use attributes, several factors exert significant impact on crash count component</w:t>
      </w:r>
      <w:r>
        <w:rPr>
          <w:szCs w:val="24"/>
        </w:rPr>
        <w:t>s</w:t>
      </w:r>
      <w:r w:rsidRPr="0030523A">
        <w:rPr>
          <w:szCs w:val="24"/>
        </w:rPr>
        <w:t xml:space="preserve"> </w:t>
      </w:r>
      <w:r>
        <w:rPr>
          <w:szCs w:val="24"/>
        </w:rPr>
        <w:t>across</w:t>
      </w:r>
      <w:r w:rsidRPr="0030523A">
        <w:rPr>
          <w:szCs w:val="24"/>
        </w:rPr>
        <w:t xml:space="preserve"> crash types. </w:t>
      </w:r>
      <w:r>
        <w:rPr>
          <w:szCs w:val="24"/>
        </w:rPr>
        <w:t>The coefficient corresponding to urban area indicates that zones with higher urbanized area are likely to have increased crash risk for five of the six crash types (except single vehicle crashes). Similarly, office area in a zone is also found to be positively associated with rear-end, sideswipe and non-motorized crashes. These two variables basically reflect presence of higher vehicular and non</w:t>
      </w:r>
      <w:r w:rsidR="00597B37">
        <w:rPr>
          <w:szCs w:val="24"/>
        </w:rPr>
        <w:t>-</w:t>
      </w:r>
      <w:r>
        <w:rPr>
          <w:szCs w:val="24"/>
        </w:rPr>
        <w:t xml:space="preserve">motorist interactions and in turn, higher exposure for both road user groups. Further, the result in Table </w:t>
      </w:r>
      <w:r w:rsidR="006E11C4">
        <w:rPr>
          <w:szCs w:val="24"/>
        </w:rPr>
        <w:t>4</w:t>
      </w:r>
      <w:r>
        <w:rPr>
          <w:szCs w:val="24"/>
        </w:rPr>
        <w:t xml:space="preserve"> reveals a reduced propensity for sideswipe and single vehicle crashes with higher residential area.  </w:t>
      </w:r>
    </w:p>
    <w:p w14:paraId="76AAD0F7" w14:textId="671E3CE1" w:rsidR="003E2680" w:rsidRDefault="003E2680" w:rsidP="00003016">
      <w:pPr>
        <w:rPr>
          <w:szCs w:val="24"/>
          <w:u w:val="single"/>
        </w:rPr>
      </w:pPr>
    </w:p>
    <w:p w14:paraId="1EE1DAA2" w14:textId="1FEBB89B" w:rsidR="00963B0A" w:rsidRDefault="002E0DCC" w:rsidP="00003016">
      <w:pPr>
        <w:rPr>
          <w:szCs w:val="24"/>
        </w:rPr>
      </w:pPr>
      <w:r w:rsidRPr="0000632F">
        <w:rPr>
          <w:rStyle w:val="Heading4Char"/>
        </w:rPr>
        <w:t>Built Environment Attributes</w:t>
      </w:r>
      <w:r w:rsidRPr="00963B0A">
        <w:rPr>
          <w:szCs w:val="24"/>
        </w:rPr>
        <w:t>:</w:t>
      </w:r>
      <w:r w:rsidR="00963B0A" w:rsidRPr="00963B0A">
        <w:rPr>
          <w:szCs w:val="24"/>
        </w:rPr>
        <w:t xml:space="preserve"> </w:t>
      </w:r>
      <w:r w:rsidR="00855177">
        <w:rPr>
          <w:szCs w:val="24"/>
        </w:rPr>
        <w:t>In terms of built environment attributes, several variables have been explored out of which only number of restaurant</w:t>
      </w:r>
      <w:r w:rsidR="00E74345">
        <w:rPr>
          <w:szCs w:val="24"/>
        </w:rPr>
        <w:t>s</w:t>
      </w:r>
      <w:r w:rsidR="00855177">
        <w:rPr>
          <w:szCs w:val="24"/>
        </w:rPr>
        <w:t xml:space="preserve"> and shopping center</w:t>
      </w:r>
      <w:r w:rsidR="009F407C">
        <w:rPr>
          <w:szCs w:val="24"/>
        </w:rPr>
        <w:t>s</w:t>
      </w:r>
      <w:r w:rsidR="00855177">
        <w:rPr>
          <w:szCs w:val="24"/>
        </w:rPr>
        <w:t xml:space="preserve"> are found to be related with zonal level crash risks. </w:t>
      </w:r>
      <w:r w:rsidR="00963B0A" w:rsidRPr="00963B0A">
        <w:rPr>
          <w:szCs w:val="24"/>
        </w:rPr>
        <w:t xml:space="preserve">As </w:t>
      </w:r>
      <w:r w:rsidR="00E74345">
        <w:rPr>
          <w:szCs w:val="24"/>
        </w:rPr>
        <w:t xml:space="preserve">is </w:t>
      </w:r>
      <w:r w:rsidR="00963B0A" w:rsidRPr="00963B0A">
        <w:rPr>
          <w:szCs w:val="24"/>
        </w:rPr>
        <w:t xml:space="preserve">evident from </w:t>
      </w:r>
      <w:r w:rsidR="00E74345">
        <w:rPr>
          <w:szCs w:val="24"/>
        </w:rPr>
        <w:t>T</w:t>
      </w:r>
      <w:r w:rsidR="00963B0A" w:rsidRPr="00963B0A">
        <w:rPr>
          <w:szCs w:val="24"/>
        </w:rPr>
        <w:t xml:space="preserve">able </w:t>
      </w:r>
      <w:r w:rsidR="006E11C4">
        <w:rPr>
          <w:szCs w:val="24"/>
        </w:rPr>
        <w:t>4</w:t>
      </w:r>
      <w:r w:rsidR="00963B0A" w:rsidRPr="00963B0A">
        <w:rPr>
          <w:szCs w:val="24"/>
        </w:rPr>
        <w:t xml:space="preserve">, we can observe that </w:t>
      </w:r>
      <w:r w:rsidR="00963B0A">
        <w:rPr>
          <w:szCs w:val="24"/>
        </w:rPr>
        <w:t>both number of restaurant</w:t>
      </w:r>
      <w:r w:rsidR="00E74345">
        <w:rPr>
          <w:szCs w:val="24"/>
        </w:rPr>
        <w:t>s</w:t>
      </w:r>
      <w:r w:rsidR="00963B0A">
        <w:rPr>
          <w:szCs w:val="24"/>
        </w:rPr>
        <w:t xml:space="preserve"> and shopping centers </w:t>
      </w:r>
      <w:r w:rsidR="00A7384D">
        <w:rPr>
          <w:szCs w:val="24"/>
        </w:rPr>
        <w:t>have</w:t>
      </w:r>
      <w:r w:rsidR="00375CA2">
        <w:rPr>
          <w:szCs w:val="24"/>
        </w:rPr>
        <w:t xml:space="preserve"> positive</w:t>
      </w:r>
      <w:r w:rsidR="00963B0A">
        <w:rPr>
          <w:szCs w:val="24"/>
        </w:rPr>
        <w:t xml:space="preserve"> influence </w:t>
      </w:r>
      <w:r w:rsidR="00375CA2">
        <w:rPr>
          <w:szCs w:val="24"/>
        </w:rPr>
        <w:t xml:space="preserve">on </w:t>
      </w:r>
      <w:r w:rsidR="00963B0A">
        <w:rPr>
          <w:szCs w:val="24"/>
        </w:rPr>
        <w:t>rear-end and sideswipe crashes</w:t>
      </w:r>
      <w:r w:rsidR="00375CA2">
        <w:rPr>
          <w:szCs w:val="24"/>
        </w:rPr>
        <w:t xml:space="preserve">, perhaps indicating a higher density of traffic volume for these areas. </w:t>
      </w:r>
      <w:r w:rsidR="00972242">
        <w:rPr>
          <w:szCs w:val="24"/>
        </w:rPr>
        <w:t>W</w:t>
      </w:r>
      <w:r w:rsidR="00C71F35">
        <w:t xml:space="preserve">ith respect to non-motorized crashes, number of restaurants is found to be a significant determinant with a positive impact (see </w:t>
      </w:r>
      <w:r w:rsidR="004A3193">
        <w:fldChar w:fldCharType="begin" w:fldLock="1"/>
      </w:r>
      <w:r w:rsidR="002F3C91">
        <w:instrText>ADDIN CSL_CITATION {"citationItems":[{"id":"ITEM-1","itemData":{"author":[{"dropping-particle":"","family":"Yasmin","given":"Shamsunnahar","non-dropping-particle":"","parse-names":false,"suffix":""}],"container-title":"Presented at the Transportation Research Board (TRB) Annual Meeting, Washington D.C., 2018","id":"ITEM-1","issued":{"date-parts":[["2018"]]},"page":"1-9","title":"Enhancing Non-Motorized Safety by Simulating Non-Motorized Exposure using a Transportation Planning Approach","type":"article-journal"},"uris":["http://www.mendeley.com/documents/?uuid=93ea0c9c-1c53-4a1f-af20-5075f564dc31"]}],"mendeley":{"formattedCitation":"(Yasmin, 2018)","manualFormatting":"(Yasmin et al., 2018b)","plainTextFormattedCitation":"(Yasmin, 2018)","previouslyFormattedCitation":"(Yasmin, 2018)"},"properties":{"noteIndex":0},"schema":"https://github.com/citation-style-language/schema/raw/master/csl-citation.json"}</w:instrText>
      </w:r>
      <w:r w:rsidR="004A3193">
        <w:fldChar w:fldCharType="separate"/>
      </w:r>
      <w:r w:rsidR="008323B7" w:rsidRPr="008323B7">
        <w:rPr>
          <w:noProof/>
        </w:rPr>
        <w:t>(Yasmin</w:t>
      </w:r>
      <w:r w:rsidR="008E7A62">
        <w:rPr>
          <w:noProof/>
        </w:rPr>
        <w:t xml:space="preserve"> et al.</w:t>
      </w:r>
      <w:r w:rsidR="008323B7" w:rsidRPr="008323B7">
        <w:rPr>
          <w:noProof/>
        </w:rPr>
        <w:t>, 20</w:t>
      </w:r>
      <w:r w:rsidR="00FA4072">
        <w:rPr>
          <w:noProof/>
        </w:rPr>
        <w:t>21</w:t>
      </w:r>
      <w:r w:rsidR="008323B7" w:rsidRPr="008323B7">
        <w:rPr>
          <w:noProof/>
        </w:rPr>
        <w:t>)</w:t>
      </w:r>
      <w:r w:rsidR="004A3193">
        <w:fldChar w:fldCharType="end"/>
      </w:r>
      <w:r w:rsidR="00C71F35">
        <w:t xml:space="preserve"> for similar result).</w:t>
      </w:r>
    </w:p>
    <w:p w14:paraId="5BC544B5" w14:textId="05F1B67C" w:rsidR="003E2680" w:rsidRDefault="00FA4072" w:rsidP="00003016">
      <w:pPr>
        <w:rPr>
          <w:szCs w:val="24"/>
          <w:u w:val="single"/>
        </w:rPr>
      </w:pPr>
      <w:r>
        <w:rPr>
          <w:szCs w:val="24"/>
          <w:u w:val="single"/>
        </w:rPr>
        <w:t>s</w:t>
      </w:r>
    </w:p>
    <w:p w14:paraId="7A73EEBF" w14:textId="4B2A9350" w:rsidR="008716F2" w:rsidRDefault="002E43DB" w:rsidP="008716F2">
      <w:pPr>
        <w:rPr>
          <w:szCs w:val="24"/>
        </w:rPr>
      </w:pPr>
      <w:r w:rsidRPr="0000632F">
        <w:rPr>
          <w:rStyle w:val="Heading4Char"/>
        </w:rPr>
        <w:t>Socio-demographic Characteristics</w:t>
      </w:r>
      <w:r w:rsidRPr="00453E00">
        <w:rPr>
          <w:szCs w:val="24"/>
          <w:u w:val="single"/>
        </w:rPr>
        <w:t>:</w:t>
      </w:r>
      <w:r w:rsidR="00D008B5" w:rsidRPr="00006FCC">
        <w:rPr>
          <w:szCs w:val="24"/>
        </w:rPr>
        <w:t xml:space="preserve"> </w:t>
      </w:r>
      <w:r w:rsidR="00ED610E" w:rsidRPr="00ED610E">
        <w:rPr>
          <w:szCs w:val="24"/>
        </w:rPr>
        <w:t>For socio-demographic attributes, we consider the number of non-motorists</w:t>
      </w:r>
      <w:r w:rsidR="00B86914">
        <w:rPr>
          <w:szCs w:val="24"/>
        </w:rPr>
        <w:t xml:space="preserve"> (walk/bike)</w:t>
      </w:r>
      <w:r w:rsidR="00ED610E" w:rsidRPr="00ED610E">
        <w:rPr>
          <w:szCs w:val="24"/>
        </w:rPr>
        <w:t xml:space="preserve"> and transit commuter</w:t>
      </w:r>
      <w:r w:rsidR="00E74345">
        <w:rPr>
          <w:szCs w:val="24"/>
        </w:rPr>
        <w:t>s</w:t>
      </w:r>
      <w:r w:rsidR="00ED610E" w:rsidRPr="00ED610E">
        <w:rPr>
          <w:szCs w:val="24"/>
        </w:rPr>
        <w:t xml:space="preserve"> </w:t>
      </w:r>
      <w:r w:rsidR="00BD571D">
        <w:rPr>
          <w:szCs w:val="24"/>
        </w:rPr>
        <w:t xml:space="preserve">in a zone </w:t>
      </w:r>
      <w:r w:rsidR="00ED610E" w:rsidRPr="00ED610E">
        <w:rPr>
          <w:szCs w:val="24"/>
        </w:rPr>
        <w:t>serv</w:t>
      </w:r>
      <w:r w:rsidR="00BD571D">
        <w:rPr>
          <w:szCs w:val="24"/>
        </w:rPr>
        <w:t>ing</w:t>
      </w:r>
      <w:r w:rsidR="00ED610E" w:rsidRPr="00ED610E">
        <w:rPr>
          <w:szCs w:val="24"/>
        </w:rPr>
        <w:t xml:space="preserve"> as </w:t>
      </w:r>
      <w:r w:rsidR="00BD571D">
        <w:rPr>
          <w:szCs w:val="24"/>
        </w:rPr>
        <w:t>additional</w:t>
      </w:r>
      <w:r w:rsidR="00ED610E" w:rsidRPr="00ED610E">
        <w:rPr>
          <w:szCs w:val="24"/>
        </w:rPr>
        <w:t xml:space="preserve"> exposure measure</w:t>
      </w:r>
      <w:r w:rsidR="00BD571D">
        <w:rPr>
          <w:szCs w:val="24"/>
        </w:rPr>
        <w:t>s</w:t>
      </w:r>
      <w:r w:rsidR="00ED610E" w:rsidRPr="00ED610E">
        <w:rPr>
          <w:szCs w:val="24"/>
        </w:rPr>
        <w:t xml:space="preserve"> for the crash risk model. </w:t>
      </w:r>
      <w:r w:rsidR="006B345D">
        <w:rPr>
          <w:szCs w:val="24"/>
        </w:rPr>
        <w:t xml:space="preserve">The estimated result shows that higher number of </w:t>
      </w:r>
      <w:r w:rsidR="00EB3CB3">
        <w:rPr>
          <w:szCs w:val="24"/>
        </w:rPr>
        <w:t>pedestrians</w:t>
      </w:r>
      <w:r w:rsidR="00B86914">
        <w:rPr>
          <w:szCs w:val="24"/>
        </w:rPr>
        <w:t xml:space="preserve">, </w:t>
      </w:r>
      <w:proofErr w:type="gramStart"/>
      <w:r w:rsidR="00B86914">
        <w:rPr>
          <w:szCs w:val="24"/>
        </w:rPr>
        <w:t>bike</w:t>
      </w:r>
      <w:proofErr w:type="gramEnd"/>
      <w:r w:rsidR="006B345D">
        <w:rPr>
          <w:szCs w:val="24"/>
        </w:rPr>
        <w:t xml:space="preserve"> and transit commuters</w:t>
      </w:r>
      <w:r w:rsidR="00E74345">
        <w:rPr>
          <w:szCs w:val="24"/>
        </w:rPr>
        <w:t>,</w:t>
      </w:r>
      <w:r w:rsidR="006B345D">
        <w:rPr>
          <w:szCs w:val="24"/>
        </w:rPr>
        <w:t xml:space="preserve"> </w:t>
      </w:r>
      <w:r w:rsidR="00B826BE">
        <w:rPr>
          <w:szCs w:val="24"/>
        </w:rPr>
        <w:t>intuitively</w:t>
      </w:r>
      <w:r w:rsidR="00E74345">
        <w:rPr>
          <w:szCs w:val="24"/>
        </w:rPr>
        <w:t>,</w:t>
      </w:r>
      <w:r w:rsidR="00B826BE">
        <w:rPr>
          <w:szCs w:val="24"/>
        </w:rPr>
        <w:t xml:space="preserve"> </w:t>
      </w:r>
      <w:r w:rsidR="006B345D">
        <w:rPr>
          <w:szCs w:val="24"/>
        </w:rPr>
        <w:t>increase</w:t>
      </w:r>
      <w:r w:rsidR="00E74345">
        <w:rPr>
          <w:szCs w:val="24"/>
        </w:rPr>
        <w:t>s</w:t>
      </w:r>
      <w:r w:rsidR="006B345D">
        <w:rPr>
          <w:szCs w:val="24"/>
        </w:rPr>
        <w:t xml:space="preserve"> the crash risk for rear-end and non-motorized crashes. </w:t>
      </w:r>
      <w:r w:rsidR="00B826BE">
        <w:rPr>
          <w:szCs w:val="24"/>
        </w:rPr>
        <w:t>Moreover, the coefficient specific to non-motorist commuter</w:t>
      </w:r>
      <w:r w:rsidR="00EB3CB3">
        <w:rPr>
          <w:szCs w:val="24"/>
        </w:rPr>
        <w:t>s</w:t>
      </w:r>
      <w:r w:rsidR="00B826BE">
        <w:rPr>
          <w:szCs w:val="24"/>
        </w:rPr>
        <w:t xml:space="preserve"> indicate</w:t>
      </w:r>
      <w:r w:rsidR="00E74345">
        <w:rPr>
          <w:szCs w:val="24"/>
        </w:rPr>
        <w:t>s</w:t>
      </w:r>
      <w:r w:rsidR="00B826BE">
        <w:rPr>
          <w:szCs w:val="24"/>
        </w:rPr>
        <w:t xml:space="preserve"> that the variable is positively associated with angular and sideswipe crashes. </w:t>
      </w:r>
    </w:p>
    <w:p w14:paraId="2E5ED769" w14:textId="77777777" w:rsidR="002A4C38" w:rsidRPr="008716F2" w:rsidRDefault="002A4C38" w:rsidP="008716F2">
      <w:pPr>
        <w:rPr>
          <w:szCs w:val="24"/>
        </w:rPr>
      </w:pPr>
    </w:p>
    <w:p w14:paraId="7511048F" w14:textId="6ECE4917" w:rsidR="0053038C" w:rsidRDefault="0053038C" w:rsidP="0053038C">
      <w:pPr>
        <w:pStyle w:val="Heading3"/>
      </w:pPr>
      <w:r>
        <w:t>Severity Component</w:t>
      </w:r>
    </w:p>
    <w:p w14:paraId="3297B928" w14:textId="0221FD2E" w:rsidR="006B07E9" w:rsidRDefault="0053038C" w:rsidP="00DF6193">
      <w:pPr>
        <w:rPr>
          <w:szCs w:val="24"/>
        </w:rPr>
        <w:sectPr w:rsidR="006B07E9" w:rsidSect="00CC74A8">
          <w:pgSz w:w="12240" w:h="15840" w:code="1"/>
          <w:pgMar w:top="1440" w:right="1469" w:bottom="1440" w:left="1440" w:header="720" w:footer="720" w:gutter="0"/>
          <w:cols w:space="708"/>
          <w:titlePg/>
          <w:docGrid w:linePitch="360"/>
        </w:sectPr>
      </w:pPr>
      <w:r w:rsidRPr="00160B69">
        <w:rPr>
          <w:szCs w:val="24"/>
        </w:rPr>
        <w:t xml:space="preserve">The coefficients in Table </w:t>
      </w:r>
      <w:r w:rsidR="006E11C4">
        <w:rPr>
          <w:szCs w:val="24"/>
        </w:rPr>
        <w:t>5</w:t>
      </w:r>
      <w:r w:rsidRPr="00160B69">
        <w:rPr>
          <w:szCs w:val="24"/>
        </w:rPr>
        <w:t xml:space="preserve"> represent the effect of exogenous variables on the </w:t>
      </w:r>
      <w:r w:rsidR="00F013D1" w:rsidRPr="00160B69">
        <w:rPr>
          <w:szCs w:val="24"/>
        </w:rPr>
        <w:t xml:space="preserve">injury severity </w:t>
      </w:r>
      <w:r w:rsidR="00B12290">
        <w:rPr>
          <w:szCs w:val="24"/>
        </w:rPr>
        <w:t xml:space="preserve">proportion </w:t>
      </w:r>
      <w:r w:rsidR="0070582D">
        <w:rPr>
          <w:szCs w:val="24"/>
        </w:rPr>
        <w:t>across different</w:t>
      </w:r>
      <w:r w:rsidRPr="00160B69">
        <w:rPr>
          <w:szCs w:val="24"/>
        </w:rPr>
        <w:t xml:space="preserve"> </w:t>
      </w:r>
      <w:r w:rsidR="002379B7">
        <w:rPr>
          <w:szCs w:val="24"/>
        </w:rPr>
        <w:t>crash</w:t>
      </w:r>
      <w:r w:rsidRPr="00160B69">
        <w:rPr>
          <w:szCs w:val="24"/>
        </w:rPr>
        <w:t xml:space="preserve"> type</w:t>
      </w:r>
      <w:r w:rsidR="0070582D">
        <w:rPr>
          <w:szCs w:val="24"/>
        </w:rPr>
        <w:t>s</w:t>
      </w:r>
      <w:r w:rsidRPr="00160B69">
        <w:rPr>
          <w:szCs w:val="24"/>
        </w:rPr>
        <w:t xml:space="preserve">. </w:t>
      </w:r>
      <w:r w:rsidR="00DF6193" w:rsidRPr="00160B69">
        <w:rPr>
          <w:szCs w:val="24"/>
        </w:rPr>
        <w:t xml:space="preserve"> In the propensity, a positive (negative) coefficient </w:t>
      </w:r>
      <w:r w:rsidR="00B16536" w:rsidRPr="00160B69">
        <w:rPr>
          <w:szCs w:val="24"/>
        </w:rPr>
        <w:t>corresponds to increased (decreased) proportion for severe injury categories</w:t>
      </w:r>
      <w:r w:rsidR="00D613CE">
        <w:rPr>
          <w:szCs w:val="24"/>
        </w:rPr>
        <w:t xml:space="preserve"> specific to each crash type</w:t>
      </w:r>
      <w:r w:rsidR="00B16536" w:rsidRPr="00160B69">
        <w:rPr>
          <w:szCs w:val="24"/>
        </w:rPr>
        <w:t>.</w:t>
      </w:r>
      <w:r w:rsidR="00160B69">
        <w:rPr>
          <w:szCs w:val="24"/>
        </w:rPr>
        <w:t xml:space="preserve"> </w:t>
      </w:r>
      <w:r w:rsidR="00DF6193">
        <w:rPr>
          <w:szCs w:val="24"/>
        </w:rPr>
        <w:t xml:space="preserve">When the threshold parameter is positive (negative), the result implies that the threshold is </w:t>
      </w:r>
    </w:p>
    <w:p w14:paraId="44D014A1" w14:textId="6071A92A" w:rsidR="006B07E9" w:rsidRPr="00CC0AC2" w:rsidRDefault="006B07E9" w:rsidP="006B07E9">
      <w:pPr>
        <w:jc w:val="center"/>
        <w:rPr>
          <w:b/>
        </w:rPr>
      </w:pPr>
      <w:r>
        <w:rPr>
          <w:b/>
        </w:rPr>
        <w:lastRenderedPageBreak/>
        <w:t xml:space="preserve">TABLE </w:t>
      </w:r>
      <w:r w:rsidR="006E11C4">
        <w:rPr>
          <w:b/>
        </w:rPr>
        <w:t>5</w:t>
      </w:r>
      <w:r>
        <w:rPr>
          <w:b/>
        </w:rPr>
        <w:t xml:space="preserve"> Panel Mixed </w:t>
      </w:r>
      <w:r w:rsidRPr="003F5FEA">
        <w:rPr>
          <w:b/>
          <w:bCs/>
          <w:szCs w:val="24"/>
        </w:rPr>
        <w:t>NB-GOPFS</w:t>
      </w:r>
      <w:r>
        <w:rPr>
          <w:b/>
        </w:rPr>
        <w:t xml:space="preserve"> Model Results (Severity Component)</w:t>
      </w:r>
    </w:p>
    <w:tbl>
      <w:tblPr>
        <w:tblW w:w="12855" w:type="dxa"/>
        <w:tblLook w:val="04A0" w:firstRow="1" w:lastRow="0" w:firstColumn="1" w:lastColumn="0" w:noHBand="0" w:noVBand="1"/>
      </w:tblPr>
      <w:tblGrid>
        <w:gridCol w:w="1965"/>
        <w:gridCol w:w="916"/>
        <w:gridCol w:w="879"/>
        <w:gridCol w:w="17"/>
        <w:gridCol w:w="899"/>
        <w:gridCol w:w="900"/>
        <w:gridCol w:w="916"/>
        <w:gridCol w:w="900"/>
        <w:gridCol w:w="916"/>
        <w:gridCol w:w="900"/>
        <w:gridCol w:w="916"/>
        <w:gridCol w:w="931"/>
        <w:gridCol w:w="7"/>
        <w:gridCol w:w="909"/>
        <w:gridCol w:w="884"/>
      </w:tblGrid>
      <w:tr w:rsidR="006B07E9" w:rsidRPr="00350D02" w14:paraId="6DC4026F" w14:textId="77777777" w:rsidTr="004601C9">
        <w:trPr>
          <w:trHeight w:val="300"/>
        </w:trPr>
        <w:tc>
          <w:tcPr>
            <w:tcW w:w="1965" w:type="dxa"/>
            <w:vMerge w:val="restart"/>
            <w:tcBorders>
              <w:top w:val="double" w:sz="4" w:space="0" w:color="auto"/>
              <w:left w:val="double" w:sz="4" w:space="0" w:color="auto"/>
              <w:right w:val="single" w:sz="4" w:space="0" w:color="auto"/>
            </w:tcBorders>
            <w:shd w:val="clear" w:color="auto" w:fill="auto"/>
            <w:noWrap/>
            <w:vAlign w:val="center"/>
            <w:hideMark/>
          </w:tcPr>
          <w:p w14:paraId="7DB4400C" w14:textId="77777777" w:rsidR="006B07E9" w:rsidRPr="00350D02" w:rsidRDefault="006B07E9" w:rsidP="004601C9">
            <w:pPr>
              <w:jc w:val="center"/>
              <w:rPr>
                <w:rFonts w:eastAsia="Times New Roman" w:cs="Times New Roman"/>
                <w:color w:val="000000"/>
                <w:sz w:val="20"/>
                <w:szCs w:val="20"/>
              </w:rPr>
            </w:pPr>
            <w:r w:rsidRPr="00350D02">
              <w:rPr>
                <w:rFonts w:eastAsia="Times New Roman" w:cs="Times New Roman"/>
                <w:b/>
                <w:color w:val="000000"/>
                <w:sz w:val="20"/>
                <w:szCs w:val="20"/>
              </w:rPr>
              <w:t>Variables</w:t>
            </w:r>
            <w:r>
              <w:rPr>
                <w:rFonts w:eastAsia="Times New Roman" w:cs="Times New Roman"/>
                <w:b/>
                <w:color w:val="000000"/>
                <w:sz w:val="20"/>
                <w:szCs w:val="20"/>
              </w:rPr>
              <w:t xml:space="preserve"> (np)</w:t>
            </w:r>
          </w:p>
        </w:tc>
        <w:tc>
          <w:tcPr>
            <w:tcW w:w="1812" w:type="dxa"/>
            <w:gridSpan w:val="3"/>
            <w:tcBorders>
              <w:top w:val="double" w:sz="4" w:space="0" w:color="auto"/>
              <w:left w:val="nil"/>
              <w:bottom w:val="single" w:sz="4" w:space="0" w:color="auto"/>
              <w:right w:val="single" w:sz="4" w:space="0" w:color="auto"/>
            </w:tcBorders>
            <w:shd w:val="clear" w:color="auto" w:fill="auto"/>
            <w:noWrap/>
            <w:vAlign w:val="center"/>
            <w:hideMark/>
          </w:tcPr>
          <w:p w14:paraId="070A0B37" w14:textId="77777777" w:rsidR="006B07E9" w:rsidRPr="00350D02" w:rsidRDefault="006B07E9" w:rsidP="004601C9">
            <w:pPr>
              <w:jc w:val="center"/>
              <w:rPr>
                <w:rFonts w:eastAsia="Times New Roman" w:cs="Times New Roman"/>
                <w:b/>
                <w:color w:val="000000"/>
                <w:sz w:val="20"/>
                <w:szCs w:val="20"/>
              </w:rPr>
            </w:pPr>
            <w:r w:rsidRPr="00350D02">
              <w:rPr>
                <w:rFonts w:eastAsia="Times New Roman" w:cs="Times New Roman"/>
                <w:b/>
                <w:color w:val="000000"/>
                <w:sz w:val="20"/>
                <w:szCs w:val="20"/>
              </w:rPr>
              <w:t>Rear End</w:t>
            </w:r>
          </w:p>
        </w:tc>
        <w:tc>
          <w:tcPr>
            <w:tcW w:w="1799" w:type="dxa"/>
            <w:gridSpan w:val="2"/>
            <w:tcBorders>
              <w:top w:val="double" w:sz="4" w:space="0" w:color="auto"/>
              <w:left w:val="nil"/>
              <w:bottom w:val="single" w:sz="4" w:space="0" w:color="auto"/>
              <w:right w:val="single" w:sz="4" w:space="0" w:color="auto"/>
            </w:tcBorders>
            <w:shd w:val="clear" w:color="auto" w:fill="auto"/>
            <w:noWrap/>
            <w:vAlign w:val="center"/>
            <w:hideMark/>
          </w:tcPr>
          <w:p w14:paraId="275D0464" w14:textId="77777777" w:rsidR="006B07E9" w:rsidRPr="00350D02" w:rsidRDefault="006B07E9" w:rsidP="004601C9">
            <w:pPr>
              <w:jc w:val="center"/>
              <w:rPr>
                <w:rFonts w:eastAsia="Times New Roman" w:cs="Times New Roman"/>
                <w:b/>
                <w:color w:val="000000"/>
                <w:sz w:val="20"/>
                <w:szCs w:val="20"/>
              </w:rPr>
            </w:pPr>
            <w:r w:rsidRPr="00350D02">
              <w:rPr>
                <w:rFonts w:eastAsia="Times New Roman" w:cs="Times New Roman"/>
                <w:b/>
                <w:color w:val="000000"/>
                <w:sz w:val="20"/>
                <w:szCs w:val="20"/>
              </w:rPr>
              <w:t>Angular</w:t>
            </w:r>
          </w:p>
        </w:tc>
        <w:tc>
          <w:tcPr>
            <w:tcW w:w="1816" w:type="dxa"/>
            <w:gridSpan w:val="2"/>
            <w:tcBorders>
              <w:top w:val="double" w:sz="4" w:space="0" w:color="auto"/>
              <w:left w:val="nil"/>
              <w:bottom w:val="single" w:sz="4" w:space="0" w:color="auto"/>
              <w:right w:val="single" w:sz="4" w:space="0" w:color="auto"/>
            </w:tcBorders>
            <w:shd w:val="clear" w:color="auto" w:fill="auto"/>
            <w:noWrap/>
            <w:vAlign w:val="center"/>
            <w:hideMark/>
          </w:tcPr>
          <w:p w14:paraId="367E27C7" w14:textId="77777777" w:rsidR="006B07E9" w:rsidRPr="00350D02" w:rsidRDefault="006B07E9" w:rsidP="004601C9">
            <w:pPr>
              <w:jc w:val="center"/>
              <w:rPr>
                <w:rFonts w:eastAsia="Times New Roman" w:cs="Times New Roman"/>
                <w:b/>
                <w:color w:val="000000"/>
                <w:sz w:val="20"/>
                <w:szCs w:val="20"/>
              </w:rPr>
            </w:pPr>
            <w:r w:rsidRPr="00350D02">
              <w:rPr>
                <w:rFonts w:eastAsia="Times New Roman" w:cs="Times New Roman"/>
                <w:b/>
                <w:color w:val="000000"/>
                <w:sz w:val="20"/>
                <w:szCs w:val="20"/>
              </w:rPr>
              <w:t>Sideswipe</w:t>
            </w:r>
          </w:p>
        </w:tc>
        <w:tc>
          <w:tcPr>
            <w:tcW w:w="1816" w:type="dxa"/>
            <w:gridSpan w:val="2"/>
            <w:tcBorders>
              <w:top w:val="double" w:sz="4" w:space="0" w:color="auto"/>
              <w:left w:val="nil"/>
              <w:bottom w:val="single" w:sz="4" w:space="0" w:color="auto"/>
              <w:right w:val="single" w:sz="4" w:space="0" w:color="auto"/>
            </w:tcBorders>
            <w:shd w:val="clear" w:color="auto" w:fill="auto"/>
            <w:noWrap/>
            <w:vAlign w:val="center"/>
            <w:hideMark/>
          </w:tcPr>
          <w:p w14:paraId="20C8C0A8" w14:textId="77777777" w:rsidR="006B07E9" w:rsidRPr="00350D02" w:rsidRDefault="006B07E9" w:rsidP="004601C9">
            <w:pPr>
              <w:jc w:val="center"/>
              <w:rPr>
                <w:rFonts w:eastAsia="Times New Roman" w:cs="Times New Roman"/>
                <w:b/>
                <w:color w:val="000000"/>
                <w:sz w:val="20"/>
                <w:szCs w:val="20"/>
              </w:rPr>
            </w:pPr>
            <w:r w:rsidRPr="00350D02">
              <w:rPr>
                <w:rFonts w:eastAsia="Times New Roman" w:cs="Times New Roman"/>
                <w:b/>
                <w:color w:val="000000"/>
                <w:sz w:val="20"/>
                <w:szCs w:val="20"/>
              </w:rPr>
              <w:t>Head-on</w:t>
            </w:r>
          </w:p>
        </w:tc>
        <w:tc>
          <w:tcPr>
            <w:tcW w:w="1854" w:type="dxa"/>
            <w:gridSpan w:val="3"/>
            <w:tcBorders>
              <w:top w:val="double" w:sz="4" w:space="0" w:color="auto"/>
              <w:left w:val="nil"/>
              <w:bottom w:val="single" w:sz="4" w:space="0" w:color="auto"/>
              <w:right w:val="single" w:sz="4" w:space="0" w:color="auto"/>
            </w:tcBorders>
            <w:shd w:val="clear" w:color="auto" w:fill="auto"/>
            <w:noWrap/>
            <w:vAlign w:val="center"/>
            <w:hideMark/>
          </w:tcPr>
          <w:p w14:paraId="5093ABD2" w14:textId="77777777" w:rsidR="006B07E9" w:rsidRPr="00350D02" w:rsidRDefault="006B07E9" w:rsidP="004601C9">
            <w:pPr>
              <w:jc w:val="center"/>
              <w:rPr>
                <w:rFonts w:eastAsia="Times New Roman" w:cs="Times New Roman"/>
                <w:b/>
                <w:color w:val="000000"/>
                <w:sz w:val="20"/>
                <w:szCs w:val="20"/>
              </w:rPr>
            </w:pPr>
            <w:r w:rsidRPr="00350D02">
              <w:rPr>
                <w:rFonts w:eastAsia="Times New Roman" w:cs="Times New Roman"/>
                <w:b/>
                <w:color w:val="000000"/>
                <w:sz w:val="20"/>
              </w:rPr>
              <w:t>Single vehicle</w:t>
            </w:r>
          </w:p>
        </w:tc>
        <w:tc>
          <w:tcPr>
            <w:tcW w:w="1793" w:type="dxa"/>
            <w:gridSpan w:val="2"/>
            <w:tcBorders>
              <w:top w:val="double" w:sz="4" w:space="0" w:color="auto"/>
              <w:left w:val="nil"/>
              <w:bottom w:val="single" w:sz="4" w:space="0" w:color="auto"/>
              <w:right w:val="double" w:sz="4" w:space="0" w:color="auto"/>
            </w:tcBorders>
            <w:shd w:val="clear" w:color="auto" w:fill="auto"/>
            <w:noWrap/>
            <w:vAlign w:val="center"/>
            <w:hideMark/>
          </w:tcPr>
          <w:p w14:paraId="4C33795F" w14:textId="77777777" w:rsidR="006B07E9" w:rsidRPr="00350D02" w:rsidRDefault="006B07E9" w:rsidP="004601C9">
            <w:pPr>
              <w:jc w:val="center"/>
              <w:rPr>
                <w:rFonts w:eastAsia="Times New Roman" w:cs="Times New Roman"/>
                <w:b/>
                <w:color w:val="000000"/>
                <w:sz w:val="20"/>
                <w:szCs w:val="20"/>
              </w:rPr>
            </w:pPr>
            <w:r w:rsidRPr="00350D02">
              <w:rPr>
                <w:rFonts w:eastAsia="Times New Roman" w:cs="Times New Roman"/>
                <w:b/>
                <w:color w:val="000000"/>
                <w:sz w:val="20"/>
                <w:szCs w:val="20"/>
              </w:rPr>
              <w:t>Non-motorized</w:t>
            </w:r>
          </w:p>
        </w:tc>
      </w:tr>
      <w:tr w:rsidR="006B07E9" w:rsidRPr="00350D02" w14:paraId="465D1ED4" w14:textId="77777777" w:rsidTr="004601C9">
        <w:trPr>
          <w:trHeight w:val="300"/>
        </w:trPr>
        <w:tc>
          <w:tcPr>
            <w:tcW w:w="1965" w:type="dxa"/>
            <w:vMerge/>
            <w:tcBorders>
              <w:left w:val="double" w:sz="4" w:space="0" w:color="auto"/>
              <w:bottom w:val="double" w:sz="4" w:space="0" w:color="auto"/>
              <w:right w:val="single" w:sz="4" w:space="0" w:color="auto"/>
            </w:tcBorders>
            <w:shd w:val="clear" w:color="auto" w:fill="auto"/>
            <w:noWrap/>
            <w:vAlign w:val="center"/>
          </w:tcPr>
          <w:p w14:paraId="139E3CC3" w14:textId="77777777" w:rsidR="006B07E9" w:rsidRPr="00350D02" w:rsidRDefault="006B07E9" w:rsidP="004601C9">
            <w:pPr>
              <w:rPr>
                <w:rFonts w:eastAsia="Times New Roman" w:cs="Times New Roman"/>
                <w:color w:val="000000"/>
                <w:sz w:val="20"/>
                <w:szCs w:val="20"/>
              </w:rPr>
            </w:pPr>
          </w:p>
        </w:tc>
        <w:tc>
          <w:tcPr>
            <w:tcW w:w="916" w:type="dxa"/>
            <w:tcBorders>
              <w:top w:val="nil"/>
              <w:left w:val="nil"/>
              <w:bottom w:val="double" w:sz="4" w:space="0" w:color="auto"/>
              <w:right w:val="single" w:sz="4" w:space="0" w:color="auto"/>
            </w:tcBorders>
            <w:shd w:val="clear" w:color="auto" w:fill="auto"/>
            <w:noWrap/>
            <w:vAlign w:val="center"/>
          </w:tcPr>
          <w:p w14:paraId="388DAFA0" w14:textId="77777777" w:rsidR="006B07E9" w:rsidRPr="00350D02" w:rsidRDefault="006B07E9" w:rsidP="004601C9">
            <w:pPr>
              <w:jc w:val="center"/>
              <w:rPr>
                <w:rFonts w:eastAsia="Times New Roman" w:cs="Times New Roman"/>
                <w:color w:val="000000"/>
                <w:sz w:val="20"/>
                <w:szCs w:val="20"/>
              </w:rPr>
            </w:pPr>
            <w:r w:rsidRPr="00350D02">
              <w:rPr>
                <w:rFonts w:eastAsia="Times New Roman" w:cs="Times New Roman"/>
                <w:color w:val="000000"/>
                <w:sz w:val="20"/>
                <w:szCs w:val="20"/>
              </w:rPr>
              <w:t>Estimate</w:t>
            </w:r>
          </w:p>
        </w:tc>
        <w:tc>
          <w:tcPr>
            <w:tcW w:w="879" w:type="dxa"/>
            <w:tcBorders>
              <w:top w:val="nil"/>
              <w:left w:val="nil"/>
              <w:bottom w:val="double" w:sz="4" w:space="0" w:color="auto"/>
              <w:right w:val="single" w:sz="4" w:space="0" w:color="auto"/>
            </w:tcBorders>
            <w:shd w:val="clear" w:color="auto" w:fill="auto"/>
            <w:noWrap/>
            <w:vAlign w:val="center"/>
          </w:tcPr>
          <w:p w14:paraId="2E975C1A" w14:textId="77777777" w:rsidR="006B07E9" w:rsidRPr="00350D02" w:rsidRDefault="006B07E9" w:rsidP="004601C9">
            <w:pPr>
              <w:jc w:val="center"/>
              <w:rPr>
                <w:rFonts w:eastAsia="Times New Roman" w:cs="Times New Roman"/>
                <w:color w:val="000000"/>
                <w:sz w:val="20"/>
                <w:szCs w:val="20"/>
              </w:rPr>
            </w:pPr>
            <w:r w:rsidRPr="00350D02">
              <w:rPr>
                <w:rFonts w:eastAsia="Times New Roman" w:cs="Times New Roman"/>
                <w:color w:val="000000"/>
                <w:sz w:val="20"/>
                <w:szCs w:val="20"/>
              </w:rPr>
              <w:t>t-stat</w:t>
            </w:r>
          </w:p>
        </w:tc>
        <w:tc>
          <w:tcPr>
            <w:tcW w:w="916" w:type="dxa"/>
            <w:gridSpan w:val="2"/>
            <w:tcBorders>
              <w:top w:val="nil"/>
              <w:left w:val="nil"/>
              <w:bottom w:val="double" w:sz="4" w:space="0" w:color="auto"/>
              <w:right w:val="single" w:sz="4" w:space="0" w:color="auto"/>
            </w:tcBorders>
            <w:shd w:val="clear" w:color="auto" w:fill="auto"/>
            <w:noWrap/>
            <w:vAlign w:val="center"/>
          </w:tcPr>
          <w:p w14:paraId="7FB51627" w14:textId="77777777" w:rsidR="006B07E9" w:rsidRPr="00350D02" w:rsidRDefault="006B07E9" w:rsidP="004601C9">
            <w:pPr>
              <w:jc w:val="center"/>
              <w:rPr>
                <w:rFonts w:eastAsia="Times New Roman" w:cs="Times New Roman"/>
                <w:color w:val="000000"/>
                <w:sz w:val="20"/>
                <w:szCs w:val="20"/>
              </w:rPr>
            </w:pPr>
            <w:r w:rsidRPr="00350D02">
              <w:rPr>
                <w:rFonts w:eastAsia="Times New Roman" w:cs="Times New Roman"/>
                <w:color w:val="000000"/>
                <w:sz w:val="20"/>
                <w:szCs w:val="20"/>
              </w:rPr>
              <w:t>Estimate</w:t>
            </w:r>
          </w:p>
        </w:tc>
        <w:tc>
          <w:tcPr>
            <w:tcW w:w="900" w:type="dxa"/>
            <w:tcBorders>
              <w:top w:val="nil"/>
              <w:left w:val="nil"/>
              <w:bottom w:val="double" w:sz="4" w:space="0" w:color="auto"/>
              <w:right w:val="single" w:sz="4" w:space="0" w:color="auto"/>
            </w:tcBorders>
            <w:shd w:val="clear" w:color="auto" w:fill="auto"/>
            <w:noWrap/>
            <w:vAlign w:val="center"/>
          </w:tcPr>
          <w:p w14:paraId="611FC5A9" w14:textId="77777777" w:rsidR="006B07E9" w:rsidRPr="00350D02" w:rsidRDefault="006B07E9" w:rsidP="004601C9">
            <w:pPr>
              <w:jc w:val="center"/>
              <w:rPr>
                <w:rFonts w:eastAsia="Times New Roman" w:cs="Times New Roman"/>
                <w:color w:val="000000"/>
                <w:sz w:val="20"/>
                <w:szCs w:val="20"/>
              </w:rPr>
            </w:pPr>
            <w:r w:rsidRPr="00350D02">
              <w:rPr>
                <w:rFonts w:eastAsia="Times New Roman" w:cs="Times New Roman"/>
                <w:color w:val="000000"/>
                <w:sz w:val="20"/>
                <w:szCs w:val="20"/>
              </w:rPr>
              <w:t>t-stat</w:t>
            </w:r>
          </w:p>
        </w:tc>
        <w:tc>
          <w:tcPr>
            <w:tcW w:w="916" w:type="dxa"/>
            <w:tcBorders>
              <w:top w:val="nil"/>
              <w:left w:val="nil"/>
              <w:bottom w:val="double" w:sz="4" w:space="0" w:color="auto"/>
              <w:right w:val="single" w:sz="4" w:space="0" w:color="auto"/>
            </w:tcBorders>
            <w:shd w:val="clear" w:color="auto" w:fill="auto"/>
            <w:noWrap/>
            <w:vAlign w:val="center"/>
          </w:tcPr>
          <w:p w14:paraId="1AEEC907" w14:textId="77777777" w:rsidR="006B07E9" w:rsidRPr="00350D02" w:rsidRDefault="006B07E9" w:rsidP="004601C9">
            <w:pPr>
              <w:jc w:val="center"/>
              <w:rPr>
                <w:rFonts w:eastAsia="Times New Roman" w:cs="Times New Roman"/>
                <w:color w:val="000000"/>
                <w:sz w:val="20"/>
                <w:szCs w:val="20"/>
              </w:rPr>
            </w:pPr>
            <w:r w:rsidRPr="00350D02">
              <w:rPr>
                <w:rFonts w:eastAsia="Times New Roman" w:cs="Times New Roman"/>
                <w:color w:val="000000"/>
                <w:sz w:val="20"/>
                <w:szCs w:val="20"/>
              </w:rPr>
              <w:t>Estimate</w:t>
            </w:r>
          </w:p>
        </w:tc>
        <w:tc>
          <w:tcPr>
            <w:tcW w:w="900" w:type="dxa"/>
            <w:tcBorders>
              <w:top w:val="nil"/>
              <w:left w:val="nil"/>
              <w:bottom w:val="double" w:sz="4" w:space="0" w:color="auto"/>
              <w:right w:val="single" w:sz="4" w:space="0" w:color="auto"/>
            </w:tcBorders>
            <w:shd w:val="clear" w:color="auto" w:fill="auto"/>
            <w:noWrap/>
            <w:vAlign w:val="center"/>
          </w:tcPr>
          <w:p w14:paraId="55A2C2D8" w14:textId="77777777" w:rsidR="006B07E9" w:rsidRPr="00350D02" w:rsidRDefault="006B07E9" w:rsidP="004601C9">
            <w:pPr>
              <w:jc w:val="center"/>
              <w:rPr>
                <w:rFonts w:eastAsia="Times New Roman" w:cs="Times New Roman"/>
                <w:color w:val="000000"/>
                <w:sz w:val="20"/>
                <w:szCs w:val="20"/>
              </w:rPr>
            </w:pPr>
            <w:r w:rsidRPr="00350D02">
              <w:rPr>
                <w:rFonts w:eastAsia="Times New Roman" w:cs="Times New Roman"/>
                <w:color w:val="000000"/>
                <w:sz w:val="20"/>
                <w:szCs w:val="20"/>
              </w:rPr>
              <w:t>t-stat</w:t>
            </w:r>
          </w:p>
        </w:tc>
        <w:tc>
          <w:tcPr>
            <w:tcW w:w="916" w:type="dxa"/>
            <w:tcBorders>
              <w:top w:val="nil"/>
              <w:left w:val="nil"/>
              <w:bottom w:val="double" w:sz="4" w:space="0" w:color="auto"/>
              <w:right w:val="single" w:sz="4" w:space="0" w:color="auto"/>
            </w:tcBorders>
            <w:shd w:val="clear" w:color="auto" w:fill="auto"/>
            <w:noWrap/>
            <w:vAlign w:val="center"/>
          </w:tcPr>
          <w:p w14:paraId="6019C63D" w14:textId="77777777" w:rsidR="006B07E9" w:rsidRPr="00350D02" w:rsidRDefault="006B07E9" w:rsidP="004601C9">
            <w:pPr>
              <w:jc w:val="center"/>
              <w:rPr>
                <w:rFonts w:eastAsia="Times New Roman" w:cs="Times New Roman"/>
                <w:color w:val="000000"/>
                <w:sz w:val="20"/>
                <w:szCs w:val="20"/>
              </w:rPr>
            </w:pPr>
            <w:r w:rsidRPr="00350D02">
              <w:rPr>
                <w:rFonts w:eastAsia="Times New Roman" w:cs="Times New Roman"/>
                <w:color w:val="000000"/>
                <w:sz w:val="20"/>
                <w:szCs w:val="20"/>
              </w:rPr>
              <w:t>Estimate</w:t>
            </w:r>
          </w:p>
        </w:tc>
        <w:tc>
          <w:tcPr>
            <w:tcW w:w="900" w:type="dxa"/>
            <w:tcBorders>
              <w:top w:val="nil"/>
              <w:left w:val="nil"/>
              <w:bottom w:val="double" w:sz="4" w:space="0" w:color="auto"/>
              <w:right w:val="single" w:sz="4" w:space="0" w:color="auto"/>
            </w:tcBorders>
            <w:shd w:val="clear" w:color="auto" w:fill="auto"/>
            <w:noWrap/>
            <w:vAlign w:val="center"/>
          </w:tcPr>
          <w:p w14:paraId="57D6EFF8" w14:textId="77777777" w:rsidR="006B07E9" w:rsidRPr="00350D02" w:rsidRDefault="006B07E9" w:rsidP="004601C9">
            <w:pPr>
              <w:jc w:val="center"/>
              <w:rPr>
                <w:rFonts w:eastAsia="Times New Roman" w:cs="Times New Roman"/>
                <w:color w:val="000000"/>
                <w:sz w:val="20"/>
                <w:szCs w:val="20"/>
              </w:rPr>
            </w:pPr>
            <w:r w:rsidRPr="00350D02">
              <w:rPr>
                <w:rFonts w:eastAsia="Times New Roman" w:cs="Times New Roman"/>
                <w:color w:val="000000"/>
                <w:sz w:val="20"/>
                <w:szCs w:val="20"/>
              </w:rPr>
              <w:t>t-stat</w:t>
            </w:r>
          </w:p>
        </w:tc>
        <w:tc>
          <w:tcPr>
            <w:tcW w:w="916" w:type="dxa"/>
            <w:tcBorders>
              <w:top w:val="nil"/>
              <w:left w:val="nil"/>
              <w:bottom w:val="double" w:sz="4" w:space="0" w:color="auto"/>
              <w:right w:val="single" w:sz="4" w:space="0" w:color="auto"/>
            </w:tcBorders>
            <w:shd w:val="clear" w:color="auto" w:fill="auto"/>
            <w:noWrap/>
            <w:vAlign w:val="center"/>
          </w:tcPr>
          <w:p w14:paraId="6BC0E6D1" w14:textId="77777777" w:rsidR="006B07E9" w:rsidRPr="00350D02" w:rsidRDefault="006B07E9" w:rsidP="004601C9">
            <w:pPr>
              <w:jc w:val="center"/>
              <w:rPr>
                <w:rFonts w:eastAsia="Times New Roman" w:cs="Times New Roman"/>
                <w:color w:val="000000"/>
                <w:sz w:val="20"/>
                <w:szCs w:val="20"/>
              </w:rPr>
            </w:pPr>
            <w:r w:rsidRPr="00350D02">
              <w:rPr>
                <w:rFonts w:eastAsia="Times New Roman" w:cs="Times New Roman"/>
                <w:color w:val="000000"/>
                <w:sz w:val="20"/>
                <w:szCs w:val="20"/>
              </w:rPr>
              <w:t>Estimate</w:t>
            </w:r>
          </w:p>
        </w:tc>
        <w:tc>
          <w:tcPr>
            <w:tcW w:w="931" w:type="dxa"/>
            <w:tcBorders>
              <w:top w:val="nil"/>
              <w:left w:val="nil"/>
              <w:bottom w:val="double" w:sz="4" w:space="0" w:color="auto"/>
              <w:right w:val="single" w:sz="4" w:space="0" w:color="auto"/>
            </w:tcBorders>
            <w:shd w:val="clear" w:color="auto" w:fill="auto"/>
            <w:noWrap/>
            <w:vAlign w:val="center"/>
          </w:tcPr>
          <w:p w14:paraId="6263C514" w14:textId="77777777" w:rsidR="006B07E9" w:rsidRPr="00350D02" w:rsidRDefault="006B07E9" w:rsidP="004601C9">
            <w:pPr>
              <w:jc w:val="center"/>
              <w:rPr>
                <w:rFonts w:eastAsia="Times New Roman" w:cs="Times New Roman"/>
                <w:color w:val="000000"/>
                <w:sz w:val="20"/>
                <w:szCs w:val="20"/>
              </w:rPr>
            </w:pPr>
            <w:r w:rsidRPr="00350D02">
              <w:rPr>
                <w:rFonts w:eastAsia="Times New Roman" w:cs="Times New Roman"/>
                <w:color w:val="000000"/>
                <w:sz w:val="20"/>
                <w:szCs w:val="20"/>
              </w:rPr>
              <w:t>t-stat</w:t>
            </w:r>
          </w:p>
        </w:tc>
        <w:tc>
          <w:tcPr>
            <w:tcW w:w="916" w:type="dxa"/>
            <w:gridSpan w:val="2"/>
            <w:tcBorders>
              <w:top w:val="nil"/>
              <w:left w:val="nil"/>
              <w:bottom w:val="double" w:sz="4" w:space="0" w:color="auto"/>
              <w:right w:val="single" w:sz="4" w:space="0" w:color="auto"/>
            </w:tcBorders>
            <w:shd w:val="clear" w:color="auto" w:fill="auto"/>
            <w:noWrap/>
            <w:vAlign w:val="center"/>
          </w:tcPr>
          <w:p w14:paraId="288C7280" w14:textId="77777777" w:rsidR="006B07E9" w:rsidRPr="00350D02" w:rsidRDefault="006B07E9" w:rsidP="004601C9">
            <w:pPr>
              <w:jc w:val="center"/>
              <w:rPr>
                <w:rFonts w:eastAsia="Times New Roman" w:cs="Times New Roman"/>
                <w:color w:val="000000"/>
                <w:sz w:val="20"/>
                <w:szCs w:val="20"/>
              </w:rPr>
            </w:pPr>
            <w:r w:rsidRPr="00350D02">
              <w:rPr>
                <w:rFonts w:eastAsia="Times New Roman" w:cs="Times New Roman"/>
                <w:color w:val="000000"/>
                <w:sz w:val="20"/>
                <w:szCs w:val="20"/>
              </w:rPr>
              <w:t>Estimate</w:t>
            </w:r>
          </w:p>
        </w:tc>
        <w:tc>
          <w:tcPr>
            <w:tcW w:w="884" w:type="dxa"/>
            <w:tcBorders>
              <w:top w:val="nil"/>
              <w:left w:val="nil"/>
              <w:bottom w:val="double" w:sz="4" w:space="0" w:color="auto"/>
              <w:right w:val="double" w:sz="4" w:space="0" w:color="auto"/>
            </w:tcBorders>
            <w:shd w:val="clear" w:color="auto" w:fill="auto"/>
            <w:noWrap/>
            <w:vAlign w:val="center"/>
          </w:tcPr>
          <w:p w14:paraId="2F1150FF" w14:textId="77777777" w:rsidR="006B07E9" w:rsidRPr="00350D02" w:rsidRDefault="006B07E9" w:rsidP="004601C9">
            <w:pPr>
              <w:jc w:val="center"/>
              <w:rPr>
                <w:rFonts w:eastAsia="Times New Roman" w:cs="Times New Roman"/>
                <w:color w:val="000000"/>
                <w:sz w:val="20"/>
                <w:szCs w:val="20"/>
              </w:rPr>
            </w:pPr>
            <w:r w:rsidRPr="00350D02">
              <w:rPr>
                <w:rFonts w:eastAsia="Times New Roman" w:cs="Times New Roman"/>
                <w:color w:val="000000"/>
                <w:sz w:val="20"/>
                <w:szCs w:val="20"/>
              </w:rPr>
              <w:t>t-stat</w:t>
            </w:r>
          </w:p>
        </w:tc>
      </w:tr>
      <w:tr w:rsidR="006B07E9" w:rsidRPr="00350D02" w14:paraId="558542D2" w14:textId="77777777" w:rsidTr="004601C9">
        <w:trPr>
          <w:trHeight w:val="300"/>
        </w:trPr>
        <w:tc>
          <w:tcPr>
            <w:tcW w:w="1965" w:type="dxa"/>
            <w:tcBorders>
              <w:top w:val="nil"/>
              <w:left w:val="double" w:sz="4" w:space="0" w:color="auto"/>
              <w:bottom w:val="double" w:sz="4" w:space="0" w:color="auto"/>
              <w:right w:val="single" w:sz="4" w:space="0" w:color="auto"/>
            </w:tcBorders>
            <w:shd w:val="clear" w:color="auto" w:fill="auto"/>
            <w:noWrap/>
            <w:vAlign w:val="center"/>
            <w:hideMark/>
          </w:tcPr>
          <w:p w14:paraId="7D747CD5" w14:textId="77777777" w:rsidR="006B07E9" w:rsidRPr="00350D02" w:rsidRDefault="006B07E9" w:rsidP="004601C9">
            <w:pPr>
              <w:rPr>
                <w:rFonts w:eastAsia="Times New Roman" w:cs="Times New Roman"/>
                <w:b/>
                <w:color w:val="000000"/>
                <w:sz w:val="20"/>
                <w:szCs w:val="20"/>
              </w:rPr>
            </w:pPr>
            <w:r w:rsidRPr="00350D02">
              <w:rPr>
                <w:rFonts w:eastAsia="Times New Roman" w:cs="Times New Roman"/>
                <w:b/>
                <w:color w:val="000000"/>
                <w:sz w:val="20"/>
                <w:szCs w:val="20"/>
              </w:rPr>
              <w:t>Threshold 1</w:t>
            </w:r>
          </w:p>
        </w:tc>
        <w:tc>
          <w:tcPr>
            <w:tcW w:w="916" w:type="dxa"/>
            <w:tcBorders>
              <w:top w:val="nil"/>
              <w:left w:val="nil"/>
              <w:bottom w:val="double" w:sz="4" w:space="0" w:color="auto"/>
              <w:right w:val="single" w:sz="4" w:space="0" w:color="auto"/>
            </w:tcBorders>
            <w:shd w:val="clear" w:color="auto" w:fill="auto"/>
            <w:noWrap/>
            <w:vAlign w:val="center"/>
            <w:hideMark/>
          </w:tcPr>
          <w:p w14:paraId="78E60511" w14:textId="77777777" w:rsidR="006B07E9" w:rsidRPr="00350D02" w:rsidRDefault="006B07E9" w:rsidP="004601C9">
            <w:pPr>
              <w:jc w:val="center"/>
              <w:rPr>
                <w:rFonts w:cs="Times New Roman"/>
                <w:color w:val="000000"/>
                <w:sz w:val="20"/>
                <w:szCs w:val="20"/>
              </w:rPr>
            </w:pPr>
            <w:r w:rsidRPr="00933145">
              <w:rPr>
                <w:rFonts w:cs="Times New Roman"/>
                <w:color w:val="000000"/>
                <w:sz w:val="20"/>
                <w:szCs w:val="20"/>
              </w:rPr>
              <w:t>0.564</w:t>
            </w:r>
          </w:p>
        </w:tc>
        <w:tc>
          <w:tcPr>
            <w:tcW w:w="879" w:type="dxa"/>
            <w:tcBorders>
              <w:top w:val="nil"/>
              <w:left w:val="nil"/>
              <w:bottom w:val="double" w:sz="4" w:space="0" w:color="auto"/>
              <w:right w:val="single" w:sz="4" w:space="0" w:color="auto"/>
            </w:tcBorders>
            <w:shd w:val="clear" w:color="auto" w:fill="auto"/>
            <w:noWrap/>
            <w:vAlign w:val="center"/>
            <w:hideMark/>
          </w:tcPr>
          <w:p w14:paraId="2B5D4999" w14:textId="77777777" w:rsidR="006B07E9" w:rsidRPr="00350D02" w:rsidRDefault="006B07E9" w:rsidP="004601C9">
            <w:pPr>
              <w:jc w:val="center"/>
              <w:rPr>
                <w:rFonts w:cs="Times New Roman"/>
                <w:color w:val="000000"/>
                <w:sz w:val="20"/>
                <w:szCs w:val="20"/>
              </w:rPr>
            </w:pPr>
            <w:r w:rsidRPr="00933145">
              <w:rPr>
                <w:rFonts w:cs="Times New Roman"/>
                <w:color w:val="000000"/>
                <w:sz w:val="20"/>
                <w:szCs w:val="20"/>
              </w:rPr>
              <w:t>14.380</w:t>
            </w:r>
          </w:p>
        </w:tc>
        <w:tc>
          <w:tcPr>
            <w:tcW w:w="916" w:type="dxa"/>
            <w:gridSpan w:val="2"/>
            <w:tcBorders>
              <w:top w:val="nil"/>
              <w:left w:val="nil"/>
              <w:bottom w:val="double" w:sz="4" w:space="0" w:color="auto"/>
              <w:right w:val="single" w:sz="4" w:space="0" w:color="auto"/>
            </w:tcBorders>
            <w:shd w:val="clear" w:color="auto" w:fill="auto"/>
            <w:noWrap/>
            <w:vAlign w:val="center"/>
            <w:hideMark/>
          </w:tcPr>
          <w:p w14:paraId="34DD4621" w14:textId="77777777" w:rsidR="006B07E9" w:rsidRPr="00350D02" w:rsidRDefault="006B07E9" w:rsidP="004601C9">
            <w:pPr>
              <w:jc w:val="center"/>
              <w:rPr>
                <w:rFonts w:cs="Times New Roman"/>
                <w:color w:val="000000"/>
                <w:sz w:val="20"/>
                <w:szCs w:val="20"/>
              </w:rPr>
            </w:pPr>
            <w:r w:rsidRPr="00933145">
              <w:rPr>
                <w:rFonts w:cs="Times New Roman"/>
                <w:color w:val="000000"/>
                <w:sz w:val="20"/>
                <w:szCs w:val="20"/>
              </w:rPr>
              <w:t>0.221</w:t>
            </w:r>
          </w:p>
        </w:tc>
        <w:tc>
          <w:tcPr>
            <w:tcW w:w="900" w:type="dxa"/>
            <w:tcBorders>
              <w:top w:val="nil"/>
              <w:left w:val="nil"/>
              <w:bottom w:val="double" w:sz="4" w:space="0" w:color="auto"/>
              <w:right w:val="single" w:sz="4" w:space="0" w:color="auto"/>
            </w:tcBorders>
            <w:shd w:val="clear" w:color="auto" w:fill="auto"/>
            <w:noWrap/>
            <w:vAlign w:val="center"/>
            <w:hideMark/>
          </w:tcPr>
          <w:p w14:paraId="27D827C5" w14:textId="77777777" w:rsidR="006B07E9" w:rsidRPr="00350D02" w:rsidRDefault="006B07E9" w:rsidP="004601C9">
            <w:pPr>
              <w:jc w:val="center"/>
              <w:rPr>
                <w:rFonts w:cs="Times New Roman"/>
                <w:color w:val="000000"/>
                <w:sz w:val="20"/>
                <w:szCs w:val="20"/>
              </w:rPr>
            </w:pPr>
            <w:r w:rsidRPr="00933145">
              <w:rPr>
                <w:rFonts w:cs="Times New Roman"/>
                <w:color w:val="000000"/>
                <w:sz w:val="20"/>
                <w:szCs w:val="20"/>
              </w:rPr>
              <w:t>6.466</w:t>
            </w:r>
          </w:p>
        </w:tc>
        <w:tc>
          <w:tcPr>
            <w:tcW w:w="916" w:type="dxa"/>
            <w:tcBorders>
              <w:top w:val="nil"/>
              <w:left w:val="nil"/>
              <w:bottom w:val="double" w:sz="4" w:space="0" w:color="auto"/>
              <w:right w:val="single" w:sz="4" w:space="0" w:color="auto"/>
            </w:tcBorders>
            <w:shd w:val="clear" w:color="auto" w:fill="auto"/>
            <w:noWrap/>
            <w:vAlign w:val="center"/>
            <w:hideMark/>
          </w:tcPr>
          <w:p w14:paraId="2A7A8ADB" w14:textId="77777777" w:rsidR="006B07E9" w:rsidRPr="00350D02" w:rsidRDefault="006B07E9" w:rsidP="004601C9">
            <w:pPr>
              <w:jc w:val="center"/>
              <w:rPr>
                <w:rFonts w:cs="Times New Roman"/>
                <w:color w:val="000000"/>
                <w:sz w:val="20"/>
                <w:szCs w:val="20"/>
              </w:rPr>
            </w:pPr>
            <w:r w:rsidRPr="00933145">
              <w:rPr>
                <w:rFonts w:cs="Times New Roman"/>
                <w:color w:val="000000"/>
                <w:sz w:val="20"/>
                <w:szCs w:val="20"/>
              </w:rPr>
              <w:t>0.948</w:t>
            </w:r>
          </w:p>
        </w:tc>
        <w:tc>
          <w:tcPr>
            <w:tcW w:w="900" w:type="dxa"/>
            <w:tcBorders>
              <w:top w:val="nil"/>
              <w:left w:val="nil"/>
              <w:bottom w:val="double" w:sz="4" w:space="0" w:color="auto"/>
              <w:right w:val="single" w:sz="4" w:space="0" w:color="auto"/>
            </w:tcBorders>
            <w:shd w:val="clear" w:color="auto" w:fill="auto"/>
            <w:noWrap/>
            <w:vAlign w:val="center"/>
            <w:hideMark/>
          </w:tcPr>
          <w:p w14:paraId="3A2DC8AE" w14:textId="77777777" w:rsidR="006B07E9" w:rsidRPr="00350D02" w:rsidRDefault="006B07E9" w:rsidP="004601C9">
            <w:pPr>
              <w:jc w:val="center"/>
              <w:rPr>
                <w:rFonts w:cs="Times New Roman"/>
                <w:color w:val="000000"/>
                <w:sz w:val="20"/>
                <w:szCs w:val="20"/>
              </w:rPr>
            </w:pPr>
            <w:r w:rsidRPr="00933145">
              <w:rPr>
                <w:rFonts w:cs="Times New Roman"/>
                <w:color w:val="000000"/>
                <w:sz w:val="20"/>
                <w:szCs w:val="20"/>
              </w:rPr>
              <w:t>9.171</w:t>
            </w:r>
          </w:p>
        </w:tc>
        <w:tc>
          <w:tcPr>
            <w:tcW w:w="916" w:type="dxa"/>
            <w:tcBorders>
              <w:top w:val="nil"/>
              <w:left w:val="nil"/>
              <w:bottom w:val="double" w:sz="4" w:space="0" w:color="auto"/>
              <w:right w:val="single" w:sz="4" w:space="0" w:color="auto"/>
            </w:tcBorders>
            <w:shd w:val="clear" w:color="auto" w:fill="auto"/>
            <w:noWrap/>
            <w:vAlign w:val="center"/>
            <w:hideMark/>
          </w:tcPr>
          <w:p w14:paraId="09787BE1" w14:textId="77777777" w:rsidR="006B07E9" w:rsidRPr="00350D02" w:rsidRDefault="006B07E9" w:rsidP="004601C9">
            <w:pPr>
              <w:jc w:val="center"/>
              <w:rPr>
                <w:rFonts w:cs="Times New Roman"/>
                <w:color w:val="000000"/>
                <w:sz w:val="20"/>
                <w:szCs w:val="20"/>
              </w:rPr>
            </w:pPr>
            <w:r w:rsidRPr="00933145">
              <w:rPr>
                <w:rFonts w:cs="Times New Roman"/>
                <w:color w:val="000000"/>
                <w:sz w:val="20"/>
                <w:szCs w:val="20"/>
              </w:rPr>
              <w:t>-0.038</w:t>
            </w:r>
          </w:p>
        </w:tc>
        <w:tc>
          <w:tcPr>
            <w:tcW w:w="900" w:type="dxa"/>
            <w:tcBorders>
              <w:top w:val="nil"/>
              <w:left w:val="nil"/>
              <w:bottom w:val="double" w:sz="4" w:space="0" w:color="auto"/>
              <w:right w:val="single" w:sz="4" w:space="0" w:color="auto"/>
            </w:tcBorders>
            <w:shd w:val="clear" w:color="auto" w:fill="auto"/>
            <w:noWrap/>
            <w:vAlign w:val="center"/>
            <w:hideMark/>
          </w:tcPr>
          <w:p w14:paraId="6E3510D8" w14:textId="77777777" w:rsidR="006B07E9" w:rsidRPr="00350D02" w:rsidRDefault="006B07E9" w:rsidP="004601C9">
            <w:pPr>
              <w:jc w:val="center"/>
              <w:rPr>
                <w:rFonts w:cs="Times New Roman"/>
                <w:color w:val="000000"/>
                <w:sz w:val="20"/>
                <w:szCs w:val="20"/>
              </w:rPr>
            </w:pPr>
            <w:r w:rsidRPr="00933145">
              <w:rPr>
                <w:rFonts w:cs="Times New Roman"/>
                <w:color w:val="000000"/>
                <w:sz w:val="20"/>
                <w:szCs w:val="20"/>
              </w:rPr>
              <w:t>-0.331</w:t>
            </w:r>
          </w:p>
        </w:tc>
        <w:tc>
          <w:tcPr>
            <w:tcW w:w="916" w:type="dxa"/>
            <w:tcBorders>
              <w:top w:val="nil"/>
              <w:left w:val="nil"/>
              <w:bottom w:val="double" w:sz="4" w:space="0" w:color="auto"/>
              <w:right w:val="single" w:sz="4" w:space="0" w:color="auto"/>
            </w:tcBorders>
            <w:shd w:val="clear" w:color="auto" w:fill="auto"/>
            <w:noWrap/>
            <w:vAlign w:val="center"/>
            <w:hideMark/>
          </w:tcPr>
          <w:p w14:paraId="04D431D2" w14:textId="77777777" w:rsidR="006B07E9" w:rsidRPr="00350D02" w:rsidRDefault="006B07E9" w:rsidP="004601C9">
            <w:pPr>
              <w:jc w:val="center"/>
              <w:rPr>
                <w:rFonts w:cs="Times New Roman"/>
                <w:color w:val="000000"/>
                <w:sz w:val="20"/>
                <w:szCs w:val="20"/>
              </w:rPr>
            </w:pPr>
            <w:r w:rsidRPr="00933145">
              <w:rPr>
                <w:rFonts w:cs="Times New Roman"/>
                <w:color w:val="000000"/>
                <w:sz w:val="20"/>
                <w:szCs w:val="20"/>
              </w:rPr>
              <w:t>0.264</w:t>
            </w:r>
          </w:p>
        </w:tc>
        <w:tc>
          <w:tcPr>
            <w:tcW w:w="931" w:type="dxa"/>
            <w:tcBorders>
              <w:top w:val="nil"/>
              <w:left w:val="nil"/>
              <w:bottom w:val="double" w:sz="4" w:space="0" w:color="auto"/>
              <w:right w:val="single" w:sz="4" w:space="0" w:color="auto"/>
            </w:tcBorders>
            <w:shd w:val="clear" w:color="auto" w:fill="auto"/>
            <w:noWrap/>
            <w:vAlign w:val="center"/>
            <w:hideMark/>
          </w:tcPr>
          <w:p w14:paraId="5B8808CC" w14:textId="77777777" w:rsidR="006B07E9" w:rsidRPr="00350D02" w:rsidRDefault="006B07E9" w:rsidP="004601C9">
            <w:pPr>
              <w:jc w:val="center"/>
              <w:rPr>
                <w:rFonts w:cs="Times New Roman"/>
                <w:color w:val="000000"/>
                <w:sz w:val="20"/>
                <w:szCs w:val="20"/>
              </w:rPr>
            </w:pPr>
            <w:r w:rsidRPr="00933145">
              <w:rPr>
                <w:rFonts w:cs="Times New Roman"/>
                <w:color w:val="000000"/>
                <w:sz w:val="20"/>
                <w:szCs w:val="20"/>
              </w:rPr>
              <w:t>5.198</w:t>
            </w:r>
          </w:p>
        </w:tc>
        <w:tc>
          <w:tcPr>
            <w:tcW w:w="916" w:type="dxa"/>
            <w:gridSpan w:val="2"/>
            <w:tcBorders>
              <w:top w:val="nil"/>
              <w:left w:val="nil"/>
              <w:bottom w:val="double" w:sz="4" w:space="0" w:color="auto"/>
              <w:right w:val="single" w:sz="4" w:space="0" w:color="auto"/>
            </w:tcBorders>
            <w:shd w:val="clear" w:color="auto" w:fill="auto"/>
            <w:noWrap/>
            <w:vAlign w:val="center"/>
            <w:hideMark/>
          </w:tcPr>
          <w:p w14:paraId="0CC66D34" w14:textId="77777777" w:rsidR="006B07E9" w:rsidRPr="00350D02" w:rsidRDefault="006B07E9" w:rsidP="004601C9">
            <w:pPr>
              <w:jc w:val="center"/>
              <w:rPr>
                <w:rFonts w:cs="Times New Roman"/>
                <w:color w:val="000000"/>
                <w:sz w:val="20"/>
                <w:szCs w:val="20"/>
              </w:rPr>
            </w:pPr>
            <w:r w:rsidRPr="00933145">
              <w:rPr>
                <w:rFonts w:cs="Times New Roman"/>
                <w:color w:val="000000"/>
                <w:sz w:val="20"/>
                <w:szCs w:val="20"/>
              </w:rPr>
              <w:t>-0.671</w:t>
            </w:r>
          </w:p>
        </w:tc>
        <w:tc>
          <w:tcPr>
            <w:tcW w:w="884" w:type="dxa"/>
            <w:tcBorders>
              <w:top w:val="nil"/>
              <w:left w:val="nil"/>
              <w:bottom w:val="double" w:sz="4" w:space="0" w:color="auto"/>
              <w:right w:val="double" w:sz="4" w:space="0" w:color="auto"/>
            </w:tcBorders>
            <w:shd w:val="clear" w:color="auto" w:fill="auto"/>
            <w:noWrap/>
            <w:vAlign w:val="center"/>
            <w:hideMark/>
          </w:tcPr>
          <w:p w14:paraId="3358175E" w14:textId="77777777" w:rsidR="006B07E9" w:rsidRPr="00350D02" w:rsidRDefault="006B07E9" w:rsidP="004601C9">
            <w:pPr>
              <w:jc w:val="center"/>
              <w:rPr>
                <w:rFonts w:cs="Times New Roman"/>
                <w:color w:val="000000"/>
                <w:sz w:val="20"/>
                <w:szCs w:val="20"/>
              </w:rPr>
            </w:pPr>
            <w:r w:rsidRPr="00933145">
              <w:rPr>
                <w:rFonts w:cs="Times New Roman"/>
                <w:color w:val="000000"/>
                <w:sz w:val="20"/>
                <w:szCs w:val="20"/>
              </w:rPr>
              <w:t>-8.045</w:t>
            </w:r>
          </w:p>
        </w:tc>
      </w:tr>
      <w:tr w:rsidR="006B07E9" w:rsidRPr="00350D02" w14:paraId="78460E5E" w14:textId="77777777" w:rsidTr="004601C9">
        <w:trPr>
          <w:trHeight w:val="300"/>
        </w:trPr>
        <w:tc>
          <w:tcPr>
            <w:tcW w:w="1965" w:type="dxa"/>
            <w:tcBorders>
              <w:top w:val="nil"/>
              <w:left w:val="double" w:sz="4" w:space="0" w:color="auto"/>
              <w:bottom w:val="double" w:sz="4" w:space="0" w:color="auto"/>
              <w:right w:val="single" w:sz="4" w:space="0" w:color="auto"/>
            </w:tcBorders>
            <w:shd w:val="clear" w:color="auto" w:fill="auto"/>
            <w:noWrap/>
            <w:vAlign w:val="center"/>
          </w:tcPr>
          <w:p w14:paraId="74614BAD" w14:textId="77777777" w:rsidR="006B07E9" w:rsidRPr="00350D02" w:rsidRDefault="006B07E9" w:rsidP="004601C9">
            <w:pPr>
              <w:rPr>
                <w:rFonts w:eastAsia="Times New Roman" w:cs="Times New Roman"/>
                <w:b/>
                <w:color w:val="000000"/>
                <w:sz w:val="20"/>
                <w:szCs w:val="20"/>
              </w:rPr>
            </w:pPr>
            <w:r w:rsidRPr="00350D02">
              <w:rPr>
                <w:rFonts w:eastAsia="Times New Roman" w:cs="Times New Roman"/>
                <w:b/>
                <w:color w:val="000000"/>
                <w:sz w:val="20"/>
                <w:szCs w:val="20"/>
              </w:rPr>
              <w:t>Threshold 2</w:t>
            </w:r>
          </w:p>
        </w:tc>
        <w:tc>
          <w:tcPr>
            <w:tcW w:w="916" w:type="dxa"/>
            <w:tcBorders>
              <w:top w:val="nil"/>
              <w:left w:val="nil"/>
              <w:bottom w:val="double" w:sz="4" w:space="0" w:color="auto"/>
              <w:right w:val="single" w:sz="4" w:space="0" w:color="auto"/>
            </w:tcBorders>
            <w:shd w:val="clear" w:color="auto" w:fill="auto"/>
            <w:noWrap/>
            <w:vAlign w:val="center"/>
          </w:tcPr>
          <w:p w14:paraId="53A1206F" w14:textId="77777777" w:rsidR="006B07E9" w:rsidRPr="00350D02" w:rsidRDefault="006B07E9" w:rsidP="004601C9">
            <w:pPr>
              <w:jc w:val="center"/>
              <w:rPr>
                <w:rFonts w:cs="Times New Roman"/>
                <w:color w:val="000000"/>
                <w:sz w:val="20"/>
                <w:szCs w:val="20"/>
              </w:rPr>
            </w:pPr>
            <w:r w:rsidRPr="00933145">
              <w:rPr>
                <w:rFonts w:cs="Times New Roman"/>
                <w:color w:val="000000"/>
                <w:sz w:val="20"/>
                <w:szCs w:val="20"/>
              </w:rPr>
              <w:t>-0.395</w:t>
            </w:r>
          </w:p>
        </w:tc>
        <w:tc>
          <w:tcPr>
            <w:tcW w:w="879" w:type="dxa"/>
            <w:tcBorders>
              <w:top w:val="nil"/>
              <w:left w:val="nil"/>
              <w:bottom w:val="double" w:sz="4" w:space="0" w:color="auto"/>
              <w:right w:val="single" w:sz="4" w:space="0" w:color="auto"/>
            </w:tcBorders>
            <w:shd w:val="clear" w:color="auto" w:fill="auto"/>
            <w:noWrap/>
            <w:vAlign w:val="center"/>
          </w:tcPr>
          <w:p w14:paraId="67663470" w14:textId="77777777" w:rsidR="006B07E9" w:rsidRPr="00350D02" w:rsidRDefault="006B07E9" w:rsidP="004601C9">
            <w:pPr>
              <w:jc w:val="center"/>
              <w:rPr>
                <w:rFonts w:cs="Times New Roman"/>
                <w:color w:val="000000"/>
                <w:sz w:val="20"/>
                <w:szCs w:val="20"/>
              </w:rPr>
            </w:pPr>
            <w:r w:rsidRPr="00933145">
              <w:rPr>
                <w:rFonts w:cs="Times New Roman"/>
                <w:color w:val="000000"/>
                <w:sz w:val="20"/>
                <w:szCs w:val="20"/>
              </w:rPr>
              <w:t>-12.342</w:t>
            </w:r>
          </w:p>
        </w:tc>
        <w:tc>
          <w:tcPr>
            <w:tcW w:w="916" w:type="dxa"/>
            <w:gridSpan w:val="2"/>
            <w:tcBorders>
              <w:top w:val="nil"/>
              <w:left w:val="nil"/>
              <w:bottom w:val="double" w:sz="4" w:space="0" w:color="auto"/>
              <w:right w:val="single" w:sz="4" w:space="0" w:color="auto"/>
            </w:tcBorders>
            <w:shd w:val="clear" w:color="auto" w:fill="auto"/>
            <w:noWrap/>
            <w:vAlign w:val="center"/>
          </w:tcPr>
          <w:p w14:paraId="56F69F07" w14:textId="77777777" w:rsidR="006B07E9" w:rsidRPr="00350D02" w:rsidRDefault="006B07E9" w:rsidP="004601C9">
            <w:pPr>
              <w:jc w:val="center"/>
              <w:rPr>
                <w:rFonts w:cs="Times New Roman"/>
                <w:color w:val="000000"/>
                <w:sz w:val="20"/>
                <w:szCs w:val="20"/>
              </w:rPr>
            </w:pPr>
            <w:r w:rsidRPr="00933145">
              <w:rPr>
                <w:rFonts w:cs="Times New Roman"/>
                <w:color w:val="000000"/>
                <w:sz w:val="20"/>
                <w:szCs w:val="20"/>
              </w:rPr>
              <w:t>-0.492</w:t>
            </w:r>
          </w:p>
        </w:tc>
        <w:tc>
          <w:tcPr>
            <w:tcW w:w="900" w:type="dxa"/>
            <w:tcBorders>
              <w:top w:val="nil"/>
              <w:left w:val="nil"/>
              <w:bottom w:val="double" w:sz="4" w:space="0" w:color="auto"/>
              <w:right w:val="single" w:sz="4" w:space="0" w:color="auto"/>
            </w:tcBorders>
            <w:shd w:val="clear" w:color="auto" w:fill="auto"/>
            <w:noWrap/>
            <w:vAlign w:val="center"/>
          </w:tcPr>
          <w:p w14:paraId="4E3FB06D" w14:textId="77777777" w:rsidR="006B07E9" w:rsidRPr="00350D02" w:rsidRDefault="006B07E9" w:rsidP="004601C9">
            <w:pPr>
              <w:jc w:val="center"/>
              <w:rPr>
                <w:rFonts w:cs="Times New Roman"/>
                <w:color w:val="000000"/>
                <w:sz w:val="20"/>
                <w:szCs w:val="20"/>
              </w:rPr>
            </w:pPr>
            <w:r w:rsidRPr="00933145">
              <w:rPr>
                <w:rFonts w:cs="Times New Roman"/>
                <w:color w:val="000000"/>
                <w:sz w:val="20"/>
                <w:szCs w:val="20"/>
              </w:rPr>
              <w:t>-19.890</w:t>
            </w:r>
          </w:p>
        </w:tc>
        <w:tc>
          <w:tcPr>
            <w:tcW w:w="916" w:type="dxa"/>
            <w:tcBorders>
              <w:top w:val="nil"/>
              <w:left w:val="nil"/>
              <w:bottom w:val="double" w:sz="4" w:space="0" w:color="auto"/>
              <w:right w:val="single" w:sz="4" w:space="0" w:color="auto"/>
            </w:tcBorders>
            <w:shd w:val="clear" w:color="auto" w:fill="auto"/>
            <w:noWrap/>
            <w:vAlign w:val="center"/>
          </w:tcPr>
          <w:p w14:paraId="7C601A1D" w14:textId="77777777" w:rsidR="006B07E9" w:rsidRPr="00350D02" w:rsidRDefault="006B07E9" w:rsidP="004601C9">
            <w:pPr>
              <w:jc w:val="center"/>
              <w:rPr>
                <w:rFonts w:cs="Times New Roman"/>
                <w:color w:val="000000"/>
                <w:sz w:val="20"/>
                <w:szCs w:val="20"/>
              </w:rPr>
            </w:pPr>
            <w:r w:rsidRPr="00933145">
              <w:rPr>
                <w:rFonts w:cs="Times New Roman"/>
                <w:color w:val="000000"/>
                <w:sz w:val="20"/>
                <w:szCs w:val="20"/>
              </w:rPr>
              <w:t>-0.678</w:t>
            </w:r>
          </w:p>
        </w:tc>
        <w:tc>
          <w:tcPr>
            <w:tcW w:w="900" w:type="dxa"/>
            <w:tcBorders>
              <w:top w:val="nil"/>
              <w:left w:val="nil"/>
              <w:bottom w:val="double" w:sz="4" w:space="0" w:color="auto"/>
              <w:right w:val="single" w:sz="4" w:space="0" w:color="auto"/>
            </w:tcBorders>
            <w:shd w:val="clear" w:color="auto" w:fill="auto"/>
            <w:noWrap/>
            <w:vAlign w:val="center"/>
          </w:tcPr>
          <w:p w14:paraId="0DD6C68B" w14:textId="77777777" w:rsidR="006B07E9" w:rsidRPr="00350D02" w:rsidRDefault="006B07E9" w:rsidP="004601C9">
            <w:pPr>
              <w:jc w:val="center"/>
              <w:rPr>
                <w:rFonts w:cs="Times New Roman"/>
                <w:color w:val="000000"/>
                <w:sz w:val="20"/>
                <w:szCs w:val="20"/>
              </w:rPr>
            </w:pPr>
            <w:r w:rsidRPr="00933145">
              <w:rPr>
                <w:rFonts w:cs="Times New Roman"/>
                <w:color w:val="000000"/>
                <w:sz w:val="20"/>
                <w:szCs w:val="20"/>
              </w:rPr>
              <w:t>-13.290</w:t>
            </w:r>
          </w:p>
        </w:tc>
        <w:tc>
          <w:tcPr>
            <w:tcW w:w="916" w:type="dxa"/>
            <w:tcBorders>
              <w:top w:val="nil"/>
              <w:left w:val="nil"/>
              <w:bottom w:val="double" w:sz="4" w:space="0" w:color="auto"/>
              <w:right w:val="single" w:sz="4" w:space="0" w:color="auto"/>
            </w:tcBorders>
            <w:shd w:val="clear" w:color="auto" w:fill="auto"/>
            <w:noWrap/>
            <w:vAlign w:val="center"/>
          </w:tcPr>
          <w:p w14:paraId="038B8DA7" w14:textId="77777777" w:rsidR="006B07E9" w:rsidRPr="00350D02" w:rsidRDefault="006B07E9" w:rsidP="004601C9">
            <w:pPr>
              <w:jc w:val="center"/>
              <w:rPr>
                <w:rFonts w:cs="Times New Roman"/>
                <w:color w:val="000000"/>
                <w:sz w:val="20"/>
                <w:szCs w:val="20"/>
              </w:rPr>
            </w:pPr>
            <w:r w:rsidRPr="00933145">
              <w:rPr>
                <w:rFonts w:cs="Times New Roman"/>
                <w:color w:val="000000"/>
                <w:sz w:val="20"/>
                <w:szCs w:val="20"/>
              </w:rPr>
              <w:t>-0.688</w:t>
            </w:r>
          </w:p>
        </w:tc>
        <w:tc>
          <w:tcPr>
            <w:tcW w:w="900" w:type="dxa"/>
            <w:tcBorders>
              <w:top w:val="nil"/>
              <w:left w:val="nil"/>
              <w:bottom w:val="double" w:sz="4" w:space="0" w:color="auto"/>
              <w:right w:val="single" w:sz="4" w:space="0" w:color="auto"/>
            </w:tcBorders>
            <w:shd w:val="clear" w:color="auto" w:fill="auto"/>
            <w:noWrap/>
            <w:vAlign w:val="center"/>
          </w:tcPr>
          <w:p w14:paraId="1BC5FA44" w14:textId="77777777" w:rsidR="006B07E9" w:rsidRPr="00350D02" w:rsidRDefault="006B07E9" w:rsidP="004601C9">
            <w:pPr>
              <w:jc w:val="center"/>
              <w:rPr>
                <w:rFonts w:cs="Times New Roman"/>
                <w:color w:val="000000"/>
                <w:sz w:val="20"/>
                <w:szCs w:val="20"/>
              </w:rPr>
            </w:pPr>
            <w:r w:rsidRPr="00933145">
              <w:rPr>
                <w:rFonts w:cs="Times New Roman"/>
                <w:color w:val="000000"/>
                <w:sz w:val="20"/>
                <w:szCs w:val="20"/>
              </w:rPr>
              <w:t>-9.478</w:t>
            </w:r>
          </w:p>
        </w:tc>
        <w:tc>
          <w:tcPr>
            <w:tcW w:w="916" w:type="dxa"/>
            <w:tcBorders>
              <w:top w:val="nil"/>
              <w:left w:val="nil"/>
              <w:bottom w:val="double" w:sz="4" w:space="0" w:color="auto"/>
              <w:right w:val="single" w:sz="4" w:space="0" w:color="auto"/>
            </w:tcBorders>
            <w:shd w:val="clear" w:color="auto" w:fill="auto"/>
            <w:noWrap/>
            <w:vAlign w:val="center"/>
          </w:tcPr>
          <w:p w14:paraId="151EB7D5" w14:textId="77777777" w:rsidR="006B07E9" w:rsidRPr="00350D02" w:rsidRDefault="006B07E9" w:rsidP="004601C9">
            <w:pPr>
              <w:jc w:val="center"/>
              <w:rPr>
                <w:rFonts w:cs="Times New Roman"/>
                <w:color w:val="000000"/>
                <w:sz w:val="20"/>
                <w:szCs w:val="20"/>
              </w:rPr>
            </w:pPr>
            <w:r w:rsidRPr="00933145">
              <w:rPr>
                <w:rFonts w:cs="Times New Roman"/>
                <w:color w:val="000000"/>
                <w:sz w:val="20"/>
                <w:szCs w:val="20"/>
              </w:rPr>
              <w:t>-0.808</w:t>
            </w:r>
          </w:p>
        </w:tc>
        <w:tc>
          <w:tcPr>
            <w:tcW w:w="931" w:type="dxa"/>
            <w:tcBorders>
              <w:top w:val="nil"/>
              <w:left w:val="nil"/>
              <w:bottom w:val="double" w:sz="4" w:space="0" w:color="auto"/>
              <w:right w:val="single" w:sz="4" w:space="0" w:color="auto"/>
            </w:tcBorders>
            <w:shd w:val="clear" w:color="auto" w:fill="auto"/>
            <w:noWrap/>
            <w:vAlign w:val="center"/>
          </w:tcPr>
          <w:p w14:paraId="567F1189" w14:textId="77777777" w:rsidR="006B07E9" w:rsidRPr="00350D02" w:rsidRDefault="006B07E9" w:rsidP="004601C9">
            <w:pPr>
              <w:jc w:val="center"/>
              <w:rPr>
                <w:rFonts w:cs="Times New Roman"/>
                <w:color w:val="000000"/>
                <w:sz w:val="20"/>
                <w:szCs w:val="20"/>
              </w:rPr>
            </w:pPr>
            <w:r w:rsidRPr="00933145">
              <w:rPr>
                <w:rFonts w:cs="Times New Roman"/>
                <w:color w:val="000000"/>
                <w:sz w:val="20"/>
                <w:szCs w:val="20"/>
              </w:rPr>
              <w:t>-23.022</w:t>
            </w:r>
          </w:p>
        </w:tc>
        <w:tc>
          <w:tcPr>
            <w:tcW w:w="916" w:type="dxa"/>
            <w:gridSpan w:val="2"/>
            <w:tcBorders>
              <w:top w:val="nil"/>
              <w:left w:val="nil"/>
              <w:bottom w:val="double" w:sz="4" w:space="0" w:color="auto"/>
              <w:right w:val="single" w:sz="4" w:space="0" w:color="auto"/>
            </w:tcBorders>
            <w:shd w:val="clear" w:color="auto" w:fill="auto"/>
            <w:noWrap/>
            <w:vAlign w:val="center"/>
          </w:tcPr>
          <w:p w14:paraId="63D0A695" w14:textId="77777777" w:rsidR="006B07E9" w:rsidRPr="00350D02" w:rsidRDefault="006B07E9" w:rsidP="004601C9">
            <w:pPr>
              <w:jc w:val="center"/>
              <w:rPr>
                <w:rFonts w:cs="Times New Roman"/>
                <w:color w:val="000000"/>
                <w:sz w:val="20"/>
                <w:szCs w:val="20"/>
              </w:rPr>
            </w:pPr>
            <w:r w:rsidRPr="00933145">
              <w:rPr>
                <w:rFonts w:cs="Times New Roman"/>
                <w:color w:val="000000"/>
                <w:sz w:val="20"/>
                <w:szCs w:val="20"/>
              </w:rPr>
              <w:t>-0.463</w:t>
            </w:r>
          </w:p>
        </w:tc>
        <w:tc>
          <w:tcPr>
            <w:tcW w:w="884" w:type="dxa"/>
            <w:tcBorders>
              <w:top w:val="nil"/>
              <w:left w:val="nil"/>
              <w:bottom w:val="double" w:sz="4" w:space="0" w:color="auto"/>
              <w:right w:val="double" w:sz="4" w:space="0" w:color="auto"/>
            </w:tcBorders>
            <w:shd w:val="clear" w:color="auto" w:fill="auto"/>
            <w:noWrap/>
            <w:vAlign w:val="center"/>
          </w:tcPr>
          <w:p w14:paraId="56939EF5" w14:textId="77777777" w:rsidR="006B07E9" w:rsidRPr="00350D02" w:rsidRDefault="006B07E9" w:rsidP="004601C9">
            <w:pPr>
              <w:jc w:val="center"/>
              <w:rPr>
                <w:rFonts w:cs="Times New Roman"/>
                <w:color w:val="000000"/>
                <w:sz w:val="20"/>
                <w:szCs w:val="20"/>
              </w:rPr>
            </w:pPr>
            <w:r w:rsidRPr="00933145">
              <w:rPr>
                <w:rFonts w:cs="Times New Roman"/>
                <w:color w:val="000000"/>
                <w:sz w:val="20"/>
                <w:szCs w:val="20"/>
              </w:rPr>
              <w:t>-10.780</w:t>
            </w:r>
          </w:p>
        </w:tc>
      </w:tr>
      <w:tr w:rsidR="006B07E9" w:rsidRPr="00350D02" w14:paraId="33835455" w14:textId="77777777" w:rsidTr="004601C9">
        <w:trPr>
          <w:trHeight w:val="300"/>
        </w:trPr>
        <w:tc>
          <w:tcPr>
            <w:tcW w:w="1965" w:type="dxa"/>
            <w:tcBorders>
              <w:top w:val="nil"/>
              <w:left w:val="double" w:sz="4" w:space="0" w:color="auto"/>
              <w:bottom w:val="double" w:sz="4" w:space="0" w:color="auto"/>
              <w:right w:val="single" w:sz="4" w:space="0" w:color="auto"/>
            </w:tcBorders>
            <w:shd w:val="clear" w:color="auto" w:fill="auto"/>
            <w:noWrap/>
            <w:vAlign w:val="center"/>
          </w:tcPr>
          <w:p w14:paraId="32A22589" w14:textId="77777777" w:rsidR="006B07E9" w:rsidRPr="00350D02" w:rsidRDefault="006B07E9" w:rsidP="004601C9">
            <w:pPr>
              <w:rPr>
                <w:rFonts w:eastAsia="Times New Roman" w:cs="Times New Roman"/>
                <w:b/>
                <w:color w:val="000000"/>
                <w:sz w:val="20"/>
                <w:szCs w:val="20"/>
              </w:rPr>
            </w:pPr>
            <w:r w:rsidRPr="00350D02">
              <w:rPr>
                <w:rFonts w:eastAsia="Times New Roman" w:cs="Times New Roman"/>
                <w:b/>
                <w:color w:val="000000"/>
                <w:sz w:val="20"/>
                <w:szCs w:val="20"/>
              </w:rPr>
              <w:t>Threshold 3</w:t>
            </w:r>
          </w:p>
        </w:tc>
        <w:tc>
          <w:tcPr>
            <w:tcW w:w="916" w:type="dxa"/>
            <w:tcBorders>
              <w:top w:val="nil"/>
              <w:left w:val="nil"/>
              <w:bottom w:val="double" w:sz="4" w:space="0" w:color="auto"/>
              <w:right w:val="single" w:sz="4" w:space="0" w:color="auto"/>
            </w:tcBorders>
            <w:shd w:val="clear" w:color="auto" w:fill="auto"/>
            <w:noWrap/>
            <w:vAlign w:val="center"/>
          </w:tcPr>
          <w:p w14:paraId="1186B624" w14:textId="77777777" w:rsidR="006B07E9" w:rsidRPr="00350D02" w:rsidRDefault="006B07E9" w:rsidP="004601C9">
            <w:pPr>
              <w:jc w:val="center"/>
              <w:rPr>
                <w:rFonts w:cs="Times New Roman"/>
                <w:color w:val="000000"/>
                <w:sz w:val="20"/>
                <w:szCs w:val="20"/>
              </w:rPr>
            </w:pPr>
            <w:r w:rsidRPr="00933145">
              <w:rPr>
                <w:rFonts w:cs="Times New Roman"/>
                <w:color w:val="000000"/>
                <w:sz w:val="20"/>
                <w:szCs w:val="20"/>
              </w:rPr>
              <w:t>-0.262</w:t>
            </w:r>
          </w:p>
        </w:tc>
        <w:tc>
          <w:tcPr>
            <w:tcW w:w="879" w:type="dxa"/>
            <w:tcBorders>
              <w:top w:val="nil"/>
              <w:left w:val="nil"/>
              <w:bottom w:val="double" w:sz="4" w:space="0" w:color="auto"/>
              <w:right w:val="single" w:sz="4" w:space="0" w:color="auto"/>
            </w:tcBorders>
            <w:shd w:val="clear" w:color="auto" w:fill="auto"/>
            <w:noWrap/>
            <w:vAlign w:val="center"/>
          </w:tcPr>
          <w:p w14:paraId="78062D7C" w14:textId="77777777" w:rsidR="006B07E9" w:rsidRPr="00350D02" w:rsidRDefault="006B07E9" w:rsidP="004601C9">
            <w:pPr>
              <w:jc w:val="center"/>
              <w:rPr>
                <w:rFonts w:cs="Times New Roman"/>
                <w:color w:val="000000"/>
                <w:sz w:val="20"/>
                <w:szCs w:val="20"/>
              </w:rPr>
            </w:pPr>
            <w:r w:rsidRPr="00933145">
              <w:rPr>
                <w:rFonts w:cs="Times New Roman"/>
                <w:color w:val="000000"/>
                <w:sz w:val="20"/>
                <w:szCs w:val="20"/>
              </w:rPr>
              <w:t>-6.067</w:t>
            </w:r>
          </w:p>
        </w:tc>
        <w:tc>
          <w:tcPr>
            <w:tcW w:w="916" w:type="dxa"/>
            <w:gridSpan w:val="2"/>
            <w:tcBorders>
              <w:top w:val="nil"/>
              <w:left w:val="nil"/>
              <w:bottom w:val="double" w:sz="4" w:space="0" w:color="auto"/>
              <w:right w:val="single" w:sz="4" w:space="0" w:color="auto"/>
            </w:tcBorders>
            <w:shd w:val="clear" w:color="auto" w:fill="auto"/>
            <w:noWrap/>
            <w:vAlign w:val="center"/>
          </w:tcPr>
          <w:p w14:paraId="200BE6E9" w14:textId="77777777" w:rsidR="006B07E9" w:rsidRPr="00350D02" w:rsidRDefault="006B07E9" w:rsidP="004601C9">
            <w:pPr>
              <w:jc w:val="center"/>
              <w:rPr>
                <w:rFonts w:cs="Times New Roman"/>
                <w:color w:val="000000"/>
                <w:sz w:val="20"/>
                <w:szCs w:val="20"/>
              </w:rPr>
            </w:pPr>
            <w:r w:rsidRPr="00933145">
              <w:rPr>
                <w:rFonts w:cs="Times New Roman"/>
                <w:color w:val="000000"/>
                <w:sz w:val="20"/>
                <w:szCs w:val="20"/>
              </w:rPr>
              <w:t>-0.373</w:t>
            </w:r>
          </w:p>
        </w:tc>
        <w:tc>
          <w:tcPr>
            <w:tcW w:w="900" w:type="dxa"/>
            <w:tcBorders>
              <w:top w:val="nil"/>
              <w:left w:val="nil"/>
              <w:bottom w:val="double" w:sz="4" w:space="0" w:color="auto"/>
              <w:right w:val="single" w:sz="4" w:space="0" w:color="auto"/>
            </w:tcBorders>
            <w:shd w:val="clear" w:color="auto" w:fill="auto"/>
            <w:noWrap/>
            <w:vAlign w:val="center"/>
          </w:tcPr>
          <w:p w14:paraId="03A62BAD" w14:textId="77777777" w:rsidR="006B07E9" w:rsidRPr="00350D02" w:rsidRDefault="006B07E9" w:rsidP="004601C9">
            <w:pPr>
              <w:jc w:val="center"/>
              <w:rPr>
                <w:rFonts w:cs="Times New Roman"/>
                <w:color w:val="000000"/>
                <w:sz w:val="20"/>
                <w:szCs w:val="20"/>
              </w:rPr>
            </w:pPr>
            <w:r w:rsidRPr="00933145">
              <w:rPr>
                <w:rFonts w:cs="Times New Roman"/>
                <w:color w:val="000000"/>
                <w:sz w:val="20"/>
                <w:szCs w:val="20"/>
              </w:rPr>
              <w:t>-10.523</w:t>
            </w:r>
          </w:p>
        </w:tc>
        <w:tc>
          <w:tcPr>
            <w:tcW w:w="916" w:type="dxa"/>
            <w:tcBorders>
              <w:top w:val="nil"/>
              <w:left w:val="nil"/>
              <w:bottom w:val="double" w:sz="4" w:space="0" w:color="auto"/>
              <w:right w:val="single" w:sz="4" w:space="0" w:color="auto"/>
            </w:tcBorders>
            <w:shd w:val="clear" w:color="auto" w:fill="auto"/>
            <w:noWrap/>
            <w:vAlign w:val="center"/>
          </w:tcPr>
          <w:p w14:paraId="18E633B6" w14:textId="77777777" w:rsidR="006B07E9" w:rsidRPr="00350D02" w:rsidRDefault="006B07E9" w:rsidP="004601C9">
            <w:pPr>
              <w:jc w:val="center"/>
              <w:rPr>
                <w:rFonts w:cs="Times New Roman"/>
                <w:color w:val="000000"/>
                <w:sz w:val="20"/>
                <w:szCs w:val="20"/>
              </w:rPr>
            </w:pPr>
            <w:r w:rsidRPr="00933145">
              <w:rPr>
                <w:rFonts w:cs="Times New Roman"/>
                <w:color w:val="000000"/>
                <w:sz w:val="20"/>
                <w:szCs w:val="20"/>
              </w:rPr>
              <w:t>-0.440</w:t>
            </w:r>
          </w:p>
        </w:tc>
        <w:tc>
          <w:tcPr>
            <w:tcW w:w="900" w:type="dxa"/>
            <w:tcBorders>
              <w:top w:val="nil"/>
              <w:left w:val="nil"/>
              <w:bottom w:val="double" w:sz="4" w:space="0" w:color="auto"/>
              <w:right w:val="single" w:sz="4" w:space="0" w:color="auto"/>
            </w:tcBorders>
            <w:shd w:val="clear" w:color="auto" w:fill="auto"/>
            <w:noWrap/>
            <w:vAlign w:val="center"/>
          </w:tcPr>
          <w:p w14:paraId="525A98DE" w14:textId="77777777" w:rsidR="006B07E9" w:rsidRPr="00350D02" w:rsidRDefault="006B07E9" w:rsidP="004601C9">
            <w:pPr>
              <w:jc w:val="center"/>
              <w:rPr>
                <w:rFonts w:cs="Times New Roman"/>
                <w:color w:val="000000"/>
                <w:sz w:val="20"/>
                <w:szCs w:val="20"/>
              </w:rPr>
            </w:pPr>
            <w:r w:rsidRPr="00933145">
              <w:rPr>
                <w:rFonts w:cs="Times New Roman"/>
                <w:color w:val="000000"/>
                <w:sz w:val="20"/>
                <w:szCs w:val="20"/>
              </w:rPr>
              <w:t>-6.093</w:t>
            </w:r>
          </w:p>
        </w:tc>
        <w:tc>
          <w:tcPr>
            <w:tcW w:w="916" w:type="dxa"/>
            <w:tcBorders>
              <w:top w:val="nil"/>
              <w:left w:val="nil"/>
              <w:bottom w:val="double" w:sz="4" w:space="0" w:color="auto"/>
              <w:right w:val="single" w:sz="4" w:space="0" w:color="auto"/>
            </w:tcBorders>
            <w:shd w:val="clear" w:color="auto" w:fill="auto"/>
            <w:noWrap/>
            <w:vAlign w:val="center"/>
          </w:tcPr>
          <w:p w14:paraId="78A76EFC" w14:textId="77777777" w:rsidR="006B07E9" w:rsidRPr="00350D02" w:rsidRDefault="006B07E9" w:rsidP="004601C9">
            <w:pPr>
              <w:jc w:val="center"/>
              <w:rPr>
                <w:rFonts w:cs="Times New Roman"/>
                <w:color w:val="000000"/>
                <w:sz w:val="20"/>
                <w:szCs w:val="20"/>
              </w:rPr>
            </w:pPr>
            <w:r w:rsidRPr="00933145">
              <w:rPr>
                <w:rFonts w:cs="Times New Roman"/>
                <w:color w:val="000000"/>
                <w:sz w:val="20"/>
                <w:szCs w:val="20"/>
              </w:rPr>
              <w:t>-0.506</w:t>
            </w:r>
          </w:p>
        </w:tc>
        <w:tc>
          <w:tcPr>
            <w:tcW w:w="900" w:type="dxa"/>
            <w:tcBorders>
              <w:top w:val="nil"/>
              <w:left w:val="nil"/>
              <w:bottom w:val="double" w:sz="4" w:space="0" w:color="auto"/>
              <w:right w:val="single" w:sz="4" w:space="0" w:color="auto"/>
            </w:tcBorders>
            <w:shd w:val="clear" w:color="auto" w:fill="auto"/>
            <w:noWrap/>
            <w:vAlign w:val="center"/>
          </w:tcPr>
          <w:p w14:paraId="4A59C0CB" w14:textId="77777777" w:rsidR="006B07E9" w:rsidRPr="00350D02" w:rsidRDefault="006B07E9" w:rsidP="004601C9">
            <w:pPr>
              <w:jc w:val="center"/>
              <w:rPr>
                <w:rFonts w:cs="Times New Roman"/>
                <w:color w:val="000000"/>
                <w:sz w:val="20"/>
                <w:szCs w:val="20"/>
              </w:rPr>
            </w:pPr>
            <w:r w:rsidRPr="00933145">
              <w:rPr>
                <w:rFonts w:cs="Times New Roman"/>
                <w:color w:val="000000"/>
                <w:sz w:val="20"/>
                <w:szCs w:val="20"/>
              </w:rPr>
              <w:t>-6.480</w:t>
            </w:r>
          </w:p>
        </w:tc>
        <w:tc>
          <w:tcPr>
            <w:tcW w:w="916" w:type="dxa"/>
            <w:tcBorders>
              <w:top w:val="nil"/>
              <w:left w:val="nil"/>
              <w:bottom w:val="double" w:sz="4" w:space="0" w:color="auto"/>
              <w:right w:val="single" w:sz="4" w:space="0" w:color="auto"/>
            </w:tcBorders>
            <w:shd w:val="clear" w:color="auto" w:fill="auto"/>
            <w:noWrap/>
            <w:vAlign w:val="center"/>
          </w:tcPr>
          <w:p w14:paraId="70460056" w14:textId="77777777" w:rsidR="006B07E9" w:rsidRPr="00350D02" w:rsidRDefault="006B07E9" w:rsidP="004601C9">
            <w:pPr>
              <w:jc w:val="center"/>
              <w:rPr>
                <w:rFonts w:cs="Times New Roman"/>
                <w:color w:val="000000"/>
                <w:sz w:val="20"/>
                <w:szCs w:val="20"/>
              </w:rPr>
            </w:pPr>
            <w:r w:rsidRPr="00933145">
              <w:rPr>
                <w:rFonts w:cs="Times New Roman"/>
                <w:color w:val="000000"/>
                <w:sz w:val="20"/>
                <w:szCs w:val="20"/>
              </w:rPr>
              <w:t>-0.469</w:t>
            </w:r>
          </w:p>
        </w:tc>
        <w:tc>
          <w:tcPr>
            <w:tcW w:w="931" w:type="dxa"/>
            <w:tcBorders>
              <w:top w:val="nil"/>
              <w:left w:val="nil"/>
              <w:bottom w:val="double" w:sz="4" w:space="0" w:color="auto"/>
              <w:right w:val="single" w:sz="4" w:space="0" w:color="auto"/>
            </w:tcBorders>
            <w:shd w:val="clear" w:color="auto" w:fill="auto"/>
            <w:noWrap/>
            <w:vAlign w:val="center"/>
          </w:tcPr>
          <w:p w14:paraId="4887E637" w14:textId="77777777" w:rsidR="006B07E9" w:rsidRPr="00350D02" w:rsidRDefault="006B07E9" w:rsidP="004601C9">
            <w:pPr>
              <w:jc w:val="center"/>
              <w:rPr>
                <w:rFonts w:cs="Times New Roman"/>
                <w:color w:val="000000"/>
                <w:sz w:val="20"/>
                <w:szCs w:val="20"/>
              </w:rPr>
            </w:pPr>
            <w:r w:rsidRPr="00933145">
              <w:rPr>
                <w:rFonts w:cs="Times New Roman"/>
                <w:color w:val="000000"/>
                <w:sz w:val="20"/>
                <w:szCs w:val="20"/>
              </w:rPr>
              <w:t>-12.780</w:t>
            </w:r>
          </w:p>
        </w:tc>
        <w:tc>
          <w:tcPr>
            <w:tcW w:w="916" w:type="dxa"/>
            <w:gridSpan w:val="2"/>
            <w:tcBorders>
              <w:top w:val="nil"/>
              <w:left w:val="nil"/>
              <w:bottom w:val="double" w:sz="4" w:space="0" w:color="auto"/>
              <w:right w:val="single" w:sz="4" w:space="0" w:color="auto"/>
            </w:tcBorders>
            <w:shd w:val="clear" w:color="auto" w:fill="auto"/>
            <w:noWrap/>
            <w:vAlign w:val="center"/>
          </w:tcPr>
          <w:p w14:paraId="2097B94E" w14:textId="77777777" w:rsidR="006B07E9" w:rsidRPr="00350D02" w:rsidRDefault="006B07E9" w:rsidP="004601C9">
            <w:pPr>
              <w:jc w:val="center"/>
              <w:rPr>
                <w:rFonts w:cs="Times New Roman"/>
                <w:color w:val="000000"/>
                <w:sz w:val="20"/>
                <w:szCs w:val="20"/>
              </w:rPr>
            </w:pPr>
            <w:r w:rsidRPr="00933145">
              <w:rPr>
                <w:rFonts w:cs="Times New Roman"/>
                <w:color w:val="000000"/>
                <w:sz w:val="20"/>
                <w:szCs w:val="20"/>
              </w:rPr>
              <w:t>-0.062</w:t>
            </w:r>
          </w:p>
        </w:tc>
        <w:tc>
          <w:tcPr>
            <w:tcW w:w="884" w:type="dxa"/>
            <w:tcBorders>
              <w:top w:val="nil"/>
              <w:left w:val="nil"/>
              <w:bottom w:val="double" w:sz="4" w:space="0" w:color="auto"/>
              <w:right w:val="double" w:sz="4" w:space="0" w:color="auto"/>
            </w:tcBorders>
            <w:shd w:val="clear" w:color="auto" w:fill="auto"/>
            <w:noWrap/>
            <w:vAlign w:val="center"/>
          </w:tcPr>
          <w:p w14:paraId="77AC9955" w14:textId="77777777" w:rsidR="006B07E9" w:rsidRPr="00350D02" w:rsidRDefault="006B07E9" w:rsidP="004601C9">
            <w:pPr>
              <w:jc w:val="center"/>
              <w:rPr>
                <w:rFonts w:cs="Times New Roman"/>
                <w:color w:val="000000"/>
                <w:sz w:val="20"/>
                <w:szCs w:val="20"/>
              </w:rPr>
            </w:pPr>
            <w:r w:rsidRPr="00933145">
              <w:rPr>
                <w:rFonts w:cs="Times New Roman"/>
                <w:color w:val="000000"/>
                <w:sz w:val="20"/>
                <w:szCs w:val="20"/>
              </w:rPr>
              <w:t>-1.599</w:t>
            </w:r>
          </w:p>
        </w:tc>
      </w:tr>
      <w:tr w:rsidR="006B07E9" w:rsidRPr="00350D02" w14:paraId="4E77C8F4" w14:textId="77777777" w:rsidTr="004601C9">
        <w:trPr>
          <w:trHeight w:val="300"/>
        </w:trPr>
        <w:tc>
          <w:tcPr>
            <w:tcW w:w="12855" w:type="dxa"/>
            <w:gridSpan w:val="15"/>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5046FD7F" w14:textId="77777777" w:rsidR="006B07E9" w:rsidRPr="00350D02" w:rsidRDefault="006B07E9" w:rsidP="004601C9">
            <w:pPr>
              <w:rPr>
                <w:rFonts w:eastAsia="Times New Roman" w:cs="Times New Roman"/>
                <w:b/>
                <w:bCs/>
                <w:color w:val="000000"/>
                <w:sz w:val="20"/>
                <w:szCs w:val="20"/>
              </w:rPr>
            </w:pPr>
            <w:r w:rsidRPr="00350D02">
              <w:rPr>
                <w:rFonts w:eastAsia="Times New Roman" w:cs="Times New Roman"/>
                <w:b/>
                <w:bCs/>
                <w:color w:val="000000"/>
                <w:sz w:val="20"/>
                <w:szCs w:val="20"/>
              </w:rPr>
              <w:t>Roadway Characteristics</w:t>
            </w:r>
          </w:p>
        </w:tc>
      </w:tr>
      <w:tr w:rsidR="006B07E9" w:rsidRPr="00350D02" w14:paraId="4C9F6767" w14:textId="77777777" w:rsidTr="004601C9">
        <w:trPr>
          <w:trHeight w:val="300"/>
        </w:trPr>
        <w:tc>
          <w:tcPr>
            <w:tcW w:w="1965" w:type="dxa"/>
            <w:tcBorders>
              <w:top w:val="double" w:sz="4" w:space="0" w:color="auto"/>
              <w:left w:val="double" w:sz="4" w:space="0" w:color="auto"/>
              <w:bottom w:val="single" w:sz="4" w:space="0" w:color="auto"/>
              <w:right w:val="single" w:sz="4" w:space="0" w:color="auto"/>
            </w:tcBorders>
            <w:shd w:val="clear" w:color="auto" w:fill="auto"/>
            <w:noWrap/>
            <w:vAlign w:val="center"/>
            <w:hideMark/>
          </w:tcPr>
          <w:p w14:paraId="64650DFB" w14:textId="77777777" w:rsidR="006B07E9" w:rsidRPr="00350D02" w:rsidRDefault="006B07E9" w:rsidP="004601C9">
            <w:pPr>
              <w:ind w:left="150"/>
              <w:jc w:val="left"/>
              <w:rPr>
                <w:rFonts w:eastAsia="Times New Roman" w:cs="Times New Roman"/>
                <w:color w:val="000000"/>
                <w:sz w:val="20"/>
                <w:szCs w:val="20"/>
              </w:rPr>
            </w:pPr>
            <w:r w:rsidRPr="00350D02">
              <w:rPr>
                <w:rFonts w:eastAsia="Times New Roman" w:cs="Times New Roman"/>
                <w:color w:val="000000"/>
                <w:sz w:val="20"/>
                <w:szCs w:val="20"/>
              </w:rPr>
              <w:t>Arterial road</w:t>
            </w:r>
            <w:r>
              <w:rPr>
                <w:rFonts w:eastAsia="Times New Roman" w:cs="Times New Roman"/>
                <w:color w:val="000000"/>
                <w:sz w:val="20"/>
                <w:szCs w:val="20"/>
              </w:rPr>
              <w:t>s (2)</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13D6521E"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0.085</w:t>
            </w:r>
          </w:p>
        </w:tc>
        <w:tc>
          <w:tcPr>
            <w:tcW w:w="879" w:type="dxa"/>
            <w:tcBorders>
              <w:top w:val="double" w:sz="4" w:space="0" w:color="auto"/>
              <w:left w:val="nil"/>
              <w:bottom w:val="single" w:sz="4" w:space="0" w:color="auto"/>
              <w:right w:val="single" w:sz="4" w:space="0" w:color="auto"/>
            </w:tcBorders>
            <w:shd w:val="clear" w:color="auto" w:fill="auto"/>
            <w:noWrap/>
            <w:vAlign w:val="center"/>
            <w:hideMark/>
          </w:tcPr>
          <w:p w14:paraId="20190D03"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3.647</w:t>
            </w:r>
          </w:p>
        </w:tc>
        <w:tc>
          <w:tcPr>
            <w:tcW w:w="916" w:type="dxa"/>
            <w:gridSpan w:val="2"/>
            <w:tcBorders>
              <w:top w:val="double" w:sz="4" w:space="0" w:color="auto"/>
              <w:left w:val="nil"/>
              <w:bottom w:val="single" w:sz="4" w:space="0" w:color="auto"/>
              <w:right w:val="single" w:sz="4" w:space="0" w:color="auto"/>
            </w:tcBorders>
            <w:shd w:val="clear" w:color="auto" w:fill="auto"/>
            <w:noWrap/>
            <w:vAlign w:val="center"/>
            <w:hideMark/>
          </w:tcPr>
          <w:p w14:paraId="7C14E3D5"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0.183</w:t>
            </w:r>
          </w:p>
        </w:tc>
        <w:tc>
          <w:tcPr>
            <w:tcW w:w="900" w:type="dxa"/>
            <w:tcBorders>
              <w:top w:val="double" w:sz="4" w:space="0" w:color="auto"/>
              <w:left w:val="nil"/>
              <w:bottom w:val="single" w:sz="4" w:space="0" w:color="auto"/>
              <w:right w:val="single" w:sz="4" w:space="0" w:color="auto"/>
            </w:tcBorders>
            <w:shd w:val="clear" w:color="auto" w:fill="auto"/>
            <w:noWrap/>
            <w:vAlign w:val="center"/>
            <w:hideMark/>
          </w:tcPr>
          <w:p w14:paraId="487567FA"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4.797</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5B22B690"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r w:rsidRPr="00734124">
              <w:rPr>
                <w:rFonts w:cs="Times New Roman"/>
                <w:color w:val="000000"/>
                <w:sz w:val="20"/>
                <w:szCs w:val="20"/>
                <w:vertAlign w:val="superscript"/>
              </w:rPr>
              <w:t>1</w:t>
            </w:r>
          </w:p>
        </w:tc>
        <w:tc>
          <w:tcPr>
            <w:tcW w:w="900" w:type="dxa"/>
            <w:tcBorders>
              <w:top w:val="double" w:sz="4" w:space="0" w:color="auto"/>
              <w:left w:val="nil"/>
              <w:bottom w:val="single" w:sz="4" w:space="0" w:color="auto"/>
              <w:right w:val="single" w:sz="4" w:space="0" w:color="auto"/>
            </w:tcBorders>
            <w:shd w:val="clear" w:color="auto" w:fill="auto"/>
            <w:noWrap/>
            <w:vAlign w:val="center"/>
            <w:hideMark/>
          </w:tcPr>
          <w:p w14:paraId="5DC29CDC"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0E088901"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double" w:sz="4" w:space="0" w:color="auto"/>
              <w:left w:val="nil"/>
              <w:bottom w:val="single" w:sz="4" w:space="0" w:color="auto"/>
              <w:right w:val="single" w:sz="4" w:space="0" w:color="auto"/>
            </w:tcBorders>
            <w:shd w:val="clear" w:color="auto" w:fill="auto"/>
            <w:noWrap/>
            <w:vAlign w:val="center"/>
            <w:hideMark/>
          </w:tcPr>
          <w:p w14:paraId="787CA01C"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60174D94"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0.085</w:t>
            </w:r>
          </w:p>
        </w:tc>
        <w:tc>
          <w:tcPr>
            <w:tcW w:w="931" w:type="dxa"/>
            <w:tcBorders>
              <w:top w:val="double" w:sz="4" w:space="0" w:color="auto"/>
              <w:left w:val="nil"/>
              <w:bottom w:val="single" w:sz="4" w:space="0" w:color="auto"/>
              <w:right w:val="single" w:sz="4" w:space="0" w:color="auto"/>
            </w:tcBorders>
            <w:shd w:val="clear" w:color="auto" w:fill="auto"/>
            <w:noWrap/>
            <w:vAlign w:val="center"/>
            <w:hideMark/>
          </w:tcPr>
          <w:p w14:paraId="790806E5"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3.647</w:t>
            </w:r>
          </w:p>
        </w:tc>
        <w:tc>
          <w:tcPr>
            <w:tcW w:w="916" w:type="dxa"/>
            <w:gridSpan w:val="2"/>
            <w:tcBorders>
              <w:top w:val="double" w:sz="4" w:space="0" w:color="auto"/>
              <w:left w:val="nil"/>
              <w:bottom w:val="single" w:sz="4" w:space="0" w:color="auto"/>
              <w:right w:val="single" w:sz="4" w:space="0" w:color="auto"/>
            </w:tcBorders>
            <w:shd w:val="clear" w:color="auto" w:fill="auto"/>
            <w:noWrap/>
            <w:vAlign w:val="center"/>
            <w:hideMark/>
          </w:tcPr>
          <w:p w14:paraId="43FD811E"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884" w:type="dxa"/>
            <w:tcBorders>
              <w:top w:val="double" w:sz="4" w:space="0" w:color="auto"/>
              <w:left w:val="nil"/>
              <w:bottom w:val="single" w:sz="4" w:space="0" w:color="auto"/>
              <w:right w:val="double" w:sz="4" w:space="0" w:color="auto"/>
            </w:tcBorders>
            <w:shd w:val="clear" w:color="auto" w:fill="auto"/>
            <w:noWrap/>
            <w:vAlign w:val="center"/>
            <w:hideMark/>
          </w:tcPr>
          <w:p w14:paraId="6F4F3489"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r>
      <w:tr w:rsidR="006B07E9" w:rsidRPr="00350D02" w14:paraId="5409D149" w14:textId="77777777" w:rsidTr="004601C9">
        <w:trPr>
          <w:trHeight w:val="300"/>
        </w:trPr>
        <w:tc>
          <w:tcPr>
            <w:tcW w:w="1965" w:type="dxa"/>
            <w:tcBorders>
              <w:top w:val="single" w:sz="4" w:space="0" w:color="auto"/>
              <w:left w:val="double" w:sz="4" w:space="0" w:color="auto"/>
              <w:bottom w:val="single" w:sz="4" w:space="0" w:color="auto"/>
              <w:right w:val="single" w:sz="4" w:space="0" w:color="auto"/>
            </w:tcBorders>
            <w:shd w:val="clear" w:color="auto" w:fill="auto"/>
            <w:noWrap/>
            <w:vAlign w:val="center"/>
          </w:tcPr>
          <w:p w14:paraId="1A4EA92C" w14:textId="77777777" w:rsidR="006B07E9" w:rsidRPr="00350D02" w:rsidRDefault="006B07E9" w:rsidP="004601C9">
            <w:pPr>
              <w:ind w:left="240"/>
              <w:jc w:val="left"/>
              <w:rPr>
                <w:rFonts w:eastAsia="Times New Roman" w:cs="Times New Roman"/>
                <w:color w:val="000000"/>
                <w:sz w:val="20"/>
                <w:szCs w:val="20"/>
              </w:rPr>
            </w:pPr>
            <w:r w:rsidRPr="00350D02">
              <w:rPr>
                <w:rFonts w:eastAsia="Times New Roman" w:cs="Times New Roman"/>
                <w:color w:val="000000"/>
                <w:sz w:val="20"/>
                <w:szCs w:val="20"/>
              </w:rPr>
              <w:t>Possible and non-incapacitating injury</w:t>
            </w:r>
            <w:r>
              <w:rPr>
                <w:rFonts w:eastAsia="Times New Roman" w:cs="Times New Roman"/>
                <w:color w:val="000000"/>
                <w:sz w:val="20"/>
                <w:szCs w:val="20"/>
              </w:rPr>
              <w:t xml:space="preserve"> (1)</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56BCACCA"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-0.082</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F3D96E1"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-1.719</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tcPr>
          <w:p w14:paraId="18D1F2E2"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95F83F8"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70569FF3"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6432BD5"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19F55C47"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74E1D7B9"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171DBC6F"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6AD2BB46"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tcPr>
          <w:p w14:paraId="31675B2D"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884" w:type="dxa"/>
            <w:tcBorders>
              <w:top w:val="single" w:sz="4" w:space="0" w:color="auto"/>
              <w:left w:val="nil"/>
              <w:bottom w:val="single" w:sz="4" w:space="0" w:color="auto"/>
              <w:right w:val="double" w:sz="4" w:space="0" w:color="auto"/>
            </w:tcBorders>
            <w:shd w:val="clear" w:color="auto" w:fill="auto"/>
            <w:noWrap/>
            <w:vAlign w:val="center"/>
          </w:tcPr>
          <w:p w14:paraId="652192CE"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r>
      <w:tr w:rsidR="006B07E9" w:rsidRPr="00350D02" w14:paraId="6588A736" w14:textId="77777777" w:rsidTr="004601C9">
        <w:trPr>
          <w:trHeight w:val="300"/>
        </w:trPr>
        <w:tc>
          <w:tcPr>
            <w:tcW w:w="1965" w:type="dxa"/>
            <w:tcBorders>
              <w:top w:val="single" w:sz="4" w:space="0" w:color="auto"/>
              <w:left w:val="double" w:sz="4" w:space="0" w:color="auto"/>
              <w:bottom w:val="single" w:sz="4" w:space="0" w:color="auto"/>
              <w:right w:val="single" w:sz="4" w:space="0" w:color="auto"/>
            </w:tcBorders>
            <w:shd w:val="clear" w:color="auto" w:fill="auto"/>
            <w:noWrap/>
            <w:vAlign w:val="center"/>
          </w:tcPr>
          <w:p w14:paraId="17AEBF4E" w14:textId="77777777" w:rsidR="006B07E9" w:rsidRPr="00350D02" w:rsidRDefault="006B07E9" w:rsidP="004601C9">
            <w:pPr>
              <w:ind w:left="150"/>
              <w:jc w:val="left"/>
              <w:rPr>
                <w:rFonts w:eastAsia="Times New Roman" w:cs="Times New Roman"/>
                <w:color w:val="000000"/>
                <w:sz w:val="20"/>
                <w:szCs w:val="20"/>
              </w:rPr>
            </w:pPr>
            <w:r w:rsidRPr="00350D02">
              <w:rPr>
                <w:rFonts w:eastAsia="Times New Roman" w:cs="Times New Roman"/>
                <w:color w:val="000000"/>
                <w:sz w:val="20"/>
                <w:szCs w:val="20"/>
              </w:rPr>
              <w:t>Local road</w:t>
            </w:r>
            <w:r>
              <w:rPr>
                <w:rFonts w:eastAsia="Times New Roman" w:cs="Times New Roman"/>
                <w:color w:val="000000"/>
                <w:sz w:val="20"/>
                <w:szCs w:val="20"/>
              </w:rPr>
              <w:t>s (1)</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25EDC863"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E2D4885"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tcPr>
          <w:p w14:paraId="1A43E5E5"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9D731EC"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0FA2F943"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7A414099"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345835CD"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-0.335</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714DC01"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-2.132</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3648E6BC"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25C88201"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tcPr>
          <w:p w14:paraId="183033B0"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-0.335</w:t>
            </w:r>
          </w:p>
        </w:tc>
        <w:tc>
          <w:tcPr>
            <w:tcW w:w="884" w:type="dxa"/>
            <w:tcBorders>
              <w:top w:val="single" w:sz="4" w:space="0" w:color="auto"/>
              <w:left w:val="nil"/>
              <w:bottom w:val="single" w:sz="4" w:space="0" w:color="auto"/>
              <w:right w:val="double" w:sz="4" w:space="0" w:color="auto"/>
            </w:tcBorders>
            <w:shd w:val="clear" w:color="auto" w:fill="auto"/>
            <w:noWrap/>
            <w:vAlign w:val="center"/>
          </w:tcPr>
          <w:p w14:paraId="0C3B99D1"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-2.132</w:t>
            </w:r>
          </w:p>
        </w:tc>
      </w:tr>
      <w:tr w:rsidR="006B07E9" w:rsidRPr="00350D02" w14:paraId="4198AEBD" w14:textId="77777777" w:rsidTr="004601C9">
        <w:trPr>
          <w:trHeight w:val="300"/>
        </w:trPr>
        <w:tc>
          <w:tcPr>
            <w:tcW w:w="1965" w:type="dxa"/>
            <w:tcBorders>
              <w:top w:val="single" w:sz="4" w:space="0" w:color="auto"/>
              <w:left w:val="double" w:sz="4" w:space="0" w:color="auto"/>
              <w:bottom w:val="single" w:sz="4" w:space="0" w:color="auto"/>
              <w:right w:val="single" w:sz="4" w:space="0" w:color="auto"/>
            </w:tcBorders>
            <w:shd w:val="clear" w:color="auto" w:fill="auto"/>
            <w:noWrap/>
            <w:vAlign w:val="center"/>
          </w:tcPr>
          <w:p w14:paraId="4683BCFA" w14:textId="77777777" w:rsidR="006B07E9" w:rsidRPr="00350D02" w:rsidRDefault="006B07E9" w:rsidP="004601C9">
            <w:pPr>
              <w:ind w:left="150"/>
              <w:jc w:val="left"/>
              <w:rPr>
                <w:rFonts w:eastAsia="Times New Roman" w:cs="Times New Roman"/>
                <w:color w:val="000000"/>
                <w:sz w:val="20"/>
                <w:szCs w:val="20"/>
              </w:rPr>
            </w:pPr>
            <w:r w:rsidRPr="00350D02">
              <w:rPr>
                <w:rFonts w:eastAsia="Times New Roman" w:cs="Times New Roman"/>
                <w:color w:val="000000"/>
                <w:sz w:val="20"/>
                <w:szCs w:val="20"/>
              </w:rPr>
              <w:t>Number of intersections</w:t>
            </w:r>
            <w:r>
              <w:rPr>
                <w:rFonts w:eastAsia="Times New Roman" w:cs="Times New Roman"/>
                <w:color w:val="000000"/>
                <w:sz w:val="20"/>
                <w:szCs w:val="20"/>
              </w:rPr>
              <w:t xml:space="preserve"> (1)</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46F58E0C"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5574A49"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tcPr>
          <w:p w14:paraId="10C9A9E4"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23873B5D"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15FD26B8"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2BC322B5"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781746A1"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-0.051</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2FFD7644"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-3.549</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29AED836"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-0.051</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33A94A5D"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-3.549</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tcPr>
          <w:p w14:paraId="009694DA"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884" w:type="dxa"/>
            <w:tcBorders>
              <w:top w:val="single" w:sz="4" w:space="0" w:color="auto"/>
              <w:left w:val="nil"/>
              <w:bottom w:val="single" w:sz="4" w:space="0" w:color="auto"/>
              <w:right w:val="double" w:sz="4" w:space="0" w:color="auto"/>
            </w:tcBorders>
            <w:shd w:val="clear" w:color="auto" w:fill="auto"/>
            <w:noWrap/>
            <w:vAlign w:val="center"/>
          </w:tcPr>
          <w:p w14:paraId="2BD9121D"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r>
      <w:tr w:rsidR="006B07E9" w:rsidRPr="00350D02" w14:paraId="1B06D6DA" w14:textId="77777777" w:rsidTr="004601C9">
        <w:trPr>
          <w:trHeight w:val="300"/>
        </w:trPr>
        <w:tc>
          <w:tcPr>
            <w:tcW w:w="1965" w:type="dxa"/>
            <w:tcBorders>
              <w:top w:val="nil"/>
              <w:left w:val="double" w:sz="4" w:space="0" w:color="auto"/>
              <w:bottom w:val="single" w:sz="4" w:space="0" w:color="auto"/>
              <w:right w:val="single" w:sz="4" w:space="0" w:color="auto"/>
            </w:tcBorders>
            <w:shd w:val="clear" w:color="auto" w:fill="auto"/>
            <w:noWrap/>
            <w:vAlign w:val="center"/>
            <w:hideMark/>
          </w:tcPr>
          <w:p w14:paraId="19746397" w14:textId="77777777" w:rsidR="006B07E9" w:rsidRPr="00350D02" w:rsidRDefault="006B07E9" w:rsidP="004601C9">
            <w:pPr>
              <w:ind w:left="150"/>
              <w:jc w:val="left"/>
              <w:rPr>
                <w:rFonts w:eastAsia="Times New Roman" w:cs="Times New Roman"/>
                <w:color w:val="000000"/>
                <w:sz w:val="20"/>
                <w:szCs w:val="20"/>
              </w:rPr>
            </w:pPr>
            <w:r w:rsidRPr="00350D02">
              <w:rPr>
                <w:rFonts w:eastAsia="Times New Roman" w:cs="Times New Roman"/>
                <w:color w:val="000000"/>
                <w:sz w:val="20"/>
                <w:szCs w:val="20"/>
              </w:rPr>
              <w:t>Traffic signal</w:t>
            </w:r>
            <w:r>
              <w:rPr>
                <w:rFonts w:eastAsia="Times New Roman" w:cs="Times New Roman"/>
                <w:color w:val="000000"/>
                <w:sz w:val="20"/>
                <w:szCs w:val="20"/>
              </w:rPr>
              <w:t>s (1)</w:t>
            </w:r>
          </w:p>
        </w:tc>
        <w:tc>
          <w:tcPr>
            <w:tcW w:w="916" w:type="dxa"/>
            <w:tcBorders>
              <w:top w:val="nil"/>
              <w:left w:val="nil"/>
              <w:bottom w:val="single" w:sz="4" w:space="0" w:color="auto"/>
              <w:right w:val="single" w:sz="4" w:space="0" w:color="auto"/>
            </w:tcBorders>
            <w:shd w:val="clear" w:color="auto" w:fill="auto"/>
            <w:noWrap/>
            <w:vAlign w:val="center"/>
            <w:hideMark/>
          </w:tcPr>
          <w:p w14:paraId="211D4843"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879" w:type="dxa"/>
            <w:tcBorders>
              <w:top w:val="nil"/>
              <w:left w:val="nil"/>
              <w:bottom w:val="single" w:sz="4" w:space="0" w:color="auto"/>
              <w:right w:val="single" w:sz="4" w:space="0" w:color="auto"/>
            </w:tcBorders>
            <w:shd w:val="clear" w:color="auto" w:fill="auto"/>
            <w:noWrap/>
            <w:vAlign w:val="center"/>
            <w:hideMark/>
          </w:tcPr>
          <w:p w14:paraId="7B69F2DA"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hideMark/>
          </w:tcPr>
          <w:p w14:paraId="2A967E19"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-0.040</w:t>
            </w:r>
          </w:p>
        </w:tc>
        <w:tc>
          <w:tcPr>
            <w:tcW w:w="900" w:type="dxa"/>
            <w:tcBorders>
              <w:top w:val="nil"/>
              <w:left w:val="nil"/>
              <w:bottom w:val="single" w:sz="4" w:space="0" w:color="auto"/>
              <w:right w:val="single" w:sz="4" w:space="0" w:color="auto"/>
            </w:tcBorders>
            <w:shd w:val="clear" w:color="auto" w:fill="auto"/>
            <w:noWrap/>
            <w:vAlign w:val="center"/>
            <w:hideMark/>
          </w:tcPr>
          <w:p w14:paraId="6A7043F2"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-4.198</w:t>
            </w:r>
          </w:p>
        </w:tc>
        <w:tc>
          <w:tcPr>
            <w:tcW w:w="916" w:type="dxa"/>
            <w:tcBorders>
              <w:top w:val="nil"/>
              <w:left w:val="nil"/>
              <w:bottom w:val="single" w:sz="4" w:space="0" w:color="auto"/>
              <w:right w:val="single" w:sz="4" w:space="0" w:color="auto"/>
            </w:tcBorders>
            <w:shd w:val="clear" w:color="auto" w:fill="auto"/>
            <w:noWrap/>
            <w:vAlign w:val="center"/>
            <w:hideMark/>
          </w:tcPr>
          <w:p w14:paraId="6FEB83F6"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-0.040</w:t>
            </w:r>
          </w:p>
        </w:tc>
        <w:tc>
          <w:tcPr>
            <w:tcW w:w="900" w:type="dxa"/>
            <w:tcBorders>
              <w:top w:val="nil"/>
              <w:left w:val="nil"/>
              <w:bottom w:val="single" w:sz="4" w:space="0" w:color="auto"/>
              <w:right w:val="single" w:sz="4" w:space="0" w:color="auto"/>
            </w:tcBorders>
            <w:shd w:val="clear" w:color="auto" w:fill="auto"/>
            <w:noWrap/>
            <w:vAlign w:val="center"/>
            <w:hideMark/>
          </w:tcPr>
          <w:p w14:paraId="39326788"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-4.198</w:t>
            </w:r>
          </w:p>
        </w:tc>
        <w:tc>
          <w:tcPr>
            <w:tcW w:w="916" w:type="dxa"/>
            <w:tcBorders>
              <w:top w:val="nil"/>
              <w:left w:val="nil"/>
              <w:bottom w:val="single" w:sz="4" w:space="0" w:color="auto"/>
              <w:right w:val="single" w:sz="4" w:space="0" w:color="auto"/>
            </w:tcBorders>
            <w:shd w:val="clear" w:color="auto" w:fill="auto"/>
            <w:noWrap/>
            <w:vAlign w:val="center"/>
            <w:hideMark/>
          </w:tcPr>
          <w:p w14:paraId="5DBAAD49"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-0.040</w:t>
            </w:r>
          </w:p>
        </w:tc>
        <w:tc>
          <w:tcPr>
            <w:tcW w:w="900" w:type="dxa"/>
            <w:tcBorders>
              <w:top w:val="nil"/>
              <w:left w:val="nil"/>
              <w:bottom w:val="single" w:sz="4" w:space="0" w:color="auto"/>
              <w:right w:val="single" w:sz="4" w:space="0" w:color="auto"/>
            </w:tcBorders>
            <w:shd w:val="clear" w:color="auto" w:fill="auto"/>
            <w:noWrap/>
            <w:vAlign w:val="center"/>
            <w:hideMark/>
          </w:tcPr>
          <w:p w14:paraId="5D96C467"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-4.198</w:t>
            </w:r>
          </w:p>
        </w:tc>
        <w:tc>
          <w:tcPr>
            <w:tcW w:w="916" w:type="dxa"/>
            <w:tcBorders>
              <w:top w:val="nil"/>
              <w:left w:val="nil"/>
              <w:bottom w:val="single" w:sz="4" w:space="0" w:color="auto"/>
              <w:right w:val="single" w:sz="4" w:space="0" w:color="auto"/>
            </w:tcBorders>
            <w:shd w:val="clear" w:color="auto" w:fill="auto"/>
            <w:noWrap/>
            <w:vAlign w:val="center"/>
            <w:hideMark/>
          </w:tcPr>
          <w:p w14:paraId="7BF9790F"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31" w:type="dxa"/>
            <w:tcBorders>
              <w:top w:val="nil"/>
              <w:left w:val="nil"/>
              <w:bottom w:val="single" w:sz="4" w:space="0" w:color="auto"/>
              <w:right w:val="single" w:sz="4" w:space="0" w:color="auto"/>
            </w:tcBorders>
            <w:shd w:val="clear" w:color="auto" w:fill="auto"/>
            <w:noWrap/>
            <w:vAlign w:val="center"/>
            <w:hideMark/>
          </w:tcPr>
          <w:p w14:paraId="2CA625E4"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hideMark/>
          </w:tcPr>
          <w:p w14:paraId="7D0875F7"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884" w:type="dxa"/>
            <w:tcBorders>
              <w:top w:val="nil"/>
              <w:left w:val="nil"/>
              <w:bottom w:val="single" w:sz="4" w:space="0" w:color="auto"/>
              <w:right w:val="double" w:sz="4" w:space="0" w:color="auto"/>
            </w:tcBorders>
            <w:shd w:val="clear" w:color="auto" w:fill="auto"/>
            <w:noWrap/>
            <w:vAlign w:val="center"/>
            <w:hideMark/>
          </w:tcPr>
          <w:p w14:paraId="48A27247"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r>
      <w:tr w:rsidR="006B07E9" w:rsidRPr="00350D02" w14:paraId="6FC457AB" w14:textId="77777777" w:rsidTr="004601C9">
        <w:trPr>
          <w:trHeight w:val="300"/>
        </w:trPr>
        <w:tc>
          <w:tcPr>
            <w:tcW w:w="1965" w:type="dxa"/>
            <w:tcBorders>
              <w:top w:val="nil"/>
              <w:left w:val="double" w:sz="4" w:space="0" w:color="auto"/>
              <w:bottom w:val="single" w:sz="4" w:space="0" w:color="auto"/>
              <w:right w:val="single" w:sz="4" w:space="0" w:color="auto"/>
            </w:tcBorders>
            <w:shd w:val="clear" w:color="auto" w:fill="auto"/>
            <w:noWrap/>
            <w:vAlign w:val="center"/>
          </w:tcPr>
          <w:p w14:paraId="706D207D" w14:textId="77777777" w:rsidR="006B07E9" w:rsidRPr="00350D02" w:rsidRDefault="006B07E9" w:rsidP="004601C9">
            <w:pPr>
              <w:ind w:left="150"/>
              <w:jc w:val="left"/>
              <w:rPr>
                <w:rFonts w:eastAsia="Times New Roman" w:cs="Times New Roman"/>
                <w:color w:val="000000"/>
                <w:sz w:val="20"/>
                <w:szCs w:val="20"/>
              </w:rPr>
            </w:pPr>
            <w:r w:rsidRPr="00350D02">
              <w:rPr>
                <w:rFonts w:eastAsia="Times New Roman" w:cs="Times New Roman"/>
                <w:color w:val="000000"/>
                <w:sz w:val="20"/>
                <w:szCs w:val="20"/>
              </w:rPr>
              <w:t>Average inside shoulder width</w:t>
            </w:r>
            <w:r>
              <w:rPr>
                <w:rFonts w:eastAsia="Times New Roman" w:cs="Times New Roman"/>
                <w:color w:val="000000"/>
                <w:sz w:val="20"/>
                <w:szCs w:val="20"/>
              </w:rPr>
              <w:t xml:space="preserve"> (1)</w:t>
            </w:r>
          </w:p>
        </w:tc>
        <w:tc>
          <w:tcPr>
            <w:tcW w:w="916" w:type="dxa"/>
            <w:tcBorders>
              <w:top w:val="nil"/>
              <w:left w:val="nil"/>
              <w:bottom w:val="single" w:sz="4" w:space="0" w:color="auto"/>
              <w:right w:val="single" w:sz="4" w:space="0" w:color="auto"/>
            </w:tcBorders>
            <w:shd w:val="clear" w:color="auto" w:fill="auto"/>
            <w:noWrap/>
            <w:vAlign w:val="center"/>
          </w:tcPr>
          <w:p w14:paraId="25845D90"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879" w:type="dxa"/>
            <w:tcBorders>
              <w:top w:val="nil"/>
              <w:left w:val="nil"/>
              <w:bottom w:val="single" w:sz="4" w:space="0" w:color="auto"/>
              <w:right w:val="single" w:sz="4" w:space="0" w:color="auto"/>
            </w:tcBorders>
            <w:shd w:val="clear" w:color="auto" w:fill="auto"/>
            <w:noWrap/>
            <w:vAlign w:val="center"/>
          </w:tcPr>
          <w:p w14:paraId="6206246B"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tcPr>
          <w:p w14:paraId="20B0052C"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1BC33CD5"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tcPr>
          <w:p w14:paraId="2C0174AC"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-0.171</w:t>
            </w:r>
          </w:p>
        </w:tc>
        <w:tc>
          <w:tcPr>
            <w:tcW w:w="900" w:type="dxa"/>
            <w:tcBorders>
              <w:top w:val="nil"/>
              <w:left w:val="nil"/>
              <w:bottom w:val="single" w:sz="4" w:space="0" w:color="auto"/>
              <w:right w:val="single" w:sz="4" w:space="0" w:color="auto"/>
            </w:tcBorders>
            <w:shd w:val="clear" w:color="auto" w:fill="auto"/>
            <w:noWrap/>
            <w:vAlign w:val="center"/>
          </w:tcPr>
          <w:p w14:paraId="4EE5B44A"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-3.469</w:t>
            </w:r>
          </w:p>
        </w:tc>
        <w:tc>
          <w:tcPr>
            <w:tcW w:w="916" w:type="dxa"/>
            <w:tcBorders>
              <w:top w:val="nil"/>
              <w:left w:val="nil"/>
              <w:bottom w:val="single" w:sz="4" w:space="0" w:color="auto"/>
              <w:right w:val="single" w:sz="4" w:space="0" w:color="auto"/>
            </w:tcBorders>
            <w:shd w:val="clear" w:color="auto" w:fill="auto"/>
            <w:noWrap/>
            <w:vAlign w:val="center"/>
          </w:tcPr>
          <w:p w14:paraId="5D425180"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543D7470"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tcPr>
          <w:p w14:paraId="54A8DDD4"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31" w:type="dxa"/>
            <w:tcBorders>
              <w:top w:val="nil"/>
              <w:left w:val="nil"/>
              <w:bottom w:val="single" w:sz="4" w:space="0" w:color="auto"/>
              <w:right w:val="single" w:sz="4" w:space="0" w:color="auto"/>
            </w:tcBorders>
            <w:shd w:val="clear" w:color="auto" w:fill="auto"/>
            <w:noWrap/>
            <w:vAlign w:val="center"/>
          </w:tcPr>
          <w:p w14:paraId="6D52F27E"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tcPr>
          <w:p w14:paraId="222DBBDE"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884" w:type="dxa"/>
            <w:tcBorders>
              <w:top w:val="nil"/>
              <w:left w:val="nil"/>
              <w:bottom w:val="single" w:sz="4" w:space="0" w:color="auto"/>
              <w:right w:val="double" w:sz="4" w:space="0" w:color="auto"/>
            </w:tcBorders>
            <w:shd w:val="clear" w:color="auto" w:fill="auto"/>
            <w:noWrap/>
            <w:vAlign w:val="center"/>
          </w:tcPr>
          <w:p w14:paraId="4F8D034C"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r>
      <w:tr w:rsidR="006B07E9" w:rsidRPr="00350D02" w14:paraId="4E9C2C06" w14:textId="77777777" w:rsidTr="004601C9">
        <w:trPr>
          <w:trHeight w:val="300"/>
        </w:trPr>
        <w:tc>
          <w:tcPr>
            <w:tcW w:w="1965" w:type="dxa"/>
            <w:tcBorders>
              <w:top w:val="nil"/>
              <w:left w:val="double" w:sz="4" w:space="0" w:color="auto"/>
              <w:bottom w:val="single" w:sz="4" w:space="0" w:color="auto"/>
              <w:right w:val="single" w:sz="4" w:space="0" w:color="auto"/>
            </w:tcBorders>
            <w:shd w:val="clear" w:color="auto" w:fill="auto"/>
            <w:noWrap/>
            <w:vAlign w:val="center"/>
          </w:tcPr>
          <w:p w14:paraId="5A642BE3" w14:textId="77777777" w:rsidR="006B07E9" w:rsidRPr="00350D02" w:rsidRDefault="006B07E9" w:rsidP="004601C9">
            <w:pPr>
              <w:ind w:left="150"/>
              <w:jc w:val="left"/>
              <w:rPr>
                <w:rFonts w:eastAsia="Times New Roman" w:cs="Times New Roman"/>
                <w:color w:val="000000"/>
                <w:sz w:val="20"/>
                <w:szCs w:val="20"/>
              </w:rPr>
            </w:pPr>
            <w:r w:rsidRPr="00350D02">
              <w:rPr>
                <w:rFonts w:eastAsia="Times New Roman" w:cs="Times New Roman"/>
                <w:color w:val="000000"/>
                <w:sz w:val="20"/>
                <w:szCs w:val="20"/>
              </w:rPr>
              <w:t>Average outside shoulder width</w:t>
            </w:r>
            <w:r>
              <w:rPr>
                <w:rFonts w:eastAsia="Times New Roman" w:cs="Times New Roman"/>
                <w:color w:val="000000"/>
                <w:sz w:val="20"/>
                <w:szCs w:val="20"/>
              </w:rPr>
              <w:t xml:space="preserve"> (1)</w:t>
            </w:r>
          </w:p>
        </w:tc>
        <w:tc>
          <w:tcPr>
            <w:tcW w:w="916" w:type="dxa"/>
            <w:tcBorders>
              <w:top w:val="nil"/>
              <w:left w:val="nil"/>
              <w:bottom w:val="single" w:sz="4" w:space="0" w:color="auto"/>
              <w:right w:val="single" w:sz="4" w:space="0" w:color="auto"/>
            </w:tcBorders>
            <w:shd w:val="clear" w:color="auto" w:fill="auto"/>
            <w:noWrap/>
            <w:vAlign w:val="center"/>
          </w:tcPr>
          <w:p w14:paraId="4FF48B8A"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-0.046</w:t>
            </w:r>
          </w:p>
        </w:tc>
        <w:tc>
          <w:tcPr>
            <w:tcW w:w="879" w:type="dxa"/>
            <w:tcBorders>
              <w:top w:val="nil"/>
              <w:left w:val="nil"/>
              <w:bottom w:val="single" w:sz="4" w:space="0" w:color="auto"/>
              <w:right w:val="single" w:sz="4" w:space="0" w:color="auto"/>
            </w:tcBorders>
            <w:shd w:val="clear" w:color="auto" w:fill="auto"/>
            <w:noWrap/>
            <w:vAlign w:val="center"/>
          </w:tcPr>
          <w:p w14:paraId="739A126F"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-1.697</w:t>
            </w:r>
          </w:p>
        </w:tc>
        <w:tc>
          <w:tcPr>
            <w:tcW w:w="916" w:type="dxa"/>
            <w:gridSpan w:val="2"/>
            <w:tcBorders>
              <w:top w:val="nil"/>
              <w:left w:val="nil"/>
              <w:bottom w:val="single" w:sz="4" w:space="0" w:color="auto"/>
              <w:right w:val="single" w:sz="4" w:space="0" w:color="auto"/>
            </w:tcBorders>
            <w:shd w:val="clear" w:color="auto" w:fill="auto"/>
            <w:noWrap/>
            <w:vAlign w:val="center"/>
          </w:tcPr>
          <w:p w14:paraId="78C21C57"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49C624B9"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tcPr>
          <w:p w14:paraId="517BB56E"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11EC3034"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tcPr>
          <w:p w14:paraId="2D01FC4E"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403905C4"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tcPr>
          <w:p w14:paraId="669F0A57"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31" w:type="dxa"/>
            <w:tcBorders>
              <w:top w:val="nil"/>
              <w:left w:val="nil"/>
              <w:bottom w:val="single" w:sz="4" w:space="0" w:color="auto"/>
              <w:right w:val="single" w:sz="4" w:space="0" w:color="auto"/>
            </w:tcBorders>
            <w:shd w:val="clear" w:color="auto" w:fill="auto"/>
            <w:noWrap/>
            <w:vAlign w:val="center"/>
          </w:tcPr>
          <w:p w14:paraId="7E5C9926"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tcPr>
          <w:p w14:paraId="416C3613"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884" w:type="dxa"/>
            <w:tcBorders>
              <w:top w:val="nil"/>
              <w:left w:val="nil"/>
              <w:bottom w:val="single" w:sz="4" w:space="0" w:color="auto"/>
              <w:right w:val="double" w:sz="4" w:space="0" w:color="auto"/>
            </w:tcBorders>
            <w:shd w:val="clear" w:color="auto" w:fill="auto"/>
            <w:noWrap/>
            <w:vAlign w:val="center"/>
          </w:tcPr>
          <w:p w14:paraId="6F6346B3"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r>
      <w:tr w:rsidR="006B07E9" w:rsidRPr="00350D02" w14:paraId="3579CD6C" w14:textId="77777777" w:rsidTr="004601C9">
        <w:trPr>
          <w:trHeight w:val="300"/>
        </w:trPr>
        <w:tc>
          <w:tcPr>
            <w:tcW w:w="1965" w:type="dxa"/>
            <w:tcBorders>
              <w:top w:val="nil"/>
              <w:left w:val="double" w:sz="4" w:space="0" w:color="auto"/>
              <w:bottom w:val="single" w:sz="4" w:space="0" w:color="auto"/>
              <w:right w:val="single" w:sz="4" w:space="0" w:color="auto"/>
            </w:tcBorders>
            <w:shd w:val="clear" w:color="auto" w:fill="auto"/>
            <w:noWrap/>
            <w:vAlign w:val="center"/>
          </w:tcPr>
          <w:p w14:paraId="5851CAB4" w14:textId="77777777" w:rsidR="006B07E9" w:rsidRPr="00350D02" w:rsidRDefault="006B07E9" w:rsidP="004601C9">
            <w:pPr>
              <w:ind w:left="150"/>
              <w:jc w:val="left"/>
              <w:rPr>
                <w:rFonts w:eastAsia="Times New Roman" w:cs="Times New Roman"/>
                <w:color w:val="000000"/>
                <w:sz w:val="20"/>
                <w:szCs w:val="20"/>
              </w:rPr>
            </w:pPr>
            <w:r w:rsidRPr="00350D02">
              <w:rPr>
                <w:rFonts w:eastAsia="Times New Roman" w:cs="Times New Roman"/>
                <w:color w:val="000000"/>
                <w:sz w:val="20"/>
                <w:szCs w:val="20"/>
              </w:rPr>
              <w:t>Proportion of road</w:t>
            </w:r>
            <w:r>
              <w:rPr>
                <w:rFonts w:eastAsia="Times New Roman" w:cs="Times New Roman"/>
                <w:color w:val="000000"/>
                <w:sz w:val="20"/>
                <w:szCs w:val="20"/>
              </w:rPr>
              <w:t>s</w:t>
            </w:r>
            <w:r w:rsidRPr="00350D02">
              <w:rPr>
                <w:rFonts w:eastAsia="Times New Roman" w:cs="Times New Roman"/>
                <w:color w:val="000000"/>
                <w:sz w:val="20"/>
                <w:szCs w:val="20"/>
              </w:rPr>
              <w:t xml:space="preserve"> over 55mph speed</w:t>
            </w:r>
            <w:r>
              <w:rPr>
                <w:rFonts w:eastAsia="Times New Roman" w:cs="Times New Roman"/>
                <w:color w:val="000000"/>
                <w:sz w:val="20"/>
                <w:szCs w:val="20"/>
              </w:rPr>
              <w:t xml:space="preserve"> (2)</w:t>
            </w:r>
          </w:p>
        </w:tc>
        <w:tc>
          <w:tcPr>
            <w:tcW w:w="916" w:type="dxa"/>
            <w:tcBorders>
              <w:top w:val="nil"/>
              <w:left w:val="nil"/>
              <w:bottom w:val="single" w:sz="4" w:space="0" w:color="auto"/>
              <w:right w:val="single" w:sz="4" w:space="0" w:color="auto"/>
            </w:tcBorders>
            <w:shd w:val="clear" w:color="auto" w:fill="auto"/>
            <w:noWrap/>
            <w:vAlign w:val="center"/>
          </w:tcPr>
          <w:p w14:paraId="54DA4424"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0.331</w:t>
            </w:r>
          </w:p>
        </w:tc>
        <w:tc>
          <w:tcPr>
            <w:tcW w:w="879" w:type="dxa"/>
            <w:tcBorders>
              <w:top w:val="nil"/>
              <w:left w:val="nil"/>
              <w:bottom w:val="single" w:sz="4" w:space="0" w:color="auto"/>
              <w:right w:val="single" w:sz="4" w:space="0" w:color="auto"/>
            </w:tcBorders>
            <w:shd w:val="clear" w:color="auto" w:fill="auto"/>
            <w:noWrap/>
            <w:vAlign w:val="center"/>
          </w:tcPr>
          <w:p w14:paraId="5474F05E"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5.112</w:t>
            </w:r>
          </w:p>
        </w:tc>
        <w:tc>
          <w:tcPr>
            <w:tcW w:w="916" w:type="dxa"/>
            <w:gridSpan w:val="2"/>
            <w:tcBorders>
              <w:top w:val="nil"/>
              <w:left w:val="nil"/>
              <w:bottom w:val="single" w:sz="4" w:space="0" w:color="auto"/>
              <w:right w:val="single" w:sz="4" w:space="0" w:color="auto"/>
            </w:tcBorders>
            <w:shd w:val="clear" w:color="auto" w:fill="auto"/>
            <w:noWrap/>
            <w:vAlign w:val="center"/>
          </w:tcPr>
          <w:p w14:paraId="25363771"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0.331</w:t>
            </w:r>
          </w:p>
        </w:tc>
        <w:tc>
          <w:tcPr>
            <w:tcW w:w="900" w:type="dxa"/>
            <w:tcBorders>
              <w:top w:val="nil"/>
              <w:left w:val="nil"/>
              <w:bottom w:val="single" w:sz="4" w:space="0" w:color="auto"/>
              <w:right w:val="single" w:sz="4" w:space="0" w:color="auto"/>
            </w:tcBorders>
            <w:shd w:val="clear" w:color="auto" w:fill="auto"/>
            <w:noWrap/>
            <w:vAlign w:val="center"/>
          </w:tcPr>
          <w:p w14:paraId="2BF9B61B"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5.112</w:t>
            </w:r>
          </w:p>
        </w:tc>
        <w:tc>
          <w:tcPr>
            <w:tcW w:w="916" w:type="dxa"/>
            <w:tcBorders>
              <w:top w:val="nil"/>
              <w:left w:val="nil"/>
              <w:bottom w:val="single" w:sz="4" w:space="0" w:color="auto"/>
              <w:right w:val="single" w:sz="4" w:space="0" w:color="auto"/>
            </w:tcBorders>
            <w:shd w:val="clear" w:color="auto" w:fill="auto"/>
            <w:noWrap/>
            <w:vAlign w:val="center"/>
          </w:tcPr>
          <w:p w14:paraId="25CBEB4C"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1B0E9303"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tcPr>
          <w:p w14:paraId="192A89BF"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0.878</w:t>
            </w:r>
          </w:p>
        </w:tc>
        <w:tc>
          <w:tcPr>
            <w:tcW w:w="900" w:type="dxa"/>
            <w:tcBorders>
              <w:top w:val="nil"/>
              <w:left w:val="nil"/>
              <w:bottom w:val="single" w:sz="4" w:space="0" w:color="auto"/>
              <w:right w:val="single" w:sz="4" w:space="0" w:color="auto"/>
            </w:tcBorders>
            <w:shd w:val="clear" w:color="auto" w:fill="auto"/>
            <w:noWrap/>
            <w:vAlign w:val="center"/>
          </w:tcPr>
          <w:p w14:paraId="0FF32BF2"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3.029</w:t>
            </w:r>
          </w:p>
        </w:tc>
        <w:tc>
          <w:tcPr>
            <w:tcW w:w="916" w:type="dxa"/>
            <w:tcBorders>
              <w:top w:val="nil"/>
              <w:left w:val="nil"/>
              <w:bottom w:val="single" w:sz="4" w:space="0" w:color="auto"/>
              <w:right w:val="single" w:sz="4" w:space="0" w:color="auto"/>
            </w:tcBorders>
            <w:shd w:val="clear" w:color="auto" w:fill="auto"/>
            <w:noWrap/>
            <w:vAlign w:val="center"/>
          </w:tcPr>
          <w:p w14:paraId="7EE9A84B"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0.331</w:t>
            </w:r>
          </w:p>
        </w:tc>
        <w:tc>
          <w:tcPr>
            <w:tcW w:w="931" w:type="dxa"/>
            <w:tcBorders>
              <w:top w:val="nil"/>
              <w:left w:val="nil"/>
              <w:bottom w:val="single" w:sz="4" w:space="0" w:color="auto"/>
              <w:right w:val="single" w:sz="4" w:space="0" w:color="auto"/>
            </w:tcBorders>
            <w:shd w:val="clear" w:color="auto" w:fill="auto"/>
            <w:noWrap/>
            <w:vAlign w:val="center"/>
          </w:tcPr>
          <w:p w14:paraId="64EA4D17"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5.112</w:t>
            </w:r>
          </w:p>
        </w:tc>
        <w:tc>
          <w:tcPr>
            <w:tcW w:w="916" w:type="dxa"/>
            <w:gridSpan w:val="2"/>
            <w:tcBorders>
              <w:top w:val="nil"/>
              <w:left w:val="nil"/>
              <w:bottom w:val="single" w:sz="4" w:space="0" w:color="auto"/>
              <w:right w:val="single" w:sz="4" w:space="0" w:color="auto"/>
            </w:tcBorders>
            <w:shd w:val="clear" w:color="auto" w:fill="auto"/>
            <w:noWrap/>
            <w:vAlign w:val="center"/>
          </w:tcPr>
          <w:p w14:paraId="0B9C5156"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0.331</w:t>
            </w:r>
          </w:p>
        </w:tc>
        <w:tc>
          <w:tcPr>
            <w:tcW w:w="884" w:type="dxa"/>
            <w:tcBorders>
              <w:top w:val="nil"/>
              <w:left w:val="nil"/>
              <w:bottom w:val="single" w:sz="4" w:space="0" w:color="auto"/>
              <w:right w:val="double" w:sz="4" w:space="0" w:color="auto"/>
            </w:tcBorders>
            <w:shd w:val="clear" w:color="auto" w:fill="auto"/>
            <w:noWrap/>
            <w:vAlign w:val="center"/>
          </w:tcPr>
          <w:p w14:paraId="06E90BE4"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5.112</w:t>
            </w:r>
          </w:p>
        </w:tc>
      </w:tr>
      <w:tr w:rsidR="006B07E9" w:rsidRPr="00350D02" w14:paraId="025B61F9" w14:textId="77777777" w:rsidTr="004601C9">
        <w:trPr>
          <w:trHeight w:val="300"/>
        </w:trPr>
        <w:tc>
          <w:tcPr>
            <w:tcW w:w="1965" w:type="dxa"/>
            <w:tcBorders>
              <w:top w:val="nil"/>
              <w:left w:val="double" w:sz="4" w:space="0" w:color="auto"/>
              <w:bottom w:val="single" w:sz="4" w:space="0" w:color="auto"/>
              <w:right w:val="single" w:sz="4" w:space="0" w:color="auto"/>
            </w:tcBorders>
            <w:shd w:val="clear" w:color="auto" w:fill="auto"/>
            <w:noWrap/>
            <w:vAlign w:val="center"/>
          </w:tcPr>
          <w:p w14:paraId="1CCA666D" w14:textId="77777777" w:rsidR="006B07E9" w:rsidRPr="00350D02" w:rsidRDefault="006B07E9" w:rsidP="004601C9">
            <w:pPr>
              <w:ind w:left="240"/>
              <w:jc w:val="left"/>
              <w:rPr>
                <w:rFonts w:eastAsia="Times New Roman" w:cs="Times New Roman"/>
                <w:color w:val="000000"/>
                <w:sz w:val="20"/>
                <w:szCs w:val="20"/>
              </w:rPr>
            </w:pPr>
            <w:r w:rsidRPr="00350D02">
              <w:rPr>
                <w:rFonts w:eastAsia="Times New Roman" w:cs="Times New Roman"/>
                <w:color w:val="000000"/>
                <w:sz w:val="20"/>
                <w:szCs w:val="20"/>
              </w:rPr>
              <w:t>Non-incapacitating and severe injury</w:t>
            </w:r>
            <w:r>
              <w:rPr>
                <w:rFonts w:eastAsia="Times New Roman" w:cs="Times New Roman"/>
                <w:color w:val="000000"/>
                <w:sz w:val="20"/>
                <w:szCs w:val="20"/>
              </w:rPr>
              <w:t xml:space="preserve"> (1)</w:t>
            </w:r>
          </w:p>
        </w:tc>
        <w:tc>
          <w:tcPr>
            <w:tcW w:w="916" w:type="dxa"/>
            <w:tcBorders>
              <w:top w:val="nil"/>
              <w:left w:val="nil"/>
              <w:bottom w:val="single" w:sz="4" w:space="0" w:color="auto"/>
              <w:right w:val="single" w:sz="4" w:space="0" w:color="auto"/>
            </w:tcBorders>
            <w:shd w:val="clear" w:color="auto" w:fill="auto"/>
            <w:noWrap/>
            <w:vAlign w:val="center"/>
          </w:tcPr>
          <w:p w14:paraId="1BC8344C"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-0.667</w:t>
            </w:r>
          </w:p>
        </w:tc>
        <w:tc>
          <w:tcPr>
            <w:tcW w:w="879" w:type="dxa"/>
            <w:tcBorders>
              <w:top w:val="nil"/>
              <w:left w:val="nil"/>
              <w:bottom w:val="single" w:sz="4" w:space="0" w:color="auto"/>
              <w:right w:val="single" w:sz="4" w:space="0" w:color="auto"/>
            </w:tcBorders>
            <w:shd w:val="clear" w:color="auto" w:fill="auto"/>
            <w:noWrap/>
            <w:vAlign w:val="center"/>
          </w:tcPr>
          <w:p w14:paraId="6A8B1323"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-2.959</w:t>
            </w:r>
          </w:p>
        </w:tc>
        <w:tc>
          <w:tcPr>
            <w:tcW w:w="916" w:type="dxa"/>
            <w:gridSpan w:val="2"/>
            <w:tcBorders>
              <w:top w:val="nil"/>
              <w:left w:val="nil"/>
              <w:bottom w:val="single" w:sz="4" w:space="0" w:color="auto"/>
              <w:right w:val="single" w:sz="4" w:space="0" w:color="auto"/>
            </w:tcBorders>
            <w:shd w:val="clear" w:color="auto" w:fill="auto"/>
            <w:noWrap/>
            <w:vAlign w:val="center"/>
          </w:tcPr>
          <w:p w14:paraId="746A0326"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2207B60D"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tcPr>
          <w:p w14:paraId="1CDFE445"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5444F2D9"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tcPr>
          <w:p w14:paraId="7425491E"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5572FF61"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tcPr>
          <w:p w14:paraId="37BC1344"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31" w:type="dxa"/>
            <w:tcBorders>
              <w:top w:val="nil"/>
              <w:left w:val="nil"/>
              <w:bottom w:val="single" w:sz="4" w:space="0" w:color="auto"/>
              <w:right w:val="single" w:sz="4" w:space="0" w:color="auto"/>
            </w:tcBorders>
            <w:shd w:val="clear" w:color="auto" w:fill="auto"/>
            <w:noWrap/>
            <w:vAlign w:val="center"/>
          </w:tcPr>
          <w:p w14:paraId="453BE82D"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tcPr>
          <w:p w14:paraId="2646E356"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-1.335</w:t>
            </w:r>
          </w:p>
        </w:tc>
        <w:tc>
          <w:tcPr>
            <w:tcW w:w="884" w:type="dxa"/>
            <w:tcBorders>
              <w:top w:val="nil"/>
              <w:left w:val="nil"/>
              <w:bottom w:val="single" w:sz="4" w:space="0" w:color="auto"/>
              <w:right w:val="double" w:sz="4" w:space="0" w:color="auto"/>
            </w:tcBorders>
            <w:shd w:val="clear" w:color="auto" w:fill="auto"/>
            <w:noWrap/>
            <w:vAlign w:val="center"/>
          </w:tcPr>
          <w:p w14:paraId="088C1DAE"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-3.723</w:t>
            </w:r>
          </w:p>
        </w:tc>
      </w:tr>
      <w:tr w:rsidR="006B07E9" w:rsidRPr="00350D02" w14:paraId="1BB6CC13" w14:textId="77777777" w:rsidTr="004601C9">
        <w:trPr>
          <w:trHeight w:val="300"/>
        </w:trPr>
        <w:tc>
          <w:tcPr>
            <w:tcW w:w="1965" w:type="dxa"/>
            <w:tcBorders>
              <w:top w:val="nil"/>
              <w:left w:val="double" w:sz="4" w:space="0" w:color="auto"/>
              <w:bottom w:val="single" w:sz="4" w:space="0" w:color="auto"/>
              <w:right w:val="single" w:sz="4" w:space="0" w:color="auto"/>
            </w:tcBorders>
            <w:shd w:val="clear" w:color="auto" w:fill="auto"/>
            <w:noWrap/>
            <w:vAlign w:val="center"/>
          </w:tcPr>
          <w:p w14:paraId="06CA450F" w14:textId="77777777" w:rsidR="006B07E9" w:rsidRPr="00350D02" w:rsidRDefault="006B07E9" w:rsidP="004601C9">
            <w:pPr>
              <w:ind w:left="150"/>
              <w:jc w:val="left"/>
              <w:rPr>
                <w:rFonts w:eastAsia="Times New Roman" w:cs="Times New Roman"/>
                <w:color w:val="000000"/>
                <w:sz w:val="20"/>
                <w:szCs w:val="20"/>
              </w:rPr>
            </w:pPr>
            <w:r w:rsidRPr="00350D02">
              <w:rPr>
                <w:rFonts w:eastAsia="Times New Roman" w:cs="Times New Roman"/>
                <w:color w:val="000000"/>
                <w:sz w:val="20"/>
                <w:szCs w:val="20"/>
              </w:rPr>
              <w:t>Poor pavement condition</w:t>
            </w:r>
            <w:r>
              <w:rPr>
                <w:rFonts w:eastAsia="Times New Roman" w:cs="Times New Roman"/>
                <w:color w:val="000000"/>
                <w:sz w:val="20"/>
                <w:szCs w:val="20"/>
              </w:rPr>
              <w:t xml:space="preserve"> (1)</w:t>
            </w:r>
          </w:p>
        </w:tc>
        <w:tc>
          <w:tcPr>
            <w:tcW w:w="916" w:type="dxa"/>
            <w:tcBorders>
              <w:top w:val="nil"/>
              <w:left w:val="nil"/>
              <w:bottom w:val="single" w:sz="4" w:space="0" w:color="auto"/>
              <w:right w:val="single" w:sz="4" w:space="0" w:color="auto"/>
            </w:tcBorders>
            <w:shd w:val="clear" w:color="auto" w:fill="auto"/>
            <w:noWrap/>
            <w:vAlign w:val="center"/>
          </w:tcPr>
          <w:p w14:paraId="18C7FB63"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879" w:type="dxa"/>
            <w:tcBorders>
              <w:top w:val="nil"/>
              <w:left w:val="nil"/>
              <w:bottom w:val="single" w:sz="4" w:space="0" w:color="auto"/>
              <w:right w:val="single" w:sz="4" w:space="0" w:color="auto"/>
            </w:tcBorders>
            <w:shd w:val="clear" w:color="auto" w:fill="auto"/>
            <w:noWrap/>
            <w:vAlign w:val="center"/>
          </w:tcPr>
          <w:p w14:paraId="4B03D282"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tcPr>
          <w:p w14:paraId="6CAF8FBE"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262A4B56"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tcPr>
          <w:p w14:paraId="3F98D784"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0.208</w:t>
            </w:r>
          </w:p>
        </w:tc>
        <w:tc>
          <w:tcPr>
            <w:tcW w:w="900" w:type="dxa"/>
            <w:tcBorders>
              <w:top w:val="nil"/>
              <w:left w:val="nil"/>
              <w:bottom w:val="single" w:sz="4" w:space="0" w:color="auto"/>
              <w:right w:val="single" w:sz="4" w:space="0" w:color="auto"/>
            </w:tcBorders>
            <w:shd w:val="clear" w:color="auto" w:fill="auto"/>
            <w:noWrap/>
            <w:vAlign w:val="center"/>
          </w:tcPr>
          <w:p w14:paraId="6590C269"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2.822</w:t>
            </w:r>
          </w:p>
        </w:tc>
        <w:tc>
          <w:tcPr>
            <w:tcW w:w="916" w:type="dxa"/>
            <w:tcBorders>
              <w:top w:val="nil"/>
              <w:left w:val="nil"/>
              <w:bottom w:val="single" w:sz="4" w:space="0" w:color="auto"/>
              <w:right w:val="single" w:sz="4" w:space="0" w:color="auto"/>
            </w:tcBorders>
            <w:shd w:val="clear" w:color="auto" w:fill="auto"/>
            <w:noWrap/>
            <w:vAlign w:val="center"/>
          </w:tcPr>
          <w:p w14:paraId="7D7F1FB7"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10F0AD10"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tcPr>
          <w:p w14:paraId="7C2C02C5"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31" w:type="dxa"/>
            <w:tcBorders>
              <w:top w:val="nil"/>
              <w:left w:val="nil"/>
              <w:bottom w:val="single" w:sz="4" w:space="0" w:color="auto"/>
              <w:right w:val="single" w:sz="4" w:space="0" w:color="auto"/>
            </w:tcBorders>
            <w:shd w:val="clear" w:color="auto" w:fill="auto"/>
            <w:noWrap/>
            <w:vAlign w:val="center"/>
          </w:tcPr>
          <w:p w14:paraId="3F73361A"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tcPr>
          <w:p w14:paraId="41EF6B12"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884" w:type="dxa"/>
            <w:tcBorders>
              <w:top w:val="nil"/>
              <w:left w:val="nil"/>
              <w:bottom w:val="single" w:sz="4" w:space="0" w:color="auto"/>
              <w:right w:val="double" w:sz="4" w:space="0" w:color="auto"/>
            </w:tcBorders>
            <w:shd w:val="clear" w:color="auto" w:fill="auto"/>
            <w:noWrap/>
            <w:vAlign w:val="center"/>
          </w:tcPr>
          <w:p w14:paraId="18EB7366"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r>
      <w:tr w:rsidR="006B07E9" w:rsidRPr="00350D02" w14:paraId="2C82A231" w14:textId="77777777" w:rsidTr="004601C9">
        <w:trPr>
          <w:trHeight w:val="300"/>
        </w:trPr>
        <w:tc>
          <w:tcPr>
            <w:tcW w:w="12855" w:type="dxa"/>
            <w:gridSpan w:val="15"/>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EBFBB56" w14:textId="77777777" w:rsidR="006B07E9" w:rsidRPr="00350D02" w:rsidRDefault="006B07E9" w:rsidP="004601C9">
            <w:pPr>
              <w:rPr>
                <w:rFonts w:eastAsia="Times New Roman" w:cs="Times New Roman"/>
                <w:b/>
                <w:bCs/>
                <w:color w:val="000000"/>
                <w:sz w:val="20"/>
                <w:szCs w:val="20"/>
              </w:rPr>
            </w:pPr>
            <w:r w:rsidRPr="00350D02">
              <w:rPr>
                <w:rFonts w:eastAsia="Times New Roman" w:cs="Times New Roman"/>
                <w:b/>
                <w:bCs/>
                <w:color w:val="000000"/>
                <w:sz w:val="20"/>
                <w:szCs w:val="20"/>
              </w:rPr>
              <w:t>Traffic Characteristic</w:t>
            </w:r>
          </w:p>
        </w:tc>
      </w:tr>
      <w:tr w:rsidR="006B07E9" w:rsidRPr="00350D02" w14:paraId="7BD15BA1" w14:textId="77777777" w:rsidTr="004601C9">
        <w:trPr>
          <w:trHeight w:val="300"/>
        </w:trPr>
        <w:tc>
          <w:tcPr>
            <w:tcW w:w="1965" w:type="dxa"/>
            <w:tcBorders>
              <w:top w:val="double" w:sz="4" w:space="0" w:color="auto"/>
              <w:left w:val="double" w:sz="4" w:space="0" w:color="auto"/>
              <w:bottom w:val="single" w:sz="4" w:space="0" w:color="auto"/>
              <w:right w:val="single" w:sz="4" w:space="0" w:color="auto"/>
            </w:tcBorders>
            <w:shd w:val="clear" w:color="auto" w:fill="auto"/>
            <w:noWrap/>
            <w:vAlign w:val="center"/>
          </w:tcPr>
          <w:p w14:paraId="2A950460" w14:textId="77777777" w:rsidR="006B07E9" w:rsidRPr="00350D02" w:rsidRDefault="006B07E9" w:rsidP="004601C9">
            <w:pPr>
              <w:ind w:left="150"/>
              <w:jc w:val="left"/>
              <w:rPr>
                <w:rFonts w:eastAsia="Times New Roman" w:cs="Times New Roman"/>
                <w:color w:val="000000"/>
                <w:sz w:val="20"/>
                <w:szCs w:val="20"/>
              </w:rPr>
            </w:pPr>
            <w:r w:rsidRPr="00350D02">
              <w:rPr>
                <w:rFonts w:eastAsia="Times New Roman" w:cs="Times New Roman"/>
                <w:color w:val="000000"/>
                <w:sz w:val="20"/>
                <w:szCs w:val="20"/>
              </w:rPr>
              <w:t>Traffic Intensity (Congested)</w:t>
            </w:r>
            <w:r>
              <w:rPr>
                <w:rFonts w:eastAsia="Times New Roman" w:cs="Times New Roman"/>
                <w:color w:val="000000"/>
                <w:sz w:val="20"/>
                <w:szCs w:val="20"/>
              </w:rPr>
              <w:t xml:space="preserve"> (1)</w:t>
            </w:r>
          </w:p>
        </w:tc>
        <w:tc>
          <w:tcPr>
            <w:tcW w:w="916" w:type="dxa"/>
            <w:tcBorders>
              <w:top w:val="double" w:sz="4" w:space="0" w:color="auto"/>
              <w:left w:val="nil"/>
              <w:bottom w:val="single" w:sz="4" w:space="0" w:color="auto"/>
              <w:right w:val="single" w:sz="4" w:space="0" w:color="auto"/>
            </w:tcBorders>
            <w:shd w:val="clear" w:color="auto" w:fill="auto"/>
            <w:noWrap/>
            <w:vAlign w:val="center"/>
          </w:tcPr>
          <w:p w14:paraId="31D590CC"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-0.074</w:t>
            </w:r>
          </w:p>
        </w:tc>
        <w:tc>
          <w:tcPr>
            <w:tcW w:w="879" w:type="dxa"/>
            <w:tcBorders>
              <w:top w:val="double" w:sz="4" w:space="0" w:color="auto"/>
              <w:left w:val="nil"/>
              <w:bottom w:val="single" w:sz="4" w:space="0" w:color="auto"/>
              <w:right w:val="single" w:sz="4" w:space="0" w:color="auto"/>
            </w:tcBorders>
            <w:shd w:val="clear" w:color="auto" w:fill="auto"/>
            <w:noWrap/>
            <w:vAlign w:val="center"/>
          </w:tcPr>
          <w:p w14:paraId="6920A53E"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-3.308</w:t>
            </w:r>
          </w:p>
        </w:tc>
        <w:tc>
          <w:tcPr>
            <w:tcW w:w="916" w:type="dxa"/>
            <w:gridSpan w:val="2"/>
            <w:tcBorders>
              <w:top w:val="double" w:sz="4" w:space="0" w:color="auto"/>
              <w:left w:val="nil"/>
              <w:bottom w:val="single" w:sz="4" w:space="0" w:color="auto"/>
              <w:right w:val="single" w:sz="4" w:space="0" w:color="auto"/>
            </w:tcBorders>
            <w:shd w:val="clear" w:color="auto" w:fill="auto"/>
            <w:noWrap/>
            <w:vAlign w:val="center"/>
          </w:tcPr>
          <w:p w14:paraId="24703223"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-0.074</w:t>
            </w:r>
          </w:p>
        </w:tc>
        <w:tc>
          <w:tcPr>
            <w:tcW w:w="900" w:type="dxa"/>
            <w:tcBorders>
              <w:top w:val="double" w:sz="4" w:space="0" w:color="auto"/>
              <w:left w:val="nil"/>
              <w:bottom w:val="single" w:sz="4" w:space="0" w:color="auto"/>
              <w:right w:val="single" w:sz="4" w:space="0" w:color="auto"/>
            </w:tcBorders>
            <w:shd w:val="clear" w:color="auto" w:fill="auto"/>
            <w:noWrap/>
            <w:vAlign w:val="center"/>
          </w:tcPr>
          <w:p w14:paraId="7F4030CB"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-3.308</w:t>
            </w:r>
          </w:p>
        </w:tc>
        <w:tc>
          <w:tcPr>
            <w:tcW w:w="916" w:type="dxa"/>
            <w:tcBorders>
              <w:top w:val="double" w:sz="4" w:space="0" w:color="auto"/>
              <w:left w:val="nil"/>
              <w:bottom w:val="single" w:sz="4" w:space="0" w:color="auto"/>
              <w:right w:val="single" w:sz="4" w:space="0" w:color="auto"/>
            </w:tcBorders>
            <w:shd w:val="clear" w:color="auto" w:fill="auto"/>
            <w:noWrap/>
            <w:vAlign w:val="center"/>
          </w:tcPr>
          <w:p w14:paraId="5C9CD1E8"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double" w:sz="4" w:space="0" w:color="auto"/>
              <w:left w:val="nil"/>
              <w:bottom w:val="single" w:sz="4" w:space="0" w:color="auto"/>
              <w:right w:val="single" w:sz="4" w:space="0" w:color="auto"/>
            </w:tcBorders>
            <w:shd w:val="clear" w:color="auto" w:fill="auto"/>
            <w:noWrap/>
            <w:vAlign w:val="center"/>
          </w:tcPr>
          <w:p w14:paraId="072D9C5C"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double" w:sz="4" w:space="0" w:color="auto"/>
              <w:left w:val="nil"/>
              <w:bottom w:val="single" w:sz="4" w:space="0" w:color="auto"/>
              <w:right w:val="single" w:sz="4" w:space="0" w:color="auto"/>
            </w:tcBorders>
            <w:shd w:val="clear" w:color="auto" w:fill="auto"/>
            <w:noWrap/>
            <w:vAlign w:val="center"/>
          </w:tcPr>
          <w:p w14:paraId="7BD4182F"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double" w:sz="4" w:space="0" w:color="auto"/>
              <w:left w:val="nil"/>
              <w:bottom w:val="single" w:sz="4" w:space="0" w:color="auto"/>
              <w:right w:val="single" w:sz="4" w:space="0" w:color="auto"/>
            </w:tcBorders>
            <w:shd w:val="clear" w:color="auto" w:fill="auto"/>
            <w:noWrap/>
            <w:vAlign w:val="center"/>
          </w:tcPr>
          <w:p w14:paraId="12B0CE12"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double" w:sz="4" w:space="0" w:color="auto"/>
              <w:left w:val="nil"/>
              <w:bottom w:val="single" w:sz="4" w:space="0" w:color="auto"/>
              <w:right w:val="single" w:sz="4" w:space="0" w:color="auto"/>
            </w:tcBorders>
            <w:shd w:val="clear" w:color="auto" w:fill="auto"/>
            <w:noWrap/>
            <w:vAlign w:val="center"/>
          </w:tcPr>
          <w:p w14:paraId="23DE39EB"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31" w:type="dxa"/>
            <w:tcBorders>
              <w:top w:val="double" w:sz="4" w:space="0" w:color="auto"/>
              <w:left w:val="nil"/>
              <w:bottom w:val="single" w:sz="4" w:space="0" w:color="auto"/>
              <w:right w:val="single" w:sz="4" w:space="0" w:color="auto"/>
            </w:tcBorders>
            <w:shd w:val="clear" w:color="auto" w:fill="auto"/>
            <w:noWrap/>
            <w:vAlign w:val="center"/>
          </w:tcPr>
          <w:p w14:paraId="1F60BAC0"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double" w:sz="4" w:space="0" w:color="auto"/>
              <w:left w:val="nil"/>
              <w:bottom w:val="single" w:sz="4" w:space="0" w:color="auto"/>
              <w:right w:val="single" w:sz="4" w:space="0" w:color="auto"/>
            </w:tcBorders>
            <w:shd w:val="clear" w:color="auto" w:fill="auto"/>
            <w:noWrap/>
            <w:vAlign w:val="center"/>
          </w:tcPr>
          <w:p w14:paraId="5CE90B13"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884" w:type="dxa"/>
            <w:tcBorders>
              <w:top w:val="double" w:sz="4" w:space="0" w:color="auto"/>
              <w:left w:val="nil"/>
              <w:bottom w:val="single" w:sz="4" w:space="0" w:color="auto"/>
              <w:right w:val="double" w:sz="4" w:space="0" w:color="auto"/>
            </w:tcBorders>
            <w:shd w:val="clear" w:color="auto" w:fill="auto"/>
            <w:noWrap/>
            <w:vAlign w:val="center"/>
          </w:tcPr>
          <w:p w14:paraId="735AC1FF"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r>
      <w:tr w:rsidR="006B07E9" w:rsidRPr="00350D02" w14:paraId="5AE1A9E8" w14:textId="77777777" w:rsidTr="004601C9">
        <w:trPr>
          <w:trHeight w:val="300"/>
        </w:trPr>
        <w:tc>
          <w:tcPr>
            <w:tcW w:w="1965" w:type="dxa"/>
            <w:tcBorders>
              <w:top w:val="single" w:sz="4" w:space="0" w:color="auto"/>
              <w:left w:val="double" w:sz="4" w:space="0" w:color="auto"/>
              <w:bottom w:val="single" w:sz="4" w:space="0" w:color="auto"/>
              <w:right w:val="single" w:sz="4" w:space="0" w:color="auto"/>
            </w:tcBorders>
            <w:shd w:val="clear" w:color="auto" w:fill="auto"/>
            <w:noWrap/>
            <w:vAlign w:val="center"/>
          </w:tcPr>
          <w:p w14:paraId="29B52367" w14:textId="77777777" w:rsidR="006B07E9" w:rsidRPr="00350D02" w:rsidRDefault="006B07E9" w:rsidP="004601C9">
            <w:pPr>
              <w:ind w:left="240"/>
              <w:jc w:val="left"/>
              <w:rPr>
                <w:rFonts w:eastAsia="Times New Roman" w:cs="Times New Roman"/>
                <w:color w:val="000000"/>
                <w:sz w:val="20"/>
                <w:szCs w:val="20"/>
              </w:rPr>
            </w:pPr>
            <w:r w:rsidRPr="00350D02">
              <w:rPr>
                <w:rFonts w:eastAsia="Times New Roman" w:cs="Times New Roman"/>
                <w:color w:val="000000"/>
                <w:sz w:val="20"/>
                <w:szCs w:val="20"/>
              </w:rPr>
              <w:t>Non-incapacitating and severe injury</w:t>
            </w:r>
            <w:r>
              <w:rPr>
                <w:rFonts w:eastAsia="Times New Roman" w:cs="Times New Roman"/>
                <w:color w:val="000000"/>
                <w:sz w:val="20"/>
                <w:szCs w:val="20"/>
              </w:rPr>
              <w:t xml:space="preserve"> (1)</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251C0042"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E42B5A6"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tcPr>
          <w:p w14:paraId="203F7AB2"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0.123</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E52CCE4"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1.980</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098B1296"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754AA1B"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460EAEB1"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C5090D2"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79D09DEE"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5347A4E7"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tcPr>
          <w:p w14:paraId="7E8E0C0E"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884" w:type="dxa"/>
            <w:tcBorders>
              <w:top w:val="single" w:sz="4" w:space="0" w:color="auto"/>
              <w:left w:val="nil"/>
              <w:bottom w:val="single" w:sz="4" w:space="0" w:color="auto"/>
              <w:right w:val="double" w:sz="4" w:space="0" w:color="auto"/>
            </w:tcBorders>
            <w:shd w:val="clear" w:color="auto" w:fill="auto"/>
            <w:noWrap/>
            <w:vAlign w:val="center"/>
          </w:tcPr>
          <w:p w14:paraId="2A7162A2"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r>
      <w:tr w:rsidR="006B07E9" w:rsidRPr="00350D02" w14:paraId="76BC71FD" w14:textId="77777777" w:rsidTr="004601C9">
        <w:trPr>
          <w:trHeight w:val="300"/>
        </w:trPr>
        <w:tc>
          <w:tcPr>
            <w:tcW w:w="1965" w:type="dxa"/>
            <w:tcBorders>
              <w:top w:val="single" w:sz="4" w:space="0" w:color="auto"/>
              <w:left w:val="double" w:sz="4" w:space="0" w:color="auto"/>
              <w:bottom w:val="single" w:sz="4" w:space="0" w:color="auto"/>
              <w:right w:val="single" w:sz="4" w:space="0" w:color="auto"/>
            </w:tcBorders>
            <w:shd w:val="clear" w:color="auto" w:fill="auto"/>
            <w:noWrap/>
            <w:vAlign w:val="center"/>
          </w:tcPr>
          <w:p w14:paraId="1E4006F2" w14:textId="77777777" w:rsidR="006B07E9" w:rsidRPr="00350D02" w:rsidRDefault="006B07E9" w:rsidP="004601C9">
            <w:pPr>
              <w:ind w:left="150"/>
              <w:jc w:val="left"/>
              <w:rPr>
                <w:rFonts w:eastAsia="Times New Roman" w:cs="Times New Roman"/>
                <w:color w:val="000000"/>
                <w:sz w:val="20"/>
                <w:szCs w:val="20"/>
              </w:rPr>
            </w:pPr>
            <w:r w:rsidRPr="00350D02">
              <w:rPr>
                <w:rFonts w:eastAsia="Times New Roman" w:cs="Times New Roman"/>
                <w:color w:val="000000"/>
                <w:sz w:val="20"/>
                <w:szCs w:val="20"/>
              </w:rPr>
              <w:t>Truck VMT</w:t>
            </w:r>
            <w:r>
              <w:rPr>
                <w:rFonts w:eastAsia="Times New Roman" w:cs="Times New Roman"/>
                <w:color w:val="000000"/>
                <w:sz w:val="20"/>
                <w:szCs w:val="20"/>
              </w:rPr>
              <w:t xml:space="preserve"> (1)</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19572757"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F8CFBA3"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tcPr>
          <w:p w14:paraId="1E9E7D8D"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1433BD3"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4B5AF0EF"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0.046</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7AD9CE26"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4.591</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10C67308"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0.046</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2837AAB0"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4.591</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7A9BDEED"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48C424C1"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tcPr>
          <w:p w14:paraId="27C2E74B"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884" w:type="dxa"/>
            <w:tcBorders>
              <w:top w:val="single" w:sz="4" w:space="0" w:color="auto"/>
              <w:left w:val="nil"/>
              <w:bottom w:val="single" w:sz="4" w:space="0" w:color="auto"/>
              <w:right w:val="double" w:sz="4" w:space="0" w:color="auto"/>
            </w:tcBorders>
            <w:shd w:val="clear" w:color="auto" w:fill="auto"/>
            <w:noWrap/>
            <w:vAlign w:val="center"/>
          </w:tcPr>
          <w:p w14:paraId="7B2FE04A"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r>
      <w:tr w:rsidR="006B07E9" w:rsidRPr="00350D02" w14:paraId="30720A87" w14:textId="77777777" w:rsidTr="004601C9">
        <w:trPr>
          <w:trHeight w:val="300"/>
        </w:trPr>
        <w:tc>
          <w:tcPr>
            <w:tcW w:w="12855" w:type="dxa"/>
            <w:gridSpan w:val="15"/>
            <w:tcBorders>
              <w:top w:val="double" w:sz="4" w:space="0" w:color="auto"/>
              <w:left w:val="double" w:sz="4" w:space="0" w:color="auto"/>
              <w:bottom w:val="double" w:sz="4" w:space="0" w:color="auto"/>
              <w:right w:val="double" w:sz="4" w:space="0" w:color="auto"/>
            </w:tcBorders>
            <w:shd w:val="clear" w:color="auto" w:fill="auto"/>
            <w:noWrap/>
            <w:vAlign w:val="center"/>
          </w:tcPr>
          <w:p w14:paraId="366DE189" w14:textId="77777777" w:rsidR="006B07E9" w:rsidRPr="00350D02" w:rsidRDefault="006B07E9" w:rsidP="004601C9">
            <w:pPr>
              <w:rPr>
                <w:rFonts w:cs="Times New Roman"/>
                <w:color w:val="000000"/>
                <w:sz w:val="20"/>
                <w:szCs w:val="20"/>
              </w:rPr>
            </w:pPr>
            <w:r w:rsidRPr="00350D02">
              <w:rPr>
                <w:rFonts w:eastAsia="Times New Roman" w:cs="Times New Roman"/>
                <w:b/>
                <w:bCs/>
                <w:color w:val="000000"/>
                <w:sz w:val="20"/>
                <w:szCs w:val="20"/>
              </w:rPr>
              <w:lastRenderedPageBreak/>
              <w:t>Land Use Characteristic</w:t>
            </w:r>
          </w:p>
        </w:tc>
      </w:tr>
      <w:tr w:rsidR="006B07E9" w:rsidRPr="00350D02" w14:paraId="7F20DD07" w14:textId="77777777" w:rsidTr="004601C9">
        <w:trPr>
          <w:trHeight w:val="300"/>
        </w:trPr>
        <w:tc>
          <w:tcPr>
            <w:tcW w:w="1965" w:type="dxa"/>
            <w:tcBorders>
              <w:top w:val="double" w:sz="4" w:space="0" w:color="auto"/>
              <w:left w:val="double" w:sz="4" w:space="0" w:color="auto"/>
              <w:bottom w:val="single" w:sz="4" w:space="0" w:color="auto"/>
              <w:right w:val="single" w:sz="4" w:space="0" w:color="auto"/>
            </w:tcBorders>
            <w:shd w:val="clear" w:color="auto" w:fill="auto"/>
            <w:noWrap/>
            <w:vAlign w:val="center"/>
          </w:tcPr>
          <w:p w14:paraId="220ABB01" w14:textId="77777777" w:rsidR="006B07E9" w:rsidRPr="00350D02" w:rsidRDefault="006B07E9" w:rsidP="004601C9">
            <w:pPr>
              <w:ind w:left="150"/>
              <w:rPr>
                <w:rFonts w:eastAsia="Times New Roman" w:cs="Times New Roman"/>
                <w:color w:val="000000"/>
                <w:sz w:val="20"/>
                <w:szCs w:val="20"/>
              </w:rPr>
            </w:pPr>
            <w:r w:rsidRPr="00350D02">
              <w:rPr>
                <w:rFonts w:eastAsia="Times New Roman" w:cs="Times New Roman"/>
                <w:color w:val="000000"/>
                <w:sz w:val="20"/>
                <w:szCs w:val="20"/>
              </w:rPr>
              <w:t>Urban area</w:t>
            </w:r>
            <w:r>
              <w:rPr>
                <w:rFonts w:eastAsia="Times New Roman" w:cs="Times New Roman"/>
                <w:color w:val="000000"/>
                <w:sz w:val="20"/>
                <w:szCs w:val="20"/>
              </w:rPr>
              <w:t xml:space="preserve"> (2)</w:t>
            </w:r>
          </w:p>
        </w:tc>
        <w:tc>
          <w:tcPr>
            <w:tcW w:w="916" w:type="dxa"/>
            <w:tcBorders>
              <w:top w:val="double" w:sz="4" w:space="0" w:color="auto"/>
              <w:left w:val="nil"/>
              <w:bottom w:val="single" w:sz="4" w:space="0" w:color="auto"/>
              <w:right w:val="single" w:sz="4" w:space="0" w:color="auto"/>
            </w:tcBorders>
            <w:shd w:val="clear" w:color="auto" w:fill="auto"/>
            <w:noWrap/>
            <w:vAlign w:val="center"/>
          </w:tcPr>
          <w:p w14:paraId="10B4E6AA"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879" w:type="dxa"/>
            <w:tcBorders>
              <w:top w:val="double" w:sz="4" w:space="0" w:color="auto"/>
              <w:left w:val="nil"/>
              <w:bottom w:val="single" w:sz="4" w:space="0" w:color="auto"/>
              <w:right w:val="single" w:sz="4" w:space="0" w:color="auto"/>
            </w:tcBorders>
            <w:shd w:val="clear" w:color="auto" w:fill="auto"/>
            <w:noWrap/>
            <w:vAlign w:val="center"/>
          </w:tcPr>
          <w:p w14:paraId="0701BE4F"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double" w:sz="4" w:space="0" w:color="auto"/>
              <w:left w:val="nil"/>
              <w:bottom w:val="single" w:sz="4" w:space="0" w:color="auto"/>
              <w:right w:val="single" w:sz="4" w:space="0" w:color="auto"/>
            </w:tcBorders>
            <w:shd w:val="clear" w:color="auto" w:fill="auto"/>
            <w:noWrap/>
            <w:vAlign w:val="center"/>
          </w:tcPr>
          <w:p w14:paraId="68EE992A"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double" w:sz="4" w:space="0" w:color="auto"/>
              <w:left w:val="nil"/>
              <w:bottom w:val="single" w:sz="4" w:space="0" w:color="auto"/>
              <w:right w:val="single" w:sz="4" w:space="0" w:color="auto"/>
            </w:tcBorders>
            <w:shd w:val="clear" w:color="auto" w:fill="auto"/>
            <w:noWrap/>
            <w:vAlign w:val="center"/>
          </w:tcPr>
          <w:p w14:paraId="2476D081"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double" w:sz="4" w:space="0" w:color="auto"/>
              <w:left w:val="nil"/>
              <w:bottom w:val="single" w:sz="4" w:space="0" w:color="auto"/>
              <w:right w:val="single" w:sz="4" w:space="0" w:color="auto"/>
            </w:tcBorders>
            <w:shd w:val="clear" w:color="auto" w:fill="auto"/>
            <w:noWrap/>
            <w:vAlign w:val="center"/>
          </w:tcPr>
          <w:p w14:paraId="7D299C15"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-0.402</w:t>
            </w:r>
          </w:p>
        </w:tc>
        <w:tc>
          <w:tcPr>
            <w:tcW w:w="900" w:type="dxa"/>
            <w:tcBorders>
              <w:top w:val="double" w:sz="4" w:space="0" w:color="auto"/>
              <w:left w:val="nil"/>
              <w:bottom w:val="single" w:sz="4" w:space="0" w:color="auto"/>
              <w:right w:val="single" w:sz="4" w:space="0" w:color="auto"/>
            </w:tcBorders>
            <w:shd w:val="clear" w:color="auto" w:fill="auto"/>
            <w:noWrap/>
            <w:vAlign w:val="center"/>
          </w:tcPr>
          <w:p w14:paraId="4055CCD0"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-5.839</w:t>
            </w:r>
          </w:p>
        </w:tc>
        <w:tc>
          <w:tcPr>
            <w:tcW w:w="916" w:type="dxa"/>
            <w:tcBorders>
              <w:top w:val="double" w:sz="4" w:space="0" w:color="auto"/>
              <w:left w:val="nil"/>
              <w:bottom w:val="single" w:sz="4" w:space="0" w:color="auto"/>
              <w:right w:val="single" w:sz="4" w:space="0" w:color="auto"/>
            </w:tcBorders>
            <w:shd w:val="clear" w:color="auto" w:fill="auto"/>
            <w:noWrap/>
            <w:vAlign w:val="center"/>
          </w:tcPr>
          <w:p w14:paraId="369F12B7"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-0.402</w:t>
            </w:r>
          </w:p>
        </w:tc>
        <w:tc>
          <w:tcPr>
            <w:tcW w:w="900" w:type="dxa"/>
            <w:tcBorders>
              <w:top w:val="double" w:sz="4" w:space="0" w:color="auto"/>
              <w:left w:val="nil"/>
              <w:bottom w:val="single" w:sz="4" w:space="0" w:color="auto"/>
              <w:right w:val="single" w:sz="4" w:space="0" w:color="auto"/>
            </w:tcBorders>
            <w:shd w:val="clear" w:color="auto" w:fill="auto"/>
            <w:noWrap/>
            <w:vAlign w:val="center"/>
          </w:tcPr>
          <w:p w14:paraId="0F9DD771"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-5.839</w:t>
            </w:r>
          </w:p>
        </w:tc>
        <w:tc>
          <w:tcPr>
            <w:tcW w:w="916" w:type="dxa"/>
            <w:tcBorders>
              <w:top w:val="double" w:sz="4" w:space="0" w:color="auto"/>
              <w:left w:val="nil"/>
              <w:bottom w:val="single" w:sz="4" w:space="0" w:color="auto"/>
              <w:right w:val="single" w:sz="4" w:space="0" w:color="auto"/>
            </w:tcBorders>
            <w:shd w:val="clear" w:color="auto" w:fill="auto"/>
            <w:noWrap/>
            <w:vAlign w:val="center"/>
          </w:tcPr>
          <w:p w14:paraId="355EBF2D"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-0.057</w:t>
            </w:r>
          </w:p>
        </w:tc>
        <w:tc>
          <w:tcPr>
            <w:tcW w:w="931" w:type="dxa"/>
            <w:tcBorders>
              <w:top w:val="double" w:sz="4" w:space="0" w:color="auto"/>
              <w:left w:val="nil"/>
              <w:bottom w:val="single" w:sz="4" w:space="0" w:color="auto"/>
              <w:right w:val="single" w:sz="4" w:space="0" w:color="auto"/>
            </w:tcBorders>
            <w:shd w:val="clear" w:color="auto" w:fill="auto"/>
            <w:noWrap/>
            <w:vAlign w:val="center"/>
          </w:tcPr>
          <w:p w14:paraId="0ED8F2DF"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-1.022</w:t>
            </w:r>
          </w:p>
        </w:tc>
        <w:tc>
          <w:tcPr>
            <w:tcW w:w="916" w:type="dxa"/>
            <w:gridSpan w:val="2"/>
            <w:tcBorders>
              <w:top w:val="double" w:sz="4" w:space="0" w:color="auto"/>
              <w:left w:val="nil"/>
              <w:bottom w:val="single" w:sz="4" w:space="0" w:color="auto"/>
              <w:right w:val="single" w:sz="4" w:space="0" w:color="auto"/>
            </w:tcBorders>
            <w:shd w:val="clear" w:color="auto" w:fill="auto"/>
            <w:noWrap/>
            <w:vAlign w:val="center"/>
          </w:tcPr>
          <w:p w14:paraId="33EA2077"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884" w:type="dxa"/>
            <w:tcBorders>
              <w:top w:val="double" w:sz="4" w:space="0" w:color="auto"/>
              <w:left w:val="nil"/>
              <w:bottom w:val="single" w:sz="4" w:space="0" w:color="auto"/>
              <w:right w:val="double" w:sz="4" w:space="0" w:color="auto"/>
            </w:tcBorders>
            <w:shd w:val="clear" w:color="auto" w:fill="auto"/>
            <w:noWrap/>
            <w:vAlign w:val="center"/>
          </w:tcPr>
          <w:p w14:paraId="37EC4BB3"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r>
      <w:tr w:rsidR="006B07E9" w:rsidRPr="00350D02" w14:paraId="2C0B4DB5" w14:textId="77777777" w:rsidTr="004601C9">
        <w:trPr>
          <w:trHeight w:val="300"/>
        </w:trPr>
        <w:tc>
          <w:tcPr>
            <w:tcW w:w="1965" w:type="dxa"/>
            <w:tcBorders>
              <w:top w:val="single" w:sz="4" w:space="0" w:color="auto"/>
              <w:left w:val="double" w:sz="4" w:space="0" w:color="auto"/>
              <w:bottom w:val="single" w:sz="4" w:space="0" w:color="auto"/>
              <w:right w:val="single" w:sz="4" w:space="0" w:color="auto"/>
            </w:tcBorders>
            <w:shd w:val="clear" w:color="auto" w:fill="auto"/>
            <w:noWrap/>
            <w:vAlign w:val="center"/>
          </w:tcPr>
          <w:p w14:paraId="2ACC4EEE" w14:textId="77777777" w:rsidR="006B07E9" w:rsidRPr="00350D02" w:rsidRDefault="006B07E9" w:rsidP="004601C9">
            <w:pPr>
              <w:ind w:left="150"/>
              <w:rPr>
                <w:rFonts w:eastAsia="Times New Roman" w:cs="Times New Roman"/>
                <w:color w:val="000000"/>
                <w:sz w:val="20"/>
                <w:szCs w:val="20"/>
              </w:rPr>
            </w:pPr>
            <w:r w:rsidRPr="00350D02">
              <w:rPr>
                <w:rFonts w:eastAsia="Times New Roman" w:cs="Times New Roman"/>
                <w:color w:val="000000"/>
                <w:sz w:val="20"/>
                <w:szCs w:val="20"/>
              </w:rPr>
              <w:t>Land use mix</w:t>
            </w:r>
            <w:r>
              <w:rPr>
                <w:rFonts w:eastAsia="Times New Roman" w:cs="Times New Roman"/>
                <w:color w:val="000000"/>
                <w:sz w:val="20"/>
                <w:szCs w:val="20"/>
              </w:rPr>
              <w:t xml:space="preserve"> (1)</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7AFCBDD3"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-0.117</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D0B3ECA"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-2.241</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tcPr>
          <w:p w14:paraId="43749E07"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-0.117</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BDF59CB"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-2.241</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7284A61F"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5E5EA52"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405B3DC1"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075CF985"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14DD2615"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030AA10A"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tcPr>
          <w:p w14:paraId="49D0B2F5"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884" w:type="dxa"/>
            <w:tcBorders>
              <w:top w:val="single" w:sz="4" w:space="0" w:color="auto"/>
              <w:left w:val="nil"/>
              <w:bottom w:val="single" w:sz="4" w:space="0" w:color="auto"/>
              <w:right w:val="double" w:sz="4" w:space="0" w:color="auto"/>
            </w:tcBorders>
            <w:shd w:val="clear" w:color="auto" w:fill="auto"/>
            <w:noWrap/>
            <w:vAlign w:val="center"/>
          </w:tcPr>
          <w:p w14:paraId="666E2EEE"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r>
      <w:tr w:rsidR="006B07E9" w:rsidRPr="00350D02" w14:paraId="46604E03" w14:textId="77777777" w:rsidTr="004601C9">
        <w:trPr>
          <w:trHeight w:val="300"/>
        </w:trPr>
        <w:tc>
          <w:tcPr>
            <w:tcW w:w="12855" w:type="dxa"/>
            <w:gridSpan w:val="15"/>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8B0EC26" w14:textId="77777777" w:rsidR="006B07E9" w:rsidRPr="00350D02" w:rsidRDefault="006B07E9" w:rsidP="004601C9">
            <w:pPr>
              <w:rPr>
                <w:rFonts w:eastAsia="Times New Roman" w:cs="Times New Roman"/>
                <w:b/>
                <w:bCs/>
                <w:color w:val="000000"/>
                <w:sz w:val="20"/>
                <w:szCs w:val="20"/>
              </w:rPr>
            </w:pPr>
            <w:r w:rsidRPr="00350D02">
              <w:rPr>
                <w:rFonts w:eastAsia="Times New Roman" w:cs="Times New Roman"/>
                <w:b/>
                <w:bCs/>
                <w:color w:val="000000"/>
                <w:sz w:val="20"/>
                <w:szCs w:val="20"/>
              </w:rPr>
              <w:t>Built environment characteristic</w:t>
            </w:r>
          </w:p>
        </w:tc>
      </w:tr>
      <w:tr w:rsidR="006B07E9" w:rsidRPr="00350D02" w14:paraId="467B0A08" w14:textId="77777777" w:rsidTr="004601C9">
        <w:trPr>
          <w:trHeight w:val="300"/>
        </w:trPr>
        <w:tc>
          <w:tcPr>
            <w:tcW w:w="1965" w:type="dxa"/>
            <w:tcBorders>
              <w:top w:val="double" w:sz="4" w:space="0" w:color="auto"/>
              <w:left w:val="double" w:sz="4" w:space="0" w:color="auto"/>
              <w:bottom w:val="single" w:sz="4" w:space="0" w:color="auto"/>
              <w:right w:val="single" w:sz="4" w:space="0" w:color="auto"/>
            </w:tcBorders>
            <w:shd w:val="clear" w:color="auto" w:fill="auto"/>
            <w:noWrap/>
            <w:vAlign w:val="center"/>
            <w:hideMark/>
          </w:tcPr>
          <w:p w14:paraId="779DAB9E" w14:textId="77777777" w:rsidR="006B07E9" w:rsidRPr="00350D02" w:rsidRDefault="006B07E9" w:rsidP="004601C9">
            <w:pPr>
              <w:ind w:left="150"/>
              <w:jc w:val="left"/>
              <w:rPr>
                <w:rFonts w:eastAsia="Times New Roman" w:cs="Times New Roman"/>
                <w:color w:val="000000"/>
                <w:sz w:val="20"/>
                <w:szCs w:val="20"/>
              </w:rPr>
            </w:pPr>
            <w:r w:rsidRPr="00350D02">
              <w:rPr>
                <w:rFonts w:eastAsia="Times New Roman" w:cs="Times New Roman"/>
                <w:color w:val="000000"/>
                <w:sz w:val="20"/>
                <w:szCs w:val="20"/>
              </w:rPr>
              <w:t>No. of commercial centers</w:t>
            </w:r>
            <w:r>
              <w:rPr>
                <w:rFonts w:eastAsia="Times New Roman" w:cs="Times New Roman"/>
                <w:color w:val="000000"/>
                <w:sz w:val="20"/>
                <w:szCs w:val="20"/>
              </w:rPr>
              <w:t xml:space="preserve"> (1)</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76CDC721"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879" w:type="dxa"/>
            <w:tcBorders>
              <w:top w:val="double" w:sz="4" w:space="0" w:color="auto"/>
              <w:left w:val="nil"/>
              <w:bottom w:val="single" w:sz="4" w:space="0" w:color="auto"/>
              <w:right w:val="single" w:sz="4" w:space="0" w:color="auto"/>
            </w:tcBorders>
            <w:shd w:val="clear" w:color="auto" w:fill="auto"/>
            <w:noWrap/>
            <w:vAlign w:val="center"/>
            <w:hideMark/>
          </w:tcPr>
          <w:p w14:paraId="4F5D2B35"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double" w:sz="4" w:space="0" w:color="auto"/>
              <w:left w:val="nil"/>
              <w:bottom w:val="single" w:sz="4" w:space="0" w:color="auto"/>
              <w:right w:val="single" w:sz="4" w:space="0" w:color="auto"/>
            </w:tcBorders>
            <w:shd w:val="clear" w:color="auto" w:fill="auto"/>
            <w:noWrap/>
            <w:vAlign w:val="center"/>
            <w:hideMark/>
          </w:tcPr>
          <w:p w14:paraId="444F7196"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double" w:sz="4" w:space="0" w:color="auto"/>
              <w:left w:val="nil"/>
              <w:bottom w:val="single" w:sz="4" w:space="0" w:color="auto"/>
              <w:right w:val="single" w:sz="4" w:space="0" w:color="auto"/>
            </w:tcBorders>
            <w:shd w:val="clear" w:color="auto" w:fill="auto"/>
            <w:noWrap/>
            <w:vAlign w:val="center"/>
            <w:hideMark/>
          </w:tcPr>
          <w:p w14:paraId="36C55F75"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4CEBEEC9"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double" w:sz="4" w:space="0" w:color="auto"/>
              <w:left w:val="nil"/>
              <w:bottom w:val="single" w:sz="4" w:space="0" w:color="auto"/>
              <w:right w:val="single" w:sz="4" w:space="0" w:color="auto"/>
            </w:tcBorders>
            <w:shd w:val="clear" w:color="auto" w:fill="auto"/>
            <w:noWrap/>
            <w:vAlign w:val="center"/>
            <w:hideMark/>
          </w:tcPr>
          <w:p w14:paraId="12346259"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7EADB530"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double" w:sz="4" w:space="0" w:color="auto"/>
              <w:left w:val="nil"/>
              <w:bottom w:val="single" w:sz="4" w:space="0" w:color="auto"/>
              <w:right w:val="single" w:sz="4" w:space="0" w:color="auto"/>
            </w:tcBorders>
            <w:shd w:val="clear" w:color="auto" w:fill="auto"/>
            <w:noWrap/>
            <w:vAlign w:val="center"/>
            <w:hideMark/>
          </w:tcPr>
          <w:p w14:paraId="690CEFDE"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305AF430"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31" w:type="dxa"/>
            <w:tcBorders>
              <w:top w:val="double" w:sz="4" w:space="0" w:color="auto"/>
              <w:left w:val="nil"/>
              <w:bottom w:val="single" w:sz="4" w:space="0" w:color="auto"/>
              <w:right w:val="single" w:sz="4" w:space="0" w:color="auto"/>
            </w:tcBorders>
            <w:shd w:val="clear" w:color="auto" w:fill="auto"/>
            <w:noWrap/>
            <w:vAlign w:val="center"/>
            <w:hideMark/>
          </w:tcPr>
          <w:p w14:paraId="2C56956E"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double" w:sz="4" w:space="0" w:color="auto"/>
              <w:left w:val="nil"/>
              <w:bottom w:val="single" w:sz="4" w:space="0" w:color="auto"/>
              <w:right w:val="single" w:sz="4" w:space="0" w:color="auto"/>
            </w:tcBorders>
            <w:shd w:val="clear" w:color="auto" w:fill="auto"/>
            <w:noWrap/>
            <w:vAlign w:val="center"/>
            <w:hideMark/>
          </w:tcPr>
          <w:p w14:paraId="10AF5516"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-0.048</w:t>
            </w:r>
          </w:p>
        </w:tc>
        <w:tc>
          <w:tcPr>
            <w:tcW w:w="884" w:type="dxa"/>
            <w:tcBorders>
              <w:top w:val="double" w:sz="4" w:space="0" w:color="auto"/>
              <w:left w:val="nil"/>
              <w:bottom w:val="single" w:sz="4" w:space="0" w:color="auto"/>
              <w:right w:val="double" w:sz="4" w:space="0" w:color="auto"/>
            </w:tcBorders>
            <w:shd w:val="clear" w:color="auto" w:fill="auto"/>
            <w:noWrap/>
            <w:vAlign w:val="center"/>
            <w:hideMark/>
          </w:tcPr>
          <w:p w14:paraId="315FE258"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-2.101</w:t>
            </w:r>
          </w:p>
        </w:tc>
      </w:tr>
      <w:tr w:rsidR="006B07E9" w:rsidRPr="00350D02" w14:paraId="2D301CA8" w14:textId="77777777" w:rsidTr="004601C9">
        <w:trPr>
          <w:trHeight w:val="300"/>
        </w:trPr>
        <w:tc>
          <w:tcPr>
            <w:tcW w:w="1965"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793CBA5B" w14:textId="77777777" w:rsidR="006B07E9" w:rsidRPr="00350D02" w:rsidRDefault="006B07E9" w:rsidP="004601C9">
            <w:pPr>
              <w:ind w:left="150"/>
              <w:jc w:val="left"/>
              <w:rPr>
                <w:rFonts w:eastAsia="Times New Roman" w:cs="Times New Roman"/>
                <w:color w:val="000000"/>
                <w:sz w:val="20"/>
                <w:szCs w:val="20"/>
              </w:rPr>
            </w:pPr>
            <w:r w:rsidRPr="00350D02">
              <w:rPr>
                <w:rFonts w:eastAsia="Times New Roman" w:cs="Times New Roman"/>
                <w:color w:val="000000"/>
                <w:sz w:val="20"/>
                <w:szCs w:val="20"/>
              </w:rPr>
              <w:t>No. of recreational centers</w:t>
            </w:r>
            <w:r>
              <w:rPr>
                <w:rFonts w:eastAsia="Times New Roman" w:cs="Times New Roman"/>
                <w:color w:val="000000"/>
                <w:sz w:val="20"/>
                <w:szCs w:val="20"/>
              </w:rPr>
              <w:t xml:space="preserve"> (1)</w:t>
            </w:r>
          </w:p>
        </w:tc>
        <w:tc>
          <w:tcPr>
            <w:tcW w:w="916" w:type="dxa"/>
            <w:tcBorders>
              <w:top w:val="single" w:sz="4" w:space="0" w:color="auto"/>
              <w:left w:val="nil"/>
              <w:bottom w:val="single" w:sz="4" w:space="0" w:color="auto"/>
              <w:right w:val="single" w:sz="4" w:space="0" w:color="auto"/>
            </w:tcBorders>
            <w:shd w:val="clear" w:color="auto" w:fill="auto"/>
            <w:noWrap/>
            <w:vAlign w:val="center"/>
            <w:hideMark/>
          </w:tcPr>
          <w:p w14:paraId="29C63304"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-0.028</w:t>
            </w:r>
          </w:p>
        </w:tc>
        <w:tc>
          <w:tcPr>
            <w:tcW w:w="879" w:type="dxa"/>
            <w:tcBorders>
              <w:top w:val="single" w:sz="4" w:space="0" w:color="auto"/>
              <w:left w:val="nil"/>
              <w:bottom w:val="single" w:sz="4" w:space="0" w:color="auto"/>
              <w:right w:val="single" w:sz="4" w:space="0" w:color="auto"/>
            </w:tcBorders>
            <w:shd w:val="clear" w:color="auto" w:fill="auto"/>
            <w:noWrap/>
            <w:vAlign w:val="center"/>
            <w:hideMark/>
          </w:tcPr>
          <w:p w14:paraId="339FE0F8"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-2.265</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17864CA2"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636A1B8"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hideMark/>
          </w:tcPr>
          <w:p w14:paraId="48E6D288"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5A277835"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hideMark/>
          </w:tcPr>
          <w:p w14:paraId="373B6A10"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7D60B55C"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hideMark/>
          </w:tcPr>
          <w:p w14:paraId="021A8A8E"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14:paraId="4F420E13"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422DA5A"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884" w:type="dxa"/>
            <w:tcBorders>
              <w:top w:val="single" w:sz="4" w:space="0" w:color="auto"/>
              <w:left w:val="nil"/>
              <w:bottom w:val="single" w:sz="4" w:space="0" w:color="auto"/>
              <w:right w:val="double" w:sz="4" w:space="0" w:color="auto"/>
            </w:tcBorders>
            <w:shd w:val="clear" w:color="auto" w:fill="auto"/>
            <w:noWrap/>
            <w:vAlign w:val="center"/>
            <w:hideMark/>
          </w:tcPr>
          <w:p w14:paraId="381F8B4F"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r>
      <w:tr w:rsidR="006B07E9" w:rsidRPr="00350D02" w14:paraId="717A2A35" w14:textId="77777777" w:rsidTr="004601C9">
        <w:trPr>
          <w:trHeight w:val="300"/>
        </w:trPr>
        <w:tc>
          <w:tcPr>
            <w:tcW w:w="1965" w:type="dxa"/>
            <w:tcBorders>
              <w:top w:val="single" w:sz="4" w:space="0" w:color="auto"/>
              <w:left w:val="double" w:sz="4" w:space="0" w:color="auto"/>
              <w:bottom w:val="single" w:sz="4" w:space="0" w:color="auto"/>
              <w:right w:val="single" w:sz="4" w:space="0" w:color="auto"/>
            </w:tcBorders>
            <w:shd w:val="clear" w:color="auto" w:fill="auto"/>
            <w:noWrap/>
            <w:vAlign w:val="center"/>
          </w:tcPr>
          <w:p w14:paraId="29C83365" w14:textId="77777777" w:rsidR="006B07E9" w:rsidRPr="00350D02" w:rsidRDefault="006B07E9" w:rsidP="004601C9">
            <w:pPr>
              <w:ind w:left="150"/>
              <w:jc w:val="left"/>
              <w:rPr>
                <w:rFonts w:eastAsia="Times New Roman" w:cs="Times New Roman"/>
                <w:color w:val="000000"/>
                <w:sz w:val="20"/>
                <w:szCs w:val="20"/>
              </w:rPr>
            </w:pPr>
            <w:r w:rsidRPr="00350D02">
              <w:rPr>
                <w:rFonts w:eastAsia="Times New Roman" w:cs="Times New Roman"/>
                <w:color w:val="000000"/>
                <w:sz w:val="20"/>
                <w:szCs w:val="20"/>
              </w:rPr>
              <w:t>No. of restaurants</w:t>
            </w:r>
            <w:r>
              <w:rPr>
                <w:rFonts w:eastAsia="Times New Roman" w:cs="Times New Roman"/>
                <w:color w:val="000000"/>
                <w:sz w:val="20"/>
                <w:szCs w:val="20"/>
              </w:rPr>
              <w:t xml:space="preserve"> (1)</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006885C8"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4E10633"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tcPr>
          <w:p w14:paraId="07B7A361"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2B0381BA"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40948CF8"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1DF0DC1D"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3C390C18"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7391BA19"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389D58EE"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-0.046</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07696214"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-3.011</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tcPr>
          <w:p w14:paraId="70E454E8"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884" w:type="dxa"/>
            <w:tcBorders>
              <w:top w:val="single" w:sz="4" w:space="0" w:color="auto"/>
              <w:left w:val="nil"/>
              <w:bottom w:val="single" w:sz="4" w:space="0" w:color="auto"/>
              <w:right w:val="double" w:sz="4" w:space="0" w:color="auto"/>
            </w:tcBorders>
            <w:shd w:val="clear" w:color="auto" w:fill="auto"/>
            <w:noWrap/>
            <w:vAlign w:val="center"/>
          </w:tcPr>
          <w:p w14:paraId="029A389A"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r>
      <w:tr w:rsidR="006B07E9" w:rsidRPr="00350D02" w14:paraId="6D932266" w14:textId="77777777" w:rsidTr="004601C9">
        <w:trPr>
          <w:trHeight w:val="300"/>
        </w:trPr>
        <w:tc>
          <w:tcPr>
            <w:tcW w:w="1965" w:type="dxa"/>
            <w:tcBorders>
              <w:top w:val="single" w:sz="4" w:space="0" w:color="auto"/>
              <w:left w:val="double" w:sz="4" w:space="0" w:color="auto"/>
              <w:bottom w:val="single" w:sz="4" w:space="0" w:color="auto"/>
              <w:right w:val="single" w:sz="4" w:space="0" w:color="auto"/>
            </w:tcBorders>
            <w:shd w:val="clear" w:color="auto" w:fill="auto"/>
            <w:noWrap/>
            <w:vAlign w:val="center"/>
          </w:tcPr>
          <w:p w14:paraId="76B23148" w14:textId="77777777" w:rsidR="006B07E9" w:rsidRPr="00350D02" w:rsidRDefault="006B07E9" w:rsidP="004601C9">
            <w:pPr>
              <w:ind w:left="240"/>
              <w:jc w:val="left"/>
              <w:rPr>
                <w:rFonts w:eastAsia="Times New Roman" w:cs="Times New Roman"/>
                <w:color w:val="000000"/>
                <w:sz w:val="20"/>
                <w:szCs w:val="20"/>
              </w:rPr>
            </w:pPr>
            <w:r w:rsidRPr="00350D02">
              <w:rPr>
                <w:rFonts w:eastAsia="Times New Roman" w:cs="Times New Roman"/>
                <w:color w:val="000000"/>
                <w:sz w:val="20"/>
                <w:szCs w:val="20"/>
              </w:rPr>
              <w:t>Non-incapacitating and severe injury</w:t>
            </w:r>
            <w:r>
              <w:rPr>
                <w:rFonts w:eastAsia="Times New Roman" w:cs="Times New Roman"/>
                <w:color w:val="000000"/>
                <w:sz w:val="20"/>
                <w:szCs w:val="20"/>
              </w:rPr>
              <w:t xml:space="preserve"> (1)</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2D199C01"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A82AE26"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tcPr>
          <w:p w14:paraId="125FD534"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0182E6DD"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15DF5DE4"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521B0BF"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68866836"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0758D97E"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769C67EC"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0.049</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694BCEEE"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1.650</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tcPr>
          <w:p w14:paraId="1C4E6697"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884" w:type="dxa"/>
            <w:tcBorders>
              <w:top w:val="single" w:sz="4" w:space="0" w:color="auto"/>
              <w:left w:val="nil"/>
              <w:bottom w:val="single" w:sz="4" w:space="0" w:color="auto"/>
              <w:right w:val="double" w:sz="4" w:space="0" w:color="auto"/>
            </w:tcBorders>
            <w:shd w:val="clear" w:color="auto" w:fill="auto"/>
            <w:noWrap/>
            <w:vAlign w:val="center"/>
          </w:tcPr>
          <w:p w14:paraId="06C27870"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r>
      <w:tr w:rsidR="006B07E9" w:rsidRPr="00350D02" w14:paraId="1C2E1F14" w14:textId="77777777" w:rsidTr="004601C9">
        <w:trPr>
          <w:trHeight w:val="300"/>
        </w:trPr>
        <w:tc>
          <w:tcPr>
            <w:tcW w:w="1965" w:type="dxa"/>
            <w:tcBorders>
              <w:top w:val="single" w:sz="4" w:space="0" w:color="auto"/>
              <w:left w:val="double" w:sz="4" w:space="0" w:color="auto"/>
              <w:bottom w:val="single" w:sz="4" w:space="0" w:color="auto"/>
              <w:right w:val="single" w:sz="4" w:space="0" w:color="auto"/>
            </w:tcBorders>
            <w:shd w:val="clear" w:color="auto" w:fill="auto"/>
            <w:noWrap/>
            <w:vAlign w:val="center"/>
          </w:tcPr>
          <w:p w14:paraId="409B885C" w14:textId="77777777" w:rsidR="006B07E9" w:rsidRPr="00350D02" w:rsidRDefault="006B07E9" w:rsidP="004601C9">
            <w:pPr>
              <w:ind w:left="150"/>
              <w:jc w:val="left"/>
              <w:rPr>
                <w:rFonts w:eastAsia="Times New Roman" w:cs="Times New Roman"/>
                <w:color w:val="000000"/>
                <w:sz w:val="20"/>
                <w:szCs w:val="20"/>
              </w:rPr>
            </w:pPr>
            <w:r w:rsidRPr="00350D02">
              <w:rPr>
                <w:rFonts w:eastAsia="Times New Roman" w:cs="Times New Roman"/>
                <w:color w:val="000000"/>
                <w:sz w:val="20"/>
                <w:szCs w:val="20"/>
              </w:rPr>
              <w:t>No. of shopping centers</w:t>
            </w:r>
            <w:r>
              <w:rPr>
                <w:rFonts w:eastAsia="Times New Roman" w:cs="Times New Roman"/>
                <w:color w:val="000000"/>
                <w:sz w:val="20"/>
                <w:szCs w:val="20"/>
              </w:rPr>
              <w:t xml:space="preserve"> (1)</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29CAFB14"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B0EF6F2"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tcPr>
          <w:p w14:paraId="38248319"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-0.047</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BC6202F"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-4.863</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2ACD9D91"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-0.047</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2D228C22"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-4.863</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2166C0A1"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-0.047</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7DF8B6E1"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-4.863</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498CC023"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37B3D5DB"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tcPr>
          <w:p w14:paraId="092015EB"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884" w:type="dxa"/>
            <w:tcBorders>
              <w:top w:val="single" w:sz="4" w:space="0" w:color="auto"/>
              <w:left w:val="nil"/>
              <w:bottom w:val="single" w:sz="4" w:space="0" w:color="auto"/>
              <w:right w:val="double" w:sz="4" w:space="0" w:color="auto"/>
            </w:tcBorders>
            <w:shd w:val="clear" w:color="auto" w:fill="auto"/>
            <w:noWrap/>
            <w:vAlign w:val="center"/>
          </w:tcPr>
          <w:p w14:paraId="2EF5864E"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r>
      <w:tr w:rsidR="006B07E9" w:rsidRPr="00350D02" w14:paraId="1B690790" w14:textId="77777777" w:rsidTr="004601C9">
        <w:trPr>
          <w:trHeight w:val="300"/>
        </w:trPr>
        <w:tc>
          <w:tcPr>
            <w:tcW w:w="1965" w:type="dxa"/>
            <w:tcBorders>
              <w:top w:val="single" w:sz="4" w:space="0" w:color="auto"/>
              <w:left w:val="double" w:sz="4" w:space="0" w:color="auto"/>
              <w:bottom w:val="double" w:sz="4" w:space="0" w:color="auto"/>
              <w:right w:val="single" w:sz="4" w:space="0" w:color="auto"/>
            </w:tcBorders>
            <w:shd w:val="clear" w:color="auto" w:fill="auto"/>
            <w:noWrap/>
            <w:vAlign w:val="center"/>
          </w:tcPr>
          <w:p w14:paraId="306AF358" w14:textId="77777777" w:rsidR="006B07E9" w:rsidRPr="00350D02" w:rsidRDefault="006B07E9" w:rsidP="004601C9">
            <w:pPr>
              <w:ind w:left="240"/>
              <w:jc w:val="left"/>
              <w:rPr>
                <w:rFonts w:eastAsia="Times New Roman" w:cs="Times New Roman"/>
                <w:color w:val="000000"/>
                <w:sz w:val="20"/>
                <w:szCs w:val="20"/>
              </w:rPr>
            </w:pPr>
            <w:r w:rsidRPr="00350D02">
              <w:rPr>
                <w:rFonts w:eastAsia="Times New Roman" w:cs="Times New Roman"/>
                <w:color w:val="000000"/>
                <w:sz w:val="20"/>
                <w:szCs w:val="20"/>
              </w:rPr>
              <w:t>Possible and non-incapacitating injury</w:t>
            </w:r>
            <w:r>
              <w:rPr>
                <w:rFonts w:eastAsia="Times New Roman" w:cs="Times New Roman"/>
                <w:color w:val="000000"/>
                <w:sz w:val="20"/>
                <w:szCs w:val="20"/>
              </w:rPr>
              <w:t xml:space="preserve"> (1)</w:t>
            </w:r>
          </w:p>
        </w:tc>
        <w:tc>
          <w:tcPr>
            <w:tcW w:w="916" w:type="dxa"/>
            <w:tcBorders>
              <w:top w:val="single" w:sz="4" w:space="0" w:color="auto"/>
              <w:left w:val="nil"/>
              <w:bottom w:val="double" w:sz="4" w:space="0" w:color="auto"/>
              <w:right w:val="single" w:sz="4" w:space="0" w:color="auto"/>
            </w:tcBorders>
            <w:shd w:val="clear" w:color="auto" w:fill="auto"/>
            <w:noWrap/>
            <w:vAlign w:val="center"/>
          </w:tcPr>
          <w:p w14:paraId="12064FD6"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1731888E"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single" w:sz="4" w:space="0" w:color="auto"/>
              <w:left w:val="nil"/>
              <w:bottom w:val="double" w:sz="4" w:space="0" w:color="auto"/>
              <w:right w:val="single" w:sz="4" w:space="0" w:color="auto"/>
            </w:tcBorders>
            <w:shd w:val="clear" w:color="auto" w:fill="auto"/>
            <w:noWrap/>
            <w:vAlign w:val="center"/>
          </w:tcPr>
          <w:p w14:paraId="625071D2"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single" w:sz="4" w:space="0" w:color="auto"/>
              <w:left w:val="nil"/>
              <w:bottom w:val="double" w:sz="4" w:space="0" w:color="auto"/>
              <w:right w:val="single" w:sz="4" w:space="0" w:color="auto"/>
            </w:tcBorders>
            <w:shd w:val="clear" w:color="auto" w:fill="auto"/>
            <w:noWrap/>
            <w:vAlign w:val="center"/>
          </w:tcPr>
          <w:p w14:paraId="432B7502"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single" w:sz="4" w:space="0" w:color="auto"/>
              <w:left w:val="nil"/>
              <w:bottom w:val="double" w:sz="4" w:space="0" w:color="auto"/>
              <w:right w:val="single" w:sz="4" w:space="0" w:color="auto"/>
            </w:tcBorders>
            <w:shd w:val="clear" w:color="auto" w:fill="auto"/>
            <w:noWrap/>
            <w:vAlign w:val="center"/>
          </w:tcPr>
          <w:p w14:paraId="7534A0E5"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0.051</w:t>
            </w:r>
          </w:p>
        </w:tc>
        <w:tc>
          <w:tcPr>
            <w:tcW w:w="900" w:type="dxa"/>
            <w:tcBorders>
              <w:top w:val="single" w:sz="4" w:space="0" w:color="auto"/>
              <w:left w:val="nil"/>
              <w:bottom w:val="double" w:sz="4" w:space="0" w:color="auto"/>
              <w:right w:val="single" w:sz="4" w:space="0" w:color="auto"/>
            </w:tcBorders>
            <w:shd w:val="clear" w:color="auto" w:fill="auto"/>
            <w:noWrap/>
            <w:vAlign w:val="center"/>
          </w:tcPr>
          <w:p w14:paraId="7F0D62DB"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1.916</w:t>
            </w:r>
          </w:p>
        </w:tc>
        <w:tc>
          <w:tcPr>
            <w:tcW w:w="916" w:type="dxa"/>
            <w:tcBorders>
              <w:top w:val="single" w:sz="4" w:space="0" w:color="auto"/>
              <w:left w:val="nil"/>
              <w:bottom w:val="double" w:sz="4" w:space="0" w:color="auto"/>
              <w:right w:val="single" w:sz="4" w:space="0" w:color="auto"/>
            </w:tcBorders>
            <w:shd w:val="clear" w:color="auto" w:fill="auto"/>
            <w:noWrap/>
            <w:vAlign w:val="center"/>
          </w:tcPr>
          <w:p w14:paraId="3F965A87"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single" w:sz="4" w:space="0" w:color="auto"/>
              <w:left w:val="nil"/>
              <w:bottom w:val="double" w:sz="4" w:space="0" w:color="auto"/>
              <w:right w:val="single" w:sz="4" w:space="0" w:color="auto"/>
            </w:tcBorders>
            <w:shd w:val="clear" w:color="auto" w:fill="auto"/>
            <w:noWrap/>
            <w:vAlign w:val="center"/>
          </w:tcPr>
          <w:p w14:paraId="061BC756"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single" w:sz="4" w:space="0" w:color="auto"/>
              <w:left w:val="nil"/>
              <w:bottom w:val="double" w:sz="4" w:space="0" w:color="auto"/>
              <w:right w:val="single" w:sz="4" w:space="0" w:color="auto"/>
            </w:tcBorders>
            <w:shd w:val="clear" w:color="auto" w:fill="auto"/>
            <w:noWrap/>
            <w:vAlign w:val="center"/>
          </w:tcPr>
          <w:p w14:paraId="72BADCFF"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31" w:type="dxa"/>
            <w:tcBorders>
              <w:top w:val="single" w:sz="4" w:space="0" w:color="auto"/>
              <w:left w:val="nil"/>
              <w:bottom w:val="double" w:sz="4" w:space="0" w:color="auto"/>
              <w:right w:val="single" w:sz="4" w:space="0" w:color="auto"/>
            </w:tcBorders>
            <w:shd w:val="clear" w:color="auto" w:fill="auto"/>
            <w:noWrap/>
            <w:vAlign w:val="center"/>
          </w:tcPr>
          <w:p w14:paraId="05BD09AB"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single" w:sz="4" w:space="0" w:color="auto"/>
              <w:left w:val="nil"/>
              <w:bottom w:val="double" w:sz="4" w:space="0" w:color="auto"/>
              <w:right w:val="single" w:sz="4" w:space="0" w:color="auto"/>
            </w:tcBorders>
            <w:shd w:val="clear" w:color="auto" w:fill="auto"/>
            <w:noWrap/>
            <w:vAlign w:val="center"/>
          </w:tcPr>
          <w:p w14:paraId="40288F4E"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884" w:type="dxa"/>
            <w:tcBorders>
              <w:top w:val="single" w:sz="4" w:space="0" w:color="auto"/>
              <w:left w:val="nil"/>
              <w:bottom w:val="double" w:sz="4" w:space="0" w:color="auto"/>
              <w:right w:val="double" w:sz="4" w:space="0" w:color="auto"/>
            </w:tcBorders>
            <w:shd w:val="clear" w:color="auto" w:fill="auto"/>
            <w:noWrap/>
            <w:vAlign w:val="center"/>
          </w:tcPr>
          <w:p w14:paraId="6F0E874A"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r>
      <w:tr w:rsidR="006B07E9" w:rsidRPr="00350D02" w14:paraId="589900B9" w14:textId="77777777" w:rsidTr="004601C9">
        <w:trPr>
          <w:trHeight w:val="300"/>
        </w:trPr>
        <w:tc>
          <w:tcPr>
            <w:tcW w:w="12855" w:type="dxa"/>
            <w:gridSpan w:val="15"/>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2753E586" w14:textId="77777777" w:rsidR="006B07E9" w:rsidRPr="00350D02" w:rsidRDefault="006B07E9" w:rsidP="004601C9">
            <w:pPr>
              <w:rPr>
                <w:rFonts w:eastAsia="Times New Roman" w:cs="Times New Roman"/>
                <w:b/>
                <w:bCs/>
                <w:color w:val="000000"/>
                <w:sz w:val="20"/>
                <w:szCs w:val="20"/>
              </w:rPr>
            </w:pPr>
            <w:r w:rsidRPr="00350D02">
              <w:rPr>
                <w:rFonts w:eastAsia="Times New Roman" w:cs="Times New Roman"/>
                <w:b/>
                <w:bCs/>
                <w:color w:val="000000"/>
                <w:sz w:val="20"/>
                <w:szCs w:val="20"/>
              </w:rPr>
              <w:t>Socio-demographic characteristics</w:t>
            </w:r>
          </w:p>
        </w:tc>
      </w:tr>
      <w:tr w:rsidR="006B07E9" w:rsidRPr="00350D02" w14:paraId="2615CBFB" w14:textId="77777777" w:rsidTr="004601C9">
        <w:trPr>
          <w:trHeight w:val="300"/>
        </w:trPr>
        <w:tc>
          <w:tcPr>
            <w:tcW w:w="1965" w:type="dxa"/>
            <w:tcBorders>
              <w:top w:val="nil"/>
              <w:left w:val="double" w:sz="4" w:space="0" w:color="auto"/>
              <w:bottom w:val="single" w:sz="4" w:space="0" w:color="auto"/>
              <w:right w:val="single" w:sz="4" w:space="0" w:color="auto"/>
            </w:tcBorders>
            <w:shd w:val="clear" w:color="auto" w:fill="auto"/>
            <w:noWrap/>
            <w:vAlign w:val="center"/>
          </w:tcPr>
          <w:p w14:paraId="00BD9825" w14:textId="77777777" w:rsidR="006B07E9" w:rsidRPr="00350D02" w:rsidRDefault="006B07E9" w:rsidP="004601C9">
            <w:pPr>
              <w:ind w:left="150"/>
              <w:jc w:val="left"/>
              <w:rPr>
                <w:rFonts w:eastAsia="Times New Roman" w:cs="Times New Roman"/>
                <w:color w:val="000000"/>
                <w:sz w:val="20"/>
                <w:szCs w:val="20"/>
              </w:rPr>
            </w:pPr>
            <w:r w:rsidRPr="00350D02">
              <w:rPr>
                <w:rFonts w:eastAsia="Times New Roman" w:cs="Times New Roman"/>
                <w:color w:val="000000"/>
                <w:sz w:val="20"/>
                <w:szCs w:val="20"/>
              </w:rPr>
              <w:t>Employee</w:t>
            </w:r>
            <w:r>
              <w:rPr>
                <w:rFonts w:eastAsia="Times New Roman" w:cs="Times New Roman"/>
                <w:color w:val="000000"/>
                <w:sz w:val="20"/>
                <w:szCs w:val="20"/>
              </w:rPr>
              <w:t xml:space="preserve"> (1)</w:t>
            </w:r>
          </w:p>
        </w:tc>
        <w:tc>
          <w:tcPr>
            <w:tcW w:w="916" w:type="dxa"/>
            <w:tcBorders>
              <w:top w:val="nil"/>
              <w:left w:val="nil"/>
              <w:bottom w:val="single" w:sz="4" w:space="0" w:color="auto"/>
              <w:right w:val="single" w:sz="4" w:space="0" w:color="auto"/>
            </w:tcBorders>
            <w:shd w:val="clear" w:color="auto" w:fill="auto"/>
            <w:noWrap/>
            <w:vAlign w:val="center"/>
          </w:tcPr>
          <w:p w14:paraId="04827C3E"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879" w:type="dxa"/>
            <w:tcBorders>
              <w:top w:val="nil"/>
              <w:left w:val="nil"/>
              <w:bottom w:val="single" w:sz="4" w:space="0" w:color="auto"/>
              <w:right w:val="single" w:sz="4" w:space="0" w:color="auto"/>
            </w:tcBorders>
            <w:shd w:val="clear" w:color="auto" w:fill="auto"/>
            <w:noWrap/>
            <w:vAlign w:val="center"/>
          </w:tcPr>
          <w:p w14:paraId="1CE4FDDD"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tcPr>
          <w:p w14:paraId="17EBD41F"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4D3572BA"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tcPr>
          <w:p w14:paraId="167F3A61"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29EF4D24"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tcPr>
          <w:p w14:paraId="5C6F36DE"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3198C5DB"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tcPr>
          <w:p w14:paraId="4CEB28EA"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31" w:type="dxa"/>
            <w:tcBorders>
              <w:top w:val="nil"/>
              <w:left w:val="nil"/>
              <w:bottom w:val="single" w:sz="4" w:space="0" w:color="auto"/>
              <w:right w:val="single" w:sz="4" w:space="0" w:color="auto"/>
            </w:tcBorders>
            <w:shd w:val="clear" w:color="auto" w:fill="auto"/>
            <w:noWrap/>
            <w:vAlign w:val="center"/>
          </w:tcPr>
          <w:p w14:paraId="748D8859"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tcPr>
          <w:p w14:paraId="74B4BB62"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-0.084</w:t>
            </w:r>
          </w:p>
        </w:tc>
        <w:tc>
          <w:tcPr>
            <w:tcW w:w="884" w:type="dxa"/>
            <w:tcBorders>
              <w:top w:val="nil"/>
              <w:left w:val="nil"/>
              <w:bottom w:val="single" w:sz="4" w:space="0" w:color="auto"/>
              <w:right w:val="double" w:sz="4" w:space="0" w:color="auto"/>
            </w:tcBorders>
            <w:shd w:val="clear" w:color="auto" w:fill="auto"/>
            <w:noWrap/>
            <w:vAlign w:val="center"/>
          </w:tcPr>
          <w:p w14:paraId="5485A4F2"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-2.380</w:t>
            </w:r>
          </w:p>
        </w:tc>
      </w:tr>
      <w:tr w:rsidR="006B07E9" w:rsidRPr="00350D02" w14:paraId="15010A59" w14:textId="77777777" w:rsidTr="004601C9">
        <w:trPr>
          <w:trHeight w:val="300"/>
        </w:trPr>
        <w:tc>
          <w:tcPr>
            <w:tcW w:w="1965" w:type="dxa"/>
            <w:tcBorders>
              <w:top w:val="nil"/>
              <w:left w:val="double" w:sz="4" w:space="0" w:color="auto"/>
              <w:bottom w:val="single" w:sz="4" w:space="0" w:color="auto"/>
              <w:right w:val="single" w:sz="4" w:space="0" w:color="auto"/>
            </w:tcBorders>
            <w:shd w:val="clear" w:color="auto" w:fill="auto"/>
            <w:noWrap/>
            <w:vAlign w:val="center"/>
            <w:hideMark/>
          </w:tcPr>
          <w:p w14:paraId="2D3F1D86" w14:textId="77777777" w:rsidR="006B07E9" w:rsidRPr="00350D02" w:rsidRDefault="006B07E9" w:rsidP="004601C9">
            <w:pPr>
              <w:ind w:left="150"/>
              <w:jc w:val="left"/>
              <w:rPr>
                <w:rFonts w:eastAsia="Times New Roman" w:cs="Times New Roman"/>
                <w:color w:val="000000"/>
                <w:sz w:val="20"/>
                <w:szCs w:val="20"/>
              </w:rPr>
            </w:pPr>
            <w:r w:rsidRPr="00350D02">
              <w:rPr>
                <w:rFonts w:eastAsia="Times New Roman" w:cs="Times New Roman"/>
                <w:color w:val="000000"/>
                <w:sz w:val="20"/>
                <w:szCs w:val="20"/>
              </w:rPr>
              <w:t>Motorcycle user</w:t>
            </w:r>
            <w:r>
              <w:rPr>
                <w:rFonts w:eastAsia="Times New Roman" w:cs="Times New Roman"/>
                <w:color w:val="000000"/>
                <w:sz w:val="20"/>
                <w:szCs w:val="20"/>
              </w:rPr>
              <w:t>s (1)</w:t>
            </w:r>
          </w:p>
        </w:tc>
        <w:tc>
          <w:tcPr>
            <w:tcW w:w="916" w:type="dxa"/>
            <w:tcBorders>
              <w:top w:val="nil"/>
              <w:left w:val="nil"/>
              <w:bottom w:val="single" w:sz="4" w:space="0" w:color="auto"/>
              <w:right w:val="single" w:sz="4" w:space="0" w:color="auto"/>
            </w:tcBorders>
            <w:shd w:val="clear" w:color="auto" w:fill="auto"/>
            <w:noWrap/>
            <w:vAlign w:val="center"/>
            <w:hideMark/>
          </w:tcPr>
          <w:p w14:paraId="695C6024"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879" w:type="dxa"/>
            <w:tcBorders>
              <w:top w:val="nil"/>
              <w:left w:val="nil"/>
              <w:bottom w:val="single" w:sz="4" w:space="0" w:color="auto"/>
              <w:right w:val="single" w:sz="4" w:space="0" w:color="auto"/>
            </w:tcBorders>
            <w:shd w:val="clear" w:color="auto" w:fill="auto"/>
            <w:noWrap/>
            <w:vAlign w:val="center"/>
            <w:hideMark/>
          </w:tcPr>
          <w:p w14:paraId="17E12357"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hideMark/>
          </w:tcPr>
          <w:p w14:paraId="3315876A"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0.134</w:t>
            </w:r>
          </w:p>
        </w:tc>
        <w:tc>
          <w:tcPr>
            <w:tcW w:w="900" w:type="dxa"/>
            <w:tcBorders>
              <w:top w:val="nil"/>
              <w:left w:val="nil"/>
              <w:bottom w:val="single" w:sz="4" w:space="0" w:color="auto"/>
              <w:right w:val="single" w:sz="4" w:space="0" w:color="auto"/>
            </w:tcBorders>
            <w:shd w:val="clear" w:color="auto" w:fill="auto"/>
            <w:noWrap/>
            <w:vAlign w:val="center"/>
            <w:hideMark/>
          </w:tcPr>
          <w:p w14:paraId="5BF8B9EF"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2.354</w:t>
            </w:r>
          </w:p>
        </w:tc>
        <w:tc>
          <w:tcPr>
            <w:tcW w:w="916" w:type="dxa"/>
            <w:tcBorders>
              <w:top w:val="nil"/>
              <w:left w:val="nil"/>
              <w:bottom w:val="single" w:sz="4" w:space="0" w:color="auto"/>
              <w:right w:val="single" w:sz="4" w:space="0" w:color="auto"/>
            </w:tcBorders>
            <w:shd w:val="clear" w:color="auto" w:fill="auto"/>
            <w:noWrap/>
            <w:vAlign w:val="center"/>
            <w:hideMark/>
          </w:tcPr>
          <w:p w14:paraId="7001EA27"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1480BC54"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hideMark/>
          </w:tcPr>
          <w:p w14:paraId="29C59432"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1BD3060D"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hideMark/>
          </w:tcPr>
          <w:p w14:paraId="099BE9EE"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31" w:type="dxa"/>
            <w:tcBorders>
              <w:top w:val="nil"/>
              <w:left w:val="nil"/>
              <w:bottom w:val="single" w:sz="4" w:space="0" w:color="auto"/>
              <w:right w:val="single" w:sz="4" w:space="0" w:color="auto"/>
            </w:tcBorders>
            <w:shd w:val="clear" w:color="auto" w:fill="auto"/>
            <w:noWrap/>
            <w:vAlign w:val="center"/>
            <w:hideMark/>
          </w:tcPr>
          <w:p w14:paraId="3D6A14B2"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hideMark/>
          </w:tcPr>
          <w:p w14:paraId="29A8C436"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884" w:type="dxa"/>
            <w:tcBorders>
              <w:top w:val="nil"/>
              <w:left w:val="nil"/>
              <w:bottom w:val="single" w:sz="4" w:space="0" w:color="auto"/>
              <w:right w:val="double" w:sz="4" w:space="0" w:color="auto"/>
            </w:tcBorders>
            <w:shd w:val="clear" w:color="auto" w:fill="auto"/>
            <w:noWrap/>
            <w:vAlign w:val="center"/>
            <w:hideMark/>
          </w:tcPr>
          <w:p w14:paraId="4A7C1366"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r>
      <w:tr w:rsidR="006B07E9" w:rsidRPr="00350D02" w14:paraId="0915F9FB" w14:textId="77777777" w:rsidTr="004601C9">
        <w:trPr>
          <w:trHeight w:val="300"/>
        </w:trPr>
        <w:tc>
          <w:tcPr>
            <w:tcW w:w="1965" w:type="dxa"/>
            <w:tcBorders>
              <w:top w:val="nil"/>
              <w:left w:val="double" w:sz="4" w:space="0" w:color="auto"/>
              <w:bottom w:val="single" w:sz="4" w:space="0" w:color="auto"/>
              <w:right w:val="single" w:sz="4" w:space="0" w:color="auto"/>
            </w:tcBorders>
            <w:shd w:val="clear" w:color="auto" w:fill="auto"/>
            <w:noWrap/>
            <w:vAlign w:val="center"/>
          </w:tcPr>
          <w:p w14:paraId="63F6A716" w14:textId="77777777" w:rsidR="006B07E9" w:rsidRPr="00350D02" w:rsidRDefault="006B07E9" w:rsidP="004601C9">
            <w:pPr>
              <w:ind w:left="150"/>
              <w:jc w:val="left"/>
              <w:rPr>
                <w:rFonts w:eastAsia="Times New Roman" w:cs="Times New Roman"/>
                <w:color w:val="000000"/>
                <w:sz w:val="20"/>
                <w:szCs w:val="20"/>
              </w:rPr>
            </w:pPr>
            <w:r w:rsidRPr="00350D02">
              <w:rPr>
                <w:rFonts w:eastAsia="Times New Roman" w:cs="Times New Roman"/>
                <w:color w:val="000000"/>
                <w:sz w:val="20"/>
                <w:szCs w:val="20"/>
              </w:rPr>
              <w:t>Proportion of older people (65+)</w:t>
            </w:r>
            <w:r>
              <w:rPr>
                <w:rFonts w:eastAsia="Times New Roman" w:cs="Times New Roman"/>
                <w:color w:val="000000"/>
                <w:sz w:val="20"/>
                <w:szCs w:val="20"/>
              </w:rPr>
              <w:t xml:space="preserve"> (1)</w:t>
            </w:r>
          </w:p>
        </w:tc>
        <w:tc>
          <w:tcPr>
            <w:tcW w:w="916" w:type="dxa"/>
            <w:tcBorders>
              <w:top w:val="nil"/>
              <w:left w:val="nil"/>
              <w:bottom w:val="single" w:sz="4" w:space="0" w:color="auto"/>
              <w:right w:val="single" w:sz="4" w:space="0" w:color="auto"/>
            </w:tcBorders>
            <w:shd w:val="clear" w:color="auto" w:fill="auto"/>
            <w:noWrap/>
            <w:vAlign w:val="center"/>
          </w:tcPr>
          <w:p w14:paraId="0874DE06"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879" w:type="dxa"/>
            <w:tcBorders>
              <w:top w:val="nil"/>
              <w:left w:val="nil"/>
              <w:bottom w:val="single" w:sz="4" w:space="0" w:color="auto"/>
              <w:right w:val="single" w:sz="4" w:space="0" w:color="auto"/>
            </w:tcBorders>
            <w:shd w:val="clear" w:color="auto" w:fill="auto"/>
            <w:noWrap/>
            <w:vAlign w:val="center"/>
          </w:tcPr>
          <w:p w14:paraId="0676364B"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tcPr>
          <w:p w14:paraId="000D91E0"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23A1DB73"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tcPr>
          <w:p w14:paraId="136C908A"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46F1C35E"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tcPr>
          <w:p w14:paraId="43E0C0B2"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204D3473"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tcPr>
          <w:p w14:paraId="4CE1D3B4"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31" w:type="dxa"/>
            <w:tcBorders>
              <w:top w:val="nil"/>
              <w:left w:val="nil"/>
              <w:bottom w:val="single" w:sz="4" w:space="0" w:color="auto"/>
              <w:right w:val="single" w:sz="4" w:space="0" w:color="auto"/>
            </w:tcBorders>
            <w:shd w:val="clear" w:color="auto" w:fill="auto"/>
            <w:noWrap/>
            <w:vAlign w:val="center"/>
          </w:tcPr>
          <w:p w14:paraId="0E837583"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tcPr>
          <w:p w14:paraId="643FE340"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-0.460</w:t>
            </w:r>
          </w:p>
        </w:tc>
        <w:tc>
          <w:tcPr>
            <w:tcW w:w="884" w:type="dxa"/>
            <w:tcBorders>
              <w:top w:val="nil"/>
              <w:left w:val="nil"/>
              <w:bottom w:val="single" w:sz="4" w:space="0" w:color="auto"/>
              <w:right w:val="double" w:sz="4" w:space="0" w:color="auto"/>
            </w:tcBorders>
            <w:shd w:val="clear" w:color="auto" w:fill="auto"/>
            <w:noWrap/>
            <w:vAlign w:val="center"/>
          </w:tcPr>
          <w:p w14:paraId="01FE0517"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-2.045</w:t>
            </w:r>
          </w:p>
        </w:tc>
      </w:tr>
      <w:tr w:rsidR="006B07E9" w:rsidRPr="00350D02" w14:paraId="4483E9F1" w14:textId="77777777" w:rsidTr="004601C9">
        <w:trPr>
          <w:trHeight w:val="300"/>
        </w:trPr>
        <w:tc>
          <w:tcPr>
            <w:tcW w:w="1965" w:type="dxa"/>
            <w:tcBorders>
              <w:top w:val="nil"/>
              <w:left w:val="double" w:sz="4" w:space="0" w:color="auto"/>
              <w:bottom w:val="double" w:sz="4" w:space="0" w:color="auto"/>
              <w:right w:val="single" w:sz="4" w:space="0" w:color="auto"/>
            </w:tcBorders>
            <w:shd w:val="clear" w:color="auto" w:fill="auto"/>
            <w:noWrap/>
            <w:vAlign w:val="center"/>
          </w:tcPr>
          <w:p w14:paraId="2B23D59F" w14:textId="77777777" w:rsidR="006B07E9" w:rsidRPr="00350D02" w:rsidRDefault="006B07E9" w:rsidP="004601C9">
            <w:pPr>
              <w:ind w:left="150"/>
              <w:jc w:val="left"/>
              <w:rPr>
                <w:rFonts w:eastAsia="Times New Roman" w:cs="Times New Roman"/>
                <w:color w:val="000000"/>
                <w:sz w:val="20"/>
                <w:szCs w:val="20"/>
              </w:rPr>
            </w:pPr>
            <w:r w:rsidRPr="00350D02">
              <w:rPr>
                <w:rFonts w:eastAsia="Times New Roman" w:cs="Times New Roman"/>
                <w:color w:val="000000"/>
                <w:sz w:val="20"/>
                <w:szCs w:val="20"/>
              </w:rPr>
              <w:t>Household with no cars</w:t>
            </w:r>
            <w:r>
              <w:rPr>
                <w:rFonts w:eastAsia="Times New Roman" w:cs="Times New Roman"/>
                <w:color w:val="000000"/>
                <w:sz w:val="20"/>
                <w:szCs w:val="20"/>
              </w:rPr>
              <w:t xml:space="preserve"> (1)</w:t>
            </w:r>
          </w:p>
        </w:tc>
        <w:tc>
          <w:tcPr>
            <w:tcW w:w="916" w:type="dxa"/>
            <w:tcBorders>
              <w:top w:val="nil"/>
              <w:left w:val="nil"/>
              <w:bottom w:val="double" w:sz="4" w:space="0" w:color="auto"/>
              <w:right w:val="single" w:sz="4" w:space="0" w:color="auto"/>
            </w:tcBorders>
            <w:shd w:val="clear" w:color="auto" w:fill="auto"/>
            <w:noWrap/>
            <w:vAlign w:val="center"/>
          </w:tcPr>
          <w:p w14:paraId="18C71184"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879" w:type="dxa"/>
            <w:tcBorders>
              <w:top w:val="nil"/>
              <w:left w:val="nil"/>
              <w:bottom w:val="double" w:sz="4" w:space="0" w:color="auto"/>
              <w:right w:val="single" w:sz="4" w:space="0" w:color="auto"/>
            </w:tcBorders>
            <w:shd w:val="clear" w:color="auto" w:fill="auto"/>
            <w:noWrap/>
            <w:vAlign w:val="center"/>
          </w:tcPr>
          <w:p w14:paraId="27F7BA9A"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nil"/>
              <w:left w:val="nil"/>
              <w:bottom w:val="double" w:sz="4" w:space="0" w:color="auto"/>
              <w:right w:val="single" w:sz="4" w:space="0" w:color="auto"/>
            </w:tcBorders>
            <w:shd w:val="clear" w:color="auto" w:fill="auto"/>
            <w:noWrap/>
            <w:vAlign w:val="center"/>
          </w:tcPr>
          <w:p w14:paraId="65BE6645"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nil"/>
              <w:left w:val="nil"/>
              <w:bottom w:val="double" w:sz="4" w:space="0" w:color="auto"/>
              <w:right w:val="single" w:sz="4" w:space="0" w:color="auto"/>
            </w:tcBorders>
            <w:shd w:val="clear" w:color="auto" w:fill="auto"/>
            <w:noWrap/>
            <w:vAlign w:val="center"/>
          </w:tcPr>
          <w:p w14:paraId="54664FBA"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nil"/>
              <w:left w:val="nil"/>
              <w:bottom w:val="double" w:sz="4" w:space="0" w:color="auto"/>
              <w:right w:val="single" w:sz="4" w:space="0" w:color="auto"/>
            </w:tcBorders>
            <w:shd w:val="clear" w:color="auto" w:fill="auto"/>
            <w:noWrap/>
            <w:vAlign w:val="center"/>
          </w:tcPr>
          <w:p w14:paraId="740D6EE1"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nil"/>
              <w:left w:val="nil"/>
              <w:bottom w:val="double" w:sz="4" w:space="0" w:color="auto"/>
              <w:right w:val="single" w:sz="4" w:space="0" w:color="auto"/>
            </w:tcBorders>
            <w:shd w:val="clear" w:color="auto" w:fill="auto"/>
            <w:noWrap/>
            <w:vAlign w:val="center"/>
          </w:tcPr>
          <w:p w14:paraId="4263A58C"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nil"/>
              <w:left w:val="nil"/>
              <w:bottom w:val="double" w:sz="4" w:space="0" w:color="auto"/>
              <w:right w:val="single" w:sz="4" w:space="0" w:color="auto"/>
            </w:tcBorders>
            <w:shd w:val="clear" w:color="auto" w:fill="auto"/>
            <w:noWrap/>
            <w:vAlign w:val="center"/>
          </w:tcPr>
          <w:p w14:paraId="03D2D6C9"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00" w:type="dxa"/>
            <w:tcBorders>
              <w:top w:val="nil"/>
              <w:left w:val="nil"/>
              <w:bottom w:val="double" w:sz="4" w:space="0" w:color="auto"/>
              <w:right w:val="single" w:sz="4" w:space="0" w:color="auto"/>
            </w:tcBorders>
            <w:shd w:val="clear" w:color="auto" w:fill="auto"/>
            <w:noWrap/>
            <w:vAlign w:val="center"/>
          </w:tcPr>
          <w:p w14:paraId="4A869836"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tcBorders>
              <w:top w:val="nil"/>
              <w:left w:val="nil"/>
              <w:bottom w:val="double" w:sz="4" w:space="0" w:color="auto"/>
              <w:right w:val="single" w:sz="4" w:space="0" w:color="auto"/>
            </w:tcBorders>
            <w:shd w:val="clear" w:color="auto" w:fill="auto"/>
            <w:noWrap/>
            <w:vAlign w:val="center"/>
          </w:tcPr>
          <w:p w14:paraId="288A3C7D"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31" w:type="dxa"/>
            <w:tcBorders>
              <w:top w:val="nil"/>
              <w:left w:val="nil"/>
              <w:bottom w:val="double" w:sz="4" w:space="0" w:color="auto"/>
              <w:right w:val="single" w:sz="4" w:space="0" w:color="auto"/>
            </w:tcBorders>
            <w:shd w:val="clear" w:color="auto" w:fill="auto"/>
            <w:noWrap/>
            <w:vAlign w:val="center"/>
          </w:tcPr>
          <w:p w14:paraId="5A3F5E53" w14:textId="77777777" w:rsidR="006B07E9" w:rsidRPr="00350D02" w:rsidRDefault="006B07E9" w:rsidP="004601C9">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nil"/>
              <w:left w:val="nil"/>
              <w:bottom w:val="double" w:sz="4" w:space="0" w:color="auto"/>
              <w:right w:val="single" w:sz="4" w:space="0" w:color="auto"/>
            </w:tcBorders>
            <w:shd w:val="clear" w:color="auto" w:fill="auto"/>
            <w:noWrap/>
            <w:vAlign w:val="center"/>
          </w:tcPr>
          <w:p w14:paraId="4C128AF7"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0.060</w:t>
            </w:r>
          </w:p>
        </w:tc>
        <w:tc>
          <w:tcPr>
            <w:tcW w:w="884" w:type="dxa"/>
            <w:tcBorders>
              <w:top w:val="nil"/>
              <w:left w:val="nil"/>
              <w:bottom w:val="double" w:sz="4" w:space="0" w:color="auto"/>
              <w:right w:val="double" w:sz="4" w:space="0" w:color="auto"/>
            </w:tcBorders>
            <w:shd w:val="clear" w:color="auto" w:fill="auto"/>
            <w:noWrap/>
            <w:vAlign w:val="center"/>
          </w:tcPr>
          <w:p w14:paraId="7E6A0662" w14:textId="77777777" w:rsidR="006B07E9" w:rsidRPr="00350D02" w:rsidRDefault="006B07E9" w:rsidP="004601C9">
            <w:pPr>
              <w:jc w:val="center"/>
              <w:rPr>
                <w:rFonts w:cs="Times New Roman"/>
                <w:color w:val="000000"/>
                <w:sz w:val="20"/>
                <w:szCs w:val="20"/>
              </w:rPr>
            </w:pPr>
            <w:r w:rsidRPr="00C06FAC">
              <w:rPr>
                <w:rFonts w:cs="Times New Roman"/>
                <w:color w:val="000000"/>
                <w:sz w:val="20"/>
                <w:szCs w:val="20"/>
              </w:rPr>
              <w:t>2.368</w:t>
            </w:r>
          </w:p>
        </w:tc>
      </w:tr>
    </w:tbl>
    <w:p w14:paraId="5258FB94" w14:textId="77777777" w:rsidR="006B07E9" w:rsidRPr="00F56EC8" w:rsidRDefault="006B07E9" w:rsidP="006B07E9">
      <w:pPr>
        <w:rPr>
          <w:sz w:val="20"/>
          <w:szCs w:val="18"/>
          <w:lang w:val="en-US"/>
        </w:rPr>
      </w:pPr>
      <w:r w:rsidRPr="00EC79A3">
        <w:rPr>
          <w:sz w:val="20"/>
          <w:szCs w:val="20"/>
        </w:rPr>
        <w:t>*np=</w:t>
      </w:r>
      <w:r w:rsidRPr="00F56EC8">
        <w:rPr>
          <w:szCs w:val="24"/>
        </w:rPr>
        <w:t xml:space="preserve"> </w:t>
      </w:r>
      <w:r w:rsidRPr="00F56EC8">
        <w:rPr>
          <w:sz w:val="20"/>
          <w:szCs w:val="18"/>
          <w:lang w:val="en-US"/>
        </w:rPr>
        <w:t>number of parameters estimated for each variable from a possible set of six</w:t>
      </w:r>
      <w:r>
        <w:rPr>
          <w:sz w:val="20"/>
          <w:szCs w:val="18"/>
          <w:lang w:val="en-US"/>
        </w:rPr>
        <w:t xml:space="preserve"> (six crash types)</w:t>
      </w:r>
    </w:p>
    <w:p w14:paraId="3AB84D3C" w14:textId="5B4EE765" w:rsidR="006B07E9" w:rsidRDefault="006B07E9" w:rsidP="006B07E9">
      <w:pPr>
        <w:rPr>
          <w:sz w:val="20"/>
          <w:szCs w:val="18"/>
          <w:lang w:val="en-US"/>
        </w:rPr>
      </w:pPr>
      <w:r w:rsidRPr="006373A2">
        <w:rPr>
          <w:rStyle w:val="FootnoteReference"/>
          <w:sz w:val="20"/>
          <w:szCs w:val="18"/>
        </w:rPr>
        <w:footnoteRef/>
      </w:r>
      <w:r w:rsidRPr="006373A2">
        <w:rPr>
          <w:sz w:val="20"/>
          <w:szCs w:val="18"/>
        </w:rPr>
        <w:t xml:space="preserve"> </w:t>
      </w:r>
      <w:r w:rsidRPr="006373A2">
        <w:rPr>
          <w:sz w:val="20"/>
          <w:szCs w:val="18"/>
          <w:lang w:val="en-US"/>
        </w:rPr>
        <w:t xml:space="preserve">--= attribute insignificant at 90% </w:t>
      </w:r>
      <w:r>
        <w:rPr>
          <w:sz w:val="20"/>
          <w:szCs w:val="18"/>
          <w:lang w:val="en-US"/>
        </w:rPr>
        <w:t>confidence</w:t>
      </w:r>
      <w:r w:rsidRPr="006373A2">
        <w:rPr>
          <w:sz w:val="20"/>
          <w:szCs w:val="18"/>
          <w:lang w:val="en-US"/>
        </w:rPr>
        <w:t xml:space="preserve"> level</w:t>
      </w:r>
    </w:p>
    <w:p w14:paraId="0145A0DA" w14:textId="77777777" w:rsidR="006B07E9" w:rsidRDefault="006B07E9" w:rsidP="00DF6193">
      <w:pPr>
        <w:rPr>
          <w:szCs w:val="24"/>
        </w:rPr>
        <w:sectPr w:rsidR="006B07E9" w:rsidSect="006B07E9">
          <w:pgSz w:w="15840" w:h="12240" w:orient="landscape" w:code="1"/>
          <w:pgMar w:top="1469" w:right="1440" w:bottom="1440" w:left="1440" w:header="720" w:footer="720" w:gutter="0"/>
          <w:cols w:space="708"/>
          <w:titlePg/>
          <w:docGrid w:linePitch="360"/>
        </w:sectPr>
      </w:pPr>
    </w:p>
    <w:p w14:paraId="19D119C5" w14:textId="0326AB84" w:rsidR="00DF6193" w:rsidRPr="00160B69" w:rsidRDefault="00DF6193" w:rsidP="00DF6193">
      <w:pPr>
        <w:rPr>
          <w:szCs w:val="24"/>
        </w:rPr>
      </w:pPr>
      <w:r>
        <w:rPr>
          <w:szCs w:val="24"/>
        </w:rPr>
        <w:lastRenderedPageBreak/>
        <w:t xml:space="preserve">bound to increase (decrease). </w:t>
      </w:r>
      <w:r w:rsidR="0070582D">
        <w:rPr>
          <w:szCs w:val="24"/>
        </w:rPr>
        <w:t>T</w:t>
      </w:r>
      <w:r>
        <w:rPr>
          <w:szCs w:val="24"/>
        </w:rPr>
        <w:t>he estimation results are discussed by variable groups</w:t>
      </w:r>
      <w:r w:rsidR="00AE328D">
        <w:rPr>
          <w:szCs w:val="24"/>
        </w:rPr>
        <w:t xml:space="preserve"> in the following sections.</w:t>
      </w:r>
      <w:r w:rsidR="00B67ABB">
        <w:rPr>
          <w:szCs w:val="24"/>
        </w:rPr>
        <w:t xml:space="preserve"> The reader would note that Table </w:t>
      </w:r>
      <w:r w:rsidR="006E11C4">
        <w:rPr>
          <w:szCs w:val="24"/>
        </w:rPr>
        <w:t>5</w:t>
      </w:r>
      <w:r w:rsidR="00B67ABB">
        <w:rPr>
          <w:szCs w:val="24"/>
        </w:rPr>
        <w:t xml:space="preserve"> identifies the number of parameters estimated for each variable from a possible set of </w:t>
      </w:r>
      <w:r w:rsidR="00410D33">
        <w:rPr>
          <w:szCs w:val="24"/>
        </w:rPr>
        <w:t xml:space="preserve">six </w:t>
      </w:r>
      <w:r w:rsidR="00B67ABB">
        <w:rPr>
          <w:szCs w:val="24"/>
        </w:rPr>
        <w:t xml:space="preserve">(one effect for each </w:t>
      </w:r>
      <w:r w:rsidR="00410D33">
        <w:rPr>
          <w:szCs w:val="24"/>
        </w:rPr>
        <w:t>crash type</w:t>
      </w:r>
      <w:r w:rsidR="00B67ABB">
        <w:rPr>
          <w:szCs w:val="24"/>
        </w:rPr>
        <w:t xml:space="preserve">). </w:t>
      </w:r>
    </w:p>
    <w:p w14:paraId="254139BF" w14:textId="71733920" w:rsidR="002C77A8" w:rsidRDefault="002C77A8" w:rsidP="0053038C">
      <w:pPr>
        <w:rPr>
          <w:sz w:val="23"/>
          <w:szCs w:val="23"/>
        </w:rPr>
      </w:pPr>
    </w:p>
    <w:p w14:paraId="053C8420" w14:textId="629F0172" w:rsidR="00461420" w:rsidRDefault="00E80AAC" w:rsidP="00461420">
      <w:r w:rsidRPr="00B30657">
        <w:rPr>
          <w:rStyle w:val="Heading4Char"/>
        </w:rPr>
        <w:t>Roadway Characteristics:</w:t>
      </w:r>
      <w:r w:rsidR="00B30657" w:rsidRPr="00B30657">
        <w:rPr>
          <w:szCs w:val="24"/>
        </w:rPr>
        <w:t xml:space="preserve"> </w:t>
      </w:r>
      <w:r w:rsidR="00897CFD" w:rsidRPr="00897CFD">
        <w:rPr>
          <w:szCs w:val="24"/>
        </w:rPr>
        <w:t>The variable specific to arterial road indicates that the likelihood of more severe crashes</w:t>
      </w:r>
      <w:r w:rsidR="00E6755B">
        <w:rPr>
          <w:szCs w:val="24"/>
        </w:rPr>
        <w:t xml:space="preserve"> (proportions)</w:t>
      </w:r>
      <w:r w:rsidR="00897CFD" w:rsidRPr="00897CFD">
        <w:rPr>
          <w:szCs w:val="24"/>
        </w:rPr>
        <w:t xml:space="preserve"> increases with increasing share</w:t>
      </w:r>
      <w:r w:rsidR="000E65BB">
        <w:rPr>
          <w:szCs w:val="24"/>
        </w:rPr>
        <w:t xml:space="preserve"> (length)</w:t>
      </w:r>
      <w:r w:rsidR="00897CFD" w:rsidRPr="00897CFD">
        <w:rPr>
          <w:szCs w:val="24"/>
        </w:rPr>
        <w:t xml:space="preserve"> of arterial road in </w:t>
      </w:r>
      <w:r w:rsidR="00FE1870">
        <w:rPr>
          <w:szCs w:val="24"/>
        </w:rPr>
        <w:t xml:space="preserve">a </w:t>
      </w:r>
      <w:r w:rsidR="00897CFD" w:rsidRPr="00897CFD">
        <w:rPr>
          <w:szCs w:val="24"/>
        </w:rPr>
        <w:t xml:space="preserve">zone, particularly for rear-end, angular and single vehicle crashes.  </w:t>
      </w:r>
      <w:r w:rsidR="00501552">
        <w:rPr>
          <w:szCs w:val="24"/>
        </w:rPr>
        <w:t>Further, we found a</w:t>
      </w:r>
      <w:r w:rsidR="0066438D">
        <w:rPr>
          <w:szCs w:val="24"/>
        </w:rPr>
        <w:t>n</w:t>
      </w:r>
      <w:r w:rsidR="00501552">
        <w:rPr>
          <w:szCs w:val="24"/>
        </w:rPr>
        <w:t xml:space="preserve"> effect of arterial road on threshold value for rear-end crashes which </w:t>
      </w:r>
      <w:r w:rsidR="00897CFD">
        <w:rPr>
          <w:szCs w:val="24"/>
        </w:rPr>
        <w:t xml:space="preserve">provide a sense of how the probability of injury in specific injury categories is affected relative to the case of fixed </w:t>
      </w:r>
      <w:r w:rsidR="00501552">
        <w:rPr>
          <w:szCs w:val="24"/>
        </w:rPr>
        <w:t>thresholds</w:t>
      </w:r>
      <w:r w:rsidR="00897CFD">
        <w:rPr>
          <w:szCs w:val="24"/>
        </w:rPr>
        <w:t>.</w:t>
      </w:r>
      <w:r w:rsidR="00FE1870">
        <w:rPr>
          <w:szCs w:val="24"/>
        </w:rPr>
        <w:t xml:space="preserve"> </w:t>
      </w:r>
      <w:r w:rsidR="0028132B">
        <w:t xml:space="preserve">The negative coefficient of the variable on the threshold </w:t>
      </w:r>
      <w:r w:rsidR="000170D0">
        <w:t xml:space="preserve">value </w:t>
      </w:r>
      <w:r w:rsidR="0028132B">
        <w:t xml:space="preserve">highlights the </w:t>
      </w:r>
      <w:r w:rsidR="00804B3B">
        <w:t>higher</w:t>
      </w:r>
      <w:r w:rsidR="008619F8">
        <w:t xml:space="preserve"> </w:t>
      </w:r>
      <w:r w:rsidR="00050BE8">
        <w:t>proportions</w:t>
      </w:r>
      <w:r w:rsidR="008619F8">
        <w:t xml:space="preserve"> of </w:t>
      </w:r>
      <w:r w:rsidR="00804B3B">
        <w:t>serious</w:t>
      </w:r>
      <w:r w:rsidR="008619F8">
        <w:t xml:space="preserve"> injury</w:t>
      </w:r>
      <w:r w:rsidR="00804B3B">
        <w:t xml:space="preserve"> (</w:t>
      </w:r>
      <w:r w:rsidR="0070582D">
        <w:t>n</w:t>
      </w:r>
      <w:r w:rsidR="00804B3B">
        <w:t xml:space="preserve">on-incapacitating or severe) </w:t>
      </w:r>
      <w:r w:rsidR="008619F8">
        <w:t>crash</w:t>
      </w:r>
      <w:r w:rsidR="00050BE8">
        <w:t>es</w:t>
      </w:r>
      <w:r w:rsidR="008619F8">
        <w:t xml:space="preserve"> for rear-end </w:t>
      </w:r>
      <w:r w:rsidR="0070582D">
        <w:t>crash</w:t>
      </w:r>
      <w:r w:rsidR="00B67ABB">
        <w:t>es</w:t>
      </w:r>
      <w:r w:rsidR="0070582D">
        <w:t xml:space="preserve"> </w:t>
      </w:r>
      <w:r w:rsidR="008619F8">
        <w:t>with increased length of arterial road</w:t>
      </w:r>
      <w:r w:rsidR="000421C1">
        <w:t>s</w:t>
      </w:r>
      <w:r w:rsidR="008619F8">
        <w:t xml:space="preserve">. </w:t>
      </w:r>
      <w:r w:rsidR="00FE7247">
        <w:t xml:space="preserve">Moreover, it can be seen from </w:t>
      </w:r>
      <w:r w:rsidR="00B12290">
        <w:t>T</w:t>
      </w:r>
      <w:r w:rsidR="00FE7247">
        <w:t xml:space="preserve">able </w:t>
      </w:r>
      <w:r w:rsidR="006E11C4">
        <w:t>5</w:t>
      </w:r>
      <w:r w:rsidR="00FE7247">
        <w:t xml:space="preserve"> that</w:t>
      </w:r>
      <w:r w:rsidR="009777F3">
        <w:t xml:space="preserve"> crashes on local road tends to be less severe for head-on and non-motorized crash types. </w:t>
      </w:r>
      <w:r w:rsidR="00E0560B">
        <w:t xml:space="preserve">The reduced likelihood of severe crashes for these two </w:t>
      </w:r>
      <w:r w:rsidR="002379B7">
        <w:t>crash</w:t>
      </w:r>
      <w:r w:rsidR="00E0560B">
        <w:t xml:space="preserve"> types perhaps can be attributed to reduced driving speed on local roads. </w:t>
      </w:r>
    </w:p>
    <w:p w14:paraId="6DB9D1FA" w14:textId="4DFEEF68" w:rsidR="00B12290" w:rsidRDefault="00E6755B" w:rsidP="00B17F96">
      <w:pPr>
        <w:ind w:firstLine="720"/>
      </w:pPr>
      <w:r>
        <w:t>With increased number of intersections in a zone, the possibility of being involved in a severe crash decreases, particularly for head-on and single vehicle crashes. Similarly</w:t>
      </w:r>
      <w:r w:rsidR="00050BE8">
        <w:t>, we find that higher number of traffic signals in a zone reduce the possibility</w:t>
      </w:r>
      <w:r>
        <w:t xml:space="preserve"> </w:t>
      </w:r>
      <w:r w:rsidR="005C3808">
        <w:t xml:space="preserve">of higher </w:t>
      </w:r>
      <w:r w:rsidR="002F755D">
        <w:t>injury risks</w:t>
      </w:r>
      <w:r w:rsidR="005C3808">
        <w:t xml:space="preserve"> for angular, sideswipe and head-on crashes. </w:t>
      </w:r>
      <w:r w:rsidR="00B655DA">
        <w:t xml:space="preserve">The results associated with both of these variables (intersection and signal) is potentially an indication </w:t>
      </w:r>
      <w:r w:rsidR="00B12290">
        <w:t xml:space="preserve">that </w:t>
      </w:r>
      <w:r w:rsidR="00336AAB">
        <w:t xml:space="preserve">denser and signalized zones </w:t>
      </w:r>
      <w:r w:rsidR="00B12290">
        <w:t>have a</w:t>
      </w:r>
      <w:r w:rsidR="00336AAB">
        <w:t xml:space="preserve"> lower </w:t>
      </w:r>
      <w:r w:rsidR="00B12290">
        <w:t xml:space="preserve">vehicle operating </w:t>
      </w:r>
      <w:r w:rsidR="00336AAB">
        <w:t xml:space="preserve">speed </w:t>
      </w:r>
      <w:r w:rsidR="00B12290">
        <w:t>reducing crash consequences</w:t>
      </w:r>
      <w:r w:rsidR="00336AAB">
        <w:t xml:space="preserve">. </w:t>
      </w:r>
      <w:r w:rsidR="00B12290">
        <w:t xml:space="preserve">Similar to the crash count components, </w:t>
      </w:r>
      <w:r w:rsidR="00AF5860">
        <w:t>the impact</w:t>
      </w:r>
      <w:r w:rsidR="00555F0D">
        <w:t>s</w:t>
      </w:r>
      <w:r w:rsidR="00AF5860">
        <w:t xml:space="preserve"> of intersection and traffic signal do not differ across crash types</w:t>
      </w:r>
      <w:r w:rsidR="00B12290">
        <w:t xml:space="preserve">; thus, we only estimate two parameters across the entire </w:t>
      </w:r>
      <w:r w:rsidR="007C42EA">
        <w:t>4</w:t>
      </w:r>
      <w:r w:rsidR="00B67ABB">
        <w:t xml:space="preserve"> </w:t>
      </w:r>
      <w:r w:rsidR="00555F0D">
        <w:t>dimensions</w:t>
      </w:r>
      <w:r w:rsidR="007C42EA">
        <w:t xml:space="preserve"> (4 crash types)</w:t>
      </w:r>
      <w:r w:rsidR="00555F0D">
        <w:t xml:space="preserve"> in the fractional split component</w:t>
      </w:r>
      <w:r w:rsidR="00B12290">
        <w:t xml:space="preserve">. </w:t>
      </w:r>
    </w:p>
    <w:p w14:paraId="229009FC" w14:textId="6B627C78" w:rsidR="00871C24" w:rsidRDefault="00E9196B" w:rsidP="00F30C3D">
      <w:pPr>
        <w:ind w:firstLine="720"/>
      </w:pPr>
      <w:r>
        <w:t xml:space="preserve">Wider shoulder in a road provides additional </w:t>
      </w:r>
      <w:r w:rsidR="00723597">
        <w:t xml:space="preserve">safety </w:t>
      </w:r>
      <w:r>
        <w:t xml:space="preserve">margin for vehicular </w:t>
      </w:r>
      <w:r w:rsidR="00C471F6">
        <w:t>maneuverability</w:t>
      </w:r>
      <w:r>
        <w:t xml:space="preserve"> and as expected, variables associated with it are found to have </w:t>
      </w:r>
      <w:r w:rsidR="00821D7C">
        <w:t xml:space="preserve">a </w:t>
      </w:r>
      <w:r>
        <w:t>negative influenc</w:t>
      </w:r>
      <w:r w:rsidR="00275C75">
        <w:t>e</w:t>
      </w:r>
      <w:r>
        <w:t xml:space="preserve"> on crash severity outcome. </w:t>
      </w:r>
      <w:r w:rsidR="003A0C2D">
        <w:t xml:space="preserve">While </w:t>
      </w:r>
      <w:r w:rsidR="0075216A">
        <w:t>an increase in average</w:t>
      </w:r>
      <w:r w:rsidR="003A0C2D">
        <w:t xml:space="preserve"> insider shoulder width decreases the possibility of severe crashe</w:t>
      </w:r>
      <w:r w:rsidR="00821D7C">
        <w:t>s</w:t>
      </w:r>
      <w:r w:rsidR="003A0C2D">
        <w:t xml:space="preserve"> for </w:t>
      </w:r>
      <w:r w:rsidR="006A5C8A">
        <w:t>sideswipe</w:t>
      </w:r>
      <w:r w:rsidR="00B67ABB">
        <w:t xml:space="preserve"> crash</w:t>
      </w:r>
      <w:r w:rsidR="006A5C8A">
        <w:t>es</w:t>
      </w:r>
      <w:r w:rsidR="003A0C2D">
        <w:t xml:space="preserve">, </w:t>
      </w:r>
      <w:r w:rsidR="00386429">
        <w:t xml:space="preserve">the likelihood of </w:t>
      </w:r>
      <w:r w:rsidR="0033563E">
        <w:t>higher injury risk for</w:t>
      </w:r>
      <w:r w:rsidR="00386429">
        <w:t xml:space="preserve"> rear-end crash</w:t>
      </w:r>
      <w:r w:rsidR="006156DB">
        <w:t>es</w:t>
      </w:r>
      <w:r w:rsidR="00386429">
        <w:t xml:space="preserve"> </w:t>
      </w:r>
      <w:r w:rsidR="00821D7C">
        <w:t>reduces</w:t>
      </w:r>
      <w:r w:rsidR="00386429">
        <w:t xml:space="preserve"> with wider outside shoulder width. </w:t>
      </w:r>
      <w:r w:rsidR="005E1350">
        <w:t xml:space="preserve">In terms of roadway attributes, one of the most important </w:t>
      </w:r>
      <w:r w:rsidR="007278DE">
        <w:t>variables</w:t>
      </w:r>
      <w:r w:rsidR="005E1350">
        <w:t xml:space="preserve"> is speed </w:t>
      </w:r>
      <w:r w:rsidR="008370C5">
        <w:t xml:space="preserve">and consistent with previous research, we also find </w:t>
      </w:r>
      <w:r w:rsidR="00C82934">
        <w:t>speed to be a</w:t>
      </w:r>
      <w:r w:rsidR="00821D7C">
        <w:t>n important</w:t>
      </w:r>
      <w:r w:rsidR="00C82934">
        <w:t xml:space="preserve"> contributing factor for severe crash</w:t>
      </w:r>
      <w:r w:rsidR="00821D7C">
        <w:t>es</w:t>
      </w:r>
      <w:r w:rsidR="00C82934">
        <w:t xml:space="preserve"> for different </w:t>
      </w:r>
      <w:r w:rsidR="002379B7">
        <w:t>crash</w:t>
      </w:r>
      <w:r w:rsidR="00C82934">
        <w:t xml:space="preserve"> types. Specifically, </w:t>
      </w:r>
      <w:r w:rsidR="00553974">
        <w:t xml:space="preserve">zones with higher proportion of road over 55mph speed limit </w:t>
      </w:r>
      <w:r w:rsidR="002C2CFC">
        <w:t xml:space="preserve">are more </w:t>
      </w:r>
      <w:r w:rsidR="00147774">
        <w:t>likely</w:t>
      </w:r>
      <w:r w:rsidR="00553974">
        <w:t xml:space="preserve"> to </w:t>
      </w:r>
      <w:r w:rsidR="002C2CFC">
        <w:t>experience</w:t>
      </w:r>
      <w:r w:rsidR="00553974">
        <w:t xml:space="preserve"> higher proportion of severe crashes for </w:t>
      </w:r>
      <w:r w:rsidR="00553974">
        <w:rPr>
          <w:szCs w:val="24"/>
        </w:rPr>
        <w:t>five of the six crash types (except sideswipe crashes).</w:t>
      </w:r>
      <w:r w:rsidR="00342454">
        <w:rPr>
          <w:szCs w:val="24"/>
        </w:rPr>
        <w:t xml:space="preserve"> </w:t>
      </w:r>
      <w:r w:rsidR="00DF5BC2">
        <w:rPr>
          <w:szCs w:val="24"/>
        </w:rPr>
        <w:t xml:space="preserve">Further the negative sign </w:t>
      </w:r>
      <w:r w:rsidR="00DF5BC2">
        <w:t>of threshold demarcating the non-incapacitating and severe injury proportion indicates higher likelihood of severe crash proportion for rear-end and non-motorized</w:t>
      </w:r>
      <w:r w:rsidR="00494C80" w:rsidRPr="00494C80">
        <w:t xml:space="preserve"> </w:t>
      </w:r>
      <w:r w:rsidR="00494C80">
        <w:t>crashes with</w:t>
      </w:r>
      <w:r w:rsidR="00494C80" w:rsidRPr="00494C80">
        <w:t xml:space="preserve"> </w:t>
      </w:r>
      <w:r w:rsidR="00494C80">
        <w:t>increased share</w:t>
      </w:r>
      <w:r w:rsidR="006B65D9">
        <w:t xml:space="preserve"> of high speed (&gt;55mph) road in a zone. Finally, the parameter associated with proportion of road with poor pavement condition reflect</w:t>
      </w:r>
      <w:r w:rsidR="00821D7C">
        <w:t>s</w:t>
      </w:r>
      <w:r w:rsidR="006B65D9">
        <w:t xml:space="preserve"> the higher injury risk propensity for sideswipe crashes. </w:t>
      </w:r>
    </w:p>
    <w:p w14:paraId="6DA8063C" w14:textId="77777777" w:rsidR="00666ACC" w:rsidRDefault="00666ACC" w:rsidP="00871C24">
      <w:pPr>
        <w:jc w:val="left"/>
        <w:rPr>
          <w:b/>
        </w:rPr>
      </w:pPr>
    </w:p>
    <w:p w14:paraId="0FF8840D" w14:textId="788F2513" w:rsidR="002A4C38" w:rsidRDefault="002A4C38" w:rsidP="002A4C38">
      <w:r w:rsidRPr="00FF7C4C">
        <w:rPr>
          <w:rStyle w:val="Heading4Char"/>
        </w:rPr>
        <w:t>Traffic Characteristics:</w:t>
      </w:r>
      <w:r w:rsidRPr="007C26AC">
        <w:rPr>
          <w:szCs w:val="24"/>
        </w:rPr>
        <w:t xml:space="preserve"> </w:t>
      </w:r>
      <w:r w:rsidR="00555F0D">
        <w:rPr>
          <w:szCs w:val="24"/>
        </w:rPr>
        <w:t>T</w:t>
      </w:r>
      <w:r>
        <w:rPr>
          <w:szCs w:val="24"/>
        </w:rPr>
        <w:t>raffic congestion and truck VMT</w:t>
      </w:r>
      <w:r w:rsidRPr="0030523A">
        <w:rPr>
          <w:szCs w:val="24"/>
        </w:rPr>
        <w:t xml:space="preserve"> </w:t>
      </w:r>
      <w:r>
        <w:rPr>
          <w:szCs w:val="24"/>
        </w:rPr>
        <w:t xml:space="preserve">are found to have significant impact on crash proportions by severity levels for different crash types. As is evident from </w:t>
      </w:r>
      <w:r w:rsidR="00555F0D">
        <w:rPr>
          <w:szCs w:val="24"/>
        </w:rPr>
        <w:t>T</w:t>
      </w:r>
      <w:r>
        <w:rPr>
          <w:szCs w:val="24"/>
        </w:rPr>
        <w:t xml:space="preserve">able </w:t>
      </w:r>
      <w:r w:rsidR="006E11C4">
        <w:rPr>
          <w:szCs w:val="24"/>
        </w:rPr>
        <w:t>5</w:t>
      </w:r>
      <w:r>
        <w:rPr>
          <w:szCs w:val="24"/>
        </w:rPr>
        <w:t>, we can observe that roads are typically safer in a congested traffic environment. In particular, the likelihood of severe crash proportion for rear-end and angular crashes are lower in a congested traffic environment (&gt;85</w:t>
      </w:r>
      <w:r w:rsidRPr="005702FD">
        <w:rPr>
          <w:szCs w:val="24"/>
          <w:vertAlign w:val="superscript"/>
        </w:rPr>
        <w:t>th</w:t>
      </w:r>
      <w:r>
        <w:rPr>
          <w:szCs w:val="24"/>
        </w:rPr>
        <w:t xml:space="preserve"> percentile traffic) compared to the uncongested condition (&lt;=85</w:t>
      </w:r>
      <w:r w:rsidRPr="00D02318">
        <w:rPr>
          <w:szCs w:val="24"/>
          <w:vertAlign w:val="superscript"/>
        </w:rPr>
        <w:t>th</w:t>
      </w:r>
      <w:r>
        <w:rPr>
          <w:szCs w:val="24"/>
        </w:rPr>
        <w:t xml:space="preserve"> percentile traffic). </w:t>
      </w:r>
    </w:p>
    <w:p w14:paraId="4BEE9F11" w14:textId="77777777" w:rsidR="002A4C38" w:rsidRDefault="002A4C38" w:rsidP="002A4C38">
      <w:pPr>
        <w:ind w:firstLine="720"/>
      </w:pPr>
      <w:r>
        <w:rPr>
          <w:szCs w:val="24"/>
        </w:rPr>
        <w:t xml:space="preserve">Further, </w:t>
      </w:r>
      <w:r>
        <w:t xml:space="preserve">the impact of the variable on the </w:t>
      </w:r>
      <w:r w:rsidRPr="0096317E">
        <w:rPr>
          <w:noProof/>
        </w:rPr>
        <w:t>th</w:t>
      </w:r>
      <w:r>
        <w:rPr>
          <w:noProof/>
        </w:rPr>
        <w:t>re</w:t>
      </w:r>
      <w:r w:rsidRPr="0096317E">
        <w:rPr>
          <w:noProof/>
        </w:rPr>
        <w:t>shold</w:t>
      </w:r>
      <w:r>
        <w:t xml:space="preserve"> value for angular crashes implies a lower propensity of severe crash proportions in a gridlock situation. Moreover, the estimated result reveals a positive association between the truck VMT and the crash severity proportion, specifically for sideswipe and head-on crashes. </w:t>
      </w:r>
    </w:p>
    <w:p w14:paraId="1C593FCC" w14:textId="77777777" w:rsidR="002A4C38" w:rsidRDefault="002A4C38" w:rsidP="002A4C38"/>
    <w:p w14:paraId="6C997C2A" w14:textId="59259A46" w:rsidR="00A24B44" w:rsidRDefault="002A4C38" w:rsidP="002D2CBD">
      <w:pPr>
        <w:rPr>
          <w:szCs w:val="24"/>
        </w:rPr>
      </w:pPr>
      <w:r w:rsidRPr="00FF7C4C">
        <w:rPr>
          <w:rStyle w:val="Heading4Char"/>
        </w:rPr>
        <w:lastRenderedPageBreak/>
        <w:t>Land-use Attributes:</w:t>
      </w:r>
      <w:r w:rsidRPr="00FF7C4C">
        <w:rPr>
          <w:szCs w:val="24"/>
        </w:rPr>
        <w:t xml:space="preserve"> </w:t>
      </w:r>
      <w:r w:rsidRPr="00DD03D3">
        <w:rPr>
          <w:szCs w:val="24"/>
        </w:rPr>
        <w:t xml:space="preserve">With respect to land use attributes, urban area in a zone contributes negatively to injury severity propensity for sideswipe, head-on and single vehicle </w:t>
      </w:r>
      <w:r>
        <w:rPr>
          <w:szCs w:val="24"/>
        </w:rPr>
        <w:t>crashe</w:t>
      </w:r>
      <w:r w:rsidRPr="00DD03D3">
        <w:rPr>
          <w:szCs w:val="24"/>
        </w:rPr>
        <w:t>s</w:t>
      </w:r>
      <w:r>
        <w:rPr>
          <w:szCs w:val="24"/>
        </w:rPr>
        <w:t>, presumably because of the slower traffic on roadways in an urbanized environment. Further, the estimated results show that crash severity proportions are negatively associated with higher land use mix in a zone, particularly for rear-end and angular crashes</w:t>
      </w:r>
      <w:r w:rsidR="003D130C">
        <w:rPr>
          <w:szCs w:val="24"/>
        </w:rPr>
        <w:t>.</w:t>
      </w:r>
    </w:p>
    <w:p w14:paraId="6B3B62B6" w14:textId="77777777" w:rsidR="00A24B44" w:rsidRDefault="00A24B44" w:rsidP="002D2CBD">
      <w:pPr>
        <w:rPr>
          <w:szCs w:val="24"/>
        </w:rPr>
      </w:pPr>
    </w:p>
    <w:p w14:paraId="45A115A9" w14:textId="1D20CD25" w:rsidR="00AA6504" w:rsidRDefault="008874BD" w:rsidP="002D2CBD">
      <w:pPr>
        <w:rPr>
          <w:szCs w:val="24"/>
        </w:rPr>
      </w:pPr>
      <w:r w:rsidRPr="002A77E3">
        <w:rPr>
          <w:rStyle w:val="Heading4Char"/>
        </w:rPr>
        <w:t>Built Environment Attributes</w:t>
      </w:r>
      <w:r>
        <w:rPr>
          <w:szCs w:val="24"/>
          <w:u w:val="single"/>
        </w:rPr>
        <w:t>:</w:t>
      </w:r>
      <w:r w:rsidRPr="008545FC">
        <w:rPr>
          <w:szCs w:val="24"/>
        </w:rPr>
        <w:t xml:space="preserve"> </w:t>
      </w:r>
      <w:r w:rsidR="00077F80" w:rsidRPr="00A114AC">
        <w:rPr>
          <w:szCs w:val="24"/>
        </w:rPr>
        <w:t xml:space="preserve">In terms of built environment attributes, </w:t>
      </w:r>
      <w:r w:rsidR="004C548B" w:rsidRPr="00A114AC">
        <w:rPr>
          <w:szCs w:val="24"/>
        </w:rPr>
        <w:t xml:space="preserve">several factors are considered including number of commercial, recreation, </w:t>
      </w:r>
      <w:proofErr w:type="gramStart"/>
      <w:r w:rsidR="00983DC7">
        <w:rPr>
          <w:szCs w:val="24"/>
        </w:rPr>
        <w:t>restaurants</w:t>
      </w:r>
      <w:proofErr w:type="gramEnd"/>
      <w:r w:rsidR="004C548B" w:rsidRPr="00A114AC">
        <w:rPr>
          <w:szCs w:val="24"/>
        </w:rPr>
        <w:t xml:space="preserve"> and shopping center</w:t>
      </w:r>
      <w:r w:rsidR="00387C1D">
        <w:rPr>
          <w:szCs w:val="24"/>
        </w:rPr>
        <w:t>s</w:t>
      </w:r>
      <w:r w:rsidR="00555F0D">
        <w:rPr>
          <w:szCs w:val="24"/>
        </w:rPr>
        <w:t>.</w:t>
      </w:r>
      <w:r w:rsidR="00A114AC">
        <w:rPr>
          <w:szCs w:val="24"/>
        </w:rPr>
        <w:t xml:space="preserve"> </w:t>
      </w:r>
      <w:r w:rsidR="00555F0D">
        <w:rPr>
          <w:szCs w:val="24"/>
        </w:rPr>
        <w:t>I</w:t>
      </w:r>
      <w:r w:rsidR="00A114AC">
        <w:rPr>
          <w:szCs w:val="24"/>
        </w:rPr>
        <w:t xml:space="preserve">nterestingly, all of </w:t>
      </w:r>
      <w:r w:rsidR="00555F0D">
        <w:rPr>
          <w:szCs w:val="24"/>
        </w:rPr>
        <w:t xml:space="preserve">these </w:t>
      </w:r>
      <w:r w:rsidR="00A114AC">
        <w:rPr>
          <w:szCs w:val="24"/>
        </w:rPr>
        <w:t>reveal negative association</w:t>
      </w:r>
      <w:r w:rsidR="00555F0D">
        <w:rPr>
          <w:szCs w:val="24"/>
        </w:rPr>
        <w:t>s</w:t>
      </w:r>
      <w:r w:rsidR="00A114AC">
        <w:rPr>
          <w:szCs w:val="24"/>
        </w:rPr>
        <w:t xml:space="preserve"> with the crash severity proportions</w:t>
      </w:r>
      <w:r w:rsidR="00387C1D">
        <w:rPr>
          <w:szCs w:val="24"/>
        </w:rPr>
        <w:t xml:space="preserve"> across different </w:t>
      </w:r>
      <w:r w:rsidR="008F504F">
        <w:rPr>
          <w:szCs w:val="24"/>
        </w:rPr>
        <w:t>crash</w:t>
      </w:r>
      <w:r w:rsidR="00387C1D">
        <w:rPr>
          <w:szCs w:val="24"/>
        </w:rPr>
        <w:t xml:space="preserve"> types</w:t>
      </w:r>
      <w:r w:rsidR="00FC5A5B">
        <w:rPr>
          <w:szCs w:val="24"/>
        </w:rPr>
        <w:t>,</w:t>
      </w:r>
      <w:r w:rsidR="00BF6858">
        <w:rPr>
          <w:szCs w:val="24"/>
        </w:rPr>
        <w:t xml:space="preserve"> perhaps indicating </w:t>
      </w:r>
      <w:r w:rsidR="005527B4">
        <w:rPr>
          <w:szCs w:val="24"/>
        </w:rPr>
        <w:t>that with</w:t>
      </w:r>
      <w:r w:rsidR="00BF6858">
        <w:rPr>
          <w:szCs w:val="24"/>
        </w:rPr>
        <w:t xml:space="preserve"> </w:t>
      </w:r>
      <w:r w:rsidR="005527B4">
        <w:rPr>
          <w:szCs w:val="24"/>
        </w:rPr>
        <w:t xml:space="preserve">higher traffic density vehicle operating speed is </w:t>
      </w:r>
      <w:r w:rsidR="00555F0D">
        <w:rPr>
          <w:szCs w:val="24"/>
        </w:rPr>
        <w:t xml:space="preserve">likely to be </w:t>
      </w:r>
      <w:r w:rsidR="005527B4">
        <w:rPr>
          <w:szCs w:val="24"/>
        </w:rPr>
        <w:t xml:space="preserve">lower and thus crash consequences are </w:t>
      </w:r>
      <w:r w:rsidR="00795FDE">
        <w:rPr>
          <w:szCs w:val="24"/>
        </w:rPr>
        <w:t>possibly</w:t>
      </w:r>
      <w:r w:rsidR="00555F0D">
        <w:rPr>
          <w:szCs w:val="24"/>
        </w:rPr>
        <w:t xml:space="preserve"> </w:t>
      </w:r>
      <w:r w:rsidR="005527B4">
        <w:rPr>
          <w:szCs w:val="24"/>
        </w:rPr>
        <w:t>less severe</w:t>
      </w:r>
      <w:r w:rsidR="00387C1D">
        <w:rPr>
          <w:szCs w:val="24"/>
        </w:rPr>
        <w:t xml:space="preserve">. For instance, consistent with previous </w:t>
      </w:r>
      <w:r w:rsidR="00132BDF">
        <w:rPr>
          <w:szCs w:val="24"/>
        </w:rPr>
        <w:t>findings</w:t>
      </w:r>
      <w:r w:rsidR="00DA7383">
        <w:rPr>
          <w:szCs w:val="24"/>
        </w:rPr>
        <w:t xml:space="preserve"> </w:t>
      </w:r>
      <w:r w:rsidR="00DA7383">
        <w:rPr>
          <w:szCs w:val="24"/>
        </w:rPr>
        <w:fldChar w:fldCharType="begin" w:fldLock="1"/>
      </w:r>
      <w:r w:rsidR="002F3C91">
        <w:rPr>
          <w:szCs w:val="24"/>
        </w:rPr>
        <w:instrText>ADDIN CSL_CITATION {"citationItems":[{"id":"ITEM-1","itemData":{"author":[{"dropping-particle":"","family":"Yasmin","given":"Shamsunnahar","non-dropping-particle":"","parse-names":false,"suffix":""}],"container-title":"Presented at the Transportation Research Board (TRB) Annual Meeting, Washington D.C., 2018","id":"ITEM-1","issued":{"date-parts":[["2018"]]},"page":"1-9","title":"Enhancing Non-Motorized Safety by Simulating Non-Motorized Exposure using a Transportation Planning Approach","type":"article-journal"},"uris":["http://www.mendeley.com/documents/?uuid=93ea0c9c-1c53-4a1f-af20-5075f564dc31"]}],"mendeley":{"formattedCitation":"(Yasmin, 2018)","manualFormatting":"(Yasmin et al., 2018b)","plainTextFormattedCitation":"(Yasmin, 2018)","previouslyFormattedCitation":"(Yasmin, 2018)"},"properties":{"noteIndex":0},"schema":"https://github.com/citation-style-language/schema/raw/master/csl-citation.json"}</w:instrText>
      </w:r>
      <w:r w:rsidR="00DA7383">
        <w:rPr>
          <w:szCs w:val="24"/>
        </w:rPr>
        <w:fldChar w:fldCharType="separate"/>
      </w:r>
      <w:r w:rsidR="008323B7" w:rsidRPr="008323B7">
        <w:rPr>
          <w:noProof/>
          <w:szCs w:val="24"/>
        </w:rPr>
        <w:t>(Yasmin</w:t>
      </w:r>
      <w:r w:rsidR="008E7A62">
        <w:rPr>
          <w:noProof/>
          <w:szCs w:val="24"/>
        </w:rPr>
        <w:t xml:space="preserve"> et al.</w:t>
      </w:r>
      <w:r w:rsidR="008323B7" w:rsidRPr="008323B7">
        <w:rPr>
          <w:noProof/>
          <w:szCs w:val="24"/>
        </w:rPr>
        <w:t>, 20</w:t>
      </w:r>
      <w:r w:rsidR="00A14337">
        <w:rPr>
          <w:noProof/>
          <w:szCs w:val="24"/>
        </w:rPr>
        <w:t>21</w:t>
      </w:r>
      <w:r w:rsidR="008323B7" w:rsidRPr="008323B7">
        <w:rPr>
          <w:noProof/>
          <w:szCs w:val="24"/>
        </w:rPr>
        <w:t>)</w:t>
      </w:r>
      <w:r w:rsidR="00DA7383">
        <w:rPr>
          <w:szCs w:val="24"/>
        </w:rPr>
        <w:fldChar w:fldCharType="end"/>
      </w:r>
      <w:r w:rsidR="00387C1D">
        <w:rPr>
          <w:szCs w:val="24"/>
        </w:rPr>
        <w:t>, number of commercial centers reduce the higher injury risk propensity for non-motorized crashes</w:t>
      </w:r>
      <w:r w:rsidR="005527B4">
        <w:rPr>
          <w:szCs w:val="24"/>
        </w:rPr>
        <w:t>. Similarly, in the presence of higher number of recreational centers in a zone</w:t>
      </w:r>
      <w:r w:rsidR="00555F0D">
        <w:rPr>
          <w:szCs w:val="24"/>
        </w:rPr>
        <w:t>,</w:t>
      </w:r>
      <w:r w:rsidR="00387C1D">
        <w:rPr>
          <w:szCs w:val="24"/>
        </w:rPr>
        <w:t xml:space="preserve"> </w:t>
      </w:r>
      <w:r w:rsidR="00952A36">
        <w:rPr>
          <w:szCs w:val="24"/>
        </w:rPr>
        <w:t>a lower proportion of severe crash outcome</w:t>
      </w:r>
      <w:r w:rsidR="005527B4">
        <w:rPr>
          <w:szCs w:val="24"/>
        </w:rPr>
        <w:t>s</w:t>
      </w:r>
      <w:r w:rsidR="00952A36">
        <w:rPr>
          <w:szCs w:val="24"/>
        </w:rPr>
        <w:t xml:space="preserve"> for single vehicle crashes </w:t>
      </w:r>
      <w:r w:rsidR="00843361">
        <w:rPr>
          <w:szCs w:val="24"/>
        </w:rPr>
        <w:t>is observed</w:t>
      </w:r>
      <w:r w:rsidR="00952A36">
        <w:rPr>
          <w:szCs w:val="24"/>
        </w:rPr>
        <w:t xml:space="preserve">. </w:t>
      </w:r>
      <w:r w:rsidR="004967E2">
        <w:rPr>
          <w:szCs w:val="24"/>
        </w:rPr>
        <w:t xml:space="preserve">Further, the </w:t>
      </w:r>
      <w:r w:rsidR="00881C98">
        <w:rPr>
          <w:szCs w:val="24"/>
        </w:rPr>
        <w:t>GOPFS model</w:t>
      </w:r>
      <w:r w:rsidR="004967E2">
        <w:rPr>
          <w:szCs w:val="24"/>
        </w:rPr>
        <w:t xml:space="preserve"> result</w:t>
      </w:r>
      <w:r w:rsidR="00EF2A9C">
        <w:rPr>
          <w:szCs w:val="24"/>
        </w:rPr>
        <w:t>s</w:t>
      </w:r>
      <w:r w:rsidR="004967E2">
        <w:rPr>
          <w:szCs w:val="24"/>
        </w:rPr>
        <w:t xml:space="preserve"> reveal</w:t>
      </w:r>
      <w:r w:rsidR="00952A36">
        <w:rPr>
          <w:szCs w:val="24"/>
        </w:rPr>
        <w:t>s</w:t>
      </w:r>
      <w:r w:rsidR="004967E2">
        <w:rPr>
          <w:szCs w:val="24"/>
        </w:rPr>
        <w:t xml:space="preserve"> </w:t>
      </w:r>
      <w:r w:rsidR="009517A4">
        <w:rPr>
          <w:szCs w:val="24"/>
        </w:rPr>
        <w:t xml:space="preserve">that higher number of restaurants are associated with lower likelihood of severe crash proportions for single vehicle crashes, as indicated by the negative coefficient. </w:t>
      </w:r>
      <w:r w:rsidR="00FA406D">
        <w:rPr>
          <w:szCs w:val="24"/>
        </w:rPr>
        <w:t xml:space="preserve">The positive coefficient of the variable on the threshold value </w:t>
      </w:r>
      <w:r w:rsidR="003C331D">
        <w:rPr>
          <w:szCs w:val="24"/>
        </w:rPr>
        <w:t xml:space="preserve">further reflects the lower probability of severe crash proportions. </w:t>
      </w:r>
      <w:r w:rsidR="000F0EDA">
        <w:rPr>
          <w:szCs w:val="24"/>
        </w:rPr>
        <w:t>Finally, the variable correspond</w:t>
      </w:r>
      <w:r w:rsidR="005527B4">
        <w:rPr>
          <w:szCs w:val="24"/>
        </w:rPr>
        <w:t>ing</w:t>
      </w:r>
      <w:r w:rsidR="000F0EDA">
        <w:rPr>
          <w:szCs w:val="24"/>
        </w:rPr>
        <w:t xml:space="preserve"> to shopping center</w:t>
      </w:r>
      <w:r w:rsidR="005527B4">
        <w:rPr>
          <w:szCs w:val="24"/>
        </w:rPr>
        <w:t>s</w:t>
      </w:r>
      <w:r w:rsidR="000F0EDA">
        <w:rPr>
          <w:szCs w:val="24"/>
        </w:rPr>
        <w:t xml:space="preserve"> results in lower likelihood of severity outcome, particularly for angular, sideswipe and head-on crashes</w:t>
      </w:r>
      <w:r w:rsidR="00D22910">
        <w:rPr>
          <w:szCs w:val="24"/>
        </w:rPr>
        <w:t xml:space="preserve"> (same impact)</w:t>
      </w:r>
      <w:r w:rsidR="000F0EDA">
        <w:rPr>
          <w:szCs w:val="24"/>
        </w:rPr>
        <w:t>. We also found a positive effect of the variable on the threshold which further implies the lower possibility of higher injury risk for sideswipe crashes with increased number of shopping centers in a zone.</w:t>
      </w:r>
    </w:p>
    <w:p w14:paraId="65C91A51" w14:textId="77777777" w:rsidR="00A551BA" w:rsidRDefault="00A551BA" w:rsidP="002D2CBD">
      <w:pPr>
        <w:rPr>
          <w:szCs w:val="24"/>
        </w:rPr>
      </w:pPr>
    </w:p>
    <w:p w14:paraId="3522E530" w14:textId="7224DFE8" w:rsidR="00B27FD2" w:rsidRDefault="0012791F" w:rsidP="00B27FD2">
      <w:r w:rsidRPr="002A77E3">
        <w:rPr>
          <w:rStyle w:val="Heading4Char"/>
        </w:rPr>
        <w:t>Socio-demographic Characteristics</w:t>
      </w:r>
      <w:r w:rsidRPr="00453E00">
        <w:rPr>
          <w:szCs w:val="24"/>
          <w:u w:val="single"/>
        </w:rPr>
        <w:t>:</w:t>
      </w:r>
      <w:r w:rsidR="00C80174" w:rsidRPr="00861C82">
        <w:rPr>
          <w:szCs w:val="24"/>
        </w:rPr>
        <w:t xml:space="preserve"> </w:t>
      </w:r>
      <w:r w:rsidR="00D0359F" w:rsidRPr="00861C82">
        <w:rPr>
          <w:szCs w:val="24"/>
        </w:rPr>
        <w:t xml:space="preserve">The results </w:t>
      </w:r>
      <w:r w:rsidR="005527B4">
        <w:rPr>
          <w:szCs w:val="24"/>
        </w:rPr>
        <w:t>for</w:t>
      </w:r>
      <w:r w:rsidR="005527B4" w:rsidRPr="00861C82">
        <w:rPr>
          <w:szCs w:val="24"/>
        </w:rPr>
        <w:t xml:space="preserve"> </w:t>
      </w:r>
      <w:r w:rsidR="00D0359F" w:rsidRPr="00861C82">
        <w:rPr>
          <w:szCs w:val="24"/>
        </w:rPr>
        <w:t xml:space="preserve">the </w:t>
      </w:r>
      <w:r w:rsidR="002C4C70">
        <w:rPr>
          <w:szCs w:val="24"/>
        </w:rPr>
        <w:t xml:space="preserve">effect </w:t>
      </w:r>
      <w:r w:rsidR="00187824">
        <w:rPr>
          <w:szCs w:val="24"/>
        </w:rPr>
        <w:t xml:space="preserve">of </w:t>
      </w:r>
      <w:r w:rsidR="00D95259" w:rsidRPr="00861C82">
        <w:rPr>
          <w:szCs w:val="24"/>
        </w:rPr>
        <w:t xml:space="preserve">socio-demographic characteristics indicate that </w:t>
      </w:r>
      <w:r w:rsidR="00D95259">
        <w:rPr>
          <w:szCs w:val="24"/>
        </w:rPr>
        <w:t>non-motorist</w:t>
      </w:r>
      <w:r w:rsidR="003D3045">
        <w:rPr>
          <w:szCs w:val="24"/>
        </w:rPr>
        <w:t>s</w:t>
      </w:r>
      <w:r w:rsidR="00D95259">
        <w:rPr>
          <w:szCs w:val="24"/>
        </w:rPr>
        <w:t xml:space="preserve"> are less prone to high injury risk with increased number of commuters in a zone</w:t>
      </w:r>
      <w:r w:rsidR="00E4782A">
        <w:rPr>
          <w:szCs w:val="24"/>
        </w:rPr>
        <w:t xml:space="preserve"> </w:t>
      </w:r>
      <w:r w:rsidR="00347AB9">
        <w:rPr>
          <w:szCs w:val="24"/>
        </w:rPr>
        <w:t xml:space="preserve">(see </w:t>
      </w:r>
      <w:r w:rsidR="008E7A62">
        <w:rPr>
          <w:szCs w:val="24"/>
        </w:rPr>
        <w:t>(</w:t>
      </w:r>
      <w:r w:rsidR="008E7A62" w:rsidRPr="008323B7">
        <w:rPr>
          <w:noProof/>
          <w:szCs w:val="24"/>
        </w:rPr>
        <w:t>Yasmin</w:t>
      </w:r>
      <w:r w:rsidR="008E7A62">
        <w:rPr>
          <w:noProof/>
          <w:szCs w:val="24"/>
        </w:rPr>
        <w:t xml:space="preserve"> et al.</w:t>
      </w:r>
      <w:r w:rsidR="008E7A62" w:rsidRPr="008323B7">
        <w:rPr>
          <w:noProof/>
          <w:szCs w:val="24"/>
        </w:rPr>
        <w:t>, 20</w:t>
      </w:r>
      <w:r w:rsidR="00A14337">
        <w:rPr>
          <w:noProof/>
          <w:szCs w:val="24"/>
        </w:rPr>
        <w:t>21</w:t>
      </w:r>
      <w:r w:rsidR="008E7A62">
        <w:rPr>
          <w:noProof/>
          <w:szCs w:val="24"/>
        </w:rPr>
        <w:t>)</w:t>
      </w:r>
      <w:r w:rsidR="00347AB9">
        <w:rPr>
          <w:szCs w:val="24"/>
        </w:rPr>
        <w:t xml:space="preserve"> for similar results).</w:t>
      </w:r>
      <w:r w:rsidR="004C74FD">
        <w:rPr>
          <w:szCs w:val="24"/>
        </w:rPr>
        <w:t xml:space="preserve"> </w:t>
      </w:r>
      <w:r w:rsidR="00555F0D">
        <w:rPr>
          <w:szCs w:val="24"/>
        </w:rPr>
        <w:t>T</w:t>
      </w:r>
      <w:r w:rsidR="00CB197B">
        <w:rPr>
          <w:szCs w:val="24"/>
        </w:rPr>
        <w:t xml:space="preserve">he likelihood of being involved in a severe crash is higher for </w:t>
      </w:r>
      <w:r w:rsidR="00E66C82">
        <w:rPr>
          <w:szCs w:val="24"/>
        </w:rPr>
        <w:t>increasing</w:t>
      </w:r>
      <w:r w:rsidR="00CB197B">
        <w:rPr>
          <w:szCs w:val="24"/>
        </w:rPr>
        <w:t xml:space="preserve"> share of motor </w:t>
      </w:r>
      <w:r w:rsidR="005527B4">
        <w:rPr>
          <w:szCs w:val="24"/>
        </w:rPr>
        <w:t xml:space="preserve">vehicle </w:t>
      </w:r>
      <w:r w:rsidR="00555F0D">
        <w:rPr>
          <w:szCs w:val="24"/>
        </w:rPr>
        <w:t>commuters</w:t>
      </w:r>
      <w:r w:rsidR="00074806">
        <w:rPr>
          <w:szCs w:val="24"/>
        </w:rPr>
        <w:t xml:space="preserve">, particularly for angular crashes. </w:t>
      </w:r>
      <w:r w:rsidR="00DF28C5">
        <w:rPr>
          <w:szCs w:val="24"/>
        </w:rPr>
        <w:t xml:space="preserve">Previous studies </w:t>
      </w:r>
      <w:r w:rsidR="00DF28C5">
        <w:rPr>
          <w:szCs w:val="24"/>
        </w:rPr>
        <w:fldChar w:fldCharType="begin" w:fldLock="1"/>
      </w:r>
      <w:r w:rsidR="000A7DDA">
        <w:rPr>
          <w:szCs w:val="24"/>
        </w:rPr>
        <w:instrText>ADDIN CSL_CITATION {"citationItems":[{"id":"ITEM-1","itemData":{"DOI":"10.1016/j.ssci.2007.07.005","ISSN":"09257535","abstract":"Motorcyclists tend to be more vulnerable to injuries than those using other motorised vehicles and this may act synergistically with the complexity of conflicting movements between vehicles and motorcycles to increase injury severity in a junction-type accident. A junction-type crash can be more severe to motorcyclists than a non-junction case due to the fact that some of the injurious crashes such as angle crash commonly occur. Previous studies have applied crash prediction models to investigate influential factors on the occurrences of different crashes among motorised vehicles but statistical models of motorcyclist injury severity resulting from different collision types have rarely been developed. This paper develops injury severity models for different collision-types conditioned on crash occurrence at T-junctions in the UK. The ordered logit models are estimated using human, weather, road and vehicle factors as predictors and the data for the model estimation were extracted from the STATS19 accident injury database (1991-2004). The modelling results show that motorcyclist injury severity in specific crash types is associated with predictor variables in different ways. This study offers a guideline for future research, as well as insight into potential prevention strategies that might help prevent the most hazardous situation(s) from occurring in different collision types. © 2007 Elsevier Ltd. All rights reserved.","author":[{"dropping-particle":"","family":"Pai","given":"Chih Wei","non-dropping-particle":"","parse-names":false,"suffix":""},{"dropping-particle":"","family":"Saleh","given":"Wafaa","non-dropping-particle":"","parse-names":false,"suffix":""}],"container-title":"Safety Science","id":"ITEM-1","issue":"8","issued":{"date-parts":[["2008"]]},"page":"1234-1247","title":"Modelling motorcyclist injury severity by various crash types at T-junctions in the UK","type":"article-journal","volume":"46"},"uris":["http://www.mendeley.com/documents/?uuid=dabfb4ed-d105-4d8a-8405-33f207452195"]}],"mendeley":{"formattedCitation":"(Pai and Saleh, 2008)","plainTextFormattedCitation":"(Pai and Saleh, 2008)","previouslyFormattedCitation":"(Pai and Saleh, 2008)"},"properties":{"noteIndex":0},"schema":"https://github.com/citation-style-language/schema/raw/master/csl-citation.json"}</w:instrText>
      </w:r>
      <w:r w:rsidR="00DF28C5">
        <w:rPr>
          <w:szCs w:val="24"/>
        </w:rPr>
        <w:fldChar w:fldCharType="separate"/>
      </w:r>
      <w:r w:rsidR="00097239" w:rsidRPr="00097239">
        <w:rPr>
          <w:noProof/>
          <w:szCs w:val="24"/>
        </w:rPr>
        <w:t>(Pai and Saleh, 2008)</w:t>
      </w:r>
      <w:r w:rsidR="00DF28C5">
        <w:rPr>
          <w:szCs w:val="24"/>
        </w:rPr>
        <w:fldChar w:fldCharType="end"/>
      </w:r>
      <w:r w:rsidR="00DF28C5">
        <w:rPr>
          <w:szCs w:val="24"/>
        </w:rPr>
        <w:t xml:space="preserve"> also confirm the findings. </w:t>
      </w:r>
      <w:r w:rsidR="006D0089">
        <w:rPr>
          <w:szCs w:val="24"/>
        </w:rPr>
        <w:t>Further</w:t>
      </w:r>
      <w:r w:rsidR="00AD2F2B">
        <w:rPr>
          <w:szCs w:val="24"/>
        </w:rPr>
        <w:t>, as found in previous studies</w:t>
      </w:r>
      <w:r w:rsidR="00A03210">
        <w:rPr>
          <w:szCs w:val="24"/>
        </w:rPr>
        <w:t xml:space="preserve"> </w:t>
      </w:r>
      <w:r w:rsidR="00A03210">
        <w:rPr>
          <w:szCs w:val="24"/>
        </w:rPr>
        <w:fldChar w:fldCharType="begin" w:fldLock="1"/>
      </w:r>
      <w:r w:rsidR="000305C6">
        <w:rPr>
          <w:szCs w:val="24"/>
        </w:rPr>
        <w:instrText>ADDIN CSL_CITATION {"citationItems":[{"id":"ITEM-1","itemData":{"DOI":"10.1016/j.aap.2008.03.009","ISSN":"00014575","PMID":"18606282","abstract":"Count models such as negative binomial (NB) regression models are normally employed to establish a relationship between area-wide traffic crashes and the contributing factors. Since crash data are collected with reference to location measured as points in space, spatial dependence exists among the area-level crash observations. Although NB models can take account of the effect of unobserved heterogeneity (due to omitted variables in the model) among neighbourhoods, such models may not account for spatial correlation areas. It is then essential to adopt an econometric model that takes account of both spatial dependence and uncorrelated heterogeneity simultaneously among neighbouring units. In studying the spatial pattern of traffic crashes, two types of spatial models may be employed: (i) classical spatial models for higher levels of spatial aggregation such as states, counties, etc. and (ii) Bayesian hierarchical models for all spatial units, especially for smaller scale area-aggregations. Therefore, the primary objectives of this paper is to develop a series of relationships between area-wide different traffic casualties and the contributing factors associated with ward characteristics using both non-spatial models (such as NB models) and spatial models and to identify the similarities and differences among these relationships. The spatial units of the analysis are the 633 census wards from the Greater London metropolitan area. Ward-level casualty data are disaggregated by severity of the casualty (such as fatalities, serious injuries, and slight injuries) and by severity of the casualty related to various road users. The analysis implies that different ward-level factors affect traffic casualties differently. The results also suggest that Bayesian hierarchical models are more appropriate in developing a relationship between area-wide traffic crashes and the contributing factors associated with the road infrastructure, socioeconomic and traffic conditions of the area. This is because Bayesian models accurately take account of both spatial dependence and uncorrelated heterogeneity. © 2008 Elsevier Ltd. All rights reserved.","author":[{"dropping-particle":"","family":"Quddus","given":"Mohammed A.","non-dropping-particle":"","parse-names":false,"suffix":""}],"container-title":"Accident Analysis and Prevention","id":"ITEM-1","issue":"4","issued":{"date-parts":[["2008"]]},"page":"1486-1497","title":"Modelling area-wide count outcomes with spatial correlation and heterogeneity: An analysis of London crash data","type":"article-journal","volume":"40"},"uris":["http://www.mendeley.com/documents/?uuid=a153bed6-090f-4e1d-a368-262eec531606"]}],"mendeley":{"formattedCitation":"(Quddus, 2008)","plainTextFormattedCitation":"(Quddus, 2008)","previouslyFormattedCitation":"(Quddus, 2008)"},"properties":{"noteIndex":0},"schema":"https://github.com/citation-style-language/schema/raw/master/csl-citation.json"}</w:instrText>
      </w:r>
      <w:r w:rsidR="00A03210">
        <w:rPr>
          <w:szCs w:val="24"/>
        </w:rPr>
        <w:fldChar w:fldCharType="separate"/>
      </w:r>
      <w:r w:rsidR="00097239" w:rsidRPr="00097239">
        <w:rPr>
          <w:noProof/>
          <w:szCs w:val="24"/>
        </w:rPr>
        <w:t>(Quddus, 2008)</w:t>
      </w:r>
      <w:r w:rsidR="00A03210">
        <w:rPr>
          <w:szCs w:val="24"/>
        </w:rPr>
        <w:fldChar w:fldCharType="end"/>
      </w:r>
      <w:r w:rsidR="00AD2F2B">
        <w:rPr>
          <w:szCs w:val="24"/>
        </w:rPr>
        <w:t xml:space="preserve">, </w:t>
      </w:r>
      <w:r w:rsidR="006D0089">
        <w:rPr>
          <w:szCs w:val="24"/>
        </w:rPr>
        <w:t>the estimated results suggests that zone</w:t>
      </w:r>
      <w:r w:rsidR="005527B4">
        <w:rPr>
          <w:szCs w:val="24"/>
        </w:rPr>
        <w:t>s</w:t>
      </w:r>
      <w:r w:rsidR="006D0089">
        <w:rPr>
          <w:szCs w:val="24"/>
        </w:rPr>
        <w:t xml:space="preserve"> with more older people are associated with</w:t>
      </w:r>
      <w:r w:rsidR="00702E43">
        <w:rPr>
          <w:szCs w:val="24"/>
        </w:rPr>
        <w:t xml:space="preserve"> fewer severe crash proportion for non-motorized crashes.</w:t>
      </w:r>
      <w:r w:rsidR="00812B4C">
        <w:rPr>
          <w:szCs w:val="24"/>
        </w:rPr>
        <w:t xml:space="preserve"> </w:t>
      </w:r>
      <w:r w:rsidR="009302FC">
        <w:t xml:space="preserve">The coefficient specific to proportion of households without vehicle indicates a </w:t>
      </w:r>
      <w:r w:rsidR="00BC6C1D">
        <w:t>positive</w:t>
      </w:r>
      <w:r w:rsidR="009302FC">
        <w:t xml:space="preserve"> </w:t>
      </w:r>
      <w:r w:rsidR="00BC6C1D">
        <w:t>influence on</w:t>
      </w:r>
      <w:r w:rsidR="009302FC">
        <w:t xml:space="preserve"> severity outcome for non-motorized crashes indicating a higher propensity of more severe crash proportion for non-motorized crashes</w:t>
      </w:r>
      <w:r w:rsidR="00812B4C">
        <w:t xml:space="preserve"> (for similar results, see</w:t>
      </w:r>
      <w:r w:rsidR="00555F0D">
        <w:t xml:space="preserve"> </w:t>
      </w:r>
      <w:r w:rsidR="00842E9A">
        <w:fldChar w:fldCharType="begin" w:fldLock="1"/>
      </w:r>
      <w:r w:rsidR="000305C6">
        <w:instrText>ADDIN CSL_CITATION {"citationItems":[{"id":"ITEM-1","itemData":{"DOI":"10.1016/j.aap.2008.03.009","ISSN":"00014575","PMID":"18606282","abstract":"Count models such as negative binomial (NB) regression models are normally employed to establish a relationship between area-wide traffic crashes and the contributing factors. Since crash data are collected with reference to location measured as points in space, spatial dependence exists among the area-level crash observations. Although NB models can take account of the effect of unobserved heterogeneity (due to omitted variables in the model) among neighbourhoods, such models may not account for spatial correlation areas. It is then essential to adopt an econometric model that takes account of both spatial dependence and uncorrelated heterogeneity simultaneously among neighbouring units. In studying the spatial pattern of traffic crashes, two types of spatial models may be employed: (i) classical spatial models for higher levels of spatial aggregation such as states, counties, etc. and (ii) Bayesian hierarchical models for all spatial units, especially for smaller scale area-aggregations. Therefore, the primary objectives of this paper is to develop a series of relationships between area-wide different traffic casualties and the contributing factors associated with ward characteristics using both non-spatial models (such as NB models) and spatial models and to identify the similarities and differences among these relationships. The spatial units of the analysis are the 633 census wards from the Greater London metropolitan area. Ward-level casualty data are disaggregated by severity of the casualty (such as fatalities, serious injuries, and slight injuries) and by severity of the casualty related to various road users. The analysis implies that different ward-level factors affect traffic casualties differently. The results also suggest that Bayesian hierarchical models are more appropriate in developing a relationship between area-wide traffic crashes and the contributing factors associated with the road infrastructure, socioeconomic and traffic conditions of the area. This is because Bayesian models accurately take account of both spatial dependence and uncorrelated heterogeneity. © 2008 Elsevier Ltd. All rights reserved.","author":[{"dropping-particle":"","family":"Quddus","given":"Mohammed A.","non-dropping-particle":"","parse-names":false,"suffix":""}],"container-title":"Accident Analysis and Prevention","id":"ITEM-1","issue":"4","issued":{"date-parts":[["2008"]]},"page":"1486-1497","title":"Modelling area-wide count outcomes with spatial correlation and heterogeneity: An analysis of London crash data","type":"article-journal","volume":"40"},"uris":["http://www.mendeley.com/documents/?uuid=a153bed6-090f-4e1d-a368-262eec531606"]}],"mendeley":{"formattedCitation":"(Quddus, 2008)","plainTextFormattedCitation":"(Quddus, 2008)","previouslyFormattedCitation":"(Quddus, 2008)"},"properties":{"noteIndex":0},"schema":"https://github.com/citation-style-language/schema/raw/master/csl-citation.json"}</w:instrText>
      </w:r>
      <w:r w:rsidR="00842E9A">
        <w:fldChar w:fldCharType="separate"/>
      </w:r>
      <w:r w:rsidR="00097239" w:rsidRPr="00097239">
        <w:rPr>
          <w:noProof/>
        </w:rPr>
        <w:t>(Quddus, 2008)</w:t>
      </w:r>
      <w:r w:rsidR="00842E9A">
        <w:fldChar w:fldCharType="end"/>
      </w:r>
      <w:r w:rsidR="00812B4C">
        <w:t>)</w:t>
      </w:r>
      <w:r w:rsidR="009302FC">
        <w:t xml:space="preserve">. </w:t>
      </w:r>
      <w:r w:rsidR="00BC6C1D">
        <w:t xml:space="preserve"> </w:t>
      </w:r>
    </w:p>
    <w:p w14:paraId="37EFD273" w14:textId="71C13B0F" w:rsidR="00F831FE" w:rsidRDefault="00F831FE" w:rsidP="00B27FD2"/>
    <w:p w14:paraId="23AC8E12" w14:textId="5BBD3039" w:rsidR="0080177F" w:rsidRDefault="00DF14AD" w:rsidP="006D5E4C">
      <w:pPr>
        <w:pStyle w:val="Heading3"/>
      </w:pPr>
      <w:r w:rsidRPr="0080177F">
        <w:t>Unobserved Effect</w:t>
      </w:r>
      <w:r w:rsidR="00555F0D">
        <w:t>s</w:t>
      </w:r>
    </w:p>
    <w:p w14:paraId="7E15E106" w14:textId="117F1465" w:rsidR="00096CE3" w:rsidRDefault="007F0566" w:rsidP="00467D9D">
      <w:pPr>
        <w:sectPr w:rsidR="00096CE3" w:rsidSect="00CC74A8">
          <w:headerReference w:type="default" r:id="rId31"/>
          <w:headerReference w:type="first" r:id="rId32"/>
          <w:pgSz w:w="12240" w:h="15840" w:code="1"/>
          <w:pgMar w:top="1440" w:right="1469" w:bottom="1440" w:left="1440" w:header="720" w:footer="720" w:gutter="0"/>
          <w:cols w:space="708"/>
          <w:titlePg/>
          <w:docGrid w:linePitch="360"/>
        </w:sectPr>
      </w:pPr>
      <w:r>
        <w:rPr>
          <w:szCs w:val="24"/>
        </w:rPr>
        <w:t xml:space="preserve">The final set of variables in both </w:t>
      </w:r>
      <w:r w:rsidR="00555F0D">
        <w:rPr>
          <w:szCs w:val="24"/>
        </w:rPr>
        <w:t>T</w:t>
      </w:r>
      <w:r>
        <w:rPr>
          <w:szCs w:val="24"/>
        </w:rPr>
        <w:t>able</w:t>
      </w:r>
      <w:r w:rsidR="00494DBA">
        <w:rPr>
          <w:szCs w:val="24"/>
        </w:rPr>
        <w:t xml:space="preserve"> </w:t>
      </w:r>
      <w:r w:rsidR="006E11C4">
        <w:rPr>
          <w:szCs w:val="24"/>
        </w:rPr>
        <w:t>6</w:t>
      </w:r>
      <w:r>
        <w:rPr>
          <w:szCs w:val="24"/>
        </w:rPr>
        <w:t xml:space="preserve"> </w:t>
      </w:r>
      <w:r>
        <w:t xml:space="preserve">correspond to the correlation matrix (unobserved heterogeneity) in the joint model. </w:t>
      </w:r>
      <w:r w:rsidR="001A2648">
        <w:rPr>
          <w:rFonts w:eastAsia="Times New Roman" w:cs="Times New Roman"/>
          <w:szCs w:val="24"/>
          <w:lang w:val="en-US"/>
        </w:rPr>
        <w:t xml:space="preserve">As discussed earlier, </w:t>
      </w:r>
      <w:r w:rsidR="001A2648">
        <w:t xml:space="preserve">in </w:t>
      </w:r>
      <w:r w:rsidR="00F76AAB">
        <w:t>the current research effort</w:t>
      </w:r>
      <w:r>
        <w:t xml:space="preserve">, </w:t>
      </w:r>
      <w:r w:rsidR="00613131">
        <w:t xml:space="preserve">a number </w:t>
      </w:r>
      <w:r>
        <w:t xml:space="preserve">of </w:t>
      </w:r>
      <w:r w:rsidR="003B43ED">
        <w:t xml:space="preserve">correlation </w:t>
      </w:r>
      <w:r>
        <w:t>effect</w:t>
      </w:r>
      <w:r w:rsidR="00613131">
        <w:t>s</w:t>
      </w:r>
      <w:r>
        <w:t xml:space="preserve"> are tested including: 1) common unobserved factors affecting crash counts of different crash types simultaneously</w:t>
      </w:r>
      <w:r w:rsidR="00C725D8">
        <w:t>; 2) common unobserved factors affecting crash severity proportions of different crash types simultaneously</w:t>
      </w:r>
      <w:r>
        <w:t xml:space="preserve"> and </w:t>
      </w:r>
      <w:r w:rsidR="001341CE">
        <w:t>3</w:t>
      </w:r>
      <w:r>
        <w:t xml:space="preserve">) </w:t>
      </w:r>
      <w:r w:rsidR="005C39D5">
        <w:t xml:space="preserve">common unobserved factors </w:t>
      </w:r>
      <w:r w:rsidR="005A7AC1">
        <w:t xml:space="preserve">that </w:t>
      </w:r>
      <w:r w:rsidR="002379B7">
        <w:t>simultaneously</w:t>
      </w:r>
      <w:r w:rsidR="005A7B21">
        <w:t xml:space="preserve"> </w:t>
      </w:r>
      <w:r w:rsidR="005C39D5">
        <w:t xml:space="preserve">impact crash counts and severity proportions by different </w:t>
      </w:r>
      <w:r w:rsidR="008F504F">
        <w:t>crash</w:t>
      </w:r>
      <w:r w:rsidR="005C39D5">
        <w:t xml:space="preserve"> types.</w:t>
      </w:r>
      <w:r w:rsidR="00415A7B">
        <w:t xml:space="preserve"> </w:t>
      </w:r>
      <w:r w:rsidR="00D82CB5" w:rsidRPr="00D82CB5">
        <w:t>The reader would note that in our empirical setting with 6 crash types and 4 crash severities, we can test for the presence of 24C</w:t>
      </w:r>
      <w:r w:rsidR="00130E5F">
        <w:rPr>
          <w:vertAlign w:val="subscript"/>
        </w:rPr>
        <w:t>2</w:t>
      </w:r>
      <w:r w:rsidR="00D82CB5" w:rsidRPr="00D82CB5">
        <w:t xml:space="preserve"> potential correlation terms. </w:t>
      </w:r>
      <w:r w:rsidR="0031545E">
        <w:t xml:space="preserve">However, </w:t>
      </w:r>
      <w:r w:rsidR="00046438">
        <w:t xml:space="preserve">testing for such high number of correlation results in estimation and computational complexity. </w:t>
      </w:r>
      <w:r w:rsidR="00C82B2F" w:rsidRPr="00C82B2F">
        <w:t xml:space="preserve">In our approach, we have made every effort to reduce the dimensionality of the model parameters to ensure parsimonious specification. This has resulted in restricting correlations across multiple dependent variables </w:t>
      </w:r>
    </w:p>
    <w:p w14:paraId="021819AB" w14:textId="0FBB3E17" w:rsidR="00096CE3" w:rsidRPr="00CC0AC2" w:rsidRDefault="00096CE3" w:rsidP="00096CE3">
      <w:pPr>
        <w:jc w:val="center"/>
        <w:rPr>
          <w:b/>
        </w:rPr>
      </w:pPr>
      <w:r>
        <w:rPr>
          <w:b/>
        </w:rPr>
        <w:lastRenderedPageBreak/>
        <w:t xml:space="preserve">TABLE </w:t>
      </w:r>
      <w:r w:rsidR="006E11C4">
        <w:rPr>
          <w:b/>
        </w:rPr>
        <w:t>6</w:t>
      </w:r>
      <w:r>
        <w:rPr>
          <w:b/>
        </w:rPr>
        <w:t xml:space="preserve"> Panel Mixed </w:t>
      </w:r>
      <w:r w:rsidRPr="003F5FEA">
        <w:rPr>
          <w:b/>
          <w:bCs/>
          <w:szCs w:val="24"/>
        </w:rPr>
        <w:t>NB-GOPFS</w:t>
      </w:r>
      <w:r>
        <w:rPr>
          <w:b/>
        </w:rPr>
        <w:t xml:space="preserve"> Model Results (</w:t>
      </w:r>
      <w:r w:rsidR="00CB1C1A">
        <w:rPr>
          <w:b/>
        </w:rPr>
        <w:t>Unobserved Correlation</w:t>
      </w:r>
      <w:r>
        <w:rPr>
          <w:b/>
        </w:rPr>
        <w:t>)</w:t>
      </w:r>
    </w:p>
    <w:tbl>
      <w:tblPr>
        <w:tblW w:w="12855" w:type="dxa"/>
        <w:tblLook w:val="04A0" w:firstRow="1" w:lastRow="0" w:firstColumn="1" w:lastColumn="0" w:noHBand="0" w:noVBand="1"/>
      </w:tblPr>
      <w:tblGrid>
        <w:gridCol w:w="1965"/>
        <w:gridCol w:w="916"/>
        <w:gridCol w:w="879"/>
        <w:gridCol w:w="17"/>
        <w:gridCol w:w="899"/>
        <w:gridCol w:w="900"/>
        <w:gridCol w:w="916"/>
        <w:gridCol w:w="900"/>
        <w:gridCol w:w="916"/>
        <w:gridCol w:w="900"/>
        <w:gridCol w:w="916"/>
        <w:gridCol w:w="931"/>
        <w:gridCol w:w="7"/>
        <w:gridCol w:w="909"/>
        <w:gridCol w:w="884"/>
      </w:tblGrid>
      <w:tr w:rsidR="00096CE3" w:rsidRPr="00E75453" w14:paraId="51515654" w14:textId="77777777" w:rsidTr="00B952F9">
        <w:trPr>
          <w:trHeight w:val="300"/>
        </w:trPr>
        <w:tc>
          <w:tcPr>
            <w:tcW w:w="1965" w:type="dxa"/>
            <w:vMerge w:val="restart"/>
            <w:tcBorders>
              <w:top w:val="double" w:sz="4" w:space="0" w:color="auto"/>
              <w:left w:val="double" w:sz="4" w:space="0" w:color="auto"/>
              <w:right w:val="single" w:sz="4" w:space="0" w:color="auto"/>
            </w:tcBorders>
            <w:shd w:val="clear" w:color="auto" w:fill="auto"/>
            <w:noWrap/>
            <w:vAlign w:val="center"/>
            <w:hideMark/>
          </w:tcPr>
          <w:p w14:paraId="719D5929" w14:textId="77777777" w:rsidR="00096CE3" w:rsidRPr="00E75453" w:rsidRDefault="00096CE3" w:rsidP="00B952F9">
            <w:pPr>
              <w:jc w:val="center"/>
              <w:rPr>
                <w:rFonts w:eastAsia="Times New Roman" w:cs="Times New Roman"/>
                <w:color w:val="000000"/>
                <w:sz w:val="20"/>
                <w:szCs w:val="20"/>
              </w:rPr>
            </w:pPr>
            <w:r w:rsidRPr="000B6500">
              <w:rPr>
                <w:rFonts w:eastAsia="Times New Roman" w:cs="Times New Roman"/>
                <w:b/>
                <w:color w:val="000000"/>
                <w:sz w:val="20"/>
                <w:szCs w:val="20"/>
              </w:rPr>
              <w:t>Variable</w:t>
            </w:r>
            <w:r>
              <w:rPr>
                <w:rFonts w:eastAsia="Times New Roman" w:cs="Times New Roman"/>
                <w:b/>
                <w:color w:val="000000"/>
                <w:sz w:val="20"/>
                <w:szCs w:val="20"/>
              </w:rPr>
              <w:t>s (np)</w:t>
            </w:r>
          </w:p>
        </w:tc>
        <w:tc>
          <w:tcPr>
            <w:tcW w:w="1812" w:type="dxa"/>
            <w:gridSpan w:val="3"/>
            <w:tcBorders>
              <w:top w:val="double" w:sz="4" w:space="0" w:color="auto"/>
              <w:left w:val="nil"/>
              <w:bottom w:val="single" w:sz="4" w:space="0" w:color="auto"/>
              <w:right w:val="single" w:sz="4" w:space="0" w:color="auto"/>
            </w:tcBorders>
            <w:shd w:val="clear" w:color="auto" w:fill="auto"/>
            <w:noWrap/>
            <w:vAlign w:val="center"/>
            <w:hideMark/>
          </w:tcPr>
          <w:p w14:paraId="3C7278E5" w14:textId="77777777" w:rsidR="00096CE3" w:rsidRPr="00E75453" w:rsidRDefault="00096CE3" w:rsidP="00B952F9">
            <w:pPr>
              <w:jc w:val="center"/>
              <w:rPr>
                <w:rFonts w:eastAsia="Times New Roman" w:cs="Times New Roman"/>
                <w:b/>
                <w:color w:val="000000"/>
                <w:sz w:val="20"/>
                <w:szCs w:val="20"/>
              </w:rPr>
            </w:pPr>
            <w:r w:rsidRPr="00E75453">
              <w:rPr>
                <w:rFonts w:eastAsia="Times New Roman" w:cs="Times New Roman"/>
                <w:b/>
                <w:color w:val="000000"/>
                <w:sz w:val="20"/>
                <w:szCs w:val="20"/>
              </w:rPr>
              <w:t>Rear</w:t>
            </w:r>
            <w:r>
              <w:rPr>
                <w:rFonts w:eastAsia="Times New Roman" w:cs="Times New Roman"/>
                <w:b/>
                <w:color w:val="000000"/>
                <w:sz w:val="20"/>
                <w:szCs w:val="20"/>
              </w:rPr>
              <w:t>-</w:t>
            </w:r>
            <w:r w:rsidRPr="00E75453">
              <w:rPr>
                <w:rFonts w:eastAsia="Times New Roman" w:cs="Times New Roman"/>
                <w:b/>
                <w:color w:val="000000"/>
                <w:sz w:val="20"/>
                <w:szCs w:val="20"/>
              </w:rPr>
              <w:t>End</w:t>
            </w:r>
          </w:p>
        </w:tc>
        <w:tc>
          <w:tcPr>
            <w:tcW w:w="1799" w:type="dxa"/>
            <w:gridSpan w:val="2"/>
            <w:tcBorders>
              <w:top w:val="double" w:sz="4" w:space="0" w:color="auto"/>
              <w:left w:val="nil"/>
              <w:bottom w:val="single" w:sz="4" w:space="0" w:color="auto"/>
              <w:right w:val="single" w:sz="4" w:space="0" w:color="auto"/>
            </w:tcBorders>
            <w:shd w:val="clear" w:color="auto" w:fill="auto"/>
            <w:noWrap/>
            <w:vAlign w:val="center"/>
            <w:hideMark/>
          </w:tcPr>
          <w:p w14:paraId="0E94B6E5" w14:textId="77777777" w:rsidR="00096CE3" w:rsidRPr="00E75453" w:rsidRDefault="00096CE3" w:rsidP="00B952F9">
            <w:pPr>
              <w:jc w:val="center"/>
              <w:rPr>
                <w:rFonts w:eastAsia="Times New Roman" w:cs="Times New Roman"/>
                <w:b/>
                <w:color w:val="000000"/>
                <w:sz w:val="20"/>
                <w:szCs w:val="20"/>
              </w:rPr>
            </w:pPr>
            <w:r w:rsidRPr="00E75453">
              <w:rPr>
                <w:rFonts w:eastAsia="Times New Roman" w:cs="Times New Roman"/>
                <w:b/>
                <w:color w:val="000000"/>
                <w:sz w:val="20"/>
                <w:szCs w:val="20"/>
              </w:rPr>
              <w:t>Angular</w:t>
            </w:r>
          </w:p>
        </w:tc>
        <w:tc>
          <w:tcPr>
            <w:tcW w:w="1816" w:type="dxa"/>
            <w:gridSpan w:val="2"/>
            <w:tcBorders>
              <w:top w:val="double" w:sz="4" w:space="0" w:color="auto"/>
              <w:left w:val="nil"/>
              <w:bottom w:val="single" w:sz="4" w:space="0" w:color="auto"/>
              <w:right w:val="single" w:sz="4" w:space="0" w:color="auto"/>
            </w:tcBorders>
            <w:shd w:val="clear" w:color="auto" w:fill="auto"/>
            <w:noWrap/>
            <w:vAlign w:val="center"/>
            <w:hideMark/>
          </w:tcPr>
          <w:p w14:paraId="7A393087" w14:textId="77777777" w:rsidR="00096CE3" w:rsidRPr="00E75453" w:rsidRDefault="00096CE3" w:rsidP="00B952F9">
            <w:pPr>
              <w:jc w:val="center"/>
              <w:rPr>
                <w:rFonts w:eastAsia="Times New Roman" w:cs="Times New Roman"/>
                <w:b/>
                <w:color w:val="000000"/>
                <w:sz w:val="20"/>
                <w:szCs w:val="20"/>
              </w:rPr>
            </w:pPr>
            <w:r w:rsidRPr="00E75453">
              <w:rPr>
                <w:rFonts w:eastAsia="Times New Roman" w:cs="Times New Roman"/>
                <w:b/>
                <w:color w:val="000000"/>
                <w:sz w:val="20"/>
                <w:szCs w:val="20"/>
              </w:rPr>
              <w:t>Sideswipe</w:t>
            </w:r>
          </w:p>
        </w:tc>
        <w:tc>
          <w:tcPr>
            <w:tcW w:w="1816" w:type="dxa"/>
            <w:gridSpan w:val="2"/>
            <w:tcBorders>
              <w:top w:val="double" w:sz="4" w:space="0" w:color="auto"/>
              <w:left w:val="nil"/>
              <w:bottom w:val="single" w:sz="4" w:space="0" w:color="auto"/>
              <w:right w:val="single" w:sz="4" w:space="0" w:color="auto"/>
            </w:tcBorders>
            <w:shd w:val="clear" w:color="auto" w:fill="auto"/>
            <w:noWrap/>
            <w:vAlign w:val="center"/>
            <w:hideMark/>
          </w:tcPr>
          <w:p w14:paraId="7F0793DD" w14:textId="77777777" w:rsidR="00096CE3" w:rsidRPr="00E75453" w:rsidRDefault="00096CE3" w:rsidP="00B952F9">
            <w:pPr>
              <w:jc w:val="center"/>
              <w:rPr>
                <w:rFonts w:eastAsia="Times New Roman" w:cs="Times New Roman"/>
                <w:b/>
                <w:color w:val="000000"/>
                <w:sz w:val="20"/>
                <w:szCs w:val="20"/>
              </w:rPr>
            </w:pPr>
            <w:r>
              <w:rPr>
                <w:rFonts w:eastAsia="Times New Roman" w:cs="Times New Roman"/>
                <w:b/>
                <w:color w:val="000000"/>
                <w:sz w:val="20"/>
                <w:szCs w:val="20"/>
              </w:rPr>
              <w:t>Head-on</w:t>
            </w:r>
          </w:p>
        </w:tc>
        <w:tc>
          <w:tcPr>
            <w:tcW w:w="1854" w:type="dxa"/>
            <w:gridSpan w:val="3"/>
            <w:tcBorders>
              <w:top w:val="double" w:sz="4" w:space="0" w:color="auto"/>
              <w:left w:val="nil"/>
              <w:bottom w:val="single" w:sz="4" w:space="0" w:color="auto"/>
              <w:right w:val="single" w:sz="4" w:space="0" w:color="auto"/>
            </w:tcBorders>
            <w:shd w:val="clear" w:color="auto" w:fill="auto"/>
            <w:noWrap/>
            <w:vAlign w:val="center"/>
            <w:hideMark/>
          </w:tcPr>
          <w:p w14:paraId="60C089FB" w14:textId="77777777" w:rsidR="00096CE3" w:rsidRPr="00E75453" w:rsidRDefault="00096CE3" w:rsidP="00B952F9">
            <w:pPr>
              <w:jc w:val="center"/>
              <w:rPr>
                <w:rFonts w:eastAsia="Times New Roman" w:cs="Times New Roman"/>
                <w:b/>
                <w:color w:val="000000"/>
                <w:sz w:val="20"/>
                <w:szCs w:val="20"/>
              </w:rPr>
            </w:pPr>
            <w:r>
              <w:rPr>
                <w:rFonts w:eastAsia="Times New Roman" w:cs="Times New Roman"/>
                <w:b/>
                <w:color w:val="000000"/>
                <w:sz w:val="20"/>
              </w:rPr>
              <w:t>Single</w:t>
            </w:r>
            <w:r w:rsidRPr="00240799">
              <w:rPr>
                <w:rFonts w:eastAsia="Times New Roman" w:cs="Times New Roman"/>
                <w:b/>
                <w:color w:val="000000"/>
                <w:sz w:val="20"/>
              </w:rPr>
              <w:t xml:space="preserve"> vehicle</w:t>
            </w:r>
          </w:p>
        </w:tc>
        <w:tc>
          <w:tcPr>
            <w:tcW w:w="1793" w:type="dxa"/>
            <w:gridSpan w:val="2"/>
            <w:tcBorders>
              <w:top w:val="double" w:sz="4" w:space="0" w:color="auto"/>
              <w:left w:val="nil"/>
              <w:bottom w:val="single" w:sz="4" w:space="0" w:color="auto"/>
              <w:right w:val="double" w:sz="4" w:space="0" w:color="auto"/>
            </w:tcBorders>
            <w:shd w:val="clear" w:color="auto" w:fill="auto"/>
            <w:noWrap/>
            <w:vAlign w:val="center"/>
            <w:hideMark/>
          </w:tcPr>
          <w:p w14:paraId="557A5665" w14:textId="77777777" w:rsidR="00096CE3" w:rsidRPr="00E75453" w:rsidRDefault="00096CE3" w:rsidP="00B952F9">
            <w:pPr>
              <w:jc w:val="center"/>
              <w:rPr>
                <w:rFonts w:eastAsia="Times New Roman" w:cs="Times New Roman"/>
                <w:b/>
                <w:color w:val="000000"/>
                <w:sz w:val="20"/>
                <w:szCs w:val="20"/>
              </w:rPr>
            </w:pPr>
            <w:r w:rsidRPr="00E75453">
              <w:rPr>
                <w:rFonts w:eastAsia="Times New Roman" w:cs="Times New Roman"/>
                <w:b/>
                <w:color w:val="000000"/>
                <w:sz w:val="20"/>
                <w:szCs w:val="20"/>
              </w:rPr>
              <w:t>Non-motorized</w:t>
            </w:r>
          </w:p>
        </w:tc>
      </w:tr>
      <w:tr w:rsidR="00096CE3" w:rsidRPr="00E75453" w14:paraId="723C739B" w14:textId="77777777" w:rsidTr="00B952F9">
        <w:trPr>
          <w:trHeight w:val="300"/>
        </w:trPr>
        <w:tc>
          <w:tcPr>
            <w:tcW w:w="1965" w:type="dxa"/>
            <w:vMerge/>
            <w:tcBorders>
              <w:left w:val="double" w:sz="4" w:space="0" w:color="auto"/>
              <w:bottom w:val="double" w:sz="4" w:space="0" w:color="auto"/>
              <w:right w:val="single" w:sz="4" w:space="0" w:color="auto"/>
            </w:tcBorders>
            <w:shd w:val="clear" w:color="auto" w:fill="auto"/>
            <w:noWrap/>
            <w:vAlign w:val="center"/>
          </w:tcPr>
          <w:p w14:paraId="3869B519" w14:textId="77777777" w:rsidR="00096CE3" w:rsidRDefault="00096CE3" w:rsidP="00B952F9">
            <w:pPr>
              <w:rPr>
                <w:rFonts w:eastAsia="Times New Roman" w:cs="Times New Roman"/>
                <w:color w:val="000000"/>
                <w:sz w:val="20"/>
                <w:szCs w:val="20"/>
              </w:rPr>
            </w:pPr>
          </w:p>
        </w:tc>
        <w:tc>
          <w:tcPr>
            <w:tcW w:w="916" w:type="dxa"/>
            <w:tcBorders>
              <w:top w:val="nil"/>
              <w:left w:val="nil"/>
              <w:bottom w:val="double" w:sz="4" w:space="0" w:color="auto"/>
              <w:right w:val="single" w:sz="4" w:space="0" w:color="auto"/>
            </w:tcBorders>
            <w:shd w:val="clear" w:color="auto" w:fill="auto"/>
            <w:noWrap/>
            <w:vAlign w:val="center"/>
          </w:tcPr>
          <w:p w14:paraId="4A555F17" w14:textId="77777777" w:rsidR="00096CE3" w:rsidRPr="00E75453" w:rsidRDefault="00096CE3" w:rsidP="00B952F9">
            <w:pPr>
              <w:jc w:val="center"/>
              <w:rPr>
                <w:rFonts w:eastAsia="Times New Roman" w:cs="Times New Roman"/>
                <w:color w:val="000000"/>
                <w:sz w:val="20"/>
                <w:szCs w:val="20"/>
              </w:rPr>
            </w:pPr>
            <w:r>
              <w:rPr>
                <w:rFonts w:eastAsia="Times New Roman" w:cs="Times New Roman"/>
                <w:color w:val="000000"/>
                <w:sz w:val="20"/>
                <w:szCs w:val="20"/>
              </w:rPr>
              <w:t>Estimate</w:t>
            </w:r>
          </w:p>
        </w:tc>
        <w:tc>
          <w:tcPr>
            <w:tcW w:w="879" w:type="dxa"/>
            <w:tcBorders>
              <w:top w:val="nil"/>
              <w:left w:val="nil"/>
              <w:bottom w:val="double" w:sz="4" w:space="0" w:color="auto"/>
              <w:right w:val="single" w:sz="4" w:space="0" w:color="auto"/>
            </w:tcBorders>
            <w:shd w:val="clear" w:color="auto" w:fill="auto"/>
            <w:noWrap/>
            <w:vAlign w:val="center"/>
          </w:tcPr>
          <w:p w14:paraId="482DDB7C" w14:textId="77777777" w:rsidR="00096CE3" w:rsidRPr="00E75453" w:rsidRDefault="00096CE3" w:rsidP="00B952F9">
            <w:pPr>
              <w:jc w:val="center"/>
              <w:rPr>
                <w:rFonts w:eastAsia="Times New Roman" w:cs="Times New Roman"/>
                <w:color w:val="000000"/>
                <w:sz w:val="20"/>
                <w:szCs w:val="20"/>
              </w:rPr>
            </w:pPr>
            <w:r>
              <w:rPr>
                <w:rFonts w:eastAsia="Times New Roman" w:cs="Times New Roman"/>
                <w:color w:val="000000"/>
                <w:sz w:val="20"/>
                <w:szCs w:val="20"/>
              </w:rPr>
              <w:t>t-stat</w:t>
            </w:r>
          </w:p>
        </w:tc>
        <w:tc>
          <w:tcPr>
            <w:tcW w:w="916" w:type="dxa"/>
            <w:gridSpan w:val="2"/>
            <w:tcBorders>
              <w:top w:val="nil"/>
              <w:left w:val="nil"/>
              <w:bottom w:val="double" w:sz="4" w:space="0" w:color="auto"/>
              <w:right w:val="single" w:sz="4" w:space="0" w:color="auto"/>
            </w:tcBorders>
            <w:shd w:val="clear" w:color="auto" w:fill="auto"/>
            <w:noWrap/>
            <w:vAlign w:val="center"/>
          </w:tcPr>
          <w:p w14:paraId="2249EDA1" w14:textId="77777777" w:rsidR="00096CE3" w:rsidRPr="00E75453" w:rsidRDefault="00096CE3" w:rsidP="00B952F9">
            <w:pPr>
              <w:jc w:val="center"/>
              <w:rPr>
                <w:rFonts w:eastAsia="Times New Roman" w:cs="Times New Roman"/>
                <w:color w:val="000000"/>
                <w:sz w:val="20"/>
                <w:szCs w:val="20"/>
              </w:rPr>
            </w:pPr>
            <w:r>
              <w:rPr>
                <w:rFonts w:eastAsia="Times New Roman" w:cs="Times New Roman"/>
                <w:color w:val="000000"/>
                <w:sz w:val="20"/>
                <w:szCs w:val="20"/>
              </w:rPr>
              <w:t>Estimate</w:t>
            </w:r>
          </w:p>
        </w:tc>
        <w:tc>
          <w:tcPr>
            <w:tcW w:w="900" w:type="dxa"/>
            <w:tcBorders>
              <w:top w:val="nil"/>
              <w:left w:val="nil"/>
              <w:bottom w:val="double" w:sz="4" w:space="0" w:color="auto"/>
              <w:right w:val="single" w:sz="4" w:space="0" w:color="auto"/>
            </w:tcBorders>
            <w:shd w:val="clear" w:color="auto" w:fill="auto"/>
            <w:noWrap/>
            <w:vAlign w:val="center"/>
          </w:tcPr>
          <w:p w14:paraId="092DFB34" w14:textId="77777777" w:rsidR="00096CE3" w:rsidRPr="00E75453" w:rsidRDefault="00096CE3" w:rsidP="00B952F9">
            <w:pPr>
              <w:jc w:val="center"/>
              <w:rPr>
                <w:rFonts w:eastAsia="Times New Roman" w:cs="Times New Roman"/>
                <w:color w:val="000000"/>
                <w:sz w:val="20"/>
                <w:szCs w:val="20"/>
              </w:rPr>
            </w:pPr>
            <w:r>
              <w:rPr>
                <w:rFonts w:eastAsia="Times New Roman" w:cs="Times New Roman"/>
                <w:color w:val="000000"/>
                <w:sz w:val="20"/>
                <w:szCs w:val="20"/>
              </w:rPr>
              <w:t>t-stat</w:t>
            </w:r>
          </w:p>
        </w:tc>
        <w:tc>
          <w:tcPr>
            <w:tcW w:w="916" w:type="dxa"/>
            <w:tcBorders>
              <w:top w:val="nil"/>
              <w:left w:val="nil"/>
              <w:bottom w:val="double" w:sz="4" w:space="0" w:color="auto"/>
              <w:right w:val="single" w:sz="4" w:space="0" w:color="auto"/>
            </w:tcBorders>
            <w:shd w:val="clear" w:color="auto" w:fill="auto"/>
            <w:noWrap/>
            <w:vAlign w:val="center"/>
          </w:tcPr>
          <w:p w14:paraId="440AB8D5" w14:textId="77777777" w:rsidR="00096CE3" w:rsidRPr="00E75453" w:rsidRDefault="00096CE3" w:rsidP="00B952F9">
            <w:pPr>
              <w:jc w:val="center"/>
              <w:rPr>
                <w:rFonts w:eastAsia="Times New Roman" w:cs="Times New Roman"/>
                <w:color w:val="000000"/>
                <w:sz w:val="20"/>
                <w:szCs w:val="20"/>
              </w:rPr>
            </w:pPr>
            <w:r>
              <w:rPr>
                <w:rFonts w:eastAsia="Times New Roman" w:cs="Times New Roman"/>
                <w:color w:val="000000"/>
                <w:sz w:val="20"/>
                <w:szCs w:val="20"/>
              </w:rPr>
              <w:t>Estimate</w:t>
            </w:r>
          </w:p>
        </w:tc>
        <w:tc>
          <w:tcPr>
            <w:tcW w:w="900" w:type="dxa"/>
            <w:tcBorders>
              <w:top w:val="nil"/>
              <w:left w:val="nil"/>
              <w:bottom w:val="double" w:sz="4" w:space="0" w:color="auto"/>
              <w:right w:val="single" w:sz="4" w:space="0" w:color="auto"/>
            </w:tcBorders>
            <w:shd w:val="clear" w:color="auto" w:fill="auto"/>
            <w:noWrap/>
            <w:vAlign w:val="center"/>
          </w:tcPr>
          <w:p w14:paraId="6A618D08" w14:textId="77777777" w:rsidR="00096CE3" w:rsidRPr="00E75453" w:rsidRDefault="00096CE3" w:rsidP="00B952F9">
            <w:pPr>
              <w:jc w:val="center"/>
              <w:rPr>
                <w:rFonts w:eastAsia="Times New Roman" w:cs="Times New Roman"/>
                <w:color w:val="000000"/>
                <w:sz w:val="20"/>
                <w:szCs w:val="20"/>
              </w:rPr>
            </w:pPr>
            <w:r>
              <w:rPr>
                <w:rFonts w:eastAsia="Times New Roman" w:cs="Times New Roman"/>
                <w:color w:val="000000"/>
                <w:sz w:val="20"/>
                <w:szCs w:val="20"/>
              </w:rPr>
              <w:t>t-stat</w:t>
            </w:r>
          </w:p>
        </w:tc>
        <w:tc>
          <w:tcPr>
            <w:tcW w:w="916" w:type="dxa"/>
            <w:tcBorders>
              <w:top w:val="nil"/>
              <w:left w:val="nil"/>
              <w:bottom w:val="double" w:sz="4" w:space="0" w:color="auto"/>
              <w:right w:val="single" w:sz="4" w:space="0" w:color="auto"/>
            </w:tcBorders>
            <w:shd w:val="clear" w:color="auto" w:fill="auto"/>
            <w:noWrap/>
            <w:vAlign w:val="center"/>
          </w:tcPr>
          <w:p w14:paraId="3B6C5AF3" w14:textId="77777777" w:rsidR="00096CE3" w:rsidRPr="00E75453" w:rsidRDefault="00096CE3" w:rsidP="00B952F9">
            <w:pPr>
              <w:jc w:val="center"/>
              <w:rPr>
                <w:rFonts w:eastAsia="Times New Roman" w:cs="Times New Roman"/>
                <w:color w:val="000000"/>
                <w:sz w:val="20"/>
                <w:szCs w:val="20"/>
              </w:rPr>
            </w:pPr>
            <w:r>
              <w:rPr>
                <w:rFonts w:eastAsia="Times New Roman" w:cs="Times New Roman"/>
                <w:color w:val="000000"/>
                <w:sz w:val="20"/>
                <w:szCs w:val="20"/>
              </w:rPr>
              <w:t>Estimate</w:t>
            </w:r>
          </w:p>
        </w:tc>
        <w:tc>
          <w:tcPr>
            <w:tcW w:w="900" w:type="dxa"/>
            <w:tcBorders>
              <w:top w:val="nil"/>
              <w:left w:val="nil"/>
              <w:bottom w:val="double" w:sz="4" w:space="0" w:color="auto"/>
              <w:right w:val="single" w:sz="4" w:space="0" w:color="auto"/>
            </w:tcBorders>
            <w:shd w:val="clear" w:color="auto" w:fill="auto"/>
            <w:noWrap/>
            <w:vAlign w:val="center"/>
          </w:tcPr>
          <w:p w14:paraId="46E9FD76" w14:textId="77777777" w:rsidR="00096CE3" w:rsidRPr="00E75453" w:rsidRDefault="00096CE3" w:rsidP="00B952F9">
            <w:pPr>
              <w:jc w:val="center"/>
              <w:rPr>
                <w:rFonts w:eastAsia="Times New Roman" w:cs="Times New Roman"/>
                <w:color w:val="000000"/>
                <w:sz w:val="20"/>
                <w:szCs w:val="20"/>
              </w:rPr>
            </w:pPr>
            <w:r>
              <w:rPr>
                <w:rFonts w:eastAsia="Times New Roman" w:cs="Times New Roman"/>
                <w:color w:val="000000"/>
                <w:sz w:val="20"/>
                <w:szCs w:val="20"/>
              </w:rPr>
              <w:t>t-stat</w:t>
            </w:r>
          </w:p>
        </w:tc>
        <w:tc>
          <w:tcPr>
            <w:tcW w:w="916" w:type="dxa"/>
            <w:tcBorders>
              <w:top w:val="nil"/>
              <w:left w:val="nil"/>
              <w:bottom w:val="double" w:sz="4" w:space="0" w:color="auto"/>
              <w:right w:val="single" w:sz="4" w:space="0" w:color="auto"/>
            </w:tcBorders>
            <w:shd w:val="clear" w:color="auto" w:fill="auto"/>
            <w:noWrap/>
            <w:vAlign w:val="center"/>
          </w:tcPr>
          <w:p w14:paraId="19AD61E6" w14:textId="77777777" w:rsidR="00096CE3" w:rsidRPr="00E75453" w:rsidRDefault="00096CE3" w:rsidP="00B952F9">
            <w:pPr>
              <w:jc w:val="center"/>
              <w:rPr>
                <w:rFonts w:eastAsia="Times New Roman" w:cs="Times New Roman"/>
                <w:color w:val="000000"/>
                <w:sz w:val="20"/>
                <w:szCs w:val="20"/>
              </w:rPr>
            </w:pPr>
            <w:r>
              <w:rPr>
                <w:rFonts w:eastAsia="Times New Roman" w:cs="Times New Roman"/>
                <w:color w:val="000000"/>
                <w:sz w:val="20"/>
                <w:szCs w:val="20"/>
              </w:rPr>
              <w:t>Estimate</w:t>
            </w:r>
          </w:p>
        </w:tc>
        <w:tc>
          <w:tcPr>
            <w:tcW w:w="931" w:type="dxa"/>
            <w:tcBorders>
              <w:top w:val="nil"/>
              <w:left w:val="nil"/>
              <w:bottom w:val="double" w:sz="4" w:space="0" w:color="auto"/>
              <w:right w:val="single" w:sz="4" w:space="0" w:color="auto"/>
            </w:tcBorders>
            <w:shd w:val="clear" w:color="auto" w:fill="auto"/>
            <w:noWrap/>
            <w:vAlign w:val="center"/>
          </w:tcPr>
          <w:p w14:paraId="2B9179B7" w14:textId="77777777" w:rsidR="00096CE3" w:rsidRPr="00E75453" w:rsidRDefault="00096CE3" w:rsidP="00B952F9">
            <w:pPr>
              <w:jc w:val="center"/>
              <w:rPr>
                <w:rFonts w:eastAsia="Times New Roman" w:cs="Times New Roman"/>
                <w:color w:val="000000"/>
                <w:sz w:val="20"/>
                <w:szCs w:val="20"/>
              </w:rPr>
            </w:pPr>
            <w:r>
              <w:rPr>
                <w:rFonts w:eastAsia="Times New Roman" w:cs="Times New Roman"/>
                <w:color w:val="000000"/>
                <w:sz w:val="20"/>
                <w:szCs w:val="20"/>
              </w:rPr>
              <w:t>t-stat</w:t>
            </w:r>
          </w:p>
        </w:tc>
        <w:tc>
          <w:tcPr>
            <w:tcW w:w="916" w:type="dxa"/>
            <w:gridSpan w:val="2"/>
            <w:tcBorders>
              <w:top w:val="nil"/>
              <w:left w:val="nil"/>
              <w:bottom w:val="double" w:sz="4" w:space="0" w:color="auto"/>
              <w:right w:val="single" w:sz="4" w:space="0" w:color="auto"/>
            </w:tcBorders>
            <w:shd w:val="clear" w:color="auto" w:fill="auto"/>
            <w:noWrap/>
            <w:vAlign w:val="center"/>
          </w:tcPr>
          <w:p w14:paraId="06F72E10" w14:textId="77777777" w:rsidR="00096CE3" w:rsidRPr="00E75453" w:rsidRDefault="00096CE3" w:rsidP="00B952F9">
            <w:pPr>
              <w:jc w:val="center"/>
              <w:rPr>
                <w:rFonts w:eastAsia="Times New Roman" w:cs="Times New Roman"/>
                <w:color w:val="000000"/>
                <w:sz w:val="20"/>
                <w:szCs w:val="20"/>
              </w:rPr>
            </w:pPr>
            <w:r>
              <w:rPr>
                <w:rFonts w:eastAsia="Times New Roman" w:cs="Times New Roman"/>
                <w:color w:val="000000"/>
                <w:sz w:val="20"/>
                <w:szCs w:val="20"/>
              </w:rPr>
              <w:t>Estimate</w:t>
            </w:r>
          </w:p>
        </w:tc>
        <w:tc>
          <w:tcPr>
            <w:tcW w:w="884" w:type="dxa"/>
            <w:tcBorders>
              <w:top w:val="nil"/>
              <w:left w:val="nil"/>
              <w:bottom w:val="double" w:sz="4" w:space="0" w:color="auto"/>
              <w:right w:val="double" w:sz="4" w:space="0" w:color="auto"/>
            </w:tcBorders>
            <w:shd w:val="clear" w:color="auto" w:fill="auto"/>
            <w:noWrap/>
            <w:vAlign w:val="center"/>
          </w:tcPr>
          <w:p w14:paraId="53AEC15A" w14:textId="77777777" w:rsidR="00096CE3" w:rsidRPr="00E75453" w:rsidRDefault="00096CE3" w:rsidP="00B952F9">
            <w:pPr>
              <w:jc w:val="center"/>
              <w:rPr>
                <w:rFonts w:eastAsia="Times New Roman" w:cs="Times New Roman"/>
                <w:color w:val="000000"/>
                <w:sz w:val="20"/>
                <w:szCs w:val="20"/>
              </w:rPr>
            </w:pPr>
            <w:r>
              <w:rPr>
                <w:rFonts w:eastAsia="Times New Roman" w:cs="Times New Roman"/>
                <w:color w:val="000000"/>
                <w:sz w:val="20"/>
                <w:szCs w:val="20"/>
              </w:rPr>
              <w:t>t-stat</w:t>
            </w:r>
          </w:p>
        </w:tc>
      </w:tr>
      <w:tr w:rsidR="00096CE3" w:rsidRPr="00E75453" w14:paraId="7714D267" w14:textId="77777777" w:rsidTr="00B952F9">
        <w:trPr>
          <w:trHeight w:val="300"/>
        </w:trPr>
        <w:tc>
          <w:tcPr>
            <w:tcW w:w="12855" w:type="dxa"/>
            <w:gridSpan w:val="15"/>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142C0051" w14:textId="77777777" w:rsidR="00096CE3" w:rsidRPr="00E75453" w:rsidRDefault="00096CE3" w:rsidP="00B952F9">
            <w:pPr>
              <w:rPr>
                <w:rFonts w:eastAsia="Times New Roman" w:cs="Times New Roman"/>
                <w:b/>
                <w:bCs/>
                <w:color w:val="000000"/>
                <w:sz w:val="20"/>
                <w:szCs w:val="20"/>
              </w:rPr>
            </w:pPr>
            <w:r>
              <w:rPr>
                <w:rFonts w:eastAsia="Times New Roman" w:cs="Times New Roman"/>
                <w:b/>
                <w:bCs/>
                <w:color w:val="000000"/>
                <w:sz w:val="20"/>
                <w:szCs w:val="20"/>
              </w:rPr>
              <w:t>Within Crash Counts of Different Crash types</w:t>
            </w:r>
          </w:p>
        </w:tc>
      </w:tr>
      <w:tr w:rsidR="00096CE3" w:rsidRPr="00E75453" w14:paraId="034EF5FC" w14:textId="77777777" w:rsidTr="00B952F9">
        <w:trPr>
          <w:trHeight w:val="300"/>
        </w:trPr>
        <w:tc>
          <w:tcPr>
            <w:tcW w:w="1965" w:type="dxa"/>
            <w:tcBorders>
              <w:top w:val="double" w:sz="4" w:space="0" w:color="auto"/>
              <w:left w:val="double" w:sz="4" w:space="0" w:color="auto"/>
              <w:bottom w:val="single" w:sz="4" w:space="0" w:color="auto"/>
              <w:right w:val="single" w:sz="4" w:space="0" w:color="auto"/>
            </w:tcBorders>
            <w:shd w:val="clear" w:color="auto" w:fill="auto"/>
            <w:noWrap/>
            <w:vAlign w:val="center"/>
            <w:hideMark/>
          </w:tcPr>
          <w:p w14:paraId="74D8B559" w14:textId="5F36C1A2" w:rsidR="00096CE3" w:rsidRPr="00FF1629" w:rsidRDefault="00096CE3" w:rsidP="00B952F9">
            <w:pPr>
              <w:ind w:left="150"/>
              <w:rPr>
                <w:rFonts w:eastAsia="Times New Roman" w:cs="Times New Roman"/>
                <w:color w:val="000000"/>
                <w:sz w:val="20"/>
                <w:szCs w:val="20"/>
                <w:vertAlign w:val="superscript"/>
              </w:rPr>
            </w:pPr>
            <w:r w:rsidRPr="000D5E40">
              <w:rPr>
                <w:rFonts w:eastAsia="Times New Roman" w:cs="Times New Roman"/>
                <w:color w:val="000000"/>
                <w:sz w:val="20"/>
                <w:szCs w:val="20"/>
              </w:rPr>
              <w:t>Correlation 1</w:t>
            </w:r>
            <w:r w:rsidR="00B17752">
              <w:rPr>
                <w:rFonts w:eastAsia="Times New Roman" w:cs="Times New Roman"/>
                <w:color w:val="000000"/>
                <w:sz w:val="20"/>
                <w:szCs w:val="20"/>
              </w:rPr>
              <w:t xml:space="preserve"> </w:t>
            </w:r>
            <w:r>
              <w:rPr>
                <w:rFonts w:eastAsia="Times New Roman" w:cs="Times New Roman"/>
                <w:color w:val="000000"/>
                <w:sz w:val="20"/>
                <w:szCs w:val="20"/>
              </w:rPr>
              <w:t>(</w:t>
            </w:r>
            <w:proofErr w:type="gramStart"/>
            <w:r>
              <w:rPr>
                <w:rFonts w:eastAsia="Times New Roman" w:cs="Times New Roman"/>
                <w:color w:val="000000"/>
                <w:sz w:val="20"/>
                <w:szCs w:val="20"/>
              </w:rPr>
              <w:t>1)</w:t>
            </w:r>
            <w:r>
              <w:rPr>
                <w:rFonts w:eastAsia="Times New Roman" w:cs="Times New Roman"/>
                <w:color w:val="000000"/>
                <w:sz w:val="20"/>
                <w:szCs w:val="20"/>
                <w:vertAlign w:val="superscript"/>
              </w:rPr>
              <w:t>*</w:t>
            </w:r>
            <w:proofErr w:type="gramEnd"/>
            <w:r>
              <w:rPr>
                <w:rFonts w:eastAsia="Times New Roman" w:cs="Times New Roman"/>
                <w:color w:val="000000"/>
                <w:sz w:val="20"/>
                <w:szCs w:val="20"/>
                <w:vertAlign w:val="superscript"/>
              </w:rPr>
              <w:t>*</w:t>
            </w:r>
          </w:p>
          <w:p w14:paraId="38B201F5" w14:textId="77777777" w:rsidR="00096CE3" w:rsidRPr="00E75453" w:rsidRDefault="00DA4C35" w:rsidP="00B952F9">
            <w:pPr>
              <w:ind w:left="150"/>
              <w:jc w:val="left"/>
              <w:rPr>
                <w:rFonts w:eastAsia="Times New Roman" w:cs="Times New Roman"/>
                <w:color w:val="000000"/>
                <w:sz w:val="20"/>
                <w:szCs w:val="20"/>
              </w:rPr>
            </w:pPr>
            <m:oMath>
              <m:sSub>
                <m:sSubPr>
                  <m:ctrlPr>
                    <w:rPr>
                      <w:rFonts w:ascii="Cambria Math" w:eastAsia="Times New Roman" w:hAnsi="Cambria Math" w:cs="Times New Roman"/>
                      <w:sz w:val="20"/>
                      <w:szCs w:val="18"/>
                      <w:lang w:val="en-US"/>
                    </w:rPr>
                  </m:ctrlPr>
                </m:sSubPr>
                <m:e>
                  <m:r>
                    <m:rPr>
                      <m:sty m:val="bi"/>
                    </m:rPr>
                    <w:rPr>
                      <w:rFonts w:ascii="Cambria Math" w:eastAsia="Times New Roman" w:hAnsi="Cambria Math" w:cs="Times New Roman"/>
                      <w:sz w:val="20"/>
                      <w:szCs w:val="18"/>
                      <w:lang w:val="en-US"/>
                    </w:rPr>
                    <m:t>ϱ</m:t>
                  </m:r>
                </m:e>
                <m:sub>
                  <m:r>
                    <w:rPr>
                      <w:rFonts w:ascii="Cambria Math" w:eastAsia="Times New Roman" w:hAnsi="Cambria Math" w:cs="Times New Roman"/>
                      <w:sz w:val="20"/>
                      <w:szCs w:val="18"/>
                      <w:lang w:val="en-US"/>
                    </w:rPr>
                    <m:t>ir1</m:t>
                  </m:r>
                </m:sub>
              </m:sSub>
            </m:oMath>
            <w:r w:rsidR="00096CE3" w:rsidRPr="00D96967">
              <w:rPr>
                <w:rFonts w:eastAsia="Times New Roman" w:cs="Times New Roman"/>
                <w:sz w:val="20"/>
                <w:szCs w:val="18"/>
                <w:lang w:val="en-US"/>
              </w:rPr>
              <w:t>, matrix A</w:t>
            </w:r>
            <w:r w:rsidR="00096CE3" w:rsidRPr="00D96967">
              <w:rPr>
                <w:rFonts w:eastAsia="Times New Roman" w:cs="Times New Roman"/>
                <w:sz w:val="20"/>
                <w:szCs w:val="18"/>
                <w:vertAlign w:val="subscript"/>
                <w:lang w:val="en-US"/>
              </w:rPr>
              <w:t>1</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2001D9C4" w14:textId="77777777" w:rsidR="00096CE3" w:rsidRPr="009D0CA0" w:rsidRDefault="00096CE3" w:rsidP="00B952F9">
            <w:pPr>
              <w:jc w:val="center"/>
              <w:rPr>
                <w:rFonts w:cs="Times New Roman"/>
                <w:color w:val="000000"/>
                <w:sz w:val="20"/>
                <w:szCs w:val="20"/>
              </w:rPr>
            </w:pPr>
            <w:r w:rsidRPr="008823E5">
              <w:rPr>
                <w:rFonts w:cs="Times New Roman"/>
                <w:color w:val="000000"/>
                <w:sz w:val="20"/>
                <w:szCs w:val="20"/>
              </w:rPr>
              <w:t>0.585</w:t>
            </w:r>
          </w:p>
        </w:tc>
        <w:tc>
          <w:tcPr>
            <w:tcW w:w="879" w:type="dxa"/>
            <w:tcBorders>
              <w:top w:val="double" w:sz="4" w:space="0" w:color="auto"/>
              <w:left w:val="nil"/>
              <w:bottom w:val="single" w:sz="4" w:space="0" w:color="auto"/>
              <w:right w:val="single" w:sz="4" w:space="0" w:color="auto"/>
            </w:tcBorders>
            <w:shd w:val="clear" w:color="auto" w:fill="auto"/>
            <w:noWrap/>
            <w:vAlign w:val="center"/>
            <w:hideMark/>
          </w:tcPr>
          <w:p w14:paraId="020BEBCE" w14:textId="77777777" w:rsidR="00096CE3" w:rsidRPr="009D0CA0" w:rsidRDefault="00096CE3" w:rsidP="00B952F9">
            <w:pPr>
              <w:jc w:val="center"/>
              <w:rPr>
                <w:rFonts w:cs="Times New Roman"/>
                <w:color w:val="000000"/>
                <w:sz w:val="20"/>
                <w:szCs w:val="20"/>
              </w:rPr>
            </w:pPr>
            <w:r w:rsidRPr="008823E5">
              <w:rPr>
                <w:rFonts w:cs="Times New Roman"/>
                <w:color w:val="000000"/>
                <w:sz w:val="20"/>
                <w:szCs w:val="20"/>
              </w:rPr>
              <w:t>21.818</w:t>
            </w:r>
          </w:p>
        </w:tc>
        <w:tc>
          <w:tcPr>
            <w:tcW w:w="916" w:type="dxa"/>
            <w:gridSpan w:val="2"/>
            <w:tcBorders>
              <w:top w:val="double" w:sz="4" w:space="0" w:color="auto"/>
              <w:left w:val="nil"/>
              <w:bottom w:val="single" w:sz="4" w:space="0" w:color="auto"/>
              <w:right w:val="single" w:sz="4" w:space="0" w:color="auto"/>
            </w:tcBorders>
            <w:shd w:val="clear" w:color="auto" w:fill="auto"/>
            <w:noWrap/>
            <w:vAlign w:val="center"/>
            <w:hideMark/>
          </w:tcPr>
          <w:p w14:paraId="1E61E8C6" w14:textId="77777777" w:rsidR="00096CE3" w:rsidRPr="009D0CA0" w:rsidRDefault="00096CE3" w:rsidP="00B952F9">
            <w:pPr>
              <w:jc w:val="center"/>
              <w:rPr>
                <w:rFonts w:cs="Times New Roman"/>
                <w:color w:val="000000"/>
                <w:sz w:val="20"/>
                <w:szCs w:val="20"/>
              </w:rPr>
            </w:pPr>
            <w:r w:rsidRPr="00B903DF">
              <w:rPr>
                <w:rFonts w:cs="Times New Roman"/>
                <w:color w:val="000000"/>
                <w:sz w:val="20"/>
                <w:szCs w:val="20"/>
              </w:rPr>
              <w:t>--</w:t>
            </w:r>
          </w:p>
        </w:tc>
        <w:tc>
          <w:tcPr>
            <w:tcW w:w="900" w:type="dxa"/>
            <w:tcBorders>
              <w:top w:val="double" w:sz="4" w:space="0" w:color="auto"/>
              <w:left w:val="nil"/>
              <w:bottom w:val="single" w:sz="4" w:space="0" w:color="auto"/>
              <w:right w:val="single" w:sz="4" w:space="0" w:color="auto"/>
            </w:tcBorders>
            <w:shd w:val="clear" w:color="auto" w:fill="auto"/>
            <w:noWrap/>
            <w:vAlign w:val="center"/>
            <w:hideMark/>
          </w:tcPr>
          <w:p w14:paraId="2D2BAA7B" w14:textId="77777777" w:rsidR="00096CE3" w:rsidRPr="009D0CA0" w:rsidRDefault="00096CE3" w:rsidP="00B952F9">
            <w:pPr>
              <w:jc w:val="center"/>
              <w:rPr>
                <w:rFonts w:cs="Times New Roman"/>
                <w:color w:val="000000"/>
                <w:sz w:val="20"/>
                <w:szCs w:val="20"/>
              </w:rPr>
            </w:pPr>
            <w:r w:rsidRPr="00B903DF">
              <w:rPr>
                <w:rFonts w:cs="Times New Roman"/>
                <w:color w:val="000000"/>
                <w:sz w:val="20"/>
                <w:szCs w:val="20"/>
              </w:rPr>
              <w:t>--</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7F380426" w14:textId="77777777" w:rsidR="00096CE3" w:rsidRPr="009D0CA0" w:rsidRDefault="00096CE3" w:rsidP="00B952F9">
            <w:pPr>
              <w:jc w:val="center"/>
              <w:rPr>
                <w:rFonts w:cs="Times New Roman"/>
                <w:color w:val="000000"/>
                <w:sz w:val="20"/>
                <w:szCs w:val="20"/>
              </w:rPr>
            </w:pPr>
            <w:r w:rsidRPr="00B903DF">
              <w:rPr>
                <w:rFonts w:cs="Times New Roman"/>
                <w:color w:val="000000"/>
                <w:sz w:val="20"/>
                <w:szCs w:val="20"/>
              </w:rPr>
              <w:t>--</w:t>
            </w:r>
          </w:p>
        </w:tc>
        <w:tc>
          <w:tcPr>
            <w:tcW w:w="900" w:type="dxa"/>
            <w:tcBorders>
              <w:top w:val="double" w:sz="4" w:space="0" w:color="auto"/>
              <w:left w:val="nil"/>
              <w:bottom w:val="single" w:sz="4" w:space="0" w:color="auto"/>
              <w:right w:val="single" w:sz="4" w:space="0" w:color="auto"/>
            </w:tcBorders>
            <w:shd w:val="clear" w:color="auto" w:fill="auto"/>
            <w:noWrap/>
            <w:vAlign w:val="center"/>
            <w:hideMark/>
          </w:tcPr>
          <w:p w14:paraId="23043359" w14:textId="77777777" w:rsidR="00096CE3" w:rsidRPr="009D0CA0" w:rsidRDefault="00096CE3" w:rsidP="00B952F9">
            <w:pPr>
              <w:jc w:val="center"/>
              <w:rPr>
                <w:rFonts w:cs="Times New Roman"/>
                <w:color w:val="000000"/>
                <w:sz w:val="20"/>
                <w:szCs w:val="20"/>
              </w:rPr>
            </w:pPr>
            <w:r w:rsidRPr="00B903DF">
              <w:rPr>
                <w:rFonts w:cs="Times New Roman"/>
                <w:color w:val="000000"/>
                <w:sz w:val="20"/>
                <w:szCs w:val="20"/>
              </w:rPr>
              <w:t>--</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73329573" w14:textId="77777777" w:rsidR="00096CE3" w:rsidRPr="009D0CA0" w:rsidRDefault="00096CE3" w:rsidP="00B952F9">
            <w:pPr>
              <w:jc w:val="center"/>
              <w:rPr>
                <w:rFonts w:cs="Times New Roman"/>
                <w:color w:val="000000"/>
                <w:sz w:val="20"/>
                <w:szCs w:val="20"/>
              </w:rPr>
            </w:pPr>
            <w:r w:rsidRPr="00B903DF">
              <w:rPr>
                <w:rFonts w:cs="Times New Roman"/>
                <w:color w:val="000000"/>
                <w:sz w:val="20"/>
                <w:szCs w:val="20"/>
              </w:rPr>
              <w:t>--</w:t>
            </w:r>
          </w:p>
        </w:tc>
        <w:tc>
          <w:tcPr>
            <w:tcW w:w="900" w:type="dxa"/>
            <w:tcBorders>
              <w:top w:val="double" w:sz="4" w:space="0" w:color="auto"/>
              <w:left w:val="nil"/>
              <w:bottom w:val="single" w:sz="4" w:space="0" w:color="auto"/>
              <w:right w:val="single" w:sz="4" w:space="0" w:color="auto"/>
            </w:tcBorders>
            <w:shd w:val="clear" w:color="auto" w:fill="auto"/>
            <w:noWrap/>
            <w:vAlign w:val="center"/>
            <w:hideMark/>
          </w:tcPr>
          <w:p w14:paraId="769C5EDA" w14:textId="77777777" w:rsidR="00096CE3" w:rsidRPr="009D0CA0" w:rsidRDefault="00096CE3" w:rsidP="00B952F9">
            <w:pPr>
              <w:jc w:val="center"/>
              <w:rPr>
                <w:rFonts w:cs="Times New Roman"/>
                <w:color w:val="000000"/>
                <w:sz w:val="20"/>
                <w:szCs w:val="20"/>
              </w:rPr>
            </w:pPr>
            <w:r w:rsidRPr="00B903DF">
              <w:rPr>
                <w:rFonts w:cs="Times New Roman"/>
                <w:color w:val="000000"/>
                <w:sz w:val="20"/>
                <w:szCs w:val="20"/>
              </w:rPr>
              <w:t>--</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67EFB79F" w14:textId="77777777" w:rsidR="00096CE3" w:rsidRPr="009D0CA0" w:rsidRDefault="00096CE3" w:rsidP="00B952F9">
            <w:pPr>
              <w:jc w:val="center"/>
              <w:rPr>
                <w:rFonts w:cs="Times New Roman"/>
                <w:color w:val="000000"/>
                <w:sz w:val="20"/>
                <w:szCs w:val="20"/>
              </w:rPr>
            </w:pPr>
            <w:r w:rsidRPr="00B903DF">
              <w:rPr>
                <w:rFonts w:cs="Times New Roman"/>
                <w:color w:val="000000"/>
                <w:sz w:val="20"/>
                <w:szCs w:val="20"/>
              </w:rPr>
              <w:t>--</w:t>
            </w:r>
          </w:p>
        </w:tc>
        <w:tc>
          <w:tcPr>
            <w:tcW w:w="931" w:type="dxa"/>
            <w:tcBorders>
              <w:top w:val="double" w:sz="4" w:space="0" w:color="auto"/>
              <w:left w:val="nil"/>
              <w:bottom w:val="single" w:sz="4" w:space="0" w:color="auto"/>
              <w:right w:val="single" w:sz="4" w:space="0" w:color="auto"/>
            </w:tcBorders>
            <w:shd w:val="clear" w:color="auto" w:fill="auto"/>
            <w:noWrap/>
            <w:vAlign w:val="center"/>
            <w:hideMark/>
          </w:tcPr>
          <w:p w14:paraId="72643449" w14:textId="77777777" w:rsidR="00096CE3" w:rsidRPr="009D0CA0" w:rsidRDefault="00096CE3" w:rsidP="00B952F9">
            <w:pPr>
              <w:jc w:val="center"/>
              <w:rPr>
                <w:rFonts w:cs="Times New Roman"/>
                <w:color w:val="000000"/>
                <w:sz w:val="20"/>
                <w:szCs w:val="20"/>
              </w:rPr>
            </w:pPr>
            <w:r w:rsidRPr="00B903DF">
              <w:rPr>
                <w:rFonts w:cs="Times New Roman"/>
                <w:color w:val="000000"/>
                <w:sz w:val="20"/>
                <w:szCs w:val="20"/>
              </w:rPr>
              <w:t>--</w:t>
            </w:r>
          </w:p>
        </w:tc>
        <w:tc>
          <w:tcPr>
            <w:tcW w:w="916" w:type="dxa"/>
            <w:gridSpan w:val="2"/>
            <w:tcBorders>
              <w:top w:val="double" w:sz="4" w:space="0" w:color="auto"/>
              <w:left w:val="nil"/>
              <w:bottom w:val="single" w:sz="4" w:space="0" w:color="auto"/>
              <w:right w:val="single" w:sz="4" w:space="0" w:color="auto"/>
            </w:tcBorders>
            <w:shd w:val="clear" w:color="auto" w:fill="auto"/>
            <w:noWrap/>
            <w:vAlign w:val="center"/>
            <w:hideMark/>
          </w:tcPr>
          <w:p w14:paraId="0936D972" w14:textId="77777777" w:rsidR="00096CE3" w:rsidRPr="009D0CA0" w:rsidRDefault="00096CE3" w:rsidP="00B952F9">
            <w:pPr>
              <w:jc w:val="center"/>
              <w:rPr>
                <w:rFonts w:cs="Times New Roman"/>
                <w:color w:val="000000"/>
                <w:sz w:val="20"/>
                <w:szCs w:val="20"/>
              </w:rPr>
            </w:pPr>
            <w:r w:rsidRPr="008823E5">
              <w:rPr>
                <w:rFonts w:cs="Times New Roman"/>
                <w:color w:val="000000"/>
                <w:sz w:val="20"/>
                <w:szCs w:val="20"/>
              </w:rPr>
              <w:t>0.585</w:t>
            </w:r>
          </w:p>
        </w:tc>
        <w:tc>
          <w:tcPr>
            <w:tcW w:w="884" w:type="dxa"/>
            <w:tcBorders>
              <w:top w:val="double" w:sz="4" w:space="0" w:color="auto"/>
              <w:left w:val="nil"/>
              <w:bottom w:val="single" w:sz="4" w:space="0" w:color="auto"/>
              <w:right w:val="double" w:sz="4" w:space="0" w:color="auto"/>
            </w:tcBorders>
            <w:shd w:val="clear" w:color="auto" w:fill="auto"/>
            <w:noWrap/>
            <w:vAlign w:val="center"/>
            <w:hideMark/>
          </w:tcPr>
          <w:p w14:paraId="1840A6E2" w14:textId="77777777" w:rsidR="00096CE3" w:rsidRPr="009D0CA0" w:rsidRDefault="00096CE3" w:rsidP="00B952F9">
            <w:pPr>
              <w:jc w:val="center"/>
              <w:rPr>
                <w:rFonts w:cs="Times New Roman"/>
                <w:color w:val="000000"/>
                <w:sz w:val="20"/>
                <w:szCs w:val="20"/>
              </w:rPr>
            </w:pPr>
            <w:r w:rsidRPr="008823E5">
              <w:rPr>
                <w:rFonts w:cs="Times New Roman"/>
                <w:color w:val="000000"/>
                <w:sz w:val="20"/>
                <w:szCs w:val="20"/>
              </w:rPr>
              <w:t>21.818</w:t>
            </w:r>
          </w:p>
        </w:tc>
      </w:tr>
      <w:tr w:rsidR="00096CE3" w:rsidRPr="00E75453" w14:paraId="5424F0C6" w14:textId="77777777" w:rsidTr="00B952F9">
        <w:trPr>
          <w:trHeight w:val="300"/>
        </w:trPr>
        <w:tc>
          <w:tcPr>
            <w:tcW w:w="1965" w:type="dxa"/>
            <w:tcBorders>
              <w:top w:val="nil"/>
              <w:left w:val="double" w:sz="4" w:space="0" w:color="auto"/>
              <w:bottom w:val="single" w:sz="4" w:space="0" w:color="auto"/>
              <w:right w:val="single" w:sz="4" w:space="0" w:color="auto"/>
            </w:tcBorders>
            <w:shd w:val="clear" w:color="auto" w:fill="auto"/>
            <w:noWrap/>
            <w:vAlign w:val="center"/>
            <w:hideMark/>
          </w:tcPr>
          <w:p w14:paraId="073F7BC6" w14:textId="77777777" w:rsidR="00096CE3" w:rsidRPr="00FF1629" w:rsidRDefault="00096CE3" w:rsidP="00B952F9">
            <w:pPr>
              <w:ind w:left="150"/>
              <w:rPr>
                <w:rFonts w:eastAsia="Times New Roman" w:cs="Times New Roman"/>
                <w:color w:val="000000"/>
                <w:sz w:val="20"/>
                <w:szCs w:val="20"/>
                <w:vertAlign w:val="superscript"/>
              </w:rPr>
            </w:pPr>
            <w:r w:rsidRPr="000D5E40">
              <w:rPr>
                <w:rFonts w:eastAsia="Times New Roman" w:cs="Times New Roman"/>
                <w:color w:val="000000"/>
                <w:sz w:val="20"/>
                <w:szCs w:val="20"/>
              </w:rPr>
              <w:t xml:space="preserve">Correlation </w:t>
            </w:r>
            <w:r>
              <w:rPr>
                <w:rFonts w:eastAsia="Times New Roman" w:cs="Times New Roman"/>
                <w:color w:val="000000"/>
                <w:sz w:val="20"/>
                <w:szCs w:val="20"/>
              </w:rPr>
              <w:t>2 (1)</w:t>
            </w:r>
          </w:p>
          <w:p w14:paraId="297C0964" w14:textId="77777777" w:rsidR="00096CE3" w:rsidRPr="00E75453" w:rsidRDefault="00DA4C35" w:rsidP="00B952F9">
            <w:pPr>
              <w:ind w:left="150"/>
              <w:jc w:val="left"/>
              <w:rPr>
                <w:rFonts w:eastAsia="Times New Roman" w:cs="Times New Roman"/>
                <w:color w:val="000000"/>
                <w:sz w:val="20"/>
                <w:szCs w:val="20"/>
              </w:rPr>
            </w:pPr>
            <m:oMath>
              <m:sSub>
                <m:sSubPr>
                  <m:ctrlPr>
                    <w:rPr>
                      <w:rFonts w:ascii="Cambria Math" w:eastAsia="Times New Roman" w:hAnsi="Cambria Math" w:cs="Times New Roman"/>
                      <w:sz w:val="20"/>
                      <w:szCs w:val="18"/>
                      <w:lang w:val="en-US"/>
                    </w:rPr>
                  </m:ctrlPr>
                </m:sSubPr>
                <m:e>
                  <m:r>
                    <m:rPr>
                      <m:sty m:val="bi"/>
                    </m:rPr>
                    <w:rPr>
                      <w:rFonts w:ascii="Cambria Math" w:eastAsia="Times New Roman" w:hAnsi="Cambria Math" w:cs="Times New Roman"/>
                      <w:sz w:val="20"/>
                      <w:szCs w:val="18"/>
                      <w:lang w:val="en-US"/>
                    </w:rPr>
                    <m:t>ϱ</m:t>
                  </m:r>
                </m:e>
                <m:sub>
                  <m:r>
                    <w:rPr>
                      <w:rFonts w:ascii="Cambria Math" w:eastAsia="Times New Roman" w:hAnsi="Cambria Math" w:cs="Times New Roman"/>
                      <w:sz w:val="20"/>
                      <w:szCs w:val="18"/>
                      <w:lang w:val="en-US"/>
                    </w:rPr>
                    <m:t>ir2</m:t>
                  </m:r>
                </m:sub>
              </m:sSub>
            </m:oMath>
            <w:r w:rsidR="00096CE3" w:rsidRPr="00D96967">
              <w:rPr>
                <w:rFonts w:eastAsia="Times New Roman" w:cs="Times New Roman"/>
                <w:sz w:val="20"/>
                <w:szCs w:val="18"/>
                <w:lang w:val="en-US"/>
              </w:rPr>
              <w:t>, matrix A</w:t>
            </w:r>
            <w:r w:rsidR="00096CE3" w:rsidRPr="00D96967">
              <w:rPr>
                <w:rFonts w:eastAsia="Times New Roman" w:cs="Times New Roman"/>
                <w:sz w:val="20"/>
                <w:szCs w:val="18"/>
                <w:vertAlign w:val="subscript"/>
                <w:lang w:val="en-US"/>
              </w:rPr>
              <w:t>1</w:t>
            </w:r>
          </w:p>
        </w:tc>
        <w:tc>
          <w:tcPr>
            <w:tcW w:w="916" w:type="dxa"/>
            <w:tcBorders>
              <w:top w:val="nil"/>
              <w:left w:val="nil"/>
              <w:bottom w:val="single" w:sz="4" w:space="0" w:color="auto"/>
              <w:right w:val="single" w:sz="4" w:space="0" w:color="auto"/>
            </w:tcBorders>
            <w:shd w:val="clear" w:color="auto" w:fill="auto"/>
            <w:noWrap/>
            <w:vAlign w:val="center"/>
            <w:hideMark/>
          </w:tcPr>
          <w:p w14:paraId="1680FD1D" w14:textId="77777777" w:rsidR="00096CE3" w:rsidRPr="009D0CA0" w:rsidRDefault="00096CE3" w:rsidP="00B952F9">
            <w:pPr>
              <w:jc w:val="center"/>
              <w:rPr>
                <w:rFonts w:cs="Times New Roman"/>
                <w:color w:val="000000"/>
                <w:sz w:val="20"/>
                <w:szCs w:val="20"/>
              </w:rPr>
            </w:pPr>
            <w:r w:rsidRPr="000B05AB">
              <w:rPr>
                <w:rFonts w:cs="Times New Roman"/>
                <w:color w:val="000000"/>
                <w:sz w:val="20"/>
                <w:szCs w:val="20"/>
              </w:rPr>
              <w:t>--</w:t>
            </w:r>
          </w:p>
        </w:tc>
        <w:tc>
          <w:tcPr>
            <w:tcW w:w="879" w:type="dxa"/>
            <w:tcBorders>
              <w:top w:val="nil"/>
              <w:left w:val="nil"/>
              <w:bottom w:val="single" w:sz="4" w:space="0" w:color="auto"/>
              <w:right w:val="single" w:sz="4" w:space="0" w:color="auto"/>
            </w:tcBorders>
            <w:shd w:val="clear" w:color="auto" w:fill="auto"/>
            <w:noWrap/>
            <w:vAlign w:val="center"/>
            <w:hideMark/>
          </w:tcPr>
          <w:p w14:paraId="6D7B0A2D" w14:textId="77777777" w:rsidR="00096CE3" w:rsidRPr="009D0CA0" w:rsidRDefault="00096CE3" w:rsidP="00B952F9">
            <w:pPr>
              <w:jc w:val="center"/>
              <w:rPr>
                <w:rFonts w:cs="Times New Roman"/>
                <w:color w:val="000000"/>
                <w:sz w:val="20"/>
                <w:szCs w:val="20"/>
              </w:rPr>
            </w:pPr>
            <w:r w:rsidRPr="000B05AB">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hideMark/>
          </w:tcPr>
          <w:p w14:paraId="2442513B" w14:textId="77777777" w:rsidR="00096CE3" w:rsidRPr="009D0CA0" w:rsidRDefault="00096CE3" w:rsidP="00B952F9">
            <w:pPr>
              <w:jc w:val="center"/>
              <w:rPr>
                <w:rFonts w:cs="Times New Roman"/>
                <w:color w:val="000000"/>
                <w:sz w:val="20"/>
                <w:szCs w:val="20"/>
              </w:rPr>
            </w:pPr>
            <w:r w:rsidRPr="008823E5">
              <w:rPr>
                <w:rFonts w:cs="Times New Roman"/>
                <w:color w:val="000000"/>
                <w:sz w:val="20"/>
                <w:szCs w:val="20"/>
              </w:rPr>
              <w:t>0.957</w:t>
            </w:r>
          </w:p>
        </w:tc>
        <w:tc>
          <w:tcPr>
            <w:tcW w:w="900" w:type="dxa"/>
            <w:tcBorders>
              <w:top w:val="nil"/>
              <w:left w:val="nil"/>
              <w:bottom w:val="single" w:sz="4" w:space="0" w:color="auto"/>
              <w:right w:val="single" w:sz="4" w:space="0" w:color="auto"/>
            </w:tcBorders>
            <w:shd w:val="clear" w:color="auto" w:fill="auto"/>
            <w:noWrap/>
            <w:vAlign w:val="center"/>
            <w:hideMark/>
          </w:tcPr>
          <w:p w14:paraId="1F32FD75" w14:textId="77777777" w:rsidR="00096CE3" w:rsidRPr="009D0CA0" w:rsidRDefault="00096CE3" w:rsidP="00B952F9">
            <w:pPr>
              <w:jc w:val="center"/>
              <w:rPr>
                <w:rFonts w:cs="Times New Roman"/>
                <w:color w:val="000000"/>
                <w:sz w:val="20"/>
                <w:szCs w:val="20"/>
              </w:rPr>
            </w:pPr>
            <w:r w:rsidRPr="008823E5">
              <w:rPr>
                <w:rFonts w:cs="Times New Roman"/>
                <w:color w:val="000000"/>
                <w:sz w:val="20"/>
                <w:szCs w:val="20"/>
              </w:rPr>
              <w:t>43.658</w:t>
            </w:r>
          </w:p>
        </w:tc>
        <w:tc>
          <w:tcPr>
            <w:tcW w:w="916" w:type="dxa"/>
            <w:tcBorders>
              <w:top w:val="nil"/>
              <w:left w:val="nil"/>
              <w:bottom w:val="single" w:sz="4" w:space="0" w:color="auto"/>
              <w:right w:val="single" w:sz="4" w:space="0" w:color="auto"/>
            </w:tcBorders>
            <w:shd w:val="clear" w:color="auto" w:fill="auto"/>
            <w:noWrap/>
            <w:vAlign w:val="center"/>
            <w:hideMark/>
          </w:tcPr>
          <w:p w14:paraId="02322DC0" w14:textId="77777777" w:rsidR="00096CE3" w:rsidRPr="009D0CA0" w:rsidRDefault="00096CE3" w:rsidP="00B952F9">
            <w:pPr>
              <w:jc w:val="center"/>
              <w:rPr>
                <w:rFonts w:cs="Times New Roman"/>
                <w:color w:val="000000"/>
                <w:sz w:val="20"/>
                <w:szCs w:val="20"/>
              </w:rPr>
            </w:pPr>
            <w:r w:rsidRPr="008823E5">
              <w:rPr>
                <w:rFonts w:cs="Times New Roman"/>
                <w:color w:val="000000"/>
                <w:sz w:val="20"/>
                <w:szCs w:val="20"/>
              </w:rPr>
              <w:t>0.957</w:t>
            </w:r>
          </w:p>
        </w:tc>
        <w:tc>
          <w:tcPr>
            <w:tcW w:w="900" w:type="dxa"/>
            <w:tcBorders>
              <w:top w:val="nil"/>
              <w:left w:val="nil"/>
              <w:bottom w:val="single" w:sz="4" w:space="0" w:color="auto"/>
              <w:right w:val="single" w:sz="4" w:space="0" w:color="auto"/>
            </w:tcBorders>
            <w:shd w:val="clear" w:color="auto" w:fill="auto"/>
            <w:noWrap/>
            <w:vAlign w:val="center"/>
            <w:hideMark/>
          </w:tcPr>
          <w:p w14:paraId="5A11D3B9" w14:textId="77777777" w:rsidR="00096CE3" w:rsidRPr="009D0CA0" w:rsidRDefault="00096CE3" w:rsidP="00B952F9">
            <w:pPr>
              <w:jc w:val="center"/>
              <w:rPr>
                <w:rFonts w:cs="Times New Roman"/>
                <w:color w:val="000000"/>
                <w:sz w:val="20"/>
                <w:szCs w:val="20"/>
              </w:rPr>
            </w:pPr>
            <w:r w:rsidRPr="008823E5">
              <w:rPr>
                <w:rFonts w:cs="Times New Roman"/>
                <w:color w:val="000000"/>
                <w:sz w:val="20"/>
                <w:szCs w:val="20"/>
              </w:rPr>
              <w:t>43.658</w:t>
            </w:r>
          </w:p>
        </w:tc>
        <w:tc>
          <w:tcPr>
            <w:tcW w:w="916" w:type="dxa"/>
            <w:tcBorders>
              <w:top w:val="nil"/>
              <w:left w:val="nil"/>
              <w:bottom w:val="single" w:sz="4" w:space="0" w:color="auto"/>
              <w:right w:val="single" w:sz="4" w:space="0" w:color="auto"/>
            </w:tcBorders>
            <w:shd w:val="clear" w:color="auto" w:fill="auto"/>
            <w:noWrap/>
            <w:vAlign w:val="center"/>
            <w:hideMark/>
          </w:tcPr>
          <w:p w14:paraId="78F44A28" w14:textId="77777777" w:rsidR="00096CE3" w:rsidRPr="009D0CA0" w:rsidRDefault="00096CE3" w:rsidP="00B952F9">
            <w:pPr>
              <w:jc w:val="center"/>
              <w:rPr>
                <w:rFonts w:cs="Times New Roman"/>
                <w:color w:val="000000"/>
                <w:sz w:val="20"/>
                <w:szCs w:val="20"/>
              </w:rPr>
            </w:pPr>
            <w:r w:rsidRPr="008823E5">
              <w:rPr>
                <w:rFonts w:cs="Times New Roman"/>
                <w:color w:val="000000"/>
                <w:sz w:val="20"/>
                <w:szCs w:val="20"/>
              </w:rPr>
              <w:t>0.957</w:t>
            </w:r>
          </w:p>
        </w:tc>
        <w:tc>
          <w:tcPr>
            <w:tcW w:w="900" w:type="dxa"/>
            <w:tcBorders>
              <w:top w:val="nil"/>
              <w:left w:val="nil"/>
              <w:bottom w:val="single" w:sz="4" w:space="0" w:color="auto"/>
              <w:right w:val="single" w:sz="4" w:space="0" w:color="auto"/>
            </w:tcBorders>
            <w:shd w:val="clear" w:color="auto" w:fill="auto"/>
            <w:noWrap/>
            <w:vAlign w:val="center"/>
            <w:hideMark/>
          </w:tcPr>
          <w:p w14:paraId="4ECDCB3B" w14:textId="77777777" w:rsidR="00096CE3" w:rsidRPr="009D0CA0" w:rsidRDefault="00096CE3" w:rsidP="00B952F9">
            <w:pPr>
              <w:jc w:val="center"/>
              <w:rPr>
                <w:rFonts w:cs="Times New Roman"/>
                <w:color w:val="000000"/>
                <w:sz w:val="20"/>
                <w:szCs w:val="20"/>
              </w:rPr>
            </w:pPr>
            <w:r w:rsidRPr="008823E5">
              <w:rPr>
                <w:rFonts w:cs="Times New Roman"/>
                <w:color w:val="000000"/>
                <w:sz w:val="20"/>
                <w:szCs w:val="20"/>
              </w:rPr>
              <w:t>43.658</w:t>
            </w:r>
          </w:p>
        </w:tc>
        <w:tc>
          <w:tcPr>
            <w:tcW w:w="916" w:type="dxa"/>
            <w:tcBorders>
              <w:top w:val="nil"/>
              <w:left w:val="nil"/>
              <w:bottom w:val="single" w:sz="4" w:space="0" w:color="auto"/>
              <w:right w:val="single" w:sz="4" w:space="0" w:color="auto"/>
            </w:tcBorders>
            <w:shd w:val="clear" w:color="auto" w:fill="auto"/>
            <w:noWrap/>
            <w:vAlign w:val="center"/>
            <w:hideMark/>
          </w:tcPr>
          <w:p w14:paraId="47FA6316" w14:textId="77777777" w:rsidR="00096CE3" w:rsidRPr="009D0CA0" w:rsidRDefault="00096CE3" w:rsidP="00B952F9">
            <w:pPr>
              <w:jc w:val="center"/>
              <w:rPr>
                <w:rFonts w:cs="Times New Roman"/>
                <w:color w:val="000000"/>
                <w:sz w:val="20"/>
                <w:szCs w:val="20"/>
              </w:rPr>
            </w:pPr>
            <w:r w:rsidRPr="00BB0678">
              <w:rPr>
                <w:rFonts w:cs="Times New Roman"/>
                <w:color w:val="000000"/>
                <w:sz w:val="20"/>
                <w:szCs w:val="20"/>
              </w:rPr>
              <w:t>--</w:t>
            </w:r>
          </w:p>
        </w:tc>
        <w:tc>
          <w:tcPr>
            <w:tcW w:w="931" w:type="dxa"/>
            <w:tcBorders>
              <w:top w:val="nil"/>
              <w:left w:val="nil"/>
              <w:bottom w:val="single" w:sz="4" w:space="0" w:color="auto"/>
              <w:right w:val="single" w:sz="4" w:space="0" w:color="auto"/>
            </w:tcBorders>
            <w:shd w:val="clear" w:color="auto" w:fill="auto"/>
            <w:noWrap/>
            <w:vAlign w:val="center"/>
            <w:hideMark/>
          </w:tcPr>
          <w:p w14:paraId="6BB815DC" w14:textId="77777777" w:rsidR="00096CE3" w:rsidRPr="009D0CA0" w:rsidRDefault="00096CE3" w:rsidP="00B952F9">
            <w:pPr>
              <w:jc w:val="center"/>
              <w:rPr>
                <w:rFonts w:cs="Times New Roman"/>
                <w:color w:val="000000"/>
                <w:sz w:val="20"/>
                <w:szCs w:val="20"/>
              </w:rPr>
            </w:pPr>
            <w:r w:rsidRPr="00BB0678">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hideMark/>
          </w:tcPr>
          <w:p w14:paraId="102B9515" w14:textId="77777777" w:rsidR="00096CE3" w:rsidRPr="009D0CA0" w:rsidRDefault="00096CE3" w:rsidP="00B952F9">
            <w:pPr>
              <w:jc w:val="center"/>
              <w:rPr>
                <w:rFonts w:cs="Times New Roman"/>
                <w:color w:val="000000"/>
                <w:sz w:val="20"/>
                <w:szCs w:val="20"/>
              </w:rPr>
            </w:pPr>
            <w:r w:rsidRPr="00BB0678">
              <w:rPr>
                <w:rFonts w:cs="Times New Roman"/>
                <w:color w:val="000000"/>
                <w:sz w:val="20"/>
                <w:szCs w:val="20"/>
              </w:rPr>
              <w:t>--</w:t>
            </w:r>
          </w:p>
        </w:tc>
        <w:tc>
          <w:tcPr>
            <w:tcW w:w="884" w:type="dxa"/>
            <w:tcBorders>
              <w:top w:val="nil"/>
              <w:left w:val="nil"/>
              <w:bottom w:val="single" w:sz="4" w:space="0" w:color="auto"/>
              <w:right w:val="double" w:sz="4" w:space="0" w:color="auto"/>
            </w:tcBorders>
            <w:shd w:val="clear" w:color="auto" w:fill="auto"/>
            <w:noWrap/>
            <w:vAlign w:val="center"/>
            <w:hideMark/>
          </w:tcPr>
          <w:p w14:paraId="7302F95A" w14:textId="77777777" w:rsidR="00096CE3" w:rsidRPr="009D0CA0" w:rsidRDefault="00096CE3" w:rsidP="00B952F9">
            <w:pPr>
              <w:jc w:val="center"/>
              <w:rPr>
                <w:rFonts w:cs="Times New Roman"/>
                <w:color w:val="000000"/>
                <w:sz w:val="20"/>
                <w:szCs w:val="20"/>
              </w:rPr>
            </w:pPr>
            <w:r w:rsidRPr="00BB0678">
              <w:rPr>
                <w:rFonts w:cs="Times New Roman"/>
                <w:color w:val="000000"/>
                <w:sz w:val="20"/>
                <w:szCs w:val="20"/>
              </w:rPr>
              <w:t>--</w:t>
            </w:r>
          </w:p>
        </w:tc>
      </w:tr>
      <w:tr w:rsidR="00096CE3" w:rsidRPr="00E75453" w14:paraId="2FE7141A" w14:textId="77777777" w:rsidTr="00B952F9">
        <w:trPr>
          <w:trHeight w:val="300"/>
        </w:trPr>
        <w:tc>
          <w:tcPr>
            <w:tcW w:w="12855" w:type="dxa"/>
            <w:gridSpan w:val="15"/>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2835B82B" w14:textId="5769F2E4" w:rsidR="00096CE3" w:rsidRPr="00E75453" w:rsidRDefault="00430FC3" w:rsidP="00B952F9">
            <w:pPr>
              <w:rPr>
                <w:rFonts w:eastAsia="Times New Roman" w:cs="Times New Roman"/>
                <w:b/>
                <w:bCs/>
                <w:color w:val="000000"/>
                <w:sz w:val="20"/>
                <w:szCs w:val="20"/>
              </w:rPr>
            </w:pPr>
            <w:r>
              <w:rPr>
                <w:rFonts w:eastAsia="Times New Roman" w:cs="Times New Roman"/>
                <w:b/>
                <w:bCs/>
                <w:color w:val="000000"/>
                <w:sz w:val="20"/>
                <w:szCs w:val="20"/>
              </w:rPr>
              <w:t>Between</w:t>
            </w:r>
            <w:r w:rsidR="00096CE3">
              <w:rPr>
                <w:rFonts w:eastAsia="Times New Roman" w:cs="Times New Roman"/>
                <w:b/>
                <w:bCs/>
                <w:color w:val="000000"/>
                <w:sz w:val="20"/>
                <w:szCs w:val="20"/>
              </w:rPr>
              <w:t xml:space="preserve"> Crash Counts and Severity Proportions of Different Crash Types</w:t>
            </w:r>
          </w:p>
        </w:tc>
      </w:tr>
      <w:tr w:rsidR="00096CE3" w:rsidRPr="00E75453" w14:paraId="0333E9B7" w14:textId="77777777" w:rsidTr="00B952F9">
        <w:trPr>
          <w:trHeight w:val="300"/>
        </w:trPr>
        <w:tc>
          <w:tcPr>
            <w:tcW w:w="1965" w:type="dxa"/>
            <w:tcBorders>
              <w:top w:val="double" w:sz="4" w:space="0" w:color="auto"/>
              <w:left w:val="double" w:sz="4" w:space="0" w:color="auto"/>
              <w:bottom w:val="single" w:sz="4" w:space="0" w:color="auto"/>
              <w:right w:val="single" w:sz="4" w:space="0" w:color="auto"/>
            </w:tcBorders>
            <w:shd w:val="clear" w:color="auto" w:fill="auto"/>
            <w:noWrap/>
            <w:vAlign w:val="center"/>
            <w:hideMark/>
          </w:tcPr>
          <w:p w14:paraId="4EFAF20D" w14:textId="0D53FE63" w:rsidR="00B94D8B" w:rsidRPr="00E75453" w:rsidRDefault="00B02B67" w:rsidP="00B952F9">
            <w:pPr>
              <w:ind w:left="150"/>
              <w:rPr>
                <w:rFonts w:eastAsia="Times New Roman" w:cs="Times New Roman"/>
                <w:color w:val="000000"/>
                <w:sz w:val="20"/>
                <w:szCs w:val="20"/>
              </w:rPr>
            </w:pPr>
            <w:r w:rsidRPr="000D5E40">
              <w:rPr>
                <w:rFonts w:eastAsia="Times New Roman" w:cs="Times New Roman"/>
                <w:color w:val="000000"/>
                <w:sz w:val="20"/>
                <w:szCs w:val="20"/>
              </w:rPr>
              <w:t xml:space="preserve">Correlation </w:t>
            </w:r>
            <w:r>
              <w:rPr>
                <w:rFonts w:eastAsia="Times New Roman" w:cs="Times New Roman"/>
                <w:color w:val="000000"/>
                <w:sz w:val="20"/>
                <w:szCs w:val="20"/>
              </w:rPr>
              <w:t>3 (1)</w:t>
            </w:r>
            <w:r>
              <w:rPr>
                <w:rFonts w:eastAsia="Times New Roman" w:cs="Times New Roman"/>
                <w:color w:val="000000"/>
                <w:sz w:val="20"/>
                <w:szCs w:val="20"/>
                <w:vertAlign w:val="superscript"/>
              </w:rPr>
              <w:t xml:space="preserve"> ***</w:t>
            </w:r>
            <w:r>
              <w:rPr>
                <w:rFonts w:eastAsia="Times New Roman" w:cs="Times New Roman"/>
                <w:color w:val="000000"/>
                <w:sz w:val="20"/>
                <w:szCs w:val="20"/>
              </w:rPr>
              <w:t xml:space="preserve">  </w:t>
            </w:r>
            <m:oMath>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η</m:t>
                  </m:r>
                </m:e>
                <m:sub>
                  <m:r>
                    <w:rPr>
                      <w:rFonts w:ascii="Cambria Math" w:eastAsia="Times New Roman" w:hAnsi="Cambria Math" w:cs="Times New Roman"/>
                      <w:szCs w:val="24"/>
                      <w:lang w:val="en-US"/>
                    </w:rPr>
                    <m:t>irk1</m:t>
                  </m:r>
                </m:sub>
              </m:sSub>
            </m:oMath>
            <w:r w:rsidR="00B94D8B" w:rsidRPr="00D96967">
              <w:rPr>
                <w:rFonts w:eastAsia="Times New Roman" w:cs="Times New Roman"/>
                <w:sz w:val="20"/>
                <w:szCs w:val="18"/>
                <w:lang w:val="en-US"/>
              </w:rPr>
              <w:t>, matrix A</w:t>
            </w:r>
            <w:r w:rsidR="00B94D8B">
              <w:rPr>
                <w:rFonts w:eastAsia="Times New Roman" w:cs="Times New Roman"/>
                <w:sz w:val="20"/>
                <w:szCs w:val="18"/>
                <w:vertAlign w:val="subscript"/>
                <w:lang w:val="en-US"/>
              </w:rPr>
              <w:t>3</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0C24B6F1" w14:textId="77777777" w:rsidR="00096CE3" w:rsidRPr="00F26EFE" w:rsidRDefault="00096CE3" w:rsidP="00B952F9">
            <w:pPr>
              <w:jc w:val="center"/>
              <w:rPr>
                <w:rFonts w:cs="Times New Roman"/>
                <w:color w:val="000000"/>
                <w:sz w:val="20"/>
                <w:szCs w:val="20"/>
              </w:rPr>
            </w:pPr>
            <w:r w:rsidRPr="005D561E">
              <w:rPr>
                <w:rFonts w:cs="Times New Roman"/>
                <w:color w:val="000000"/>
                <w:sz w:val="20"/>
                <w:szCs w:val="20"/>
              </w:rPr>
              <w:t>--</w:t>
            </w:r>
          </w:p>
        </w:tc>
        <w:tc>
          <w:tcPr>
            <w:tcW w:w="879" w:type="dxa"/>
            <w:tcBorders>
              <w:top w:val="double" w:sz="4" w:space="0" w:color="auto"/>
              <w:left w:val="nil"/>
              <w:bottom w:val="single" w:sz="4" w:space="0" w:color="auto"/>
              <w:right w:val="single" w:sz="4" w:space="0" w:color="auto"/>
            </w:tcBorders>
            <w:shd w:val="clear" w:color="auto" w:fill="auto"/>
            <w:noWrap/>
            <w:vAlign w:val="center"/>
            <w:hideMark/>
          </w:tcPr>
          <w:p w14:paraId="778AE356" w14:textId="77777777" w:rsidR="00096CE3" w:rsidRPr="00F26EFE" w:rsidRDefault="00096CE3" w:rsidP="00B952F9">
            <w:pPr>
              <w:jc w:val="center"/>
              <w:rPr>
                <w:rFonts w:cs="Times New Roman"/>
                <w:color w:val="000000"/>
                <w:sz w:val="20"/>
                <w:szCs w:val="20"/>
              </w:rPr>
            </w:pPr>
            <w:r w:rsidRPr="005D561E">
              <w:rPr>
                <w:rFonts w:cs="Times New Roman"/>
                <w:color w:val="000000"/>
                <w:sz w:val="20"/>
                <w:szCs w:val="20"/>
              </w:rPr>
              <w:t>--</w:t>
            </w:r>
          </w:p>
        </w:tc>
        <w:tc>
          <w:tcPr>
            <w:tcW w:w="916" w:type="dxa"/>
            <w:gridSpan w:val="2"/>
            <w:tcBorders>
              <w:top w:val="double" w:sz="4" w:space="0" w:color="auto"/>
              <w:left w:val="nil"/>
              <w:bottom w:val="single" w:sz="4" w:space="0" w:color="auto"/>
              <w:right w:val="single" w:sz="4" w:space="0" w:color="auto"/>
            </w:tcBorders>
            <w:shd w:val="clear" w:color="auto" w:fill="auto"/>
            <w:noWrap/>
            <w:vAlign w:val="center"/>
            <w:hideMark/>
          </w:tcPr>
          <w:p w14:paraId="26404564" w14:textId="77777777" w:rsidR="00096CE3" w:rsidRPr="00F26EFE" w:rsidRDefault="00096CE3" w:rsidP="00B952F9">
            <w:pPr>
              <w:jc w:val="center"/>
              <w:rPr>
                <w:rFonts w:cs="Times New Roman"/>
                <w:color w:val="000000"/>
                <w:sz w:val="20"/>
                <w:szCs w:val="20"/>
              </w:rPr>
            </w:pPr>
            <w:r w:rsidRPr="005D561E">
              <w:rPr>
                <w:rFonts w:cs="Times New Roman"/>
                <w:color w:val="000000"/>
                <w:sz w:val="20"/>
                <w:szCs w:val="20"/>
              </w:rPr>
              <w:t>--</w:t>
            </w:r>
          </w:p>
        </w:tc>
        <w:tc>
          <w:tcPr>
            <w:tcW w:w="900" w:type="dxa"/>
            <w:tcBorders>
              <w:top w:val="double" w:sz="4" w:space="0" w:color="auto"/>
              <w:left w:val="nil"/>
              <w:bottom w:val="single" w:sz="4" w:space="0" w:color="auto"/>
              <w:right w:val="single" w:sz="4" w:space="0" w:color="auto"/>
            </w:tcBorders>
            <w:shd w:val="clear" w:color="auto" w:fill="auto"/>
            <w:noWrap/>
            <w:vAlign w:val="center"/>
            <w:hideMark/>
          </w:tcPr>
          <w:p w14:paraId="0AB2DD94" w14:textId="77777777" w:rsidR="00096CE3" w:rsidRPr="00F26EFE" w:rsidRDefault="00096CE3" w:rsidP="00B952F9">
            <w:pPr>
              <w:jc w:val="center"/>
              <w:rPr>
                <w:rFonts w:cs="Times New Roman"/>
                <w:color w:val="000000"/>
                <w:sz w:val="20"/>
                <w:szCs w:val="20"/>
              </w:rPr>
            </w:pPr>
            <w:r w:rsidRPr="005D561E">
              <w:rPr>
                <w:rFonts w:cs="Times New Roman"/>
                <w:color w:val="000000"/>
                <w:sz w:val="20"/>
                <w:szCs w:val="20"/>
              </w:rPr>
              <w:t>--</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0AEB3EDA" w14:textId="77777777" w:rsidR="00096CE3" w:rsidRPr="00F26EFE" w:rsidRDefault="00096CE3" w:rsidP="00B952F9">
            <w:pPr>
              <w:jc w:val="center"/>
              <w:rPr>
                <w:rFonts w:cs="Times New Roman"/>
                <w:color w:val="000000"/>
                <w:sz w:val="20"/>
                <w:szCs w:val="20"/>
              </w:rPr>
            </w:pPr>
            <w:r w:rsidRPr="005D561E">
              <w:rPr>
                <w:rFonts w:cs="Times New Roman"/>
                <w:color w:val="000000"/>
                <w:sz w:val="20"/>
                <w:szCs w:val="20"/>
              </w:rPr>
              <w:t>--</w:t>
            </w:r>
          </w:p>
        </w:tc>
        <w:tc>
          <w:tcPr>
            <w:tcW w:w="900" w:type="dxa"/>
            <w:tcBorders>
              <w:top w:val="double" w:sz="4" w:space="0" w:color="auto"/>
              <w:left w:val="nil"/>
              <w:bottom w:val="single" w:sz="4" w:space="0" w:color="auto"/>
              <w:right w:val="single" w:sz="4" w:space="0" w:color="auto"/>
            </w:tcBorders>
            <w:shd w:val="clear" w:color="auto" w:fill="auto"/>
            <w:noWrap/>
            <w:vAlign w:val="center"/>
            <w:hideMark/>
          </w:tcPr>
          <w:p w14:paraId="7DD6DAA1" w14:textId="77777777" w:rsidR="00096CE3" w:rsidRPr="00F26EFE" w:rsidRDefault="00096CE3" w:rsidP="00B952F9">
            <w:pPr>
              <w:jc w:val="center"/>
              <w:rPr>
                <w:rFonts w:cs="Times New Roman"/>
                <w:color w:val="000000"/>
                <w:sz w:val="20"/>
                <w:szCs w:val="20"/>
              </w:rPr>
            </w:pPr>
            <w:r w:rsidRPr="005D561E">
              <w:rPr>
                <w:rFonts w:cs="Times New Roman"/>
                <w:color w:val="000000"/>
                <w:sz w:val="20"/>
                <w:szCs w:val="20"/>
              </w:rPr>
              <w:t>--</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368E3D7D" w14:textId="77777777" w:rsidR="00096CE3" w:rsidRPr="00F26EFE" w:rsidRDefault="00096CE3" w:rsidP="00B952F9">
            <w:pPr>
              <w:jc w:val="center"/>
              <w:rPr>
                <w:rFonts w:cs="Times New Roman"/>
                <w:color w:val="000000"/>
                <w:sz w:val="20"/>
                <w:szCs w:val="20"/>
              </w:rPr>
            </w:pPr>
            <w:r w:rsidRPr="005D561E">
              <w:rPr>
                <w:rFonts w:cs="Times New Roman"/>
                <w:color w:val="000000"/>
                <w:sz w:val="20"/>
                <w:szCs w:val="20"/>
              </w:rPr>
              <w:t>--</w:t>
            </w:r>
          </w:p>
        </w:tc>
        <w:tc>
          <w:tcPr>
            <w:tcW w:w="900" w:type="dxa"/>
            <w:tcBorders>
              <w:top w:val="double" w:sz="4" w:space="0" w:color="auto"/>
              <w:left w:val="nil"/>
              <w:bottom w:val="single" w:sz="4" w:space="0" w:color="auto"/>
              <w:right w:val="single" w:sz="4" w:space="0" w:color="auto"/>
            </w:tcBorders>
            <w:shd w:val="clear" w:color="auto" w:fill="auto"/>
            <w:noWrap/>
            <w:vAlign w:val="center"/>
            <w:hideMark/>
          </w:tcPr>
          <w:p w14:paraId="09D9A693" w14:textId="77777777" w:rsidR="00096CE3" w:rsidRPr="00F26EFE" w:rsidRDefault="00096CE3" w:rsidP="00B952F9">
            <w:pPr>
              <w:jc w:val="center"/>
              <w:rPr>
                <w:rFonts w:cs="Times New Roman"/>
                <w:color w:val="000000"/>
                <w:sz w:val="20"/>
                <w:szCs w:val="20"/>
              </w:rPr>
            </w:pPr>
            <w:r w:rsidRPr="005D561E">
              <w:rPr>
                <w:rFonts w:cs="Times New Roman"/>
                <w:color w:val="000000"/>
                <w:sz w:val="20"/>
                <w:szCs w:val="20"/>
              </w:rPr>
              <w:t>--</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7DD817C9" w14:textId="77777777" w:rsidR="00096CE3" w:rsidRPr="00F26EFE" w:rsidRDefault="00096CE3" w:rsidP="00B952F9">
            <w:pPr>
              <w:jc w:val="center"/>
              <w:rPr>
                <w:rFonts w:cs="Times New Roman"/>
                <w:color w:val="000000"/>
                <w:sz w:val="20"/>
                <w:szCs w:val="20"/>
              </w:rPr>
            </w:pPr>
            <w:r w:rsidRPr="005D561E">
              <w:rPr>
                <w:rFonts w:cs="Times New Roman"/>
                <w:color w:val="000000"/>
                <w:sz w:val="20"/>
                <w:szCs w:val="20"/>
              </w:rPr>
              <w:t>--</w:t>
            </w:r>
          </w:p>
        </w:tc>
        <w:tc>
          <w:tcPr>
            <w:tcW w:w="931" w:type="dxa"/>
            <w:tcBorders>
              <w:top w:val="double" w:sz="4" w:space="0" w:color="auto"/>
              <w:left w:val="nil"/>
              <w:bottom w:val="single" w:sz="4" w:space="0" w:color="auto"/>
              <w:right w:val="single" w:sz="4" w:space="0" w:color="auto"/>
            </w:tcBorders>
            <w:shd w:val="clear" w:color="auto" w:fill="auto"/>
            <w:noWrap/>
            <w:vAlign w:val="center"/>
            <w:hideMark/>
          </w:tcPr>
          <w:p w14:paraId="661577AC" w14:textId="77777777" w:rsidR="00096CE3" w:rsidRPr="00F26EFE" w:rsidRDefault="00096CE3" w:rsidP="00B952F9">
            <w:pPr>
              <w:jc w:val="center"/>
              <w:rPr>
                <w:rFonts w:cs="Times New Roman"/>
                <w:color w:val="000000"/>
                <w:sz w:val="20"/>
                <w:szCs w:val="20"/>
              </w:rPr>
            </w:pPr>
            <w:r w:rsidRPr="005D561E">
              <w:rPr>
                <w:rFonts w:cs="Times New Roman"/>
                <w:color w:val="000000"/>
                <w:sz w:val="20"/>
                <w:szCs w:val="20"/>
              </w:rPr>
              <w:t>--</w:t>
            </w:r>
          </w:p>
        </w:tc>
        <w:tc>
          <w:tcPr>
            <w:tcW w:w="916" w:type="dxa"/>
            <w:gridSpan w:val="2"/>
            <w:tcBorders>
              <w:top w:val="double" w:sz="4" w:space="0" w:color="auto"/>
              <w:left w:val="nil"/>
              <w:bottom w:val="single" w:sz="4" w:space="0" w:color="auto"/>
              <w:right w:val="single" w:sz="4" w:space="0" w:color="auto"/>
            </w:tcBorders>
            <w:shd w:val="clear" w:color="auto" w:fill="auto"/>
            <w:noWrap/>
            <w:vAlign w:val="center"/>
            <w:hideMark/>
          </w:tcPr>
          <w:p w14:paraId="609CF2D9" w14:textId="77777777" w:rsidR="00096CE3" w:rsidRPr="00F26EFE" w:rsidRDefault="00096CE3" w:rsidP="00B952F9">
            <w:pPr>
              <w:jc w:val="center"/>
              <w:rPr>
                <w:rFonts w:cs="Times New Roman"/>
                <w:color w:val="000000"/>
                <w:sz w:val="20"/>
                <w:szCs w:val="20"/>
              </w:rPr>
            </w:pPr>
            <w:r w:rsidRPr="00C06FAC">
              <w:rPr>
                <w:rFonts w:cs="Times New Roman"/>
                <w:color w:val="000000"/>
                <w:sz w:val="20"/>
                <w:szCs w:val="20"/>
              </w:rPr>
              <w:t>0.072</w:t>
            </w:r>
          </w:p>
        </w:tc>
        <w:tc>
          <w:tcPr>
            <w:tcW w:w="884" w:type="dxa"/>
            <w:tcBorders>
              <w:top w:val="double" w:sz="4" w:space="0" w:color="auto"/>
              <w:left w:val="nil"/>
              <w:bottom w:val="single" w:sz="4" w:space="0" w:color="auto"/>
              <w:right w:val="double" w:sz="4" w:space="0" w:color="auto"/>
            </w:tcBorders>
            <w:shd w:val="clear" w:color="auto" w:fill="auto"/>
            <w:noWrap/>
            <w:vAlign w:val="center"/>
            <w:hideMark/>
          </w:tcPr>
          <w:p w14:paraId="001D6838" w14:textId="77777777" w:rsidR="00096CE3" w:rsidRPr="00F26EFE" w:rsidRDefault="00096CE3" w:rsidP="00B952F9">
            <w:pPr>
              <w:jc w:val="center"/>
              <w:rPr>
                <w:rFonts w:cs="Times New Roman"/>
                <w:color w:val="000000"/>
                <w:sz w:val="20"/>
                <w:szCs w:val="20"/>
              </w:rPr>
            </w:pPr>
            <w:r w:rsidRPr="00C06FAC">
              <w:rPr>
                <w:rFonts w:cs="Times New Roman"/>
                <w:color w:val="000000"/>
                <w:sz w:val="20"/>
                <w:szCs w:val="20"/>
              </w:rPr>
              <w:t>2.831</w:t>
            </w:r>
          </w:p>
        </w:tc>
      </w:tr>
      <w:tr w:rsidR="00096CE3" w:rsidRPr="00E75453" w14:paraId="647356BF" w14:textId="77777777" w:rsidTr="00B952F9">
        <w:trPr>
          <w:trHeight w:val="300"/>
        </w:trPr>
        <w:tc>
          <w:tcPr>
            <w:tcW w:w="1965" w:type="dxa"/>
            <w:tcBorders>
              <w:top w:val="nil"/>
              <w:left w:val="double" w:sz="4" w:space="0" w:color="auto"/>
              <w:bottom w:val="double" w:sz="4" w:space="0" w:color="auto"/>
              <w:right w:val="single" w:sz="4" w:space="0" w:color="auto"/>
            </w:tcBorders>
            <w:shd w:val="clear" w:color="auto" w:fill="auto"/>
            <w:noWrap/>
            <w:vAlign w:val="center"/>
            <w:hideMark/>
          </w:tcPr>
          <w:p w14:paraId="6D4B41F1" w14:textId="73C54B92" w:rsidR="00096CE3" w:rsidRDefault="00B02B67" w:rsidP="00B02B67">
            <w:pPr>
              <w:ind w:left="150"/>
              <w:jc w:val="left"/>
              <w:rPr>
                <w:rFonts w:eastAsia="Times New Roman" w:cs="Times New Roman"/>
                <w:color w:val="000000"/>
                <w:sz w:val="20"/>
                <w:szCs w:val="20"/>
              </w:rPr>
            </w:pPr>
            <w:r w:rsidRPr="000D5E40">
              <w:rPr>
                <w:rFonts w:eastAsia="Times New Roman" w:cs="Times New Roman"/>
                <w:color w:val="000000"/>
                <w:sz w:val="20"/>
                <w:szCs w:val="20"/>
              </w:rPr>
              <w:t xml:space="preserve">Correlation </w:t>
            </w:r>
            <w:r>
              <w:rPr>
                <w:rFonts w:eastAsia="Times New Roman" w:cs="Times New Roman"/>
                <w:color w:val="000000"/>
                <w:sz w:val="20"/>
                <w:szCs w:val="20"/>
              </w:rPr>
              <w:t xml:space="preserve">4 (1)  </w:t>
            </w:r>
          </w:p>
          <w:p w14:paraId="7999BBE3" w14:textId="19D5EBEA" w:rsidR="00B94D8B" w:rsidRPr="00E75453" w:rsidRDefault="00DA4C35" w:rsidP="00B952F9">
            <w:pPr>
              <w:ind w:left="150"/>
              <w:rPr>
                <w:rFonts w:eastAsia="Times New Roman" w:cs="Times New Roman"/>
                <w:color w:val="000000"/>
                <w:sz w:val="20"/>
                <w:szCs w:val="20"/>
              </w:rPr>
            </w:pPr>
            <m:oMath>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η</m:t>
                  </m:r>
                </m:e>
                <m:sub>
                  <m:r>
                    <w:rPr>
                      <w:rFonts w:ascii="Cambria Math" w:eastAsia="Times New Roman" w:hAnsi="Cambria Math" w:cs="Times New Roman"/>
                      <w:szCs w:val="24"/>
                      <w:lang w:val="en-US"/>
                    </w:rPr>
                    <m:t>irk2</m:t>
                  </m:r>
                </m:sub>
              </m:sSub>
            </m:oMath>
            <w:r w:rsidR="00B94D8B" w:rsidRPr="00D96967">
              <w:rPr>
                <w:rFonts w:eastAsia="Times New Roman" w:cs="Times New Roman"/>
                <w:sz w:val="20"/>
                <w:szCs w:val="18"/>
                <w:lang w:val="en-US"/>
              </w:rPr>
              <w:t>, matrix A</w:t>
            </w:r>
            <w:r w:rsidR="00B94D8B">
              <w:rPr>
                <w:rFonts w:eastAsia="Times New Roman" w:cs="Times New Roman"/>
                <w:sz w:val="20"/>
                <w:szCs w:val="18"/>
                <w:vertAlign w:val="subscript"/>
                <w:lang w:val="en-US"/>
              </w:rPr>
              <w:t>3</w:t>
            </w:r>
          </w:p>
        </w:tc>
        <w:tc>
          <w:tcPr>
            <w:tcW w:w="916" w:type="dxa"/>
            <w:tcBorders>
              <w:top w:val="nil"/>
              <w:left w:val="nil"/>
              <w:bottom w:val="double" w:sz="4" w:space="0" w:color="auto"/>
              <w:right w:val="single" w:sz="4" w:space="0" w:color="auto"/>
            </w:tcBorders>
            <w:shd w:val="clear" w:color="auto" w:fill="auto"/>
            <w:noWrap/>
            <w:vAlign w:val="center"/>
            <w:hideMark/>
          </w:tcPr>
          <w:p w14:paraId="19C9FAB4" w14:textId="77777777" w:rsidR="00096CE3" w:rsidRPr="00F26EFE" w:rsidRDefault="00096CE3" w:rsidP="00B952F9">
            <w:pPr>
              <w:jc w:val="center"/>
              <w:rPr>
                <w:rFonts w:cs="Times New Roman"/>
                <w:color w:val="000000"/>
                <w:sz w:val="20"/>
                <w:szCs w:val="20"/>
              </w:rPr>
            </w:pPr>
            <w:r w:rsidRPr="005D561E">
              <w:rPr>
                <w:rFonts w:cs="Times New Roman"/>
                <w:color w:val="000000"/>
                <w:sz w:val="20"/>
                <w:szCs w:val="20"/>
              </w:rPr>
              <w:t>--</w:t>
            </w:r>
          </w:p>
        </w:tc>
        <w:tc>
          <w:tcPr>
            <w:tcW w:w="879" w:type="dxa"/>
            <w:tcBorders>
              <w:top w:val="nil"/>
              <w:left w:val="nil"/>
              <w:bottom w:val="double" w:sz="4" w:space="0" w:color="auto"/>
              <w:right w:val="single" w:sz="4" w:space="0" w:color="auto"/>
            </w:tcBorders>
            <w:shd w:val="clear" w:color="auto" w:fill="auto"/>
            <w:noWrap/>
            <w:vAlign w:val="center"/>
            <w:hideMark/>
          </w:tcPr>
          <w:p w14:paraId="74A379C5" w14:textId="77777777" w:rsidR="00096CE3" w:rsidRPr="00F26EFE" w:rsidRDefault="00096CE3" w:rsidP="00B952F9">
            <w:pPr>
              <w:jc w:val="center"/>
              <w:rPr>
                <w:rFonts w:cs="Times New Roman"/>
                <w:color w:val="000000"/>
                <w:sz w:val="20"/>
                <w:szCs w:val="20"/>
              </w:rPr>
            </w:pPr>
            <w:r w:rsidRPr="005D561E">
              <w:rPr>
                <w:rFonts w:cs="Times New Roman"/>
                <w:color w:val="000000"/>
                <w:sz w:val="20"/>
                <w:szCs w:val="20"/>
              </w:rPr>
              <w:t>--</w:t>
            </w:r>
          </w:p>
        </w:tc>
        <w:tc>
          <w:tcPr>
            <w:tcW w:w="916" w:type="dxa"/>
            <w:gridSpan w:val="2"/>
            <w:tcBorders>
              <w:top w:val="nil"/>
              <w:left w:val="nil"/>
              <w:bottom w:val="double" w:sz="4" w:space="0" w:color="auto"/>
              <w:right w:val="single" w:sz="4" w:space="0" w:color="auto"/>
            </w:tcBorders>
            <w:shd w:val="clear" w:color="auto" w:fill="auto"/>
            <w:noWrap/>
            <w:vAlign w:val="center"/>
            <w:hideMark/>
          </w:tcPr>
          <w:p w14:paraId="3E83651D" w14:textId="77777777" w:rsidR="00096CE3" w:rsidRPr="00F26EFE" w:rsidRDefault="00096CE3" w:rsidP="00B952F9">
            <w:pPr>
              <w:jc w:val="center"/>
              <w:rPr>
                <w:rFonts w:cs="Times New Roman"/>
                <w:color w:val="000000"/>
                <w:sz w:val="20"/>
                <w:szCs w:val="20"/>
              </w:rPr>
            </w:pPr>
            <w:r w:rsidRPr="005D561E">
              <w:rPr>
                <w:rFonts w:cs="Times New Roman"/>
                <w:color w:val="000000"/>
                <w:sz w:val="20"/>
                <w:szCs w:val="20"/>
              </w:rPr>
              <w:t>--</w:t>
            </w:r>
          </w:p>
        </w:tc>
        <w:tc>
          <w:tcPr>
            <w:tcW w:w="900" w:type="dxa"/>
            <w:tcBorders>
              <w:top w:val="nil"/>
              <w:left w:val="nil"/>
              <w:bottom w:val="double" w:sz="4" w:space="0" w:color="auto"/>
              <w:right w:val="single" w:sz="4" w:space="0" w:color="auto"/>
            </w:tcBorders>
            <w:shd w:val="clear" w:color="auto" w:fill="auto"/>
            <w:noWrap/>
            <w:vAlign w:val="center"/>
            <w:hideMark/>
          </w:tcPr>
          <w:p w14:paraId="51CAEEC3" w14:textId="77777777" w:rsidR="00096CE3" w:rsidRPr="00F26EFE" w:rsidRDefault="00096CE3" w:rsidP="00B952F9">
            <w:pPr>
              <w:jc w:val="center"/>
              <w:rPr>
                <w:rFonts w:cs="Times New Roman"/>
                <w:color w:val="000000"/>
                <w:sz w:val="20"/>
                <w:szCs w:val="20"/>
              </w:rPr>
            </w:pPr>
            <w:r w:rsidRPr="005D561E">
              <w:rPr>
                <w:rFonts w:cs="Times New Roman"/>
                <w:color w:val="000000"/>
                <w:sz w:val="20"/>
                <w:szCs w:val="20"/>
              </w:rPr>
              <w:t>--</w:t>
            </w:r>
          </w:p>
        </w:tc>
        <w:tc>
          <w:tcPr>
            <w:tcW w:w="916" w:type="dxa"/>
            <w:tcBorders>
              <w:top w:val="nil"/>
              <w:left w:val="nil"/>
              <w:bottom w:val="double" w:sz="4" w:space="0" w:color="auto"/>
              <w:right w:val="single" w:sz="4" w:space="0" w:color="auto"/>
            </w:tcBorders>
            <w:shd w:val="clear" w:color="auto" w:fill="auto"/>
            <w:noWrap/>
            <w:vAlign w:val="center"/>
            <w:hideMark/>
          </w:tcPr>
          <w:p w14:paraId="713697E3" w14:textId="77777777" w:rsidR="00096CE3" w:rsidRPr="00F26EFE" w:rsidRDefault="00096CE3" w:rsidP="00B952F9">
            <w:pPr>
              <w:jc w:val="center"/>
              <w:rPr>
                <w:rFonts w:cs="Times New Roman"/>
                <w:color w:val="000000"/>
                <w:sz w:val="20"/>
                <w:szCs w:val="20"/>
              </w:rPr>
            </w:pPr>
            <w:r w:rsidRPr="005D561E">
              <w:rPr>
                <w:rFonts w:cs="Times New Roman"/>
                <w:color w:val="000000"/>
                <w:sz w:val="20"/>
                <w:szCs w:val="20"/>
              </w:rPr>
              <w:t>--</w:t>
            </w:r>
          </w:p>
        </w:tc>
        <w:tc>
          <w:tcPr>
            <w:tcW w:w="900" w:type="dxa"/>
            <w:tcBorders>
              <w:top w:val="nil"/>
              <w:left w:val="nil"/>
              <w:bottom w:val="double" w:sz="4" w:space="0" w:color="auto"/>
              <w:right w:val="single" w:sz="4" w:space="0" w:color="auto"/>
            </w:tcBorders>
            <w:shd w:val="clear" w:color="auto" w:fill="auto"/>
            <w:noWrap/>
            <w:vAlign w:val="center"/>
            <w:hideMark/>
          </w:tcPr>
          <w:p w14:paraId="566DD2A1" w14:textId="77777777" w:rsidR="00096CE3" w:rsidRPr="00F26EFE" w:rsidRDefault="00096CE3" w:rsidP="00B952F9">
            <w:pPr>
              <w:jc w:val="center"/>
              <w:rPr>
                <w:rFonts w:cs="Times New Roman"/>
                <w:color w:val="000000"/>
                <w:sz w:val="20"/>
                <w:szCs w:val="20"/>
              </w:rPr>
            </w:pPr>
            <w:r w:rsidRPr="005D561E">
              <w:rPr>
                <w:rFonts w:cs="Times New Roman"/>
                <w:color w:val="000000"/>
                <w:sz w:val="20"/>
                <w:szCs w:val="20"/>
              </w:rPr>
              <w:t>--</w:t>
            </w:r>
          </w:p>
        </w:tc>
        <w:tc>
          <w:tcPr>
            <w:tcW w:w="916" w:type="dxa"/>
            <w:tcBorders>
              <w:top w:val="nil"/>
              <w:left w:val="nil"/>
              <w:bottom w:val="double" w:sz="4" w:space="0" w:color="auto"/>
              <w:right w:val="single" w:sz="4" w:space="0" w:color="auto"/>
            </w:tcBorders>
            <w:shd w:val="clear" w:color="auto" w:fill="auto"/>
            <w:noWrap/>
            <w:vAlign w:val="center"/>
            <w:hideMark/>
          </w:tcPr>
          <w:p w14:paraId="4E364B5F" w14:textId="77777777" w:rsidR="00096CE3" w:rsidRPr="00F26EFE" w:rsidRDefault="00096CE3" w:rsidP="00B952F9">
            <w:pPr>
              <w:jc w:val="center"/>
              <w:rPr>
                <w:rFonts w:cs="Times New Roman"/>
                <w:color w:val="000000"/>
                <w:sz w:val="20"/>
                <w:szCs w:val="20"/>
              </w:rPr>
            </w:pPr>
            <w:r w:rsidRPr="00C06FAC">
              <w:rPr>
                <w:rFonts w:cs="Times New Roman"/>
                <w:color w:val="000000"/>
                <w:sz w:val="20"/>
                <w:szCs w:val="20"/>
              </w:rPr>
              <w:t>0.479</w:t>
            </w:r>
          </w:p>
        </w:tc>
        <w:tc>
          <w:tcPr>
            <w:tcW w:w="900" w:type="dxa"/>
            <w:tcBorders>
              <w:top w:val="nil"/>
              <w:left w:val="nil"/>
              <w:bottom w:val="double" w:sz="4" w:space="0" w:color="auto"/>
              <w:right w:val="single" w:sz="4" w:space="0" w:color="auto"/>
            </w:tcBorders>
            <w:shd w:val="clear" w:color="auto" w:fill="auto"/>
            <w:noWrap/>
            <w:vAlign w:val="center"/>
            <w:hideMark/>
          </w:tcPr>
          <w:p w14:paraId="13F65009" w14:textId="77777777" w:rsidR="00096CE3" w:rsidRPr="00F26EFE" w:rsidRDefault="00096CE3" w:rsidP="00B952F9">
            <w:pPr>
              <w:jc w:val="center"/>
              <w:rPr>
                <w:rFonts w:cs="Times New Roman"/>
                <w:color w:val="000000"/>
                <w:sz w:val="20"/>
                <w:szCs w:val="20"/>
              </w:rPr>
            </w:pPr>
            <w:r w:rsidRPr="00C06FAC">
              <w:rPr>
                <w:rFonts w:cs="Times New Roman"/>
                <w:color w:val="000000"/>
                <w:sz w:val="20"/>
                <w:szCs w:val="20"/>
              </w:rPr>
              <w:t>4.516</w:t>
            </w:r>
          </w:p>
        </w:tc>
        <w:tc>
          <w:tcPr>
            <w:tcW w:w="916" w:type="dxa"/>
            <w:tcBorders>
              <w:top w:val="nil"/>
              <w:left w:val="nil"/>
              <w:bottom w:val="double" w:sz="4" w:space="0" w:color="auto"/>
              <w:right w:val="single" w:sz="4" w:space="0" w:color="auto"/>
            </w:tcBorders>
            <w:shd w:val="clear" w:color="auto" w:fill="auto"/>
            <w:noWrap/>
            <w:vAlign w:val="center"/>
            <w:hideMark/>
          </w:tcPr>
          <w:p w14:paraId="6B69188C" w14:textId="77777777" w:rsidR="00096CE3" w:rsidRPr="00F26EFE" w:rsidRDefault="00096CE3" w:rsidP="00B952F9">
            <w:pPr>
              <w:jc w:val="center"/>
              <w:rPr>
                <w:rFonts w:cs="Times New Roman"/>
                <w:color w:val="000000"/>
                <w:sz w:val="20"/>
                <w:szCs w:val="20"/>
              </w:rPr>
            </w:pPr>
            <w:r w:rsidRPr="005D561E">
              <w:rPr>
                <w:rFonts w:cs="Times New Roman"/>
                <w:color w:val="000000"/>
                <w:sz w:val="20"/>
                <w:szCs w:val="20"/>
              </w:rPr>
              <w:t>--</w:t>
            </w:r>
          </w:p>
        </w:tc>
        <w:tc>
          <w:tcPr>
            <w:tcW w:w="931" w:type="dxa"/>
            <w:tcBorders>
              <w:top w:val="nil"/>
              <w:left w:val="nil"/>
              <w:bottom w:val="double" w:sz="4" w:space="0" w:color="auto"/>
              <w:right w:val="single" w:sz="4" w:space="0" w:color="auto"/>
            </w:tcBorders>
            <w:shd w:val="clear" w:color="auto" w:fill="auto"/>
            <w:noWrap/>
            <w:vAlign w:val="center"/>
            <w:hideMark/>
          </w:tcPr>
          <w:p w14:paraId="39DFA44D" w14:textId="77777777" w:rsidR="00096CE3" w:rsidRPr="00F26EFE" w:rsidRDefault="00096CE3" w:rsidP="00B952F9">
            <w:pPr>
              <w:jc w:val="center"/>
              <w:rPr>
                <w:rFonts w:cs="Times New Roman"/>
                <w:color w:val="000000"/>
                <w:sz w:val="20"/>
                <w:szCs w:val="20"/>
              </w:rPr>
            </w:pPr>
            <w:r w:rsidRPr="005D561E">
              <w:rPr>
                <w:rFonts w:cs="Times New Roman"/>
                <w:color w:val="000000"/>
                <w:sz w:val="20"/>
                <w:szCs w:val="20"/>
              </w:rPr>
              <w:t>--</w:t>
            </w:r>
          </w:p>
        </w:tc>
        <w:tc>
          <w:tcPr>
            <w:tcW w:w="916" w:type="dxa"/>
            <w:gridSpan w:val="2"/>
            <w:tcBorders>
              <w:top w:val="nil"/>
              <w:left w:val="nil"/>
              <w:bottom w:val="double" w:sz="4" w:space="0" w:color="auto"/>
              <w:right w:val="single" w:sz="4" w:space="0" w:color="auto"/>
            </w:tcBorders>
            <w:shd w:val="clear" w:color="auto" w:fill="auto"/>
            <w:noWrap/>
            <w:vAlign w:val="center"/>
            <w:hideMark/>
          </w:tcPr>
          <w:p w14:paraId="53AEF81C" w14:textId="77777777" w:rsidR="00096CE3" w:rsidRPr="00F26EFE" w:rsidRDefault="00096CE3" w:rsidP="00B952F9">
            <w:pPr>
              <w:jc w:val="center"/>
              <w:rPr>
                <w:rFonts w:cs="Times New Roman"/>
                <w:color w:val="000000"/>
                <w:sz w:val="20"/>
                <w:szCs w:val="20"/>
              </w:rPr>
            </w:pPr>
            <w:r w:rsidRPr="005D561E">
              <w:rPr>
                <w:rFonts w:cs="Times New Roman"/>
                <w:color w:val="000000"/>
                <w:sz w:val="20"/>
                <w:szCs w:val="20"/>
              </w:rPr>
              <w:t>--</w:t>
            </w:r>
          </w:p>
        </w:tc>
        <w:tc>
          <w:tcPr>
            <w:tcW w:w="884" w:type="dxa"/>
            <w:tcBorders>
              <w:top w:val="nil"/>
              <w:left w:val="nil"/>
              <w:bottom w:val="double" w:sz="4" w:space="0" w:color="auto"/>
              <w:right w:val="double" w:sz="4" w:space="0" w:color="auto"/>
            </w:tcBorders>
            <w:shd w:val="clear" w:color="auto" w:fill="auto"/>
            <w:noWrap/>
            <w:vAlign w:val="center"/>
            <w:hideMark/>
          </w:tcPr>
          <w:p w14:paraId="7A7137B7" w14:textId="77777777" w:rsidR="00096CE3" w:rsidRPr="00F26EFE" w:rsidRDefault="00096CE3" w:rsidP="00B952F9">
            <w:pPr>
              <w:jc w:val="center"/>
              <w:rPr>
                <w:rFonts w:cs="Times New Roman"/>
                <w:color w:val="000000"/>
                <w:sz w:val="20"/>
                <w:szCs w:val="20"/>
              </w:rPr>
            </w:pPr>
            <w:r w:rsidRPr="005D561E">
              <w:rPr>
                <w:rFonts w:cs="Times New Roman"/>
                <w:color w:val="000000"/>
                <w:sz w:val="20"/>
                <w:szCs w:val="20"/>
              </w:rPr>
              <w:t>--</w:t>
            </w:r>
          </w:p>
        </w:tc>
      </w:tr>
    </w:tbl>
    <w:p w14:paraId="37D3D38D" w14:textId="77777777" w:rsidR="00096CE3" w:rsidRPr="00FF1629" w:rsidRDefault="00096CE3" w:rsidP="00096CE3">
      <w:pPr>
        <w:rPr>
          <w:sz w:val="20"/>
          <w:szCs w:val="18"/>
        </w:rPr>
      </w:pPr>
      <w:r>
        <w:rPr>
          <w:sz w:val="20"/>
          <w:szCs w:val="18"/>
        </w:rPr>
        <w:t>**</w:t>
      </w:r>
      <w:r w:rsidRPr="00FF1629">
        <w:rPr>
          <w:sz w:val="20"/>
          <w:szCs w:val="18"/>
        </w:rPr>
        <w:t xml:space="preserve">Correlation 1 refers to common unobserved factors affecting rear-end and non-motorized crashes and </w:t>
      </w:r>
    </w:p>
    <w:p w14:paraId="54678CDB" w14:textId="51EF1BCD" w:rsidR="00096CE3" w:rsidRPr="00FF1629" w:rsidRDefault="00096CE3" w:rsidP="00096CE3">
      <w:pPr>
        <w:ind w:left="180"/>
        <w:rPr>
          <w:sz w:val="20"/>
          <w:szCs w:val="18"/>
        </w:rPr>
      </w:pPr>
      <w:r w:rsidRPr="00FF1629">
        <w:rPr>
          <w:sz w:val="20"/>
          <w:szCs w:val="18"/>
        </w:rPr>
        <w:t xml:space="preserve">Correlation 2 refers to common unobserved factors affecting other multi vehicular crashes (angular, sideswipe and head-on) simultaneously </w:t>
      </w:r>
    </w:p>
    <w:p w14:paraId="3C9EF416" w14:textId="6CE537D5" w:rsidR="00B02B67" w:rsidRPr="00084785" w:rsidRDefault="00B02B67" w:rsidP="00B24BFD">
      <w:pPr>
        <w:rPr>
          <w:sz w:val="20"/>
          <w:szCs w:val="20"/>
        </w:rPr>
      </w:pPr>
      <w:r w:rsidRPr="00C84855">
        <w:rPr>
          <w:sz w:val="20"/>
          <w:szCs w:val="20"/>
        </w:rPr>
        <w:t>***Correlation 3</w:t>
      </w:r>
      <w:r w:rsidRPr="00A0464F">
        <w:rPr>
          <w:sz w:val="20"/>
          <w:szCs w:val="20"/>
        </w:rPr>
        <w:t xml:space="preserve"> refers to </w:t>
      </w:r>
      <w:r w:rsidR="00F9474E" w:rsidRPr="00A0464F">
        <w:rPr>
          <w:sz w:val="20"/>
          <w:szCs w:val="20"/>
        </w:rPr>
        <w:t>common unobserved factors affecting non-motorized crash counts and its corresponding threshold between proportion of no and possible injuries</w:t>
      </w:r>
      <w:r w:rsidRPr="00084785">
        <w:rPr>
          <w:sz w:val="20"/>
          <w:szCs w:val="20"/>
        </w:rPr>
        <w:t xml:space="preserve"> simultaneously </w:t>
      </w:r>
    </w:p>
    <w:p w14:paraId="3906BD78" w14:textId="797560DE" w:rsidR="00B02B67" w:rsidRPr="00C84855" w:rsidRDefault="00B02B67" w:rsidP="00B02B67">
      <w:pPr>
        <w:ind w:left="180"/>
        <w:rPr>
          <w:sz w:val="20"/>
          <w:szCs w:val="20"/>
        </w:rPr>
      </w:pPr>
      <w:r w:rsidRPr="00084785">
        <w:rPr>
          <w:sz w:val="20"/>
          <w:szCs w:val="20"/>
        </w:rPr>
        <w:t xml:space="preserve"> Correlation 4 refers to </w:t>
      </w:r>
      <w:r w:rsidR="00F9474E" w:rsidRPr="00B24BFD">
        <w:rPr>
          <w:sz w:val="20"/>
          <w:szCs w:val="20"/>
        </w:rPr>
        <w:t>common correlation affecting head-on crash counts and its corresponding threshold between non-incapacitating and severe crash proportions</w:t>
      </w:r>
      <w:r w:rsidRPr="00C84855">
        <w:rPr>
          <w:sz w:val="20"/>
          <w:szCs w:val="20"/>
        </w:rPr>
        <w:t xml:space="preserve"> simultaneously </w:t>
      </w:r>
    </w:p>
    <w:p w14:paraId="026BF163" w14:textId="2E6909E8" w:rsidR="00B02B67" w:rsidRDefault="00B02B67" w:rsidP="007B5AEC">
      <w:pPr>
        <w:ind w:firstLine="431"/>
        <w:sectPr w:rsidR="00B02B67" w:rsidSect="00096CE3">
          <w:pgSz w:w="15840" w:h="12240" w:orient="landscape" w:code="1"/>
          <w:pgMar w:top="1440" w:right="1440" w:bottom="1469" w:left="1440" w:header="720" w:footer="720" w:gutter="0"/>
          <w:cols w:space="708"/>
          <w:titlePg/>
          <w:docGrid w:linePitch="360"/>
        </w:sectPr>
      </w:pPr>
    </w:p>
    <w:p w14:paraId="08D790CC" w14:textId="01814419" w:rsidR="00467D9D" w:rsidRDefault="00467D9D" w:rsidP="00467D9D">
      <w:r w:rsidRPr="00C82B2F">
        <w:lastRenderedPageBreak/>
        <w:t xml:space="preserve">resulting in the appearance of a small number of correlations.  </w:t>
      </w:r>
      <w:r>
        <w:t xml:space="preserve">Further, we allow for observed variable interaction in modeling severity proportions through the fractional split framework. </w:t>
      </w:r>
      <w:r>
        <w:rPr>
          <w:rFonts w:eastAsia="Times New Roman" w:cs="Times New Roman"/>
          <w:bCs/>
          <w:iCs/>
          <w:color w:val="000000"/>
          <w:szCs w:val="24"/>
        </w:rPr>
        <w:t>The inherent ordering considered in severity module contributes to reducing correlation across crash types as a subset of the dependent variables are explicitly interconnected in their mathematical structure.</w:t>
      </w:r>
      <w:r w:rsidRPr="00045F41">
        <w:t xml:space="preserve"> </w:t>
      </w:r>
      <w:r w:rsidR="002D26EA">
        <w:t xml:space="preserve">Further, we consider unobserved correlations across dependent variables as needed. Given the direct interaction across the dependent variables, we are likely to have fewer parameters to test because of the model structure. </w:t>
      </w:r>
      <w:r>
        <w:t>We believe this is an inherent advantage of our proposed system.</w:t>
      </w:r>
    </w:p>
    <w:p w14:paraId="273C6361" w14:textId="77777777" w:rsidR="00F03DE2" w:rsidRDefault="00F03DE2" w:rsidP="004E7857">
      <w:pPr>
        <w:ind w:firstLine="720"/>
      </w:pPr>
      <w:r w:rsidRPr="00F03DE2">
        <w:t>Within crash type itself, the potential number of correlations that can exist is 6C</w:t>
      </w:r>
      <w:r w:rsidRPr="00937778">
        <w:rPr>
          <w:vertAlign w:val="subscript"/>
        </w:rPr>
        <w:t>2</w:t>
      </w:r>
      <w:r w:rsidRPr="00F03DE2">
        <w:t xml:space="preserve"> (15). However, these 15 correlations can materialize in many ways. For example, all 6 dimensions might have the same correlation (unobserved effect remain the same for all dimensions). Similarly, it is possible for 3 dimensions to have a common effect. The exact parameters estimated are arrived at based on exhaustive model estimation. After exhaustive testing, we find two correlations are significant including (1) correlation 1: common unobserved factors affecting rear-end and non-motorized crashes and (2) correlation 2: common unobserved factors affecting other multi vehicular crashes (angular, sideswipe and head-on). Further as indicated earlier, we test for the correlations with both positive and negative sign and based on the result, we find that positive sign offers improved data fit for both correlations (1 and 2). Following this sign, the correlation 1 implies that zones with higher number of rear end crashes are more likely to have higher number of non-motorized crashes. Similar interpretation can also be stated for correlation 2. It should be noted that the reason we allow for same unobserved effect (correlation 2) across the three dependent variables is to reduce the number of separate unobserved terms we estimate. Additionally, we restrict them to be the same to improve model estimation efficiency without any loss in data fit. The estimated two unobserved effects allow for correlation across at least 5 of the 6 crash type count dimensions.”</w:t>
      </w:r>
    </w:p>
    <w:p w14:paraId="7C311984" w14:textId="1A80A405" w:rsidR="00565DD2" w:rsidRDefault="00467D9D" w:rsidP="004E7857">
      <w:pPr>
        <w:ind w:firstLine="720"/>
      </w:pPr>
      <w:r>
        <w:t xml:space="preserve">On the other hand, with respect to common factors between two components (count and proportions), </w:t>
      </w:r>
      <w:r w:rsidR="0048635E">
        <w:t xml:space="preserve">we found two correlation terms significant including: (1) correlation 3: common unobserved factors </w:t>
      </w:r>
      <w:r w:rsidR="00B95169">
        <w:t>affecting</w:t>
      </w:r>
      <w:r w:rsidR="0048635E">
        <w:t xml:space="preserve"> </w:t>
      </w:r>
      <w:r w:rsidR="00A95D56">
        <w:t xml:space="preserve">non-motorized crash counts and its corresponding threshold </w:t>
      </w:r>
      <w:r w:rsidR="0048635E">
        <w:t xml:space="preserve">between proportion of no and possible injuries; and (2) </w:t>
      </w:r>
      <w:r w:rsidR="00DF3895">
        <w:t xml:space="preserve">correlation 4: common correlation affecting head-on </w:t>
      </w:r>
      <w:r w:rsidR="00B95169">
        <w:t>crash counts</w:t>
      </w:r>
      <w:r w:rsidR="00DF3895">
        <w:t xml:space="preserve"> and its corresponding threshold between non-incapacitating and severe crash proportions. </w:t>
      </w:r>
      <w:r w:rsidR="004C4EA5">
        <w:t xml:space="preserve">Again, </w:t>
      </w:r>
      <w:r>
        <w:t>the correlation could be either positive or negative</w:t>
      </w:r>
      <w:r w:rsidR="00FA2511">
        <w:t xml:space="preserve"> and</w:t>
      </w:r>
      <w:r>
        <w:t xml:space="preserve"> </w:t>
      </w:r>
      <w:r w:rsidR="00FA2511">
        <w:t xml:space="preserve">the </w:t>
      </w:r>
      <w:r>
        <w:t xml:space="preserve">sign can change for every unobserved </w:t>
      </w:r>
      <w:r w:rsidR="006467EE">
        <w:t>factor</w:t>
      </w:r>
      <w:r w:rsidR="00FA2511">
        <w:t xml:space="preserve"> estimated</w:t>
      </w:r>
      <w:r>
        <w:t xml:space="preserve">. </w:t>
      </w:r>
      <w:r w:rsidRPr="004E79DC">
        <w:t>In our analysis, we found the negative sign offer</w:t>
      </w:r>
      <w:r>
        <w:t>s</w:t>
      </w:r>
      <w:r w:rsidRPr="004E79DC">
        <w:t xml:space="preserve"> better fit for common correlation between total crash </w:t>
      </w:r>
      <w:r>
        <w:t xml:space="preserve">counts </w:t>
      </w:r>
      <w:r w:rsidRPr="004E79DC">
        <w:t xml:space="preserve">and </w:t>
      </w:r>
      <w:r>
        <w:t>threshold between proportion of no and possible injuries for non-motorized crashes. This indicates that a zone with higher number of non-motorized crashes are more likely to incur lower proportions of no injury crashes. On the other hand, a positive common correlation is found between the total number of head-on crashes and the corresponding threshold between proportion of non-incapacitating and severe crashes which implies that zones with higher number of head-on crashes intrinsically are more likely to incur higher proportions for serious crashes. Overall, the results clearly support our hypothesis that common unobserved factors influence the two components (crash counts and severity proportion).</w:t>
      </w:r>
    </w:p>
    <w:p w14:paraId="3D20141B" w14:textId="77777777" w:rsidR="00565DD2" w:rsidRDefault="00565DD2" w:rsidP="00565DD2"/>
    <w:p w14:paraId="59E57408" w14:textId="02ACE028" w:rsidR="00420C4C" w:rsidRDefault="00A015B3" w:rsidP="00565DD2">
      <w:pPr>
        <w:pStyle w:val="Heading1"/>
      </w:pPr>
      <w:r w:rsidRPr="00427DEE">
        <w:t>PREDICTIVE</w:t>
      </w:r>
      <w:r w:rsidRPr="00420C4C">
        <w:t xml:space="preserve"> PERFORMANCE EVALUATION</w:t>
      </w:r>
    </w:p>
    <w:p w14:paraId="165AD79E" w14:textId="77777777" w:rsidR="00BB221D" w:rsidRPr="00BB221D" w:rsidRDefault="00BB221D" w:rsidP="00BB221D"/>
    <w:p w14:paraId="420D75C0" w14:textId="4B2457F9" w:rsidR="00F530DC" w:rsidRPr="009A68F1" w:rsidRDefault="00F530DC" w:rsidP="00F530DC">
      <w:pPr>
        <w:pStyle w:val="Heading2"/>
      </w:pPr>
      <w:r>
        <w:t>Comparison</w:t>
      </w:r>
      <w:r w:rsidR="00490FA1">
        <w:t xml:space="preserve"> </w:t>
      </w:r>
      <w:r w:rsidR="00272B5E">
        <w:t>Exercise</w:t>
      </w:r>
    </w:p>
    <w:p w14:paraId="7ADCD7CD" w14:textId="2FB0DEAC" w:rsidR="005300A2" w:rsidRDefault="000D1511" w:rsidP="000D1511">
      <w:pPr>
        <w:rPr>
          <w:rFonts w:eastAsiaTheme="minorEastAsia"/>
          <w:szCs w:val="24"/>
        </w:rPr>
      </w:pPr>
      <w:r>
        <w:rPr>
          <w:rFonts w:eastAsiaTheme="minorEastAsia"/>
          <w:szCs w:val="24"/>
        </w:rPr>
        <w:t xml:space="preserve">In an effort to illustrate the applicability of our proposed system, we carried out a comparison exercise between our proposed joint PMNB-GOPFS and the existing traditional multivariate </w:t>
      </w:r>
      <w:r>
        <w:rPr>
          <w:rFonts w:eastAsiaTheme="minorEastAsia"/>
          <w:szCs w:val="24"/>
        </w:rPr>
        <w:lastRenderedPageBreak/>
        <w:t xml:space="preserve">system for predicting crash counts across different crash severities. </w:t>
      </w:r>
      <w:bookmarkStart w:id="1" w:name="_Hlk58809757"/>
      <w:r w:rsidR="006032AC">
        <w:rPr>
          <w:rFonts w:eastAsiaTheme="minorEastAsia"/>
          <w:szCs w:val="24"/>
        </w:rPr>
        <w:t xml:space="preserve">Further, we realize that sample size in estimation could play a critical role in model performances and hence </w:t>
      </w:r>
      <w:bookmarkEnd w:id="1"/>
      <w:r w:rsidR="006032AC">
        <w:rPr>
          <w:rFonts w:eastAsiaTheme="minorEastAsia"/>
          <w:szCs w:val="24"/>
        </w:rPr>
        <w:t>we considered the influence of different sample sizes in model estimation by estimating the two model systems for different sample sizes.</w:t>
      </w:r>
      <w:r w:rsidR="006032AC" w:rsidRPr="006032AC">
        <w:rPr>
          <w:rFonts w:eastAsiaTheme="minorEastAsia"/>
          <w:szCs w:val="24"/>
        </w:rPr>
        <w:t xml:space="preserve"> </w:t>
      </w:r>
      <w:r w:rsidR="006032AC" w:rsidRPr="008D29F0">
        <w:rPr>
          <w:rFonts w:eastAsiaTheme="minorEastAsia"/>
          <w:szCs w:val="24"/>
        </w:rPr>
        <w:t>To be specific, from the in-sample dataset (3,815 TAZs), we draw 1,000; 2,000 and 3,000 TAZs randomly and estimate both models for all of these estimation samples and compare their performances based on the final specifications from each estimation sample.</w:t>
      </w:r>
      <w:r w:rsidR="006032AC">
        <w:rPr>
          <w:rFonts w:eastAsiaTheme="minorEastAsia"/>
          <w:szCs w:val="24"/>
        </w:rPr>
        <w:t xml:space="preserve"> Further, for feasibility of estimating the traditional model system, </w:t>
      </w:r>
      <w:r w:rsidR="006032AC" w:rsidRPr="0071780F">
        <w:rPr>
          <w:rFonts w:eastAsiaTheme="minorEastAsia"/>
          <w:szCs w:val="24"/>
        </w:rPr>
        <w:t>we consider three crash types</w:t>
      </w:r>
      <w:r w:rsidR="00C72699">
        <w:rPr>
          <w:rStyle w:val="FootnoteReference"/>
          <w:rFonts w:eastAsiaTheme="minorEastAsia"/>
          <w:szCs w:val="24"/>
        </w:rPr>
        <w:footnoteReference w:id="4"/>
      </w:r>
      <w:r w:rsidR="00C72699">
        <w:rPr>
          <w:rFonts w:eastAsiaTheme="minorEastAsia"/>
          <w:szCs w:val="24"/>
        </w:rPr>
        <w:t xml:space="preserve"> </w:t>
      </w:r>
      <w:r w:rsidR="006032AC" w:rsidRPr="0071780F">
        <w:rPr>
          <w:rFonts w:eastAsiaTheme="minorEastAsia"/>
          <w:szCs w:val="24"/>
        </w:rPr>
        <w:t>(rear-end, angular and non-motorized) and for each crash type, we develop a random parameters multivariate negative binomial (RPMNB) model for analyzing the crash counts of different severity levels.</w:t>
      </w:r>
      <w:r w:rsidR="00C72699">
        <w:rPr>
          <w:rFonts w:eastAsiaTheme="minorEastAsia"/>
          <w:szCs w:val="24"/>
        </w:rPr>
        <w:t xml:space="preserve"> </w:t>
      </w:r>
      <w:r w:rsidR="005300A2">
        <w:rPr>
          <w:rFonts w:eastAsiaTheme="minorEastAsia"/>
          <w:szCs w:val="24"/>
        </w:rPr>
        <w:t>In all these samples, t</w:t>
      </w:r>
      <w:r w:rsidR="005300A2">
        <w:t xml:space="preserve">he reader would note that the proposed PMNB-GOPFS model has substantially fewer number of parameters compared to traditional RPMNB model. The comparison of parameters between the PMNB-GOPFS and RPMNB model are as follows: estimation sample </w:t>
      </w:r>
      <w:r w:rsidR="005300A2" w:rsidRPr="003173A3">
        <w:t>1,000</w:t>
      </w:r>
      <w:r w:rsidR="005300A2">
        <w:t xml:space="preserve"> </w:t>
      </w:r>
      <w:r w:rsidR="005300A2" w:rsidRPr="003173A3">
        <w:t>- 54 vs 116; estimation sample 2,000- 56 vs 128; estimation sample 3,000- 56 vs 141; and estimation sample 3,815- 61 vs 148.</w:t>
      </w:r>
      <w:r w:rsidR="005300A2">
        <w:t xml:space="preserve"> </w:t>
      </w:r>
      <w:r w:rsidR="00106A2E">
        <w:t xml:space="preserve">Clearly, the proposed model structure presents a parsimonious model specification irrespective of the sample size. </w:t>
      </w:r>
    </w:p>
    <w:p w14:paraId="2B0148C6" w14:textId="6485DA7D" w:rsidR="00A80807" w:rsidRDefault="00B33935" w:rsidP="00913591">
      <w:pPr>
        <w:ind w:firstLine="720"/>
        <w:rPr>
          <w:rFonts w:cs="Times New Roman"/>
        </w:rPr>
      </w:pPr>
      <w:r>
        <w:rPr>
          <w:rFonts w:eastAsiaTheme="minorEastAsia"/>
          <w:szCs w:val="24"/>
        </w:rPr>
        <w:t>Using the final specification of both system</w:t>
      </w:r>
      <w:r w:rsidR="005300A2">
        <w:rPr>
          <w:rFonts w:eastAsiaTheme="minorEastAsia"/>
          <w:szCs w:val="24"/>
        </w:rPr>
        <w:t>s</w:t>
      </w:r>
      <w:r>
        <w:rPr>
          <w:rFonts w:eastAsiaTheme="minorEastAsia"/>
          <w:szCs w:val="24"/>
        </w:rPr>
        <w:t xml:space="preserve"> (PMNB-GOPFS and RPMNB), we compute the root mean square error (RMSE) value at disaggregate level (see </w:t>
      </w:r>
      <w:r>
        <w:rPr>
          <w:rFonts w:eastAsiaTheme="minorEastAsia"/>
          <w:szCs w:val="24"/>
        </w:rPr>
        <w:fldChar w:fldCharType="begin" w:fldLock="1"/>
      </w:r>
      <w:r w:rsidR="002F3C91">
        <w:rPr>
          <w:rFonts w:eastAsiaTheme="minorEastAsia"/>
          <w:szCs w:val="24"/>
        </w:rPr>
        <w:instrText>ADDIN CSL_CITATION {"citationItems":[{"id":"ITEM-1","itemData":{"DOI":"10.1016/j.amar.2018.06.001","ISBN":"1133715060","ISSN":"22136657","abstract":"In recent years, there is growing recognition that common unobserved factors that influence crash frequency by one attribute level are also likely to influence crash frequency by other attribute levels. The most common approach employed to address the potential unobserved heterogeneity in safety literature is the development of multivariate crash frequency models. The current study proposes an alternative joint econometric framework to accommodate for the presence of unobserved heterogeneity – referred to as joint negative binomial-multinomial logit fractional split (NB-MNLFS) model. Furthermore, the study undertakes a first of its kind comparison exercise between the most commonly used multivariate model (multivariate random parameter negative binomial model) and the proposed joint approach by generating an equivalent log-likelihood measure. The empirical analysis is based on the zonal level crash count data for different collision types from the state of Florida for the year 2015. The model results highlight the presence of common unobserved effects affecting the two components of the joint model as well as the presence of parameter heterogeneity. The equivalent log-likelihood and goodness of fit measures clearly highlight the comparable performance offered by the proposed joint model relative to the commonly used multivariate approach. Overall, the model interpretations and fit measures clearly highlight the potential complementary role of the proposed approach for crash frequency analyses.","author":[{"dropping-particle":"","family":"Bhowmik","given":"Tanmoy","non-dropping-particle":"","parse-names":false,"suffix":""},{"dropping-particle":"","family":"Yasmin","given":"Shamsunnahar","non-dropping-particle":"","parse-names":false,"suffix":""},{"dropping-particle":"","family":"Eluru","given":"Naveen","non-dropping-particle":"","parse-names":false,"suffix":""}],"container-title":"Analytic Methods in Accident Research","id":"ITEM-1","issue":"3","issued":{"date-parts":[["2018"]]},"page":"16-32","title":"A joint econometric approach for modeling crash counts by collision type","type":"article-journal","volume":"19"},"uris":["http://www.mendeley.com/documents/?uuid=2e823530-c053-4dd9-8697-5f3f0ab9e0b4"]},{"id":"ITEM-2","itemData":{"DOI":"10.1016/j.amar.2019.100107","ISSN":"22136657","abstract":"In safety literature, simulation-based multivariate framework is the most commonly employed approach for analyzing multiple crash frequency dependent variables. The current research effort contributes to literature on crash frequency analysis by suggesting an alternative and mathematically simpler approach for analyzing multiple crash frequency variables for the same study unit. The proposed recasts a multivariate distributional problem as a repeated measure univariate problem. Specifically, we employed a simpler panel random parameter based univariate model framework to analyze zonal level crash counts for different crash types. The empirical analysis is based on the traffic analysis zone (TAZ) level crash count data for both motorized and non-motorized crashes from Central Florida for the year 2016. The performance of the proposed framework is compared with the performance of the random parameter multivariate negative binomial model (RPMNB) using a host of metrics for estimation sample and hold-out sample. The resulting goodness of fit and predictive measures clearly highlight the comparable performance offered by the proposed framework relative to the commonly used RPMNB model with substantially fewer parameters. The comparison exercise is augmented by computing aggregate level elasticity effects for both PMNB and RPMNB models. The results clearly highlight the comparable performance offered by the proposed PMNB model relative to the traditional RPMNB model. In summary, the proposed framework allows for a parsimonious specification without compromising the model explanatory power and provides similar performance as the most traditional multivariate NB model for analyzing different crash dimensions.","author":[{"dropping-particle":"","family":"Bhowmik","given":"Tanmoy","non-dropping-particle":"","parse-names":false,"suffix":""},{"dropping-particle":"","family":"Yasmin","given":"Shamsunnahar","non-dropping-particle":"","parse-names":false,"suffix":""},{"dropping-particle":"","family":"Eluru","given":"Naveen","non-dropping-particle":"","parse-names":false,"suffix":""}],"container-title":"Analytic Methods in Accident Research","id":"ITEM-2","issued":{"date-parts":[["2019"]]},"title":"Do we need multivariate modeling approaches to model crash frequency by crash types? A panel mixed approach to modeling crash frequency by crash types","type":"article-journal","volume":"24"},"uris":["http://www.mendeley.com/documents/?uuid=9dc0906e-2da2-4234-a3bb-895cfabe6868"]}],"mendeley":{"formattedCitation":"(Bhowmik et al., 2019b, 2018)","manualFormatting":"(Bhowmik et al., 2019a, 2018)","plainTextFormattedCitation":"(Bhowmik et al., 2019b, 2018)"},"properties":{"noteIndex":0},"schema":"https://github.com/citation-style-language/schema/raw/master/csl-citation.json"}</w:instrText>
      </w:r>
      <w:r>
        <w:rPr>
          <w:rFonts w:eastAsiaTheme="minorEastAsia"/>
          <w:szCs w:val="24"/>
        </w:rPr>
        <w:fldChar w:fldCharType="separate"/>
      </w:r>
      <w:r w:rsidR="002F3C91" w:rsidRPr="002F3C91">
        <w:rPr>
          <w:rFonts w:eastAsiaTheme="minorEastAsia"/>
          <w:noProof/>
          <w:szCs w:val="24"/>
        </w:rPr>
        <w:t>(Bhowmik et al., 2019</w:t>
      </w:r>
      <w:r w:rsidR="002F3C91">
        <w:rPr>
          <w:rFonts w:eastAsiaTheme="minorEastAsia"/>
          <w:noProof/>
          <w:szCs w:val="24"/>
        </w:rPr>
        <w:t>a</w:t>
      </w:r>
      <w:r w:rsidR="002F3C91" w:rsidRPr="002F3C91">
        <w:rPr>
          <w:rFonts w:eastAsiaTheme="minorEastAsia"/>
          <w:noProof/>
          <w:szCs w:val="24"/>
        </w:rPr>
        <w:t>, 2018)</w:t>
      </w:r>
      <w:r>
        <w:rPr>
          <w:rFonts w:eastAsiaTheme="minorEastAsia"/>
          <w:szCs w:val="24"/>
        </w:rPr>
        <w:fldChar w:fldCharType="end"/>
      </w:r>
      <w:r>
        <w:rPr>
          <w:rFonts w:eastAsiaTheme="minorEastAsia"/>
          <w:szCs w:val="24"/>
        </w:rPr>
        <w:t xml:space="preserve"> for detail) and compare their performances for all the crash severities </w:t>
      </w:r>
      <w:r w:rsidR="001170C7">
        <w:rPr>
          <w:rFonts w:eastAsiaTheme="minorEastAsia"/>
          <w:szCs w:val="24"/>
        </w:rPr>
        <w:t xml:space="preserve">as well as an overall summary (combining the crash severities) </w:t>
      </w:r>
      <w:r>
        <w:rPr>
          <w:rFonts w:eastAsiaTheme="minorEastAsia"/>
          <w:szCs w:val="24"/>
        </w:rPr>
        <w:t xml:space="preserve">across the three crash types. </w:t>
      </w:r>
      <w:r w:rsidR="0058187B">
        <w:rPr>
          <w:rFonts w:eastAsiaTheme="minorEastAsia"/>
          <w:szCs w:val="24"/>
        </w:rPr>
        <w:t>For comparison purpose</w:t>
      </w:r>
      <w:r w:rsidR="005300A2">
        <w:rPr>
          <w:rFonts w:eastAsiaTheme="minorEastAsia"/>
          <w:szCs w:val="24"/>
        </w:rPr>
        <w:t>s</w:t>
      </w:r>
      <w:r w:rsidR="0058187B">
        <w:rPr>
          <w:rFonts w:eastAsiaTheme="minorEastAsia"/>
          <w:szCs w:val="24"/>
        </w:rPr>
        <w:t xml:space="preserve">, 50 data samples with 500 records (TAZs) each are randomly generated from the holdout sample consisting of 932 TAZs. For these samples, we compute the differences in RMSE between PMNB-GOPFS and RPMNB models and based on the differences, we create 5 </w:t>
      </w:r>
      <w:r w:rsidR="006C0897">
        <w:rPr>
          <w:rFonts w:eastAsiaTheme="minorEastAsia"/>
          <w:szCs w:val="24"/>
        </w:rPr>
        <w:t>categories</w:t>
      </w:r>
      <w:r w:rsidR="0058187B">
        <w:rPr>
          <w:rFonts w:eastAsiaTheme="minorEastAsia"/>
          <w:szCs w:val="24"/>
        </w:rPr>
        <w:t xml:space="preserve"> as follows: 1. Strongly outperform (if PMNB-GOPFS has </w:t>
      </w:r>
      <w:r w:rsidR="00AC1CCA">
        <w:rPr>
          <w:rFonts w:eastAsiaTheme="minorEastAsia"/>
          <w:szCs w:val="24"/>
        </w:rPr>
        <w:t>lower</w:t>
      </w:r>
      <w:r w:rsidR="0058187B">
        <w:rPr>
          <w:rFonts w:eastAsiaTheme="minorEastAsia"/>
          <w:szCs w:val="24"/>
        </w:rPr>
        <w:t xml:space="preserve"> RMSE value </w:t>
      </w:r>
      <w:r w:rsidR="00AC1CCA">
        <w:rPr>
          <w:rFonts w:eastAsiaTheme="minorEastAsia"/>
          <w:szCs w:val="24"/>
        </w:rPr>
        <w:t xml:space="preserve">with a difference </w:t>
      </w:r>
      <w:r w:rsidR="00AC1CCA">
        <w:rPr>
          <w:rFonts w:eastAsiaTheme="minorEastAsia" w:cs="Times New Roman"/>
          <w:szCs w:val="24"/>
        </w:rPr>
        <w:t>&gt;</w:t>
      </w:r>
      <w:r w:rsidR="00AC1CCA">
        <w:rPr>
          <w:rFonts w:eastAsiaTheme="minorEastAsia"/>
          <w:szCs w:val="24"/>
        </w:rPr>
        <w:t xml:space="preserve"> </w:t>
      </w:r>
      <w:r w:rsidR="0058187B">
        <w:rPr>
          <w:rFonts w:eastAsiaTheme="minorEastAsia"/>
          <w:szCs w:val="24"/>
        </w:rPr>
        <w:t>5); 2: Outperform (</w:t>
      </w:r>
      <w:r w:rsidR="00AC1CCA">
        <w:rPr>
          <w:rFonts w:eastAsiaTheme="minorEastAsia"/>
          <w:szCs w:val="24"/>
        </w:rPr>
        <w:t xml:space="preserve">if PMNB-GOPFS has lower RMSE value with a difference </w:t>
      </w:r>
      <w:r w:rsidR="00AC1CCA">
        <w:rPr>
          <w:rFonts w:eastAsiaTheme="minorEastAsia" w:cs="Times New Roman"/>
          <w:szCs w:val="24"/>
        </w:rPr>
        <w:t>&gt;</w:t>
      </w:r>
      <w:r w:rsidR="00AC1CCA">
        <w:rPr>
          <w:rFonts w:eastAsiaTheme="minorEastAsia"/>
          <w:szCs w:val="24"/>
        </w:rPr>
        <w:t>1</w:t>
      </w:r>
      <w:r w:rsidR="007914AB">
        <w:rPr>
          <w:rFonts w:eastAsiaTheme="minorEastAsia"/>
          <w:szCs w:val="24"/>
        </w:rPr>
        <w:t>.5</w:t>
      </w:r>
      <w:r w:rsidR="00AC1CCA">
        <w:rPr>
          <w:rFonts w:eastAsiaTheme="minorEastAsia"/>
          <w:szCs w:val="24"/>
        </w:rPr>
        <w:t xml:space="preserve"> and </w:t>
      </w:r>
      <w:r w:rsidR="00AC1CCA">
        <w:rPr>
          <w:rFonts w:eastAsiaTheme="minorEastAsia" w:cs="Times New Roman"/>
          <w:szCs w:val="24"/>
        </w:rPr>
        <w:t>≤</w:t>
      </w:r>
      <w:r w:rsidR="00AC1CCA">
        <w:rPr>
          <w:rFonts w:eastAsiaTheme="minorEastAsia"/>
          <w:szCs w:val="24"/>
        </w:rPr>
        <w:t xml:space="preserve"> 5 </w:t>
      </w:r>
      <w:r w:rsidR="0058187B">
        <w:rPr>
          <w:rFonts w:eastAsiaTheme="minorEastAsia"/>
          <w:szCs w:val="24"/>
        </w:rPr>
        <w:t>); 3. No difference (</w:t>
      </w:r>
      <w:r w:rsidR="009D43C6">
        <w:rPr>
          <w:rFonts w:eastAsiaTheme="minorEastAsia"/>
          <w:szCs w:val="24"/>
        </w:rPr>
        <w:t xml:space="preserve">absolute differences of RMSE between the two system is </w:t>
      </w:r>
      <w:r w:rsidR="002F3A61">
        <w:rPr>
          <w:rFonts w:eastAsiaTheme="minorEastAsia" w:cs="Times New Roman"/>
          <w:szCs w:val="24"/>
        </w:rPr>
        <w:t>≤</w:t>
      </w:r>
      <w:r w:rsidR="009D43C6">
        <w:rPr>
          <w:rFonts w:eastAsiaTheme="minorEastAsia"/>
          <w:szCs w:val="24"/>
        </w:rPr>
        <w:t>1</w:t>
      </w:r>
      <w:r w:rsidR="007914AB">
        <w:rPr>
          <w:rFonts w:eastAsiaTheme="minorEastAsia"/>
          <w:szCs w:val="24"/>
        </w:rPr>
        <w:t>.5</w:t>
      </w:r>
      <w:r w:rsidR="0058187B">
        <w:rPr>
          <w:rFonts w:eastAsiaTheme="minorEastAsia"/>
          <w:szCs w:val="24"/>
        </w:rPr>
        <w:t xml:space="preserve">); 4. Underperform (if PMNB-GOPFS has </w:t>
      </w:r>
      <w:r w:rsidR="00AC1CCA">
        <w:rPr>
          <w:rFonts w:eastAsiaTheme="minorEastAsia"/>
          <w:szCs w:val="24"/>
        </w:rPr>
        <w:t>higher</w:t>
      </w:r>
      <w:r w:rsidR="0058187B">
        <w:rPr>
          <w:rFonts w:eastAsiaTheme="minorEastAsia"/>
          <w:szCs w:val="24"/>
        </w:rPr>
        <w:t xml:space="preserve"> RMSE value form </w:t>
      </w:r>
      <w:r w:rsidR="00AC1CCA">
        <w:rPr>
          <w:rFonts w:eastAsiaTheme="minorEastAsia"/>
          <w:szCs w:val="24"/>
        </w:rPr>
        <w:t xml:space="preserve">with a difference </w:t>
      </w:r>
      <w:r w:rsidR="00AC1CCA">
        <w:rPr>
          <w:rFonts w:eastAsiaTheme="minorEastAsia" w:cs="Times New Roman"/>
          <w:szCs w:val="24"/>
        </w:rPr>
        <w:t>&gt;</w:t>
      </w:r>
      <w:r w:rsidR="00AC1CCA">
        <w:rPr>
          <w:rFonts w:eastAsiaTheme="minorEastAsia"/>
          <w:szCs w:val="24"/>
        </w:rPr>
        <w:t>1</w:t>
      </w:r>
      <w:r w:rsidR="007914AB">
        <w:rPr>
          <w:rFonts w:eastAsiaTheme="minorEastAsia"/>
          <w:szCs w:val="24"/>
        </w:rPr>
        <w:t>.5</w:t>
      </w:r>
      <w:r w:rsidR="00AC1CCA">
        <w:rPr>
          <w:rFonts w:eastAsiaTheme="minorEastAsia"/>
          <w:szCs w:val="24"/>
        </w:rPr>
        <w:t xml:space="preserve"> and </w:t>
      </w:r>
      <w:r w:rsidR="00AC1CCA">
        <w:rPr>
          <w:rFonts w:eastAsiaTheme="minorEastAsia" w:cs="Times New Roman"/>
          <w:szCs w:val="24"/>
        </w:rPr>
        <w:t>≤</w:t>
      </w:r>
      <w:r w:rsidR="00AC1CCA">
        <w:rPr>
          <w:rFonts w:eastAsiaTheme="minorEastAsia"/>
          <w:szCs w:val="24"/>
        </w:rPr>
        <w:t xml:space="preserve"> 5); and 5. Strongly underperform (if PMNB-GOPFS has higher RMSE value with a difference </w:t>
      </w:r>
      <w:r w:rsidR="00AC1CCA">
        <w:rPr>
          <w:rFonts w:eastAsiaTheme="minorEastAsia" w:cs="Times New Roman"/>
          <w:szCs w:val="24"/>
        </w:rPr>
        <w:t>&gt;</w:t>
      </w:r>
      <w:r w:rsidR="00AC1CCA">
        <w:rPr>
          <w:rFonts w:eastAsiaTheme="minorEastAsia"/>
          <w:szCs w:val="24"/>
        </w:rPr>
        <w:t xml:space="preserve"> 5). </w:t>
      </w:r>
      <w:r w:rsidR="00B57B8B">
        <w:t xml:space="preserve">Figure </w:t>
      </w:r>
      <w:r w:rsidR="00495AA4">
        <w:t>2</w:t>
      </w:r>
      <w:r w:rsidR="00B57B8B">
        <w:t xml:space="preserve">a and </w:t>
      </w:r>
      <w:r w:rsidR="00495AA4">
        <w:t>2</w:t>
      </w:r>
      <w:r w:rsidR="00B57B8B">
        <w:t xml:space="preserve">b presents the performance (RMSE) of the PMNB-GOPFS model relative to the RPMNB model for different estimation samples. </w:t>
      </w:r>
      <w:r w:rsidR="00900BF4">
        <w:tab/>
      </w:r>
      <w:r w:rsidR="00C820F2">
        <w:rPr>
          <w:rFonts w:cs="Times New Roman"/>
        </w:rPr>
        <w:t xml:space="preserve"> </w:t>
      </w:r>
    </w:p>
    <w:p w14:paraId="199F230A" w14:textId="33051B76" w:rsidR="00002D56" w:rsidRDefault="00002D56" w:rsidP="00002D56">
      <w:pPr>
        <w:ind w:firstLine="576"/>
        <w:rPr>
          <w:rFonts w:cs="Times New Roman"/>
        </w:rPr>
      </w:pPr>
      <w:r>
        <w:t>The reader would note that for the ease of presentation, we considered 5 crash levels including 4 severities and one total crash (overall) across each crash types for the comparison exercise. The overall crash level is simply the summation of all crash severities specific to crash types and is considered to evaluate the crash type (count) errors. In summary, there is a total 3,000 measures</w:t>
      </w:r>
      <w:r w:rsidRPr="00027C08">
        <w:t xml:space="preserve"> </w:t>
      </w:r>
      <w:r>
        <w:t>computed (5 crash levels</w:t>
      </w:r>
      <w:r w:rsidDel="00D31F64">
        <w:t xml:space="preserve"> </w:t>
      </w:r>
      <w:r>
        <w:t xml:space="preserve">*3 crash types*50 validation samples*4 sample sizes) out of which RPMNB model did not provide any improved performance across any measures as indicated by the 0% in the U and SU categories.  In fact, </w:t>
      </w:r>
      <w:r>
        <w:rPr>
          <w:rFonts w:cs="Times New Roman"/>
        </w:rPr>
        <w:t xml:space="preserve">out of 3,000 RMSE measures, 19% of the cases </w:t>
      </w:r>
      <w:r>
        <w:t xml:space="preserve">PMNB-GOPFS model exhibits superior performance (with at least an order of magnitude difference) while providing equivalent prediction for the remaining 81% measures relative to the traditional RPMNB model. </w:t>
      </w:r>
      <w:r w:rsidRPr="006519F7">
        <w:rPr>
          <w:u w:val="single"/>
        </w:rPr>
        <w:t>With respect to crash type errors (overall)</w:t>
      </w:r>
      <w:r>
        <w:t xml:space="preserve">, the performance of the two systems are quite similar over the different estimation samples for angular and non-motorized crashes whereas for rear-end crashes, our proposed model provided superior performance relative to the traditional RPMNB model (out of 200 measures - SO:182 O:17 ND:1; U:0; SU:0-) irrespective of estimation sample size. On the other hand, </w:t>
      </w:r>
      <w:r w:rsidRPr="006519F7">
        <w:rPr>
          <w:u w:val="single"/>
        </w:rPr>
        <w:t>in terms of injury severities</w:t>
      </w:r>
      <w:r>
        <w:t xml:space="preserve">, our proposed system strongly outperforms the RPMNB model across no-injury and minor injury </w:t>
      </w:r>
    </w:p>
    <w:p w14:paraId="141E9199" w14:textId="7218EE66" w:rsidR="003B313F" w:rsidRPr="006519F7" w:rsidRDefault="003B313F" w:rsidP="00EA450D">
      <w:pPr>
        <w:ind w:firstLine="720"/>
        <w:sectPr w:rsidR="003B313F" w:rsidRPr="006519F7" w:rsidSect="00CC74A8">
          <w:headerReference w:type="default" r:id="rId33"/>
          <w:headerReference w:type="first" r:id="rId34"/>
          <w:pgSz w:w="12240" w:h="15840" w:code="1"/>
          <w:pgMar w:top="1440" w:right="1469" w:bottom="1440" w:left="1440" w:header="720" w:footer="720" w:gutter="0"/>
          <w:cols w:space="708"/>
          <w:titlePg/>
          <w:docGrid w:linePitch="360"/>
        </w:sectPr>
      </w:pPr>
    </w:p>
    <w:p w14:paraId="289B4956" w14:textId="38746F8E" w:rsidR="003B313F" w:rsidRDefault="00633FC2" w:rsidP="007F3108">
      <w:pPr>
        <w:rPr>
          <w:rFonts w:cs="Times New Roman"/>
        </w:rPr>
      </w:pPr>
      <w:r>
        <w:rPr>
          <w:rFonts w:cs="Times New Roman"/>
          <w:noProof/>
          <w:lang w:val="en-US"/>
        </w:rPr>
        <w:lastRenderedPageBreak/>
        <w:drawing>
          <wp:inline distT="0" distB="0" distL="0" distR="0" wp14:anchorId="5241B34D" wp14:editId="2168DA93">
            <wp:extent cx="8323925" cy="44074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23925" cy="4407408"/>
                    </a:xfrm>
                    <a:prstGeom prst="rect">
                      <a:avLst/>
                    </a:prstGeom>
                    <a:noFill/>
                  </pic:spPr>
                </pic:pic>
              </a:graphicData>
            </a:graphic>
          </wp:inline>
        </w:drawing>
      </w:r>
    </w:p>
    <w:p w14:paraId="66670AF4" w14:textId="0B97E9D7" w:rsidR="00203DAE" w:rsidRPr="00B24D4E" w:rsidRDefault="00203DAE" w:rsidP="00203DAE">
      <w:pPr>
        <w:rPr>
          <w:rFonts w:cs="Times New Roman"/>
          <w:b/>
          <w:bCs/>
          <w:sz w:val="28"/>
          <w:szCs w:val="28"/>
        </w:rPr>
      </w:pPr>
      <w:r w:rsidRPr="00B24D4E">
        <w:rPr>
          <w:rFonts w:cs="Times New Roman"/>
          <w:b/>
          <w:bCs/>
          <w:szCs w:val="28"/>
        </w:rPr>
        <w:t xml:space="preserve">Figure </w:t>
      </w:r>
      <w:r w:rsidR="00495AA4">
        <w:rPr>
          <w:rFonts w:cs="Times New Roman"/>
          <w:b/>
          <w:bCs/>
          <w:szCs w:val="28"/>
        </w:rPr>
        <w:t>2</w:t>
      </w:r>
      <w:r>
        <w:rPr>
          <w:rFonts w:cs="Times New Roman"/>
          <w:b/>
          <w:bCs/>
          <w:szCs w:val="28"/>
        </w:rPr>
        <w:t>a</w:t>
      </w:r>
      <w:r w:rsidRPr="00B24D4E">
        <w:rPr>
          <w:rFonts w:cs="Times New Roman"/>
          <w:b/>
          <w:bCs/>
          <w:szCs w:val="28"/>
        </w:rPr>
        <w:t xml:space="preserve"> </w:t>
      </w:r>
      <w:r>
        <w:rPr>
          <w:rFonts w:cs="Times New Roman"/>
          <w:b/>
          <w:bCs/>
          <w:szCs w:val="28"/>
        </w:rPr>
        <w:t>Performance Comparison between PMNB-GOPFS and RPMNB Model</w:t>
      </w:r>
    </w:p>
    <w:p w14:paraId="78B41D0C" w14:textId="77777777" w:rsidR="0055727A" w:rsidRDefault="0055727A" w:rsidP="007F3108">
      <w:pPr>
        <w:rPr>
          <w:rFonts w:cs="Times New Roman"/>
        </w:rPr>
      </w:pPr>
    </w:p>
    <w:p w14:paraId="0550539C" w14:textId="77777777" w:rsidR="0055727A" w:rsidRDefault="0055727A" w:rsidP="007F3108">
      <w:pPr>
        <w:rPr>
          <w:rFonts w:cs="Times New Roman"/>
        </w:rPr>
      </w:pPr>
    </w:p>
    <w:p w14:paraId="4E60B153" w14:textId="4712FC0B" w:rsidR="0055727A" w:rsidRDefault="00633FC2" w:rsidP="007F3108">
      <w:pPr>
        <w:rPr>
          <w:rFonts w:cs="Times New Roman"/>
        </w:rPr>
      </w:pPr>
      <w:r>
        <w:rPr>
          <w:rFonts w:cs="Times New Roman"/>
          <w:noProof/>
          <w:lang w:val="en-US"/>
        </w:rPr>
        <w:lastRenderedPageBreak/>
        <w:drawing>
          <wp:inline distT="0" distB="0" distL="0" distR="0" wp14:anchorId="1714F91F" wp14:editId="7F4F16EB">
            <wp:extent cx="8372463" cy="43891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72463" cy="4389120"/>
                    </a:xfrm>
                    <a:prstGeom prst="rect">
                      <a:avLst/>
                    </a:prstGeom>
                    <a:noFill/>
                  </pic:spPr>
                </pic:pic>
              </a:graphicData>
            </a:graphic>
          </wp:inline>
        </w:drawing>
      </w:r>
    </w:p>
    <w:p w14:paraId="6E7F969D" w14:textId="3B628FAB" w:rsidR="00203DAE" w:rsidRPr="00B24D4E" w:rsidRDefault="00203DAE" w:rsidP="00203DAE">
      <w:pPr>
        <w:rPr>
          <w:rFonts w:cs="Times New Roman"/>
          <w:b/>
          <w:bCs/>
          <w:sz w:val="28"/>
          <w:szCs w:val="28"/>
        </w:rPr>
      </w:pPr>
      <w:r w:rsidRPr="00B24D4E">
        <w:rPr>
          <w:rFonts w:cs="Times New Roman"/>
          <w:b/>
          <w:bCs/>
          <w:szCs w:val="28"/>
        </w:rPr>
        <w:t xml:space="preserve">Figure </w:t>
      </w:r>
      <w:r w:rsidR="00495AA4">
        <w:rPr>
          <w:rFonts w:cs="Times New Roman"/>
          <w:b/>
          <w:bCs/>
          <w:szCs w:val="28"/>
        </w:rPr>
        <w:t>2</w:t>
      </w:r>
      <w:r>
        <w:rPr>
          <w:rFonts w:cs="Times New Roman"/>
          <w:b/>
          <w:bCs/>
          <w:szCs w:val="28"/>
        </w:rPr>
        <w:t>b</w:t>
      </w:r>
      <w:r w:rsidRPr="00B24D4E">
        <w:rPr>
          <w:rFonts w:cs="Times New Roman"/>
          <w:b/>
          <w:bCs/>
          <w:szCs w:val="28"/>
        </w:rPr>
        <w:t xml:space="preserve"> </w:t>
      </w:r>
      <w:r>
        <w:rPr>
          <w:rFonts w:cs="Times New Roman"/>
          <w:b/>
          <w:bCs/>
          <w:szCs w:val="28"/>
        </w:rPr>
        <w:t>Performance Comparison between PMNB-GOPFS and RPMNB Model</w:t>
      </w:r>
    </w:p>
    <w:p w14:paraId="407EA450" w14:textId="614926C1" w:rsidR="00203DAE" w:rsidRDefault="00203DAE" w:rsidP="007F3108">
      <w:pPr>
        <w:rPr>
          <w:rFonts w:cs="Times New Roman"/>
        </w:rPr>
        <w:sectPr w:rsidR="00203DAE" w:rsidSect="003B313F">
          <w:pgSz w:w="15840" w:h="12240" w:orient="landscape" w:code="1"/>
          <w:pgMar w:top="1440" w:right="1440" w:bottom="1469" w:left="1440" w:header="720" w:footer="720" w:gutter="0"/>
          <w:cols w:space="708"/>
          <w:titlePg/>
          <w:docGrid w:linePitch="360"/>
        </w:sectPr>
      </w:pPr>
    </w:p>
    <w:p w14:paraId="25D7FFB5" w14:textId="36B4BDF4" w:rsidR="00B5159F" w:rsidRDefault="003866A0" w:rsidP="00B5159F">
      <w:pPr>
        <w:rPr>
          <w:rFonts w:cs="Times New Roman"/>
        </w:rPr>
      </w:pPr>
      <w:r>
        <w:lastRenderedPageBreak/>
        <w:t>categories for rear-end crashes. However, for angular and non-motorized crashes, we find equivalent performance from the two system regardless of the sample size</w:t>
      </w:r>
      <w:r>
        <w:rPr>
          <w:rFonts w:cs="Times New Roman"/>
        </w:rPr>
        <w:t>. The results clearly highlight that with fewer (at most half) number of parameters, our proposed joint system either provides improved or at worst, similar predictive performance compared to the RPMNB model.</w:t>
      </w:r>
    </w:p>
    <w:p w14:paraId="39A62A62" w14:textId="77777777" w:rsidR="003866A0" w:rsidRDefault="003866A0" w:rsidP="00B5159F"/>
    <w:p w14:paraId="572A1C1C" w14:textId="05A23C94" w:rsidR="00A80807" w:rsidRPr="009A68F1" w:rsidRDefault="00A80807" w:rsidP="00A80807">
      <w:pPr>
        <w:pStyle w:val="Heading2"/>
      </w:pPr>
      <w:r>
        <w:t>Validation Analysis</w:t>
      </w:r>
    </w:p>
    <w:p w14:paraId="05854281" w14:textId="0BEAC958" w:rsidR="00A80807" w:rsidRDefault="000D28C5" w:rsidP="00A80807">
      <w:r>
        <w:t xml:space="preserve">A validation exercise was also undertaken using the final model parameter estimates to </w:t>
      </w:r>
      <w:r w:rsidRPr="000D39D1">
        <w:t xml:space="preserve">of the </w:t>
      </w:r>
      <w:r>
        <w:t>proposed</w:t>
      </w:r>
      <w:r w:rsidRPr="000D39D1">
        <w:t xml:space="preserve"> </w:t>
      </w:r>
      <w:r>
        <w:t>joint</w:t>
      </w:r>
      <w:r w:rsidRPr="000D39D1">
        <w:t xml:space="preserve"> </w:t>
      </w:r>
      <w:r>
        <w:t>(</w:t>
      </w:r>
      <w:r w:rsidR="001B1F29">
        <w:t>PMNB-GOPFS</w:t>
      </w:r>
      <w:r>
        <w:t xml:space="preserve">) </w:t>
      </w:r>
      <w:r w:rsidRPr="000D39D1">
        <w:t>model</w:t>
      </w:r>
      <w:r w:rsidR="005C4748">
        <w:t xml:space="preserve"> </w:t>
      </w:r>
      <w:r w:rsidR="005C4748" w:rsidRPr="009A5832">
        <w:t>to ensure that the statistical results obtained above are not a manifestation of over fitting to data</w:t>
      </w:r>
      <w:r>
        <w:t xml:space="preserve">. </w:t>
      </w:r>
      <w:r w:rsidR="00A80807">
        <w:t>In doing so, we employ mean absolute deviation (MAD) and mean absolute percentage error (MAPE) which quantifies the error associated with model prediction and the measure is computed on two datasets including: 1) model estimation sample with 3,815 TAZs and 2) hold out sample (validation sample) with 932 TAZs.</w:t>
      </w:r>
      <w:r w:rsidR="00A80807" w:rsidRPr="002E7EA3">
        <w:t xml:space="preserve"> </w:t>
      </w:r>
      <w:r w:rsidR="00A80807">
        <w:t xml:space="preserve">One of the major advantages of the proposed framework is that in a single econometric framework, we can predict a number of dimensions including total crash counts, total crash counts by crash types, crash proportions for each severity level, crash counts for each severity level and finally, proportions and counts of crashes for each crash type by severity. In evaluating the predictive performance, we compute the errors (MAD and MAPE) across all the aforementioned dimensions. The prediction results clearly indicate that the joint model for crash counts and severity proportions by crash type performs adequately for both datasets (in-sample and validation sample) under consideration. </w:t>
      </w:r>
      <w:r w:rsidR="00423D73">
        <w:t>A summary of the validation procedures</w:t>
      </w:r>
      <w:r w:rsidR="00897BA5">
        <w:t xml:space="preserve"> and the results</w:t>
      </w:r>
      <w:r w:rsidR="00A80807">
        <w:t xml:space="preserve"> </w:t>
      </w:r>
      <w:r w:rsidR="00423D73">
        <w:t xml:space="preserve">are presented </w:t>
      </w:r>
      <w:r w:rsidR="00A80807">
        <w:t xml:space="preserve">in appendix B. </w:t>
      </w:r>
    </w:p>
    <w:p w14:paraId="62D18FE5" w14:textId="77777777" w:rsidR="008A7B7F" w:rsidRDefault="008A7B7F" w:rsidP="008A7B7F"/>
    <w:p w14:paraId="48C649C2" w14:textId="30C3B484" w:rsidR="00F87BBB" w:rsidRDefault="00F87BBB" w:rsidP="00F87BBB">
      <w:pPr>
        <w:pStyle w:val="Heading1"/>
        <w:ind w:left="431" w:hanging="431"/>
      </w:pPr>
      <w:r>
        <w:t>CONCLUSIONS</w:t>
      </w:r>
    </w:p>
    <w:p w14:paraId="776B0CAC" w14:textId="2E9FDCBD" w:rsidR="005B2657" w:rsidRDefault="00F87BBB" w:rsidP="005B2657">
      <w:pPr>
        <w:rPr>
          <w:rFonts w:eastAsia="Calibri" w:cs="Times New Roman"/>
          <w:szCs w:val="24"/>
        </w:rPr>
      </w:pPr>
      <w:r w:rsidRPr="0062082F">
        <w:rPr>
          <w:szCs w:val="24"/>
        </w:rPr>
        <w:t xml:space="preserve">Despite the distinct injury severity profile, there is limited adoption of research modeling severity frequency or proportion considering different crash types. The main challenge is with the number of dependent variables as accommodating unobserved heterogeneity for such large number of dimensions is substantially </w:t>
      </w:r>
      <w:r>
        <w:rPr>
          <w:szCs w:val="24"/>
        </w:rPr>
        <w:t>burdensome</w:t>
      </w:r>
      <w:r w:rsidRPr="0062082F">
        <w:rPr>
          <w:szCs w:val="24"/>
        </w:rPr>
        <w:t xml:space="preserve">. </w:t>
      </w:r>
      <w:r>
        <w:t xml:space="preserve">The probability evaluation with high dimensional integrals is potentially affected by several challenges including - requirements of generating high dimensionality of random numbers, empirical identification issues due to relatively flat objective functions in larger dimensions and longer computational run times. </w:t>
      </w:r>
      <w:r w:rsidRPr="0062082F">
        <w:rPr>
          <w:szCs w:val="24"/>
        </w:rPr>
        <w:t xml:space="preserve"> In this context, </w:t>
      </w:r>
      <w:r>
        <w:rPr>
          <w:szCs w:val="24"/>
        </w:rPr>
        <w:t>t</w:t>
      </w:r>
      <w:r w:rsidRPr="0062082F">
        <w:rPr>
          <w:szCs w:val="24"/>
        </w:rPr>
        <w:t>he proposed research contributes to burgeoning econometric and safety literature by developing a joint modeling approach that can accommodate for a large number of dependent variables</w:t>
      </w:r>
      <w:r>
        <w:rPr>
          <w:szCs w:val="24"/>
        </w:rPr>
        <w:t xml:space="preserve"> (considering crash types and severities)</w:t>
      </w:r>
      <w:r w:rsidRPr="0062082F">
        <w:rPr>
          <w:szCs w:val="24"/>
        </w:rPr>
        <w:t xml:space="preserve"> within a parsimonious structure. </w:t>
      </w:r>
      <w:r>
        <w:t xml:space="preserve">With respect to crash type specific component, instead of considering the crash frequency by crash type as a traditional multivariate distribution, we recasted it as a repeated measures of crash frequency while recognizing that each repetition represents a crash type specific to a zone. At the same time, </w:t>
      </w:r>
      <w:r>
        <w:rPr>
          <w:rFonts w:eastAsia="Calibri" w:cs="Times New Roman"/>
          <w:szCs w:val="24"/>
        </w:rPr>
        <w:t>for the severity component, as opposed to modeling the count events, count proportions by different severity level</w:t>
      </w:r>
      <w:r w:rsidRPr="00015D88">
        <w:rPr>
          <w:rFonts w:eastAsia="Calibri" w:cs="Times New Roman"/>
          <w:szCs w:val="24"/>
        </w:rPr>
        <w:t xml:space="preserve"> for a study </w:t>
      </w:r>
      <w:r w:rsidR="005B2657" w:rsidRPr="00015D88">
        <w:rPr>
          <w:rFonts w:eastAsia="Calibri" w:cs="Times New Roman"/>
          <w:szCs w:val="24"/>
        </w:rPr>
        <w:t xml:space="preserve">unit </w:t>
      </w:r>
      <w:r w:rsidR="00795FDE">
        <w:rPr>
          <w:rFonts w:eastAsia="Calibri" w:cs="Times New Roman"/>
          <w:szCs w:val="24"/>
        </w:rPr>
        <w:t>were</w:t>
      </w:r>
      <w:r w:rsidR="00795FDE" w:rsidRPr="00015D88">
        <w:rPr>
          <w:rFonts w:eastAsia="Calibri" w:cs="Times New Roman"/>
          <w:szCs w:val="24"/>
        </w:rPr>
        <w:t xml:space="preserve"> </w:t>
      </w:r>
      <w:r w:rsidR="005B2657" w:rsidRPr="00015D88">
        <w:rPr>
          <w:rFonts w:eastAsia="Calibri" w:cs="Times New Roman"/>
          <w:szCs w:val="24"/>
        </w:rPr>
        <w:t>examined.</w:t>
      </w:r>
      <w:r w:rsidR="00B86B8F">
        <w:rPr>
          <w:rFonts w:eastAsia="Calibri" w:cs="Times New Roman"/>
          <w:szCs w:val="24"/>
        </w:rPr>
        <w:t xml:space="preserve"> Finally, </w:t>
      </w:r>
      <w:r w:rsidR="00224CDC">
        <w:rPr>
          <w:rFonts w:eastAsia="Calibri" w:cs="Times New Roman"/>
          <w:szCs w:val="24"/>
        </w:rPr>
        <w:t>we developed a joint model to tie the two component</w:t>
      </w:r>
      <w:r w:rsidR="0080033E">
        <w:rPr>
          <w:rFonts w:eastAsia="Calibri" w:cs="Times New Roman"/>
          <w:szCs w:val="24"/>
        </w:rPr>
        <w:t>s</w:t>
      </w:r>
      <w:r w:rsidR="00224CDC">
        <w:rPr>
          <w:rFonts w:eastAsia="Calibri" w:cs="Times New Roman"/>
          <w:szCs w:val="24"/>
        </w:rPr>
        <w:t xml:space="preserve"> in a single integrated framework</w:t>
      </w:r>
      <w:r w:rsidR="00B408B1">
        <w:rPr>
          <w:rFonts w:eastAsia="Calibri" w:cs="Times New Roman"/>
          <w:szCs w:val="24"/>
        </w:rPr>
        <w:t xml:space="preserve"> while accommodating </w:t>
      </w:r>
      <w:r w:rsidR="00E1472E">
        <w:rPr>
          <w:rFonts w:eastAsia="Calibri" w:cs="Times New Roman"/>
          <w:szCs w:val="24"/>
        </w:rPr>
        <w:t>unobserved heterogeneity across and within the two components (crash frequency and crash severity proportions</w:t>
      </w:r>
      <w:r w:rsidR="00795FDE" w:rsidRPr="00795FDE">
        <w:rPr>
          <w:rFonts w:eastAsia="Calibri" w:cs="Times New Roman"/>
          <w:szCs w:val="24"/>
        </w:rPr>
        <w:t xml:space="preserve"> </w:t>
      </w:r>
      <w:r w:rsidR="00795FDE">
        <w:rPr>
          <w:rFonts w:eastAsia="Calibri" w:cs="Times New Roman"/>
          <w:szCs w:val="24"/>
        </w:rPr>
        <w:t>by types</w:t>
      </w:r>
      <w:r w:rsidR="00E1472E">
        <w:rPr>
          <w:rFonts w:eastAsia="Calibri" w:cs="Times New Roman"/>
          <w:szCs w:val="24"/>
        </w:rPr>
        <w:t>)</w:t>
      </w:r>
      <w:r w:rsidR="00224CDC">
        <w:rPr>
          <w:rFonts w:eastAsia="Calibri" w:cs="Times New Roman"/>
          <w:szCs w:val="24"/>
        </w:rPr>
        <w:t xml:space="preserve">. </w:t>
      </w:r>
    </w:p>
    <w:p w14:paraId="70D63FF3" w14:textId="72F1AF49" w:rsidR="001432CB" w:rsidRDefault="0062196C" w:rsidP="00A55A3F">
      <w:pPr>
        <w:ind w:firstLine="720"/>
        <w:rPr>
          <w:rFonts w:eastAsiaTheme="minorEastAsia"/>
          <w:szCs w:val="24"/>
        </w:rPr>
      </w:pPr>
      <w:r>
        <w:rPr>
          <w:rFonts w:eastAsia="Calibri" w:cs="Times New Roman"/>
          <w:szCs w:val="24"/>
        </w:rPr>
        <w:t xml:space="preserve">In our current research effort, </w:t>
      </w:r>
      <w:r w:rsidRPr="009D0828">
        <w:rPr>
          <w:rFonts w:eastAsia="Calibri" w:cs="Times New Roman"/>
          <w:szCs w:val="24"/>
        </w:rPr>
        <w:t>we employ</w:t>
      </w:r>
      <w:r w:rsidR="00795FDE">
        <w:rPr>
          <w:rFonts w:eastAsia="Calibri" w:cs="Times New Roman"/>
          <w:szCs w:val="24"/>
        </w:rPr>
        <w:t>ed</w:t>
      </w:r>
      <w:r w:rsidRPr="009D0828">
        <w:rPr>
          <w:rFonts w:eastAsia="Calibri" w:cs="Times New Roman"/>
          <w:szCs w:val="24"/>
        </w:rPr>
        <w:t xml:space="preserve"> a Panel mixed Negative Binomial- Generalized Ordered </w:t>
      </w:r>
      <w:proofErr w:type="spellStart"/>
      <w:r w:rsidRPr="009D0828">
        <w:rPr>
          <w:rFonts w:eastAsia="Calibri" w:cs="Times New Roman"/>
          <w:szCs w:val="24"/>
        </w:rPr>
        <w:t>Probit</w:t>
      </w:r>
      <w:proofErr w:type="spellEnd"/>
      <w:r w:rsidRPr="009D0828">
        <w:rPr>
          <w:rFonts w:eastAsia="Calibri" w:cs="Times New Roman"/>
          <w:szCs w:val="24"/>
        </w:rPr>
        <w:t xml:space="preserve"> Fractional Spilt (PM</w:t>
      </w:r>
      <w:r w:rsidR="00AE6EE1">
        <w:rPr>
          <w:rFonts w:eastAsia="Calibri" w:cs="Times New Roman"/>
          <w:szCs w:val="24"/>
        </w:rPr>
        <w:t>N</w:t>
      </w:r>
      <w:r w:rsidRPr="009D0828">
        <w:rPr>
          <w:rFonts w:eastAsia="Calibri" w:cs="Times New Roman"/>
          <w:szCs w:val="24"/>
        </w:rPr>
        <w:t>B-GOPFS) model where the first component (NB) accommodate</w:t>
      </w:r>
      <w:r w:rsidR="00795FDE">
        <w:rPr>
          <w:rFonts w:eastAsia="Calibri" w:cs="Times New Roman"/>
          <w:szCs w:val="24"/>
        </w:rPr>
        <w:t>d</w:t>
      </w:r>
      <w:r w:rsidRPr="009D0828">
        <w:rPr>
          <w:rFonts w:eastAsia="Calibri" w:cs="Times New Roman"/>
          <w:szCs w:val="24"/>
        </w:rPr>
        <w:t xml:space="preserve"> for crash frequency by crash type and the later component (GOPFS) stud</w:t>
      </w:r>
      <w:r w:rsidR="00795FDE">
        <w:rPr>
          <w:rFonts w:eastAsia="Calibri" w:cs="Times New Roman"/>
          <w:szCs w:val="24"/>
        </w:rPr>
        <w:t>ied</w:t>
      </w:r>
      <w:r w:rsidRPr="009D0828">
        <w:rPr>
          <w:rFonts w:eastAsia="Calibri" w:cs="Times New Roman"/>
          <w:szCs w:val="24"/>
        </w:rPr>
        <w:t xml:space="preserve"> the fraction of severity outcome for different crash types.</w:t>
      </w:r>
      <w:r w:rsidR="00BD247D" w:rsidRPr="009D0828">
        <w:rPr>
          <w:rFonts w:eastAsia="Calibri" w:cs="Times New Roman"/>
          <w:szCs w:val="24"/>
        </w:rPr>
        <w:t xml:space="preserve"> </w:t>
      </w:r>
      <w:r w:rsidR="00BD247D" w:rsidRPr="00A02765">
        <w:rPr>
          <w:rFonts w:eastAsia="Calibri" w:cs="Times New Roman"/>
          <w:szCs w:val="24"/>
        </w:rPr>
        <w:t xml:space="preserve">The empirical analysis </w:t>
      </w:r>
      <w:r w:rsidR="00F52B8A">
        <w:rPr>
          <w:rFonts w:eastAsia="Calibri" w:cs="Times New Roman"/>
          <w:szCs w:val="24"/>
        </w:rPr>
        <w:t xml:space="preserve">was conducted using the zonal </w:t>
      </w:r>
      <w:r w:rsidR="00F52B8A" w:rsidRPr="00A02765">
        <w:rPr>
          <w:rFonts w:eastAsia="Calibri" w:cs="Times New Roman"/>
          <w:szCs w:val="24"/>
        </w:rPr>
        <w:t xml:space="preserve">level crash count data </w:t>
      </w:r>
      <w:r w:rsidR="00F6575A" w:rsidRPr="00A02765">
        <w:rPr>
          <w:rFonts w:eastAsia="Calibri" w:cs="Times New Roman"/>
          <w:szCs w:val="24"/>
        </w:rPr>
        <w:t>for the year 2016</w:t>
      </w:r>
      <w:r w:rsidR="00F6575A">
        <w:rPr>
          <w:rFonts w:eastAsia="Calibri" w:cs="Times New Roman"/>
          <w:szCs w:val="24"/>
        </w:rPr>
        <w:t xml:space="preserve"> </w:t>
      </w:r>
      <w:r w:rsidR="00F52B8A" w:rsidRPr="00A02765">
        <w:rPr>
          <w:rFonts w:eastAsia="Calibri" w:cs="Times New Roman"/>
          <w:szCs w:val="24"/>
        </w:rPr>
        <w:t xml:space="preserve">from Central Florida </w:t>
      </w:r>
      <w:r w:rsidR="009C405C">
        <w:rPr>
          <w:rFonts w:eastAsia="Calibri" w:cs="Times New Roman"/>
          <w:szCs w:val="24"/>
        </w:rPr>
        <w:t xml:space="preserve">while considering a </w:t>
      </w:r>
      <w:r w:rsidR="0026122B">
        <w:rPr>
          <w:rFonts w:eastAsia="Calibri" w:cs="Times New Roman"/>
          <w:szCs w:val="24"/>
        </w:rPr>
        <w:t xml:space="preserve">comprehensive set </w:t>
      </w:r>
      <w:r w:rsidR="009C405C">
        <w:rPr>
          <w:rFonts w:eastAsia="Calibri" w:cs="Times New Roman"/>
          <w:szCs w:val="24"/>
        </w:rPr>
        <w:t xml:space="preserve">of </w:t>
      </w:r>
      <w:r w:rsidR="00BD247D" w:rsidRPr="009D0828">
        <w:rPr>
          <w:rFonts w:eastAsia="Calibri" w:cs="Times New Roman"/>
          <w:szCs w:val="24"/>
        </w:rPr>
        <w:t xml:space="preserve">exogenous variables including roadway, built environment, land-use, </w:t>
      </w:r>
      <w:proofErr w:type="gramStart"/>
      <w:r w:rsidR="00BD247D" w:rsidRPr="009D0828">
        <w:rPr>
          <w:rFonts w:eastAsia="Calibri" w:cs="Times New Roman"/>
          <w:szCs w:val="24"/>
        </w:rPr>
        <w:t>traffic</w:t>
      </w:r>
      <w:proofErr w:type="gramEnd"/>
      <w:r w:rsidR="00BD247D" w:rsidRPr="009D0828">
        <w:rPr>
          <w:rFonts w:eastAsia="Calibri" w:cs="Times New Roman"/>
          <w:szCs w:val="24"/>
        </w:rPr>
        <w:t xml:space="preserve"> </w:t>
      </w:r>
      <w:r w:rsidR="00BD247D" w:rsidRPr="009D0828">
        <w:rPr>
          <w:rFonts w:eastAsia="Calibri" w:cs="Times New Roman"/>
          <w:szCs w:val="24"/>
        </w:rPr>
        <w:lastRenderedPageBreak/>
        <w:t>and sociodemographic characteristics.</w:t>
      </w:r>
      <w:r w:rsidR="003B5021">
        <w:rPr>
          <w:rFonts w:eastAsia="Calibri" w:cs="Times New Roman"/>
          <w:szCs w:val="24"/>
        </w:rPr>
        <w:t xml:space="preserve"> </w:t>
      </w:r>
      <w:r w:rsidR="003B5021" w:rsidRPr="00006FCC">
        <w:rPr>
          <w:szCs w:val="24"/>
        </w:rPr>
        <w:t>The empirical analysis involved a series of model estimations</w:t>
      </w:r>
      <w:r w:rsidR="003B5021">
        <w:rPr>
          <w:szCs w:val="24"/>
        </w:rPr>
        <w:t xml:space="preserve"> including: </w:t>
      </w:r>
      <w:r w:rsidR="003B5021" w:rsidRPr="00873AB4">
        <w:rPr>
          <w:rFonts w:eastAsiaTheme="minorEastAsia"/>
          <w:szCs w:val="24"/>
        </w:rPr>
        <w:t>1) Independent NB-GOPFS model; 2) Panel NB-GOPFS model without unobserved component</w:t>
      </w:r>
      <w:r w:rsidR="003B5021">
        <w:rPr>
          <w:rFonts w:eastAsiaTheme="minorEastAsia"/>
          <w:szCs w:val="24"/>
        </w:rPr>
        <w:t xml:space="preserve"> parameters</w:t>
      </w:r>
      <w:r w:rsidR="00F75738">
        <w:rPr>
          <w:rFonts w:eastAsiaTheme="minorEastAsia"/>
          <w:szCs w:val="24"/>
        </w:rPr>
        <w:t>;</w:t>
      </w:r>
      <w:r w:rsidR="003B5021" w:rsidRPr="00873AB4">
        <w:rPr>
          <w:rFonts w:eastAsiaTheme="minorEastAsia"/>
          <w:szCs w:val="24"/>
        </w:rPr>
        <w:t xml:space="preserve"> and 3) Joint Panel NB-GOPFS model with unobserved heterogeneity</w:t>
      </w:r>
      <w:r w:rsidR="00882834">
        <w:rPr>
          <w:rFonts w:eastAsiaTheme="minorEastAsia"/>
          <w:szCs w:val="24"/>
        </w:rPr>
        <w:t xml:space="preserve">. </w:t>
      </w:r>
      <w:r w:rsidR="004B3E9C">
        <w:rPr>
          <w:rFonts w:eastAsiaTheme="minorEastAsia"/>
          <w:szCs w:val="24"/>
        </w:rPr>
        <w:t xml:space="preserve">The comparison exercise, based on the </w:t>
      </w:r>
      <w:r w:rsidR="0003192F" w:rsidRPr="00873AB4">
        <w:rPr>
          <w:rFonts w:eastAsiaTheme="minorEastAsia"/>
          <w:szCs w:val="24"/>
        </w:rPr>
        <w:t xml:space="preserve">Bayesian Information Criterion </w:t>
      </w:r>
      <w:r w:rsidR="0003192F">
        <w:rPr>
          <w:rFonts w:eastAsiaTheme="minorEastAsia"/>
          <w:szCs w:val="24"/>
        </w:rPr>
        <w:t>(</w:t>
      </w:r>
      <w:r w:rsidR="009C0AC8">
        <w:rPr>
          <w:rFonts w:eastAsiaTheme="minorEastAsia"/>
          <w:szCs w:val="24"/>
        </w:rPr>
        <w:t>BIC</w:t>
      </w:r>
      <w:r w:rsidR="0003192F">
        <w:rPr>
          <w:rFonts w:eastAsiaTheme="minorEastAsia"/>
          <w:szCs w:val="24"/>
        </w:rPr>
        <w:t>)</w:t>
      </w:r>
      <w:r w:rsidR="00537946">
        <w:rPr>
          <w:rFonts w:eastAsiaTheme="minorEastAsia"/>
          <w:szCs w:val="24"/>
        </w:rPr>
        <w:t xml:space="preserve"> </w:t>
      </w:r>
      <w:r w:rsidR="009C0AC8">
        <w:rPr>
          <w:rFonts w:eastAsiaTheme="minorEastAsia"/>
          <w:szCs w:val="24"/>
        </w:rPr>
        <w:t xml:space="preserve">value </w:t>
      </w:r>
      <w:r w:rsidR="008D2F1D">
        <w:rPr>
          <w:rFonts w:eastAsiaTheme="minorEastAsia"/>
          <w:szCs w:val="24"/>
        </w:rPr>
        <w:t xml:space="preserve">highlighted the </w:t>
      </w:r>
      <w:r w:rsidR="00101A14">
        <w:rPr>
          <w:rFonts w:eastAsiaTheme="minorEastAsia"/>
          <w:szCs w:val="24"/>
        </w:rPr>
        <w:t>superiority</w:t>
      </w:r>
      <w:r w:rsidR="008D2F1D">
        <w:rPr>
          <w:rFonts w:eastAsiaTheme="minorEastAsia"/>
          <w:szCs w:val="24"/>
        </w:rPr>
        <w:t xml:space="preserve"> </w:t>
      </w:r>
      <w:r w:rsidR="00101A14">
        <w:rPr>
          <w:rFonts w:eastAsiaTheme="minorEastAsia"/>
          <w:szCs w:val="24"/>
        </w:rPr>
        <w:t xml:space="preserve">of </w:t>
      </w:r>
      <w:r w:rsidR="008D2F1D" w:rsidRPr="00873AB4">
        <w:rPr>
          <w:rFonts w:eastAsiaTheme="minorEastAsia"/>
          <w:szCs w:val="24"/>
        </w:rPr>
        <w:t>the proposed framework that accounts for penalty for additional parameters</w:t>
      </w:r>
      <w:r w:rsidR="008D2F1D">
        <w:rPr>
          <w:rFonts w:eastAsiaTheme="minorEastAsia"/>
          <w:szCs w:val="24"/>
        </w:rPr>
        <w:t xml:space="preserve"> (model 2 and 3) and within the proposed approach, the model considering unobserved heterogeneity</w:t>
      </w:r>
      <w:r w:rsidR="00290C71">
        <w:rPr>
          <w:rFonts w:eastAsiaTheme="minorEastAsia"/>
          <w:szCs w:val="24"/>
        </w:rPr>
        <w:t xml:space="preserve"> (model 3)</w:t>
      </w:r>
      <w:r w:rsidR="008D2F1D">
        <w:rPr>
          <w:rFonts w:eastAsiaTheme="minorEastAsia"/>
          <w:szCs w:val="24"/>
        </w:rPr>
        <w:t xml:space="preserve"> outperform</w:t>
      </w:r>
      <w:r w:rsidR="00F6575A">
        <w:rPr>
          <w:rFonts w:eastAsiaTheme="minorEastAsia"/>
          <w:szCs w:val="24"/>
        </w:rPr>
        <w:t>ed</w:t>
      </w:r>
      <w:r w:rsidR="008D2F1D">
        <w:rPr>
          <w:rFonts w:eastAsiaTheme="minorEastAsia"/>
          <w:szCs w:val="24"/>
        </w:rPr>
        <w:t xml:space="preserve"> its’ counterpart</w:t>
      </w:r>
      <w:r w:rsidR="00290C71">
        <w:rPr>
          <w:rFonts w:eastAsiaTheme="minorEastAsia"/>
          <w:szCs w:val="24"/>
        </w:rPr>
        <w:t xml:space="preserve"> (model 2)</w:t>
      </w:r>
      <w:r w:rsidR="008D2F1D">
        <w:rPr>
          <w:rFonts w:eastAsiaTheme="minorEastAsia"/>
          <w:szCs w:val="24"/>
        </w:rPr>
        <w:t xml:space="preserve">. </w:t>
      </w:r>
    </w:p>
    <w:p w14:paraId="2E23AE86" w14:textId="10869853" w:rsidR="00591922" w:rsidRPr="00B030BC" w:rsidRDefault="00FC3C9E" w:rsidP="00591922">
      <w:pPr>
        <w:ind w:firstLine="720"/>
      </w:pPr>
      <w:r>
        <w:rPr>
          <w:rFonts w:eastAsiaTheme="minorEastAsia"/>
          <w:szCs w:val="24"/>
        </w:rPr>
        <w:t xml:space="preserve">The </w:t>
      </w:r>
      <w:r w:rsidR="00F6575A">
        <w:t>analysis</w:t>
      </w:r>
      <w:r>
        <w:t xml:space="preserve"> </w:t>
      </w:r>
      <w:r w:rsidR="00F6575A">
        <w:t xml:space="preserve">was </w:t>
      </w:r>
      <w:r>
        <w:t>further augmented by undertaking a prediction exercise using the final model parameter estimates</w:t>
      </w:r>
      <w:r w:rsidR="00BE756E">
        <w:t xml:space="preserve">. </w:t>
      </w:r>
      <w:r w:rsidR="001432CB">
        <w:t xml:space="preserve">One of the major </w:t>
      </w:r>
      <w:r w:rsidR="00114907">
        <w:t>advantages</w:t>
      </w:r>
      <w:r w:rsidR="001432CB">
        <w:t xml:space="preserve"> of the proposed framework is that in a single econometric framework, we can predict </w:t>
      </w:r>
      <w:r w:rsidR="00AE2DCD">
        <w:t>several</w:t>
      </w:r>
      <w:r w:rsidR="006A5C8A">
        <w:t xml:space="preserve"> </w:t>
      </w:r>
      <w:r w:rsidR="001432CB">
        <w:t xml:space="preserve">dimensions including total crash counts, total crash counts by crash types, crash proportions for each severity level, crash counts for each severity level and finally, proportions and counts of crashes for each crash type by severity. In evaluating the predictive performance, </w:t>
      </w:r>
      <w:r w:rsidR="00354D15" w:rsidRPr="00354D15">
        <w:t>we carried out a comparison exercise between our proposed joint PMNB-GOPFS and the existing traditional multivariate system</w:t>
      </w:r>
      <w:r w:rsidR="00193CAE">
        <w:t xml:space="preserve"> (RPMNB)</w:t>
      </w:r>
      <w:r w:rsidR="00354D15" w:rsidRPr="00354D15">
        <w:t xml:space="preserve"> for predicting crash counts across different crash severities. </w:t>
      </w:r>
      <w:r w:rsidR="00354D15">
        <w:t xml:space="preserve">Specifically, </w:t>
      </w:r>
      <w:r w:rsidR="00B0074C">
        <w:rPr>
          <w:rFonts w:eastAsiaTheme="minorEastAsia"/>
          <w:szCs w:val="24"/>
        </w:rPr>
        <w:t>we compute the RMSE value at disaggregate level and compare their performances</w:t>
      </w:r>
      <w:r w:rsidR="004511B5">
        <w:rPr>
          <w:rFonts w:eastAsiaTheme="minorEastAsia"/>
          <w:szCs w:val="24"/>
        </w:rPr>
        <w:t xml:space="preserve"> across the two models (proposed PMNB-GOPFS and traditional RPMNB). The comparison exercise is conducted using different hold-out sample (50 to be specific) considering different estimation </w:t>
      </w:r>
      <w:r w:rsidR="001955CD">
        <w:rPr>
          <w:rFonts w:eastAsiaTheme="minorEastAsia"/>
          <w:szCs w:val="24"/>
        </w:rPr>
        <w:t>sets</w:t>
      </w:r>
      <w:r w:rsidR="004511B5">
        <w:rPr>
          <w:rFonts w:eastAsiaTheme="minorEastAsia"/>
          <w:szCs w:val="24"/>
        </w:rPr>
        <w:t xml:space="preserve"> to accommodate the influence of different sample sizes in model estimation.</w:t>
      </w:r>
      <w:r w:rsidR="004511B5" w:rsidRPr="004511B5">
        <w:rPr>
          <w:rFonts w:eastAsiaTheme="minorEastAsia"/>
          <w:szCs w:val="24"/>
        </w:rPr>
        <w:t xml:space="preserve"> </w:t>
      </w:r>
      <w:r w:rsidR="004511B5">
        <w:rPr>
          <w:rFonts w:eastAsiaTheme="minorEastAsia"/>
          <w:szCs w:val="24"/>
        </w:rPr>
        <w:t>T</w:t>
      </w:r>
      <w:r w:rsidR="004511B5" w:rsidRPr="00687F1C">
        <w:rPr>
          <w:rFonts w:eastAsiaTheme="minorEastAsia"/>
          <w:szCs w:val="24"/>
        </w:rPr>
        <w:t>he resulting goodness of fit measures clearly highlight the superior/equivalent performance of the proposed PMNB-GOPFS model over the traditional RPMNB model despite having fewer number of parameters</w:t>
      </w:r>
      <w:r w:rsidR="00186DC9">
        <w:t>.</w:t>
      </w:r>
      <w:r w:rsidR="001A0C25">
        <w:t xml:space="preserve"> </w:t>
      </w:r>
      <w:r w:rsidR="00591922">
        <w:t>The comparison exercise is further augmented through a simulation exercise</w:t>
      </w:r>
      <w:r w:rsidR="00D3207F">
        <w:t xml:space="preserve"> (evaluate performance on simulated data)</w:t>
      </w:r>
      <w:r w:rsidR="00591922">
        <w:t xml:space="preserve"> and the results further reinforce the applicability of our proposed PMNB-GOPFS model in crash safety literature. </w:t>
      </w:r>
    </w:p>
    <w:p w14:paraId="4A8CD19F" w14:textId="616C75C8" w:rsidR="004275FD" w:rsidRDefault="00732296" w:rsidP="004275FD">
      <w:pPr>
        <w:ind w:firstLine="720"/>
      </w:pPr>
      <w:r>
        <w:rPr>
          <w:szCs w:val="24"/>
        </w:rPr>
        <w:t xml:space="preserve">In summary, </w:t>
      </w:r>
      <w:r>
        <w:t>the current study contributes to safety literature both methodologically and empirically</w:t>
      </w:r>
      <w:r w:rsidR="00C06AF6">
        <w:t xml:space="preserve">. </w:t>
      </w:r>
      <w:r w:rsidR="00C06AF6" w:rsidRPr="003778A6">
        <w:rPr>
          <w:u w:val="single"/>
        </w:rPr>
        <w:t>Methodologically</w:t>
      </w:r>
      <w:r w:rsidR="00C06AF6">
        <w:t>, we developed a joint framework analysing 24 dependent variables (</w:t>
      </w:r>
      <w:r w:rsidR="00C06AF6" w:rsidRPr="00036A7B">
        <w:rPr>
          <w:rFonts w:eastAsia="Calibri" w:cs="Times New Roman"/>
          <w:szCs w:val="24"/>
        </w:rPr>
        <w:t>6*4 from 6 crash types and 4 severities).</w:t>
      </w:r>
      <w:r w:rsidR="00114907">
        <w:rPr>
          <w:rFonts w:eastAsia="Calibri" w:cs="Times New Roman"/>
          <w:szCs w:val="24"/>
        </w:rPr>
        <w:t xml:space="preserve"> </w:t>
      </w:r>
      <w:r w:rsidR="00076856">
        <w:rPr>
          <w:rFonts w:eastAsia="Calibri" w:cs="Times New Roman"/>
          <w:szCs w:val="24"/>
        </w:rPr>
        <w:t xml:space="preserve">With this integrated framework, two major enhancements are achieved: </w:t>
      </w:r>
      <w:r w:rsidR="00076856">
        <w:t xml:space="preserve">1) increased estimation efficiencies offered by the proposed system (parsimony) and 2) increased interaction across the dependent variables via the observed variables resulting increased model stability with reduced simulation needs. </w:t>
      </w:r>
      <w:r w:rsidR="00036A7B" w:rsidRPr="007D7A3F">
        <w:rPr>
          <w:rFonts w:eastAsia="Calibri" w:cs="Times New Roman"/>
          <w:szCs w:val="24"/>
          <w:u w:val="single"/>
        </w:rPr>
        <w:t>Empirically</w:t>
      </w:r>
      <w:r w:rsidR="00036A7B" w:rsidRPr="00036A7B">
        <w:rPr>
          <w:rFonts w:eastAsia="Calibri" w:cs="Times New Roman"/>
          <w:szCs w:val="24"/>
        </w:rPr>
        <w:t xml:space="preserve">, by increasing the dimensionality of the dependent variable, the proposed approach allows for flexible consideration of crashes by type and severity within a single framework. Further, the proposed model results offer insights on important variables affecting crash frequency and severity for different crash types. </w:t>
      </w:r>
      <w:r w:rsidR="00A675D3">
        <w:rPr>
          <w:rFonts w:eastAsia="Calibri" w:cs="Times New Roman"/>
          <w:szCs w:val="24"/>
        </w:rPr>
        <w:t>Such</w:t>
      </w:r>
      <w:r w:rsidR="00036A7B" w:rsidRPr="00036A7B">
        <w:rPr>
          <w:rFonts w:eastAsia="Calibri" w:cs="Times New Roman"/>
          <w:szCs w:val="24"/>
        </w:rPr>
        <w:t xml:space="preserve"> macro-level model outcomes can be used to devise safety-conscious decision support tools to facilitate proactive approach in assessing medium and long-term policy-based countermeasures.</w:t>
      </w:r>
      <w:r w:rsidR="004275FD">
        <w:rPr>
          <w:rFonts w:eastAsia="Calibri" w:cs="Times New Roman"/>
          <w:szCs w:val="24"/>
        </w:rPr>
        <w:t xml:space="preserve"> </w:t>
      </w:r>
      <w:r w:rsidR="004275FD" w:rsidRPr="004275FD">
        <w:t>For instance, transportation planners are required to forecast future crashes given changes in region’s characteristics (population increase, addition of new facility (such as road or major facility)</w:t>
      </w:r>
      <w:r w:rsidR="004275FD">
        <w:t xml:space="preserve">. The proposed </w:t>
      </w:r>
      <w:r w:rsidR="004275FD" w:rsidRPr="004275FD">
        <w:t>crash prediction models can aid the process. Another application of the planning level models is</w:t>
      </w:r>
      <w:r w:rsidR="004275FD">
        <w:t xml:space="preserve"> the</w:t>
      </w:r>
      <w:r w:rsidR="004275FD" w:rsidRPr="004275FD">
        <w:t xml:space="preserve"> consideration of various initiative programs for saving lives. For example, government officials may want to consider initiatives to reduce the number of motor-vehicle related fatalities in a jurisdiction in response to the changes in land-use, and population. Such quantitative exercises will warrant planning level safety models. Thus, it is very useful to develop crash type and severity models at a planning level. </w:t>
      </w:r>
    </w:p>
    <w:p w14:paraId="09E7CD8E" w14:textId="20F5D54F" w:rsidR="000E6F57" w:rsidRDefault="004D639D" w:rsidP="00692B92">
      <w:pPr>
        <w:ind w:firstLine="720"/>
        <w:rPr>
          <w:szCs w:val="24"/>
        </w:rPr>
      </w:pPr>
      <w:r>
        <w:rPr>
          <w:szCs w:val="24"/>
        </w:rPr>
        <w:t>To be sure, t</w:t>
      </w:r>
      <w:r w:rsidRPr="009C1BF8">
        <w:rPr>
          <w:szCs w:val="24"/>
        </w:rPr>
        <w:t>he pa</w:t>
      </w:r>
      <w:r>
        <w:rPr>
          <w:szCs w:val="24"/>
        </w:rPr>
        <w:t xml:space="preserve">per is not without limitations. </w:t>
      </w:r>
      <w:r w:rsidRPr="002F4AAC">
        <w:rPr>
          <w:szCs w:val="24"/>
        </w:rPr>
        <w:t xml:space="preserve">In our study, </w:t>
      </w:r>
      <w:r w:rsidR="00F878F5" w:rsidRPr="002F4AAC">
        <w:rPr>
          <w:szCs w:val="24"/>
        </w:rPr>
        <w:t>left-turn and right-turn crashes</w:t>
      </w:r>
      <w:r w:rsidR="00F878F5">
        <w:rPr>
          <w:szCs w:val="24"/>
        </w:rPr>
        <w:t xml:space="preserve"> </w:t>
      </w:r>
      <w:r w:rsidR="00F6575A">
        <w:rPr>
          <w:szCs w:val="24"/>
        </w:rPr>
        <w:t xml:space="preserve">were </w:t>
      </w:r>
      <w:r w:rsidR="00F878F5">
        <w:rPr>
          <w:szCs w:val="24"/>
        </w:rPr>
        <w:t xml:space="preserve">considered </w:t>
      </w:r>
      <w:r w:rsidR="00F878F5" w:rsidRPr="002F4AAC">
        <w:rPr>
          <w:szCs w:val="24"/>
        </w:rPr>
        <w:t>in the same category</w:t>
      </w:r>
      <w:r w:rsidR="00F878F5">
        <w:rPr>
          <w:szCs w:val="24"/>
        </w:rPr>
        <w:t xml:space="preserve"> </w:t>
      </w:r>
      <w:r w:rsidR="00692B92" w:rsidRPr="002A285C">
        <w:rPr>
          <w:szCs w:val="24"/>
        </w:rPr>
        <w:t>due to sample size restrictions</w:t>
      </w:r>
      <w:r w:rsidR="00692B92">
        <w:rPr>
          <w:szCs w:val="24"/>
        </w:rPr>
        <w:t xml:space="preserve"> </w:t>
      </w:r>
      <w:r w:rsidR="00F878F5">
        <w:rPr>
          <w:szCs w:val="24"/>
        </w:rPr>
        <w:t>despite differen</w:t>
      </w:r>
      <w:r w:rsidR="00F6575A">
        <w:rPr>
          <w:szCs w:val="24"/>
        </w:rPr>
        <w:t>ces in</w:t>
      </w:r>
      <w:r w:rsidR="00F878F5">
        <w:rPr>
          <w:szCs w:val="24"/>
        </w:rPr>
        <w:t xml:space="preserve"> crash mechanism</w:t>
      </w:r>
      <w:r w:rsidR="00F6575A">
        <w:rPr>
          <w:szCs w:val="24"/>
        </w:rPr>
        <w:t>s of these two categories</w:t>
      </w:r>
      <w:r w:rsidR="00F878F5">
        <w:rPr>
          <w:szCs w:val="24"/>
        </w:rPr>
        <w:t xml:space="preserve">. </w:t>
      </w:r>
      <w:r w:rsidR="00692B92">
        <w:rPr>
          <w:szCs w:val="24"/>
        </w:rPr>
        <w:t xml:space="preserve">In future research, </w:t>
      </w:r>
      <w:r w:rsidR="00692B92" w:rsidRPr="002F4AAC">
        <w:rPr>
          <w:szCs w:val="24"/>
        </w:rPr>
        <w:t>it might be useful to consider the</w:t>
      </w:r>
      <w:r w:rsidR="00F6575A">
        <w:rPr>
          <w:szCs w:val="24"/>
        </w:rPr>
        <w:t>se</w:t>
      </w:r>
      <w:r w:rsidR="00692B92" w:rsidRPr="002F4AAC">
        <w:rPr>
          <w:szCs w:val="24"/>
        </w:rPr>
        <w:t xml:space="preserve"> </w:t>
      </w:r>
      <w:r w:rsidR="00692B92" w:rsidRPr="002F4AAC">
        <w:rPr>
          <w:szCs w:val="24"/>
        </w:rPr>
        <w:lastRenderedPageBreak/>
        <w:t>separately</w:t>
      </w:r>
      <w:r w:rsidR="002235A1">
        <w:rPr>
          <w:szCs w:val="24"/>
        </w:rPr>
        <w:t>.</w:t>
      </w:r>
      <w:r w:rsidR="00692B92" w:rsidRPr="002F4AAC">
        <w:rPr>
          <w:szCs w:val="24"/>
        </w:rPr>
        <w:t xml:space="preserve"> </w:t>
      </w:r>
      <w:r>
        <w:rPr>
          <w:szCs w:val="24"/>
        </w:rPr>
        <w:t xml:space="preserve">Moreover, given the inherent aggregation of the dataset, it would </w:t>
      </w:r>
      <w:r w:rsidR="00F6575A">
        <w:rPr>
          <w:szCs w:val="24"/>
        </w:rPr>
        <w:t xml:space="preserve">also </w:t>
      </w:r>
      <w:r>
        <w:rPr>
          <w:szCs w:val="24"/>
        </w:rPr>
        <w:t xml:space="preserve">be beneficial to accommodate for the presence of spatial unobserved effects.  </w:t>
      </w:r>
      <w:r w:rsidR="006F38EF" w:rsidRPr="006F38EF">
        <w:rPr>
          <w:szCs w:val="24"/>
        </w:rPr>
        <w:t>Further, as the main focus of the paper was on model formulation and estimation of high dimensionality of dependent variables, we focused on one year of data. However, it would be interesting in the future to explore the model development with multiple years to accommodate for temporal effects</w:t>
      </w:r>
      <w:r w:rsidR="003741D8">
        <w:rPr>
          <w:szCs w:val="24"/>
        </w:rPr>
        <w:t>.</w:t>
      </w:r>
    </w:p>
    <w:p w14:paraId="41FCF6EF" w14:textId="290EA097" w:rsidR="009A324B" w:rsidRDefault="009A324B" w:rsidP="00692B92">
      <w:pPr>
        <w:ind w:firstLine="720"/>
        <w:rPr>
          <w:szCs w:val="24"/>
        </w:rPr>
      </w:pPr>
    </w:p>
    <w:p w14:paraId="2EEAF930" w14:textId="77777777" w:rsidR="000E6F57" w:rsidRPr="00F27EA8" w:rsidRDefault="000E6F57" w:rsidP="000E6F57">
      <w:pPr>
        <w:rPr>
          <w:b/>
        </w:rPr>
      </w:pPr>
      <w:r w:rsidRPr="00F27EA8">
        <w:rPr>
          <w:b/>
        </w:rPr>
        <w:t>AUTHOR CONTRIBUTION STATEMENT</w:t>
      </w:r>
    </w:p>
    <w:p w14:paraId="0766671B" w14:textId="77777777" w:rsidR="000E6F57" w:rsidRDefault="000E6F57" w:rsidP="000E6F57">
      <w:r w:rsidRPr="00F27EA8">
        <w:t xml:space="preserve">The authors confirm contribution to the paper as follows: study conception and design: </w:t>
      </w:r>
      <w:r>
        <w:t>Tanmoy Bhowmik, Naveen Eluru, Shamsunnahar Yasmin</w:t>
      </w:r>
      <w:r w:rsidRPr="00F27EA8">
        <w:t>; data collection:</w:t>
      </w:r>
      <w:r>
        <w:t xml:space="preserve"> Tanmoy Bhowmik, Shamsunnahar Yasmin</w:t>
      </w:r>
      <w:r w:rsidRPr="00F27EA8">
        <w:t>;</w:t>
      </w:r>
      <w:r>
        <w:t xml:space="preserve"> model estimation and validation: Tanmoy Bhowmik, Shamsunnahar Yasmin, Naveen Eluru</w:t>
      </w:r>
      <w:r w:rsidRPr="007D29E0">
        <w:t>;</w:t>
      </w:r>
      <w:r w:rsidRPr="00F27EA8">
        <w:t xml:space="preserve"> analysis and interpretation of results: </w:t>
      </w:r>
      <w:r>
        <w:t>Tanmoy Bhowmik, Naveen Eluru,</w:t>
      </w:r>
      <w:r w:rsidRPr="00192D57">
        <w:t xml:space="preserve"> </w:t>
      </w:r>
      <w:r>
        <w:t>Shamsunnahar Yasmin</w:t>
      </w:r>
      <w:r w:rsidRPr="00F27EA8">
        <w:t xml:space="preserve">; draft manuscript preparation: </w:t>
      </w:r>
      <w:r>
        <w:t>Tanmoy Bhowmik, Naveen Eluru,</w:t>
      </w:r>
      <w:r w:rsidRPr="00B9721B">
        <w:t xml:space="preserve"> </w:t>
      </w:r>
      <w:r>
        <w:t>Shamsunnahar Yasmin</w:t>
      </w:r>
      <w:r w:rsidRPr="00F27EA8">
        <w:t>. All authors reviewed the results and approved the final version of the manuscript.</w:t>
      </w:r>
    </w:p>
    <w:p w14:paraId="61D509F6" w14:textId="77777777" w:rsidR="00003016" w:rsidRDefault="00003016" w:rsidP="00003016"/>
    <w:p w14:paraId="44EC1814" w14:textId="77777777" w:rsidR="00003016" w:rsidRDefault="00003016" w:rsidP="00B16228">
      <w:pPr>
        <w:pStyle w:val="Heading1"/>
        <w:numPr>
          <w:ilvl w:val="0"/>
          <w:numId w:val="0"/>
        </w:numPr>
        <w:ind w:left="432" w:hanging="432"/>
      </w:pPr>
      <w:r>
        <w:t>ACKNOWLEDGMENT</w:t>
      </w:r>
    </w:p>
    <w:p w14:paraId="30649ED1" w14:textId="1CC57410" w:rsidR="00003016" w:rsidRDefault="00003016" w:rsidP="00003016">
      <w:pPr>
        <w:rPr>
          <w:rFonts w:eastAsia="Times New Roman" w:cs="Times New Roman"/>
          <w:bCs/>
          <w:color w:val="000000"/>
          <w:szCs w:val="24"/>
        </w:rPr>
      </w:pPr>
      <w:r w:rsidRPr="00D61B29">
        <w:rPr>
          <w:rFonts w:eastAsia="Times New Roman" w:cs="Times New Roman"/>
          <w:bCs/>
          <w:color w:val="000000"/>
          <w:szCs w:val="24"/>
        </w:rPr>
        <w:t>The authors would also like to gratefully acknowledge Signal Four Analytics (S4A)</w:t>
      </w:r>
      <w:r w:rsidR="00790DD8">
        <w:rPr>
          <w:rFonts w:eastAsia="Times New Roman" w:cs="Times New Roman"/>
          <w:bCs/>
          <w:color w:val="000000"/>
          <w:szCs w:val="24"/>
        </w:rPr>
        <w:t>,</w:t>
      </w:r>
      <w:r>
        <w:rPr>
          <w:rFonts w:eastAsia="Times New Roman" w:cs="Times New Roman"/>
          <w:bCs/>
          <w:color w:val="000000"/>
          <w:szCs w:val="24"/>
        </w:rPr>
        <w:t xml:space="preserve"> Florida Department of Transportation (FDOT) </w:t>
      </w:r>
      <w:r w:rsidR="00790DD8">
        <w:rPr>
          <w:rFonts w:eastAsia="Times New Roman" w:cs="Times New Roman"/>
          <w:bCs/>
          <w:color w:val="000000"/>
          <w:szCs w:val="24"/>
        </w:rPr>
        <w:t xml:space="preserve">and </w:t>
      </w:r>
      <w:r w:rsidR="00EC7BCC">
        <w:rPr>
          <w:rFonts w:eastAsia="Times New Roman" w:cs="Times New Roman"/>
          <w:bCs/>
          <w:color w:val="000000"/>
          <w:szCs w:val="24"/>
        </w:rPr>
        <w:t>Department</w:t>
      </w:r>
      <w:r w:rsidR="00790DD8">
        <w:rPr>
          <w:rFonts w:eastAsia="Times New Roman" w:cs="Times New Roman"/>
          <w:bCs/>
          <w:color w:val="000000"/>
          <w:szCs w:val="24"/>
        </w:rPr>
        <w:t xml:space="preserve"> of Revenue (DOR) </w:t>
      </w:r>
      <w:r w:rsidRPr="00D61B29">
        <w:rPr>
          <w:rFonts w:eastAsia="Times New Roman" w:cs="Times New Roman"/>
          <w:bCs/>
          <w:color w:val="000000"/>
          <w:szCs w:val="24"/>
        </w:rPr>
        <w:t xml:space="preserve">for providing access to Florida crash </w:t>
      </w:r>
      <w:r w:rsidR="00790DD8">
        <w:rPr>
          <w:rFonts w:eastAsia="Times New Roman" w:cs="Times New Roman"/>
          <w:bCs/>
          <w:color w:val="000000"/>
          <w:szCs w:val="24"/>
        </w:rPr>
        <w:t>data,</w:t>
      </w:r>
      <w:r>
        <w:rPr>
          <w:rFonts w:eastAsia="Times New Roman" w:cs="Times New Roman"/>
          <w:bCs/>
          <w:color w:val="000000"/>
          <w:szCs w:val="24"/>
        </w:rPr>
        <w:t xml:space="preserve"> geospatial </w:t>
      </w:r>
      <w:proofErr w:type="gramStart"/>
      <w:r>
        <w:rPr>
          <w:rFonts w:eastAsia="Times New Roman" w:cs="Times New Roman"/>
          <w:bCs/>
          <w:color w:val="000000"/>
          <w:szCs w:val="24"/>
        </w:rPr>
        <w:t>data</w:t>
      </w:r>
      <w:proofErr w:type="gramEnd"/>
      <w:r w:rsidR="00790DD8">
        <w:rPr>
          <w:rFonts w:eastAsia="Times New Roman" w:cs="Times New Roman"/>
          <w:bCs/>
          <w:color w:val="000000"/>
          <w:szCs w:val="24"/>
        </w:rPr>
        <w:t xml:space="preserve"> and land-use data</w:t>
      </w:r>
      <w:r w:rsidRPr="00D61B29">
        <w:rPr>
          <w:rFonts w:eastAsia="Times New Roman" w:cs="Times New Roman"/>
          <w:bCs/>
          <w:color w:val="000000"/>
          <w:szCs w:val="24"/>
        </w:rPr>
        <w:t>.</w:t>
      </w:r>
    </w:p>
    <w:p w14:paraId="5E025B7C" w14:textId="3FEA3DF8" w:rsidR="000E6F57" w:rsidRDefault="000E6F57" w:rsidP="00003016">
      <w:pPr>
        <w:rPr>
          <w:rFonts w:eastAsia="Times New Roman" w:cs="Times New Roman"/>
          <w:bCs/>
          <w:color w:val="000000"/>
          <w:szCs w:val="24"/>
        </w:rPr>
      </w:pPr>
    </w:p>
    <w:p w14:paraId="185822BF" w14:textId="77777777" w:rsidR="005665E5" w:rsidRDefault="005665E5" w:rsidP="00003016">
      <w:pPr>
        <w:rPr>
          <w:rFonts w:eastAsia="Times New Roman" w:cs="Times New Roman"/>
          <w:bCs/>
          <w:color w:val="000000"/>
          <w:szCs w:val="24"/>
        </w:rPr>
      </w:pPr>
    </w:p>
    <w:p w14:paraId="4FCDCED4" w14:textId="06A934E2" w:rsidR="00B91807" w:rsidRDefault="00D92857" w:rsidP="00B16228">
      <w:pPr>
        <w:pStyle w:val="Heading1"/>
        <w:numPr>
          <w:ilvl w:val="0"/>
          <w:numId w:val="0"/>
        </w:numPr>
        <w:ind w:left="432" w:hanging="432"/>
      </w:pPr>
      <w:r>
        <w:t>REFERENCES</w:t>
      </w:r>
    </w:p>
    <w:p w14:paraId="332D2B9E" w14:textId="77777777" w:rsidR="00CA234F" w:rsidRDefault="00CA234F" w:rsidP="002459D2">
      <w:pPr>
        <w:ind w:left="720" w:hanging="720"/>
      </w:pPr>
      <w:r>
        <w:t xml:space="preserve">Abdel-Aty, M., Wang, X., 2006. Crash Estimation at Signalized Intersections Along Corridors: Significant Factors and Temporal Effects. </w:t>
      </w:r>
      <w:r w:rsidRPr="00E902E6">
        <w:rPr>
          <w:i/>
          <w:iCs/>
        </w:rPr>
        <w:t>Transportation Research Record</w:t>
      </w:r>
      <w:r>
        <w:t xml:space="preserve">, 1953(1), pp. 98–111. </w:t>
      </w:r>
    </w:p>
    <w:p w14:paraId="66EF2C88" w14:textId="77777777" w:rsidR="00CA234F" w:rsidRDefault="00CA234F" w:rsidP="002459D2">
      <w:pPr>
        <w:ind w:left="720" w:hanging="720"/>
      </w:pPr>
      <w:proofErr w:type="spellStart"/>
      <w:r w:rsidRPr="009622C7">
        <w:t>Afghari</w:t>
      </w:r>
      <w:proofErr w:type="spellEnd"/>
      <w:r w:rsidRPr="009622C7">
        <w:t>, A.P., Haque, M.M. and Washington, S., 2020. Applying a joint model of crash count and crash severity to identify road segments with high risk of fatal and serious injury crashes. Accident Analysis &amp; Prevention, 144, p.105615.</w:t>
      </w:r>
    </w:p>
    <w:p w14:paraId="008C38F9" w14:textId="77777777" w:rsidR="00CA234F" w:rsidRDefault="00CA234F" w:rsidP="002459D2">
      <w:pPr>
        <w:ind w:left="720" w:hanging="720"/>
      </w:pPr>
      <w:r>
        <w:t xml:space="preserve">Aguero Valverde, J., Wu, K.F., Donnell, E.T., 2016. A multivariate spatial crash frequency model for identifying sites with promise based on crash types. </w:t>
      </w:r>
      <w:r w:rsidRPr="00161136">
        <w:rPr>
          <w:i/>
          <w:iCs/>
        </w:rPr>
        <w:t>Accident Analysis &amp; Prevention</w:t>
      </w:r>
      <w:r>
        <w:t xml:space="preserve">, 87, pp. 8–16. </w:t>
      </w:r>
    </w:p>
    <w:p w14:paraId="1E725A96" w14:textId="77777777" w:rsidR="00CA234F" w:rsidRDefault="00CA234F" w:rsidP="002459D2">
      <w:pPr>
        <w:ind w:left="720" w:hanging="720"/>
      </w:pPr>
      <w:r>
        <w:t xml:space="preserve">Alarifi, S.A., Abdel-Aty, M., Lee, J., 2018. A Bayesian multivariate hierarchical spatial joint model for predicting crash counts by crash type at intersections and segments along corridors. </w:t>
      </w:r>
      <w:r w:rsidRPr="00245EC4">
        <w:rPr>
          <w:i/>
          <w:iCs/>
        </w:rPr>
        <w:t>Accident Analysis &amp; Prevention</w:t>
      </w:r>
      <w:r>
        <w:t xml:space="preserve">, 119, pp. 263–273. </w:t>
      </w:r>
    </w:p>
    <w:p w14:paraId="2409F3D4" w14:textId="77777777" w:rsidR="00CA234F" w:rsidRDefault="00CA234F" w:rsidP="002459D2">
      <w:pPr>
        <w:ind w:left="720" w:hanging="720"/>
      </w:pPr>
      <w:r>
        <w:t xml:space="preserve">Anastasopoulos, P.C., 2016. Random parameters multivariate </w:t>
      </w:r>
      <w:proofErr w:type="spellStart"/>
      <w:r>
        <w:t>tobit</w:t>
      </w:r>
      <w:proofErr w:type="spellEnd"/>
      <w:r>
        <w:t xml:space="preserve"> and zero-inflated count data models: Addressing unobserved and zero-state heterogeneity in accident injury-severity rate and frequency analysis. </w:t>
      </w:r>
      <w:r w:rsidRPr="00063925">
        <w:rPr>
          <w:i/>
          <w:iCs/>
        </w:rPr>
        <w:t>Analytic Methods in Accident Research</w:t>
      </w:r>
      <w:r>
        <w:t xml:space="preserve">, 11, pp. 17–32. </w:t>
      </w:r>
    </w:p>
    <w:p w14:paraId="2CDBC7FF" w14:textId="77777777" w:rsidR="00CA234F" w:rsidRPr="00037D0C" w:rsidRDefault="00CA234F" w:rsidP="002B2E7C">
      <w:pPr>
        <w:rPr>
          <w:rFonts w:cs="Times New Roman"/>
          <w:szCs w:val="24"/>
        </w:rPr>
      </w:pPr>
      <w:r w:rsidRPr="00037D0C">
        <w:rPr>
          <w:rFonts w:cs="Times New Roman"/>
          <w:szCs w:val="24"/>
        </w:rPr>
        <w:t xml:space="preserve">Aptech 2015, Aptech Systems Inc, URL </w:t>
      </w:r>
      <w:hyperlink r:id="rId37" w:history="1">
        <w:r w:rsidRPr="00037D0C">
          <w:rPr>
            <w:rStyle w:val="Hyperlink"/>
            <w:rFonts w:cs="Times New Roman"/>
            <w:szCs w:val="24"/>
          </w:rPr>
          <w:t>http://www.aptech.com/</w:t>
        </w:r>
      </w:hyperlink>
      <w:r w:rsidRPr="00037D0C">
        <w:rPr>
          <w:rFonts w:cs="Times New Roman"/>
          <w:szCs w:val="24"/>
        </w:rPr>
        <w:t xml:space="preserve"> (accessed </w:t>
      </w:r>
      <w:r>
        <w:rPr>
          <w:rFonts w:cs="Times New Roman"/>
          <w:szCs w:val="24"/>
        </w:rPr>
        <w:t>6</w:t>
      </w:r>
      <w:r w:rsidRPr="00037D0C">
        <w:rPr>
          <w:rFonts w:cs="Times New Roman"/>
          <w:szCs w:val="24"/>
        </w:rPr>
        <w:t>.19.1</w:t>
      </w:r>
      <w:r>
        <w:rPr>
          <w:rFonts w:cs="Times New Roman"/>
          <w:szCs w:val="24"/>
        </w:rPr>
        <w:t>8</w:t>
      </w:r>
      <w:r w:rsidRPr="00037D0C">
        <w:rPr>
          <w:rFonts w:cs="Times New Roman"/>
          <w:szCs w:val="24"/>
        </w:rPr>
        <w:t>).</w:t>
      </w:r>
    </w:p>
    <w:p w14:paraId="069457C5" w14:textId="77777777" w:rsidR="00CA234F" w:rsidRDefault="00CA234F" w:rsidP="002459D2">
      <w:pPr>
        <w:ind w:left="720" w:hanging="720"/>
      </w:pPr>
      <w:r>
        <w:t>Barua, S., El-</w:t>
      </w:r>
      <w:proofErr w:type="spellStart"/>
      <w:r>
        <w:t>Basyouny</w:t>
      </w:r>
      <w:proofErr w:type="spellEnd"/>
      <w:r>
        <w:t xml:space="preserve">, K., Islam, M.T., 2014. A Full Bayesian multivariate count data model of collision severity with spatial correlation. </w:t>
      </w:r>
      <w:r w:rsidRPr="006458CE">
        <w:rPr>
          <w:i/>
          <w:iCs/>
        </w:rPr>
        <w:t>Analytic Methods in Accident Research</w:t>
      </w:r>
      <w:r>
        <w:t>, 3, pp. 28–43.</w:t>
      </w:r>
    </w:p>
    <w:p w14:paraId="03F7DF66" w14:textId="77777777" w:rsidR="00CA234F" w:rsidRDefault="00CA234F" w:rsidP="002459D2">
      <w:pPr>
        <w:ind w:left="720" w:hanging="720"/>
      </w:pPr>
      <w:r>
        <w:t>Barua, S., El-</w:t>
      </w:r>
      <w:proofErr w:type="spellStart"/>
      <w:r>
        <w:t>Basyouny</w:t>
      </w:r>
      <w:proofErr w:type="spellEnd"/>
      <w:r>
        <w:t xml:space="preserve">, K., Islam, M.T., 2016. Multivariate random parameters collision count data models with spatial heterogeneity. </w:t>
      </w:r>
      <w:r w:rsidRPr="00270B7F">
        <w:rPr>
          <w:i/>
          <w:iCs/>
        </w:rPr>
        <w:t>Analytic Methods in Accident Research</w:t>
      </w:r>
      <w:r>
        <w:t xml:space="preserve">, 9, pp. 1–15. </w:t>
      </w:r>
    </w:p>
    <w:p w14:paraId="5741F813" w14:textId="77777777" w:rsidR="00CA234F" w:rsidRDefault="00CA234F" w:rsidP="002459D2">
      <w:pPr>
        <w:ind w:left="720" w:hanging="720"/>
      </w:pPr>
      <w:r>
        <w:lastRenderedPageBreak/>
        <w:t xml:space="preserve">Bhat, C.R., 2001. Quasi-random maximum simulated likelihood estimation of the mixed multinomial logit model. </w:t>
      </w:r>
      <w:r w:rsidRPr="006010DA">
        <w:rPr>
          <w:i/>
          <w:iCs/>
        </w:rPr>
        <w:t>Transportation Research Part B: Methodological</w:t>
      </w:r>
      <w:r>
        <w:t xml:space="preserve">, 35 (7), pp. 677–693. </w:t>
      </w:r>
    </w:p>
    <w:p w14:paraId="7EE0A581" w14:textId="487E7185" w:rsidR="00E32F69" w:rsidRDefault="00E32F69" w:rsidP="002459D2">
      <w:pPr>
        <w:ind w:left="720" w:hanging="720"/>
      </w:pPr>
      <w:r w:rsidRPr="00E32F69">
        <w:t xml:space="preserve">Bhat, C.R., 2011. The maximum approximate composite marginal likelihood (MACML) estimation of multinomial </w:t>
      </w:r>
      <w:proofErr w:type="spellStart"/>
      <w:r w:rsidRPr="00E32F69">
        <w:t>probit</w:t>
      </w:r>
      <w:proofErr w:type="spellEnd"/>
      <w:r w:rsidRPr="00E32F69">
        <w:t xml:space="preserve">-based unordered response choice models. Transportation Research Part B: Methodological, 45(7), 923-939. </w:t>
      </w:r>
    </w:p>
    <w:p w14:paraId="18D6D2F3" w14:textId="06963F72" w:rsidR="00CA234F" w:rsidRDefault="00CA234F" w:rsidP="002459D2">
      <w:pPr>
        <w:ind w:left="720" w:hanging="720"/>
      </w:pPr>
      <w:r>
        <w:t xml:space="preserve">Bhat, C.R., </w:t>
      </w:r>
      <w:proofErr w:type="spellStart"/>
      <w:r>
        <w:t>Astroza</w:t>
      </w:r>
      <w:proofErr w:type="spellEnd"/>
      <w:r>
        <w:t xml:space="preserve">, S., </w:t>
      </w:r>
      <w:proofErr w:type="spellStart"/>
      <w:r>
        <w:t>Lavieri</w:t>
      </w:r>
      <w:proofErr w:type="spellEnd"/>
      <w:r>
        <w:t xml:space="preserve">, P.S., 2017. A new spatial and flexible multivariate random-coefficients model for the analysis of pedestrian injury counts by severity level. </w:t>
      </w:r>
      <w:r w:rsidRPr="00CD2705">
        <w:rPr>
          <w:i/>
          <w:iCs/>
        </w:rPr>
        <w:t>Analytic Methods in Accident Research</w:t>
      </w:r>
      <w:r>
        <w:t xml:space="preserve">, 16, pp. 1–22. </w:t>
      </w:r>
    </w:p>
    <w:p w14:paraId="47C61100" w14:textId="77777777" w:rsidR="00055F05" w:rsidRDefault="00055F05" w:rsidP="00055F05">
      <w:pPr>
        <w:widowControl w:val="0"/>
        <w:autoSpaceDE w:val="0"/>
        <w:autoSpaceDN w:val="0"/>
        <w:adjustRightInd w:val="0"/>
        <w:ind w:left="640" w:hanging="640"/>
      </w:pPr>
      <w:r>
        <w:t xml:space="preserve">Bhowmik, T., Yasmin, S., Eluru, N., 2018. A joint econometric approach for modeling crash counts by collision type. </w:t>
      </w:r>
      <w:r w:rsidRPr="002122BB">
        <w:rPr>
          <w:i/>
          <w:iCs/>
        </w:rPr>
        <w:t>Analytic Methods in Accident Research</w:t>
      </w:r>
      <w:r>
        <w:t xml:space="preserve">, 19, pp. 16–32. </w:t>
      </w:r>
    </w:p>
    <w:p w14:paraId="03A52477" w14:textId="77777777" w:rsidR="00CA234F" w:rsidRDefault="00CA234F" w:rsidP="00FD04D4">
      <w:pPr>
        <w:widowControl w:val="0"/>
        <w:autoSpaceDE w:val="0"/>
        <w:autoSpaceDN w:val="0"/>
        <w:adjustRightInd w:val="0"/>
        <w:ind w:left="640" w:hanging="640"/>
        <w:rPr>
          <w:rFonts w:cs="Times New Roman"/>
          <w:noProof/>
          <w:szCs w:val="24"/>
        </w:rPr>
      </w:pPr>
      <w:r w:rsidRPr="005C770B">
        <w:rPr>
          <w:rFonts w:cs="Times New Roman"/>
          <w:noProof/>
          <w:szCs w:val="24"/>
        </w:rPr>
        <w:t>Bhowmik, T., Yasmin, S. and Eluru, N., 2019</w:t>
      </w:r>
      <w:r>
        <w:rPr>
          <w:rFonts w:cs="Times New Roman"/>
          <w:noProof/>
          <w:szCs w:val="24"/>
        </w:rPr>
        <w:t>a</w:t>
      </w:r>
      <w:r w:rsidRPr="005C770B">
        <w:rPr>
          <w:rFonts w:cs="Times New Roman"/>
          <w:noProof/>
          <w:szCs w:val="24"/>
        </w:rPr>
        <w:t>. Do we need multivariate modeling approaches to model crash frequency by crash types? A panel mixed approach to modeling crash frequency by crash types. Analytic Methods in Accident Research, 24, p.100107.</w:t>
      </w:r>
    </w:p>
    <w:p w14:paraId="2AA71586" w14:textId="5B7EC29C" w:rsidR="000B5ADD" w:rsidRDefault="000B5ADD" w:rsidP="000B5ADD">
      <w:pPr>
        <w:ind w:left="720" w:hanging="720"/>
      </w:pPr>
      <w:r>
        <w:t>Bhowmik, T., Yasmin, S., Eluru, N., 2019</w:t>
      </w:r>
      <w:r w:rsidR="00C64413">
        <w:t>b</w:t>
      </w:r>
      <w:r>
        <w:t xml:space="preserve">. A multilevel generalized ordered </w:t>
      </w:r>
      <w:proofErr w:type="spellStart"/>
      <w:r>
        <w:t>probit</w:t>
      </w:r>
      <w:proofErr w:type="spellEnd"/>
      <w:r>
        <w:t xml:space="preserve"> fractional split model for analyzing vehicle speed. </w:t>
      </w:r>
      <w:r w:rsidRPr="00905325">
        <w:rPr>
          <w:i/>
          <w:iCs/>
        </w:rPr>
        <w:t>Analytic Methods in Accident Research</w:t>
      </w:r>
      <w:r>
        <w:t xml:space="preserve">, 21, pp. 13–31. </w:t>
      </w:r>
    </w:p>
    <w:p w14:paraId="1A9FD7BE" w14:textId="64417A72" w:rsidR="00485E0B" w:rsidRDefault="00485E0B" w:rsidP="003C5874">
      <w:pPr>
        <w:ind w:left="720" w:hanging="720"/>
      </w:pPr>
      <w:r w:rsidRPr="00485E0B">
        <w:t>Bhowmik, T., 2020. Econometric Frameworks for Multivariate Models: Application to Crash Frequency</w:t>
      </w:r>
      <w:r w:rsidR="003C5874">
        <w:t xml:space="preserve"> </w:t>
      </w:r>
      <w:r w:rsidRPr="00485E0B">
        <w:t>Analysis.</w:t>
      </w:r>
      <w:r w:rsidR="00055D0E">
        <w:t xml:space="preserve"> </w:t>
      </w:r>
    </w:p>
    <w:p w14:paraId="6429114C" w14:textId="46BB4DAE" w:rsidR="00876F1B" w:rsidRDefault="00876F1B" w:rsidP="002459D2">
      <w:pPr>
        <w:ind w:left="720" w:hanging="720"/>
      </w:pPr>
      <w:r w:rsidRPr="00876F1B">
        <w:t xml:space="preserve">Bhowmik, T., Rahman, M., Yasmin, S. and Eluru, N., 2021. Exploring analytical, simulation-based, and hybrid model structures for multivariate crash frequency modeling. </w:t>
      </w:r>
      <w:r w:rsidRPr="00722CDF">
        <w:rPr>
          <w:i/>
          <w:iCs/>
        </w:rPr>
        <w:t>Analytic Methods in Accident Research</w:t>
      </w:r>
      <w:r w:rsidRPr="00876F1B">
        <w:t>, 31, p.100167.</w:t>
      </w:r>
    </w:p>
    <w:p w14:paraId="23D08752" w14:textId="5BEB1247" w:rsidR="00CA234F" w:rsidRDefault="00CA234F" w:rsidP="002459D2">
      <w:pPr>
        <w:ind w:left="720" w:hanging="720"/>
      </w:pPr>
      <w:proofErr w:type="spellStart"/>
      <w:r>
        <w:t>Boulieri</w:t>
      </w:r>
      <w:proofErr w:type="spellEnd"/>
      <w:r>
        <w:t xml:space="preserve">, A., </w:t>
      </w:r>
      <w:proofErr w:type="spellStart"/>
      <w:r>
        <w:t>Liverani</w:t>
      </w:r>
      <w:proofErr w:type="spellEnd"/>
      <w:r>
        <w:t xml:space="preserve">, S., de </w:t>
      </w:r>
      <w:proofErr w:type="spellStart"/>
      <w:r>
        <w:t>Hoogh</w:t>
      </w:r>
      <w:proofErr w:type="spellEnd"/>
      <w:r>
        <w:t xml:space="preserve">, K., </w:t>
      </w:r>
      <w:proofErr w:type="spellStart"/>
      <w:r>
        <w:t>Blangiardo</w:t>
      </w:r>
      <w:proofErr w:type="spellEnd"/>
      <w:r>
        <w:t xml:space="preserve">, M., 2017. A space–time multivariate Bayesian model to analyse road traffic accidents by severity. </w:t>
      </w:r>
      <w:r w:rsidRPr="008672D1">
        <w:rPr>
          <w:i/>
          <w:iCs/>
        </w:rPr>
        <w:t>Journal of the Royal Statistical Society: Series A (Statistics in Society)</w:t>
      </w:r>
      <w:r>
        <w:t xml:space="preserve">, 180(1), pp. 119–139. </w:t>
      </w:r>
    </w:p>
    <w:p w14:paraId="11E407E5" w14:textId="77777777" w:rsidR="00CA234F" w:rsidRDefault="00CA234F" w:rsidP="002459D2">
      <w:pPr>
        <w:ind w:left="720" w:hanging="720"/>
      </w:pPr>
      <w:r>
        <w:t xml:space="preserve">Chen, S., Saeed, T.U., </w:t>
      </w:r>
      <w:proofErr w:type="spellStart"/>
      <w:r>
        <w:t>Labi</w:t>
      </w:r>
      <w:proofErr w:type="spellEnd"/>
      <w:r>
        <w:t>, S., 2017. Impact of road-surface condition on rural highway safety: A multivariate random parameters negative binomial approach</w:t>
      </w:r>
      <w:r w:rsidRPr="004C5483">
        <w:t xml:space="preserve"> </w:t>
      </w:r>
      <w:r w:rsidRPr="00951FC3">
        <w:rPr>
          <w:i/>
          <w:iCs/>
        </w:rPr>
        <w:t>Analytic Methods in Accident Research</w:t>
      </w:r>
      <w:r>
        <w:t xml:space="preserve">, 16, pp. 75–89. </w:t>
      </w:r>
    </w:p>
    <w:p w14:paraId="740F8B05" w14:textId="77777777" w:rsidR="00CA234F" w:rsidRDefault="00CA234F" w:rsidP="002459D2">
      <w:pPr>
        <w:ind w:left="720" w:hanging="720"/>
      </w:pPr>
      <w:r>
        <w:t xml:space="preserve">Cheng, W., Gill, G.S., </w:t>
      </w:r>
      <w:proofErr w:type="spellStart"/>
      <w:r>
        <w:t>Dasu</w:t>
      </w:r>
      <w:proofErr w:type="spellEnd"/>
      <w:r>
        <w:t xml:space="preserve">, R., Xie, M., Jia, X., Zhou, J., 2017. Comparison of Multivariate Poisson lognormal spatial and temporal crash models to identify hot spots of intersections based on crash types. </w:t>
      </w:r>
      <w:r w:rsidRPr="00161136">
        <w:rPr>
          <w:i/>
          <w:iCs/>
        </w:rPr>
        <w:t>Accident Analysis &amp; Prevention</w:t>
      </w:r>
      <w:r>
        <w:t xml:space="preserve">, 99, pp. 330–341. </w:t>
      </w:r>
    </w:p>
    <w:p w14:paraId="13552CD0" w14:textId="77777777" w:rsidR="00CA234F" w:rsidRDefault="00CA234F" w:rsidP="002459D2">
      <w:pPr>
        <w:ind w:left="720" w:hanging="720"/>
      </w:pPr>
      <w:proofErr w:type="spellStart"/>
      <w:r>
        <w:t>Chiou</w:t>
      </w:r>
      <w:proofErr w:type="spellEnd"/>
      <w:r>
        <w:t xml:space="preserve">, Y.C., Fu, C., 2015. Modeling crash frequency and severity with spatiotemporal dependence. </w:t>
      </w:r>
      <w:r w:rsidRPr="00E14528">
        <w:rPr>
          <w:i/>
          <w:iCs/>
        </w:rPr>
        <w:t>Analytic Methods in Accident Research</w:t>
      </w:r>
      <w:r>
        <w:t xml:space="preserve">, 5–6, pp. 43–58. </w:t>
      </w:r>
    </w:p>
    <w:p w14:paraId="45A4F3EA" w14:textId="77777777" w:rsidR="00CA234F" w:rsidRDefault="00CA234F" w:rsidP="002459D2">
      <w:pPr>
        <w:ind w:left="720" w:hanging="720"/>
      </w:pPr>
      <w:proofErr w:type="spellStart"/>
      <w:r>
        <w:t>Chiou</w:t>
      </w:r>
      <w:proofErr w:type="spellEnd"/>
      <w:r>
        <w:t xml:space="preserve">, Y.C., Fu, C., Hsieh, C.W., 2014. Incorporating spatial dependence in simultaneously modeling crash frequency and severity. </w:t>
      </w:r>
      <w:r w:rsidRPr="00D139CB">
        <w:rPr>
          <w:i/>
          <w:iCs/>
        </w:rPr>
        <w:t>Analytic Methods in Accident Research</w:t>
      </w:r>
      <w:r>
        <w:t xml:space="preserve">, 2, pp. 1–11. </w:t>
      </w:r>
    </w:p>
    <w:p w14:paraId="642E355E" w14:textId="77777777" w:rsidR="00CA234F" w:rsidRDefault="00CA234F" w:rsidP="006746B7">
      <w:pPr>
        <w:ind w:left="720" w:hanging="720"/>
      </w:pPr>
      <w:r>
        <w:t xml:space="preserve">Dong, C., Clarke, D.B., Nambisan, S.S., Huang, B., 2016. Analyzing injury crashes using random-parameter bivariate regression models. </w:t>
      </w:r>
      <w:proofErr w:type="spellStart"/>
      <w:r w:rsidRPr="00466D98">
        <w:rPr>
          <w:i/>
          <w:iCs/>
        </w:rPr>
        <w:t>Transportmetrica</w:t>
      </w:r>
      <w:proofErr w:type="spellEnd"/>
      <w:r w:rsidRPr="00466D98">
        <w:rPr>
          <w:i/>
          <w:iCs/>
        </w:rPr>
        <w:t xml:space="preserve"> A: Transport Science</w:t>
      </w:r>
      <w:r>
        <w:t xml:space="preserve">, 12(9), pp. 794–810. </w:t>
      </w:r>
    </w:p>
    <w:p w14:paraId="5BC23D6D" w14:textId="787A2F35" w:rsidR="00CA234F" w:rsidRDefault="00CA234F" w:rsidP="002459D2">
      <w:pPr>
        <w:ind w:left="720" w:hanging="720"/>
      </w:pPr>
      <w:r w:rsidRPr="00167540">
        <w:t>El-</w:t>
      </w:r>
      <w:proofErr w:type="spellStart"/>
      <w:r w:rsidRPr="00167540">
        <w:t>Basyouny</w:t>
      </w:r>
      <w:proofErr w:type="spellEnd"/>
      <w:r w:rsidRPr="00167540">
        <w:t>, K., Barua, S. and Islam, M.T., 2014</w:t>
      </w:r>
      <w:r w:rsidR="00740848">
        <w:t>a</w:t>
      </w:r>
      <w:r w:rsidRPr="00167540">
        <w:t>. Investigation of time and weather effects on crash types using full Bayesian multivariate Poisson lognormal models. Accident Analysis &amp; Prevention, 73, pp.91-99.</w:t>
      </w:r>
    </w:p>
    <w:p w14:paraId="45BB561D" w14:textId="02720390" w:rsidR="00CA234F" w:rsidRDefault="00CA234F" w:rsidP="002459D2">
      <w:pPr>
        <w:ind w:left="720" w:hanging="720"/>
      </w:pPr>
      <w:r>
        <w:t>El-</w:t>
      </w:r>
      <w:proofErr w:type="spellStart"/>
      <w:r>
        <w:t>Basyouny</w:t>
      </w:r>
      <w:proofErr w:type="spellEnd"/>
      <w:r>
        <w:t>, K., Barua, S., Islam, M.T., Li, R., 2014</w:t>
      </w:r>
      <w:r w:rsidR="00740848">
        <w:t>b</w:t>
      </w:r>
      <w:r>
        <w:t xml:space="preserve">. Assessing the Effect of Weather States on Crash Severity and Type by Use of Full Bayesian Multivariate Safety Models. </w:t>
      </w:r>
      <w:r w:rsidRPr="00A910CA">
        <w:rPr>
          <w:i/>
          <w:iCs/>
        </w:rPr>
        <w:t xml:space="preserve">Transportation </w:t>
      </w:r>
      <w:r>
        <w:rPr>
          <w:i/>
          <w:iCs/>
        </w:rPr>
        <w:t>R</w:t>
      </w:r>
      <w:r w:rsidRPr="00A910CA">
        <w:rPr>
          <w:i/>
          <w:iCs/>
        </w:rPr>
        <w:t xml:space="preserve">esearch </w:t>
      </w:r>
      <w:r>
        <w:rPr>
          <w:i/>
          <w:iCs/>
        </w:rPr>
        <w:t>R</w:t>
      </w:r>
      <w:r w:rsidRPr="00A910CA">
        <w:rPr>
          <w:i/>
          <w:iCs/>
        </w:rPr>
        <w:t>ecord</w:t>
      </w:r>
      <w:r>
        <w:rPr>
          <w:rFonts w:ascii="Arial" w:hAnsi="Arial" w:cs="Arial"/>
          <w:i/>
          <w:iCs/>
          <w:color w:val="222222"/>
          <w:sz w:val="20"/>
          <w:szCs w:val="20"/>
          <w:shd w:val="clear" w:color="auto" w:fill="FFFFFF"/>
        </w:rPr>
        <w:t xml:space="preserve">, </w:t>
      </w:r>
      <w:r>
        <w:t xml:space="preserve">2432(1), pp. 65–73. </w:t>
      </w:r>
    </w:p>
    <w:p w14:paraId="3EE3765E" w14:textId="77777777" w:rsidR="00CA234F" w:rsidRDefault="00CA234F" w:rsidP="002459D2">
      <w:pPr>
        <w:ind w:left="720" w:hanging="720"/>
      </w:pPr>
      <w:r>
        <w:lastRenderedPageBreak/>
        <w:t xml:space="preserve">Eluru, N., Bhat, C.R., </w:t>
      </w:r>
      <w:proofErr w:type="spellStart"/>
      <w:r>
        <w:t>Hensher</w:t>
      </w:r>
      <w:proofErr w:type="spellEnd"/>
      <w:r>
        <w:t xml:space="preserve">, D.A., 2008. A mixed generalized ordered response model for examining pedestrian and bicyclist injury severity level in traffic crashes. </w:t>
      </w:r>
      <w:r w:rsidRPr="00161136">
        <w:rPr>
          <w:i/>
          <w:iCs/>
        </w:rPr>
        <w:t>Accident Analysis &amp; Prevention</w:t>
      </w:r>
      <w:r>
        <w:t>,40(3), pp. 1033–1054.</w:t>
      </w:r>
    </w:p>
    <w:p w14:paraId="3740DA34" w14:textId="77777777" w:rsidR="00CA234F" w:rsidRDefault="00CA234F" w:rsidP="002459D2">
      <w:pPr>
        <w:ind w:left="720" w:hanging="720"/>
      </w:pPr>
      <w:r>
        <w:t xml:space="preserve">Eluru, N., Chakour, V., Chamberlain, M., Miranda-Moreno, L.F., 2013. Modeling vehicle operating speed on urban roads in Montreal: a panel mixed ordered </w:t>
      </w:r>
      <w:proofErr w:type="spellStart"/>
      <w:r>
        <w:t>probit</w:t>
      </w:r>
      <w:proofErr w:type="spellEnd"/>
      <w:r>
        <w:t xml:space="preserve"> fractional split model. </w:t>
      </w:r>
      <w:r w:rsidRPr="00161136">
        <w:rPr>
          <w:i/>
          <w:iCs/>
        </w:rPr>
        <w:t>Accident Analysis &amp; Prevention</w:t>
      </w:r>
      <w:r>
        <w:t>, 59, pp. 125–134.</w:t>
      </w:r>
    </w:p>
    <w:p w14:paraId="4DFFBF80" w14:textId="77777777" w:rsidR="00CA234F" w:rsidRDefault="00CA234F" w:rsidP="002459D2">
      <w:pPr>
        <w:ind w:left="720" w:hanging="720"/>
      </w:pPr>
      <w:r>
        <w:t xml:space="preserve">Eluru, N., Yasmin, S., 2015. A note on generalized ordered outcome models. </w:t>
      </w:r>
      <w:r w:rsidRPr="00FF6CE4">
        <w:rPr>
          <w:i/>
          <w:iCs/>
        </w:rPr>
        <w:t>Analytic Methods in Accident Research</w:t>
      </w:r>
      <w:r>
        <w:t xml:space="preserve">, 8, pp. 1–6. </w:t>
      </w:r>
    </w:p>
    <w:p w14:paraId="67627DB2" w14:textId="77777777" w:rsidR="00CA234F" w:rsidRDefault="00CA234F" w:rsidP="002459D2">
      <w:pPr>
        <w:ind w:left="720" w:hanging="720"/>
      </w:pPr>
      <w:r>
        <w:t xml:space="preserve">Fountas, G., Anastasopoulos, P.C., 2017. A random thresholds random parameters hierarchical ordered </w:t>
      </w:r>
      <w:proofErr w:type="spellStart"/>
      <w:r>
        <w:t>probit</w:t>
      </w:r>
      <w:proofErr w:type="spellEnd"/>
      <w:r>
        <w:t xml:space="preserve"> analysis of highway accident injury-severities. </w:t>
      </w:r>
      <w:r w:rsidRPr="00FF6CE4">
        <w:rPr>
          <w:i/>
          <w:iCs/>
        </w:rPr>
        <w:t>Analytic Methods in Accident Research</w:t>
      </w:r>
      <w:r>
        <w:t xml:space="preserve">, 15, pp. 1–16. </w:t>
      </w:r>
    </w:p>
    <w:p w14:paraId="487CFA98" w14:textId="77777777" w:rsidR="00CA234F" w:rsidRDefault="00CA234F" w:rsidP="002459D2">
      <w:pPr>
        <w:ind w:left="720" w:hanging="720"/>
      </w:pPr>
      <w:proofErr w:type="spellStart"/>
      <w:r>
        <w:t>Geedipally</w:t>
      </w:r>
      <w:proofErr w:type="spellEnd"/>
      <w:r>
        <w:t xml:space="preserve">, S.R., Patil, S., Lord, D., 2010. Examination of Methods to Estimate Crash Counts by Collision Type. </w:t>
      </w:r>
      <w:r w:rsidRPr="00A910CA">
        <w:rPr>
          <w:i/>
          <w:iCs/>
        </w:rPr>
        <w:t xml:space="preserve">Transportation </w:t>
      </w:r>
      <w:r>
        <w:rPr>
          <w:i/>
          <w:iCs/>
        </w:rPr>
        <w:t>R</w:t>
      </w:r>
      <w:r w:rsidRPr="00A910CA">
        <w:rPr>
          <w:i/>
          <w:iCs/>
        </w:rPr>
        <w:t xml:space="preserve">esearch </w:t>
      </w:r>
      <w:proofErr w:type="gramStart"/>
      <w:r>
        <w:rPr>
          <w:i/>
          <w:iCs/>
        </w:rPr>
        <w:t>R</w:t>
      </w:r>
      <w:r w:rsidRPr="00A910CA">
        <w:rPr>
          <w:i/>
          <w:iCs/>
        </w:rPr>
        <w:t>ecord</w:t>
      </w:r>
      <w:r>
        <w:t xml:space="preserve"> ,</w:t>
      </w:r>
      <w:proofErr w:type="gramEnd"/>
      <w:r>
        <w:t xml:space="preserve"> 2165(1), pp. 12–20. </w:t>
      </w:r>
    </w:p>
    <w:p w14:paraId="7DA66664" w14:textId="1D5A32BD" w:rsidR="00CA234F" w:rsidRDefault="00CA234F" w:rsidP="002459D2">
      <w:pPr>
        <w:ind w:left="720" w:hanging="720"/>
      </w:pPr>
      <w:r w:rsidRPr="00167540">
        <w:t>Guo, Y., Li, Z., Liu, P. and Wu, Y., 2019</w:t>
      </w:r>
      <w:r w:rsidR="00C90989">
        <w:t>a</w:t>
      </w:r>
      <w:r w:rsidRPr="00167540">
        <w:t>. Exploring risk factors with crashes by collision type at freeway diverge areas: accounting for unobserved heterogeneity. IEEE Access, 7, pp.11809-11819.</w:t>
      </w:r>
    </w:p>
    <w:p w14:paraId="73B30DF9" w14:textId="285937EE" w:rsidR="00CA234F" w:rsidRDefault="00CA234F" w:rsidP="002459D2">
      <w:pPr>
        <w:ind w:left="720" w:hanging="720"/>
      </w:pPr>
      <w:r w:rsidRPr="00167540">
        <w:t>Guo, Y., Li, Z., Liu, P. and Wu, Y., 2019</w:t>
      </w:r>
      <w:r w:rsidR="00C90989">
        <w:t>b</w:t>
      </w:r>
      <w:r w:rsidRPr="00167540">
        <w:t>. Modeling correlation and heterogeneity in crash rates by collision types using full Bayesian random parameters multivariate Tobit model. Accident Analysis &amp; Prevention, 128, pp.164-174.</w:t>
      </w:r>
    </w:p>
    <w:p w14:paraId="372C0F34" w14:textId="77777777" w:rsidR="00CA234F" w:rsidRDefault="00CA234F" w:rsidP="002459D2">
      <w:pPr>
        <w:ind w:left="720" w:hanging="720"/>
      </w:pPr>
      <w:proofErr w:type="spellStart"/>
      <w:r w:rsidRPr="00167540">
        <w:t>Hosseinpour</w:t>
      </w:r>
      <w:proofErr w:type="spellEnd"/>
      <w:r w:rsidRPr="00167540">
        <w:t xml:space="preserve">, M., </w:t>
      </w:r>
      <w:proofErr w:type="spellStart"/>
      <w:r w:rsidRPr="00167540">
        <w:t>Sahebi</w:t>
      </w:r>
      <w:proofErr w:type="spellEnd"/>
      <w:r w:rsidRPr="00167540">
        <w:t xml:space="preserve">, S., </w:t>
      </w:r>
      <w:proofErr w:type="spellStart"/>
      <w:r w:rsidRPr="00167540">
        <w:t>Zamzuri</w:t>
      </w:r>
      <w:proofErr w:type="spellEnd"/>
      <w:r w:rsidRPr="00167540">
        <w:t>, Z.H., Yahaya, A.S. and Ismail, N., 2018. Predicting crash frequency for multi-vehicle collision types using multivariate Poisson-lognormal spatial model: A comparative analysis. Accident Analysis &amp; Prevention, 118, pp.277-288.</w:t>
      </w:r>
    </w:p>
    <w:p w14:paraId="30502093" w14:textId="77777777" w:rsidR="00CA234F" w:rsidRDefault="00CA234F" w:rsidP="002459D2">
      <w:pPr>
        <w:ind w:left="720" w:hanging="720"/>
      </w:pPr>
      <w:proofErr w:type="spellStart"/>
      <w:r>
        <w:t>Hosseinpour</w:t>
      </w:r>
      <w:proofErr w:type="spellEnd"/>
      <w:r>
        <w:t xml:space="preserve">, M., Yahaya, A.S., </w:t>
      </w:r>
      <w:proofErr w:type="spellStart"/>
      <w:r>
        <w:t>Sadullah</w:t>
      </w:r>
      <w:proofErr w:type="spellEnd"/>
      <w:r>
        <w:t xml:space="preserve">, A.F., 2014. Exploring the effects of roadway characteristics on the frequency and severity of head-on crashes: Case studies from Malaysian Federal Roads. </w:t>
      </w:r>
      <w:r w:rsidRPr="00161136">
        <w:rPr>
          <w:i/>
          <w:iCs/>
        </w:rPr>
        <w:t>Accident Analysis &amp; Prevention</w:t>
      </w:r>
      <w:r>
        <w:t xml:space="preserve">, 62, pp. 209–222. </w:t>
      </w:r>
    </w:p>
    <w:p w14:paraId="0CFE6359" w14:textId="77777777" w:rsidR="00CA234F" w:rsidRDefault="00CA234F" w:rsidP="002459D2">
      <w:pPr>
        <w:ind w:left="720" w:hanging="720"/>
      </w:pPr>
      <w:r w:rsidRPr="009622C7">
        <w:t>Huang, H., Chang, F., Zhou, H. and Lee, J., 2019. Modeling unobserved heterogeneity for zonal crash frequencies: A Bayesian multivariate random-parameters model with mixture components for spatially correlated data. Analytic methods in accident research, 24, p.100105.</w:t>
      </w:r>
    </w:p>
    <w:p w14:paraId="16360CCD" w14:textId="77777777" w:rsidR="00CA234F" w:rsidRDefault="00CA234F" w:rsidP="002459D2">
      <w:pPr>
        <w:ind w:left="720" w:hanging="720"/>
      </w:pPr>
      <w:r w:rsidRPr="00167540">
        <w:t>Jonsson, T., Ivan, J.N. and Zhang, C., 2007. Crash prediction models for intersections on rural multilane highways: Differences by collision type. Transportation research record, 2019(1), pp.91-98.</w:t>
      </w:r>
    </w:p>
    <w:p w14:paraId="590A0FD5" w14:textId="77777777" w:rsidR="0086674E" w:rsidRDefault="0086674E" w:rsidP="002459D2">
      <w:pPr>
        <w:ind w:left="720" w:hanging="720"/>
      </w:pPr>
      <w:r w:rsidRPr="0086674E">
        <w:t>Kabli, A., Bhowmik, T., &amp; Eluru, N. (2020). A multivariate approach for modeling driver injury severity by body region. Analytic methods in accident research, 28, 100129.</w:t>
      </w:r>
    </w:p>
    <w:p w14:paraId="3295C22E" w14:textId="61C4E174" w:rsidR="00CA234F" w:rsidRDefault="00CA234F" w:rsidP="002459D2">
      <w:pPr>
        <w:ind w:left="720" w:hanging="720"/>
      </w:pPr>
      <w:r w:rsidRPr="009622C7">
        <w:t>Lee, M. and Khattak, A.J., 2019. Case study of crash severity spatial pattern identification in hot spot analysis. Transportation research record, 2673(9), pp.684-695.</w:t>
      </w:r>
    </w:p>
    <w:p w14:paraId="364730E8" w14:textId="77777777" w:rsidR="00CA234F" w:rsidRDefault="00CA234F" w:rsidP="002459D2">
      <w:pPr>
        <w:ind w:left="720" w:hanging="720"/>
      </w:pPr>
      <w:r w:rsidRPr="00167540">
        <w:t>Li, Z., Wang, W., Liu, P., Bai, L. and Du, M., 2015. Analysis of crash risks by collision type at freeway diverge area using multivariate modeling technique. Journal of Transportation Engineering, 141(6), p.04015002.</w:t>
      </w:r>
    </w:p>
    <w:p w14:paraId="642C1815" w14:textId="77777777" w:rsidR="00CA234F" w:rsidRDefault="00CA234F" w:rsidP="002459D2">
      <w:pPr>
        <w:ind w:left="720" w:hanging="720"/>
      </w:pPr>
      <w:r>
        <w:t xml:space="preserve">Li, Z., Wang, W., Liu, P., Bigham, J.M., Ragland, D.R., 2013. Using Geographically Weighted Poisson Regression for county-level crash modeling in California. </w:t>
      </w:r>
      <w:r w:rsidRPr="00943470">
        <w:rPr>
          <w:i/>
          <w:iCs/>
        </w:rPr>
        <w:t xml:space="preserve">Safety </w:t>
      </w:r>
      <w:r>
        <w:rPr>
          <w:i/>
          <w:iCs/>
        </w:rPr>
        <w:t>S</w:t>
      </w:r>
      <w:r w:rsidRPr="00943470">
        <w:rPr>
          <w:i/>
          <w:iCs/>
        </w:rPr>
        <w:t>cience</w:t>
      </w:r>
      <w:r>
        <w:rPr>
          <w:rFonts w:ascii="Arial" w:hAnsi="Arial" w:cs="Arial"/>
          <w:i/>
          <w:iCs/>
          <w:color w:val="222222"/>
          <w:sz w:val="20"/>
          <w:szCs w:val="20"/>
          <w:shd w:val="clear" w:color="auto" w:fill="FFFFFF"/>
        </w:rPr>
        <w:t xml:space="preserve">, </w:t>
      </w:r>
      <w:r>
        <w:t xml:space="preserve">58, pp. 89–97. </w:t>
      </w:r>
    </w:p>
    <w:p w14:paraId="0AA4DBBD" w14:textId="77777777" w:rsidR="00CA234F" w:rsidRDefault="00CA234F" w:rsidP="002459D2">
      <w:pPr>
        <w:ind w:left="720" w:hanging="720"/>
      </w:pPr>
      <w:r>
        <w:t xml:space="preserve">Liu, C., Sharma, A., 2018. Using the multivariate </w:t>
      </w:r>
      <w:proofErr w:type="spellStart"/>
      <w:r>
        <w:t>spatio</w:t>
      </w:r>
      <w:proofErr w:type="spellEnd"/>
      <w:r>
        <w:t xml:space="preserve">-temporal Bayesian model to analyze traffic crashes by severity. </w:t>
      </w:r>
      <w:r w:rsidRPr="00CA45C4">
        <w:rPr>
          <w:i/>
          <w:iCs/>
        </w:rPr>
        <w:t>Analytic Methods in Accident Research</w:t>
      </w:r>
      <w:r>
        <w:t xml:space="preserve">, 17, pp. 14–31. </w:t>
      </w:r>
    </w:p>
    <w:p w14:paraId="718E89AB" w14:textId="77777777" w:rsidR="00CA234F" w:rsidRDefault="00CA234F" w:rsidP="002459D2">
      <w:pPr>
        <w:ind w:left="720" w:hanging="720"/>
      </w:pPr>
      <w:r>
        <w:lastRenderedPageBreak/>
        <w:t xml:space="preserve">Lord, D., Mannering, F., 2010. The statistical analysis of crash-frequency data: A review and assessment of methodological alternatives. </w:t>
      </w:r>
      <w:r w:rsidRPr="00653740">
        <w:rPr>
          <w:i/>
          <w:iCs/>
        </w:rPr>
        <w:t xml:space="preserve">Transportation Research Part A: Policy </w:t>
      </w:r>
      <w:proofErr w:type="gramStart"/>
      <w:r w:rsidRPr="00653740">
        <w:rPr>
          <w:i/>
          <w:iCs/>
        </w:rPr>
        <w:t>And</w:t>
      </w:r>
      <w:proofErr w:type="gramEnd"/>
      <w:r w:rsidRPr="00653740">
        <w:rPr>
          <w:i/>
          <w:iCs/>
        </w:rPr>
        <w:t xml:space="preserve"> Practice</w:t>
      </w:r>
      <w:r>
        <w:t xml:space="preserve">. 44(5), pp. 291–305. </w:t>
      </w:r>
    </w:p>
    <w:p w14:paraId="0444652D" w14:textId="77777777" w:rsidR="00CA234F" w:rsidRDefault="00CA234F" w:rsidP="002459D2">
      <w:pPr>
        <w:ind w:left="720" w:hanging="720"/>
      </w:pPr>
      <w:r>
        <w:t xml:space="preserve">Ma, X., Chen, S., Chen, F., 2017. Multivariate space-time modeling of crash frequencies by injury severity levels. </w:t>
      </w:r>
      <w:r w:rsidRPr="0004312E">
        <w:rPr>
          <w:i/>
          <w:iCs/>
        </w:rPr>
        <w:t>Analytic Methods in Accident Research</w:t>
      </w:r>
      <w:r>
        <w:t xml:space="preserve">, 15, pp. 29–40. </w:t>
      </w:r>
    </w:p>
    <w:p w14:paraId="4EEA3328" w14:textId="77777777" w:rsidR="00CA234F" w:rsidRDefault="00CA234F" w:rsidP="002459D2">
      <w:pPr>
        <w:ind w:left="720" w:hanging="720"/>
      </w:pPr>
      <w:r>
        <w:t xml:space="preserve">Mannering, F.L., Shankar, V., Bhat, C.R., 2016. Unobserved heterogeneity and the statistical analysis of highway accident data. </w:t>
      </w:r>
      <w:r w:rsidRPr="0004312E">
        <w:rPr>
          <w:i/>
          <w:iCs/>
        </w:rPr>
        <w:t>Analytic Methods in Accident Research</w:t>
      </w:r>
      <w:r>
        <w:t xml:space="preserve">, 11, pp. 1–16. </w:t>
      </w:r>
    </w:p>
    <w:p w14:paraId="09B96E23" w14:textId="77777777" w:rsidR="00CA234F" w:rsidRDefault="00CA234F" w:rsidP="002459D2">
      <w:pPr>
        <w:ind w:left="720" w:hanging="720"/>
      </w:pPr>
      <w:proofErr w:type="spellStart"/>
      <w:r>
        <w:t>Mothafer</w:t>
      </w:r>
      <w:proofErr w:type="spellEnd"/>
      <w:r>
        <w:t xml:space="preserve">, G.I.M.A., Yamamoto, T., Shankar, V.N., 2016. Evaluating crash type covariances and roadway geometric marginal effects using the multivariate Poisson gamma mixture model. </w:t>
      </w:r>
      <w:r w:rsidRPr="007A48B2">
        <w:rPr>
          <w:i/>
          <w:iCs/>
        </w:rPr>
        <w:t>Analytic Methods in Accident Research</w:t>
      </w:r>
      <w:r>
        <w:t xml:space="preserve">, 9, pp. 16–26. </w:t>
      </w:r>
    </w:p>
    <w:p w14:paraId="29C2D7B5" w14:textId="77777777" w:rsidR="00CA234F" w:rsidRDefault="00CA234F" w:rsidP="002459D2">
      <w:pPr>
        <w:ind w:left="720" w:hanging="720"/>
      </w:pPr>
      <w:proofErr w:type="spellStart"/>
      <w:r>
        <w:t>Narayanamoorthy</w:t>
      </w:r>
      <w:proofErr w:type="spellEnd"/>
      <w:r>
        <w:t xml:space="preserve">, S., Paleti, R., Bhat, C.R., 2013. On accommodating spatial dependence in bicycle and pedestrian injury counts by severity level. </w:t>
      </w:r>
      <w:r w:rsidRPr="000B0350">
        <w:rPr>
          <w:i/>
          <w:iCs/>
        </w:rPr>
        <w:t>Transportation Research Part B: Methodologica</w:t>
      </w:r>
      <w:r>
        <w:rPr>
          <w:i/>
          <w:iCs/>
        </w:rPr>
        <w:t>l</w:t>
      </w:r>
      <w:r>
        <w:t xml:space="preserve">, 55, pp. 245–264. </w:t>
      </w:r>
    </w:p>
    <w:p w14:paraId="32DA0DED" w14:textId="77777777" w:rsidR="00CA234F" w:rsidRDefault="00CA234F" w:rsidP="002459D2">
      <w:pPr>
        <w:ind w:left="720" w:hanging="720"/>
      </w:pPr>
      <w:r>
        <w:t xml:space="preserve">Pai, C.W., Saleh, W., 2008. Modelling motorcyclist injury severity by various crash types at T-junctions in the UK. </w:t>
      </w:r>
      <w:r w:rsidRPr="00943470">
        <w:rPr>
          <w:i/>
          <w:iCs/>
        </w:rPr>
        <w:t xml:space="preserve">Safety </w:t>
      </w:r>
      <w:r>
        <w:rPr>
          <w:i/>
          <w:iCs/>
        </w:rPr>
        <w:t>S</w:t>
      </w:r>
      <w:r w:rsidRPr="00943470">
        <w:rPr>
          <w:i/>
          <w:iCs/>
        </w:rPr>
        <w:t>cience</w:t>
      </w:r>
      <w:r>
        <w:t xml:space="preserve">, 46(8), pp. 1234–1247. </w:t>
      </w:r>
    </w:p>
    <w:p w14:paraId="72550866" w14:textId="77777777" w:rsidR="00CA234F" w:rsidRDefault="00CA234F" w:rsidP="002459D2">
      <w:pPr>
        <w:ind w:left="720" w:hanging="720"/>
      </w:pPr>
      <w:proofErr w:type="spellStart"/>
      <w:r>
        <w:t>Papke</w:t>
      </w:r>
      <w:proofErr w:type="spellEnd"/>
      <w:r>
        <w:t xml:space="preserve">, L.E., Wooldridge, J.M., 1996. Econometric methods for fractional response variables with an application to 401(k) plan participation rates. </w:t>
      </w:r>
      <w:r w:rsidRPr="00192FB8">
        <w:rPr>
          <w:i/>
          <w:iCs/>
        </w:rPr>
        <w:t xml:space="preserve">Journal </w:t>
      </w:r>
      <w:r>
        <w:rPr>
          <w:i/>
          <w:iCs/>
        </w:rPr>
        <w:t>o</w:t>
      </w:r>
      <w:r w:rsidRPr="00192FB8">
        <w:rPr>
          <w:i/>
          <w:iCs/>
        </w:rPr>
        <w:t>f Applied Econometrics</w:t>
      </w:r>
      <w:r>
        <w:rPr>
          <w:i/>
          <w:iCs/>
        </w:rPr>
        <w:t xml:space="preserve">, </w:t>
      </w:r>
      <w:r>
        <w:t xml:space="preserve">11(6), pp. 619–632. </w:t>
      </w:r>
    </w:p>
    <w:p w14:paraId="43301FF3" w14:textId="77777777" w:rsidR="00CA234F" w:rsidRDefault="00CA234F" w:rsidP="002459D2">
      <w:pPr>
        <w:ind w:left="720" w:hanging="720"/>
      </w:pPr>
      <w:proofErr w:type="spellStart"/>
      <w:r>
        <w:t>Quddus</w:t>
      </w:r>
      <w:proofErr w:type="spellEnd"/>
      <w:r>
        <w:t xml:space="preserve">, M.A., 2008. Modelling area-wide count outcomes with spatial correlation and heterogeneity: An analysis of London crash data. </w:t>
      </w:r>
      <w:r w:rsidRPr="00161136">
        <w:rPr>
          <w:i/>
          <w:iCs/>
        </w:rPr>
        <w:t>Accident Analysis &amp; Prevention</w:t>
      </w:r>
      <w:r>
        <w:t>, 40 (4), pp. 1486–1497.</w:t>
      </w:r>
    </w:p>
    <w:p w14:paraId="28468086" w14:textId="77777777" w:rsidR="00CA234F" w:rsidRDefault="00CA234F" w:rsidP="00107198">
      <w:pPr>
        <w:ind w:left="720" w:hanging="720"/>
      </w:pPr>
      <w:r w:rsidRPr="00410510">
        <w:t xml:space="preserve">Reynolds, C.C., Harris, M.A., </w:t>
      </w:r>
      <w:proofErr w:type="spellStart"/>
      <w:r w:rsidRPr="00410510">
        <w:t>Teschke</w:t>
      </w:r>
      <w:proofErr w:type="spellEnd"/>
      <w:r w:rsidRPr="00410510">
        <w:t xml:space="preserve">, K., </w:t>
      </w:r>
      <w:proofErr w:type="spellStart"/>
      <w:r w:rsidRPr="00410510">
        <w:t>Cripton</w:t>
      </w:r>
      <w:proofErr w:type="spellEnd"/>
      <w:r w:rsidRPr="00410510">
        <w:t xml:space="preserve">, P.A. and Winters, M., 2009. The impact of transportation infrastructure on bicycling injuries and crashes: a review of the literature. </w:t>
      </w:r>
      <w:r w:rsidRPr="00F2625C">
        <w:rPr>
          <w:i/>
          <w:iCs/>
        </w:rPr>
        <w:t xml:space="preserve">Environmental </w:t>
      </w:r>
      <w:r>
        <w:rPr>
          <w:i/>
          <w:iCs/>
        </w:rPr>
        <w:t>H</w:t>
      </w:r>
      <w:r w:rsidRPr="00F2625C">
        <w:rPr>
          <w:i/>
          <w:iCs/>
        </w:rPr>
        <w:t>ealth</w:t>
      </w:r>
      <w:r w:rsidRPr="00410510">
        <w:t>, 8(1), p.47.</w:t>
      </w:r>
    </w:p>
    <w:p w14:paraId="33BD66F4" w14:textId="77777777" w:rsidR="00CA234F" w:rsidRDefault="00CA234F" w:rsidP="002459D2">
      <w:pPr>
        <w:ind w:left="720" w:hanging="720"/>
      </w:pPr>
      <w:proofErr w:type="spellStart"/>
      <w:r>
        <w:t>Serhiyenko</w:t>
      </w:r>
      <w:proofErr w:type="spellEnd"/>
      <w:r>
        <w:t xml:space="preserve">, V., Mamun, S.A., Ivan, J.N., Ravishanker, N., 2016. Fast Bayesian inference for modeling multivariate crash counts. </w:t>
      </w:r>
      <w:r w:rsidRPr="004C5483">
        <w:rPr>
          <w:i/>
          <w:iCs/>
        </w:rPr>
        <w:t>Analytic Methods in Accident Research</w:t>
      </w:r>
      <w:r>
        <w:t xml:space="preserve">, 9, pp. 44–53. </w:t>
      </w:r>
    </w:p>
    <w:p w14:paraId="0423630E" w14:textId="77777777" w:rsidR="00CA234F" w:rsidRDefault="00CA234F" w:rsidP="002459D2">
      <w:pPr>
        <w:ind w:left="720" w:hanging="720"/>
      </w:pPr>
      <w:proofErr w:type="spellStart"/>
      <w:r>
        <w:t>Shaon</w:t>
      </w:r>
      <w:proofErr w:type="spellEnd"/>
      <w:r>
        <w:t xml:space="preserve">, M.R.R., Qin, X., </w:t>
      </w:r>
      <w:proofErr w:type="spellStart"/>
      <w:r>
        <w:t>Afghari</w:t>
      </w:r>
      <w:proofErr w:type="spellEnd"/>
      <w:r>
        <w:t xml:space="preserve">, A.P., Washington, S., Haque, M.M., 2019. Incorporating behavioral variables into crash count prediction by severity: A multivariate multiple risk source approach. </w:t>
      </w:r>
      <w:r w:rsidRPr="00161136">
        <w:rPr>
          <w:i/>
          <w:iCs/>
        </w:rPr>
        <w:t>Accident Analysis &amp; Prevention</w:t>
      </w:r>
      <w:r>
        <w:t xml:space="preserve">, 129, pp. 277–288. </w:t>
      </w:r>
    </w:p>
    <w:p w14:paraId="5C9BBD57" w14:textId="6A4262CA" w:rsidR="00CA234F" w:rsidRDefault="00CA234F" w:rsidP="002459D2">
      <w:pPr>
        <w:ind w:left="720" w:hanging="720"/>
      </w:pPr>
      <w:r>
        <w:t xml:space="preserve">Wang, K., Ivan, J.N., Ravishanker, N., Jackson, E., 2017. Multivariate </w:t>
      </w:r>
      <w:proofErr w:type="spellStart"/>
      <w:r>
        <w:t>poisson</w:t>
      </w:r>
      <w:proofErr w:type="spellEnd"/>
      <w:r>
        <w:t xml:space="preserve"> lognormal modeling of crashes by type and severity on rural two lane highways</w:t>
      </w:r>
      <w:r w:rsidRPr="001016E8">
        <w:rPr>
          <w:i/>
          <w:iCs/>
        </w:rPr>
        <w:t xml:space="preserve"> </w:t>
      </w:r>
      <w:r w:rsidRPr="00161136">
        <w:rPr>
          <w:i/>
          <w:iCs/>
        </w:rPr>
        <w:t>Accident Analysis &amp; Prevention</w:t>
      </w:r>
      <w:r>
        <w:t xml:space="preserve">, 99, pp. 6–19. </w:t>
      </w:r>
    </w:p>
    <w:p w14:paraId="616202AD" w14:textId="77777777" w:rsidR="00A625FE" w:rsidRDefault="00A625FE" w:rsidP="002459D2">
      <w:pPr>
        <w:ind w:left="720" w:hanging="720"/>
      </w:pPr>
      <w:r w:rsidRPr="00A625FE">
        <w:t xml:space="preserve">Wang, K., Bhowmik, T., Yasmin, S., Zhao, S., Eluru, N. and Jackson, E., 2019. Multivariate copula temporal modeling of intersection crash consequence metrics: a joint estimation of injury severity, crash type, vehicle damage and driver error. </w:t>
      </w:r>
      <w:r w:rsidRPr="00391D2B">
        <w:rPr>
          <w:i/>
          <w:iCs/>
        </w:rPr>
        <w:t>Accident Analysis &amp; Prevention</w:t>
      </w:r>
      <w:r w:rsidRPr="00A625FE">
        <w:t>, 125, pp.188-197.</w:t>
      </w:r>
    </w:p>
    <w:p w14:paraId="0FD4CD4E" w14:textId="42640580" w:rsidR="005F74CB" w:rsidRDefault="005F74CB" w:rsidP="002459D2">
      <w:pPr>
        <w:ind w:left="720" w:hanging="720"/>
      </w:pPr>
      <w:r w:rsidRPr="005F74CB">
        <w:t xml:space="preserve">Wang, K., Bhowmik, T., Zhao, S., Eluru, N. and Jackson, E., 2021. Highway safety assessment and improvement through crash prediction by injury severity and vehicle damage using Multivariate Poisson-Lognormal model and Joint Negative Binomial-Generalized Ordered </w:t>
      </w:r>
      <w:proofErr w:type="spellStart"/>
      <w:r w:rsidRPr="005F74CB">
        <w:t>Probit</w:t>
      </w:r>
      <w:proofErr w:type="spellEnd"/>
      <w:r w:rsidRPr="005F74CB">
        <w:t xml:space="preserve"> Fractional Split model. </w:t>
      </w:r>
      <w:r w:rsidRPr="004D09EB">
        <w:rPr>
          <w:i/>
          <w:iCs/>
        </w:rPr>
        <w:t xml:space="preserve">Journal of </w:t>
      </w:r>
      <w:r w:rsidR="004D09EB">
        <w:rPr>
          <w:i/>
          <w:iCs/>
        </w:rPr>
        <w:t>S</w:t>
      </w:r>
      <w:r w:rsidRPr="004D09EB">
        <w:rPr>
          <w:i/>
          <w:iCs/>
        </w:rPr>
        <w:t xml:space="preserve">afety </w:t>
      </w:r>
      <w:r w:rsidR="004D09EB">
        <w:rPr>
          <w:i/>
          <w:iCs/>
        </w:rPr>
        <w:t>R</w:t>
      </w:r>
      <w:r w:rsidRPr="004D09EB">
        <w:rPr>
          <w:i/>
          <w:iCs/>
        </w:rPr>
        <w:t>esearch</w:t>
      </w:r>
      <w:r w:rsidRPr="005F74CB">
        <w:t>, 76, pp.44-55.</w:t>
      </w:r>
    </w:p>
    <w:p w14:paraId="5DBBA7B8" w14:textId="77777777" w:rsidR="00CA234F" w:rsidRPr="0014158D" w:rsidRDefault="00CA234F" w:rsidP="002459D2">
      <w:pPr>
        <w:ind w:left="720" w:hanging="720"/>
      </w:pPr>
      <w:r w:rsidRPr="0014158D">
        <w:t>World Health Organization, 2018. Global status report on road safety 2018: Summary (No. WHO/NMH/NVI/18.20). World Health Organization.</w:t>
      </w:r>
    </w:p>
    <w:p w14:paraId="031E1404" w14:textId="77777777" w:rsidR="00CA234F" w:rsidRDefault="00CA234F" w:rsidP="002459D2">
      <w:pPr>
        <w:ind w:left="720" w:hanging="720"/>
      </w:pPr>
      <w:r w:rsidRPr="009622C7">
        <w:t>Xie, K., Ozbay, K. and Yang, H., 2019. A multivariate spatial approach to model crash counts by injury severity. Accident Analysis &amp; Prevention, 122, pp.189-198.</w:t>
      </w:r>
    </w:p>
    <w:p w14:paraId="33F28C96" w14:textId="77777777" w:rsidR="00CA234F" w:rsidRDefault="00CA234F" w:rsidP="002459D2">
      <w:pPr>
        <w:ind w:left="720" w:hanging="720"/>
      </w:pPr>
      <w:r>
        <w:t xml:space="preserve">Xin, C., Guo, R., Wang, Z., Lu, Q., Lin, P.S., 2017. The effects of neighborhood characteristics and the built environment on pedestrian injury severity: A random parameters generalized </w:t>
      </w:r>
      <w:r>
        <w:lastRenderedPageBreak/>
        <w:t xml:space="preserve">ordered probability model with heterogeneity in means and variances. </w:t>
      </w:r>
      <w:r w:rsidRPr="004C5483">
        <w:rPr>
          <w:i/>
          <w:iCs/>
        </w:rPr>
        <w:t>Analytic Methods in Accident Research</w:t>
      </w:r>
      <w:r>
        <w:t xml:space="preserve">, 16, pp. 117–132. </w:t>
      </w:r>
    </w:p>
    <w:p w14:paraId="7B0813A2" w14:textId="77777777" w:rsidR="00CA234F" w:rsidRDefault="00CA234F" w:rsidP="002459D2">
      <w:pPr>
        <w:ind w:left="720" w:hanging="720"/>
      </w:pPr>
      <w:r>
        <w:t xml:space="preserve">Yan, X., Radwan, E., </w:t>
      </w:r>
      <w:proofErr w:type="spellStart"/>
      <w:r>
        <w:t>Mannila</w:t>
      </w:r>
      <w:proofErr w:type="spellEnd"/>
      <w:r>
        <w:t xml:space="preserve">, K.K., 2009. Analysis of truck-involved rear-end crashes using multinomial logistic regression. </w:t>
      </w:r>
      <w:r w:rsidRPr="00D10174">
        <w:rPr>
          <w:i/>
          <w:iCs/>
        </w:rPr>
        <w:t xml:space="preserve">Advances </w:t>
      </w:r>
      <w:r>
        <w:rPr>
          <w:i/>
          <w:iCs/>
        </w:rPr>
        <w:t>i</w:t>
      </w:r>
      <w:r w:rsidRPr="00D10174">
        <w:rPr>
          <w:i/>
          <w:iCs/>
        </w:rPr>
        <w:t>n Transportation Studies</w:t>
      </w:r>
      <w:r>
        <w:t>, 17, pp. 39–52.</w:t>
      </w:r>
    </w:p>
    <w:p w14:paraId="667DBFFF" w14:textId="77777777" w:rsidR="00F66A5A" w:rsidRDefault="00F66A5A" w:rsidP="00F66A5A">
      <w:pPr>
        <w:ind w:left="720" w:hanging="720"/>
      </w:pPr>
      <w:r w:rsidRPr="009622C7">
        <w:t>Yasmin, S., Eluru, N., Lee, J. and Abdel-Aty, M., 2016. Ordered fractional split approach for aggregate injury severity modeling. Transportation Research Record, 2583(1), pp.119-126.</w:t>
      </w:r>
    </w:p>
    <w:p w14:paraId="7FE62715" w14:textId="77777777" w:rsidR="00CA234F" w:rsidRDefault="00CA234F" w:rsidP="002459D2">
      <w:pPr>
        <w:ind w:left="720" w:hanging="720"/>
      </w:pPr>
      <w:r w:rsidRPr="009622C7">
        <w:t xml:space="preserve">Yasmin, S. and Eluru, N., 2018. A joint econometric framework for modeling crash counts by severity. </w:t>
      </w:r>
      <w:proofErr w:type="spellStart"/>
      <w:r w:rsidRPr="009622C7">
        <w:t>Transportmetrica</w:t>
      </w:r>
      <w:proofErr w:type="spellEnd"/>
      <w:r w:rsidRPr="009622C7">
        <w:t xml:space="preserve"> A: transport science, 14(3), pp.230-255.</w:t>
      </w:r>
    </w:p>
    <w:p w14:paraId="7FA9C483" w14:textId="44935598" w:rsidR="008E7A62" w:rsidRDefault="008E7A62" w:rsidP="008E7A62">
      <w:pPr>
        <w:ind w:left="720" w:hanging="720"/>
      </w:pPr>
      <w:r w:rsidRPr="00167540">
        <w:t>Yasmin, S., Momtaz, S.U., Nashad, T. and Eluru, N., 2018. A multivariate copula-based macro-level crash count model. Transportation research record, 2672(30), pp.64-75.</w:t>
      </w:r>
    </w:p>
    <w:p w14:paraId="4608B9A6" w14:textId="77777777" w:rsidR="00FA4072" w:rsidRDefault="00FA4072" w:rsidP="002459D2">
      <w:pPr>
        <w:ind w:left="720" w:hanging="720"/>
      </w:pPr>
      <w:r w:rsidRPr="00FA4072">
        <w:t xml:space="preserve">Yasmin, S., Bhowmik, T., Rahman, M. and Eluru, N., 2021. Enhancing non-motorist safety by simulating trip exposure using a transportation planning approach. </w:t>
      </w:r>
      <w:r w:rsidRPr="006B0CC6">
        <w:rPr>
          <w:i/>
          <w:iCs/>
        </w:rPr>
        <w:t>Accident Analysis &amp; Prevention</w:t>
      </w:r>
      <w:r w:rsidRPr="00FA4072">
        <w:t>, 156, p.106128.</w:t>
      </w:r>
    </w:p>
    <w:p w14:paraId="24E5564E" w14:textId="60DAD420" w:rsidR="00CA234F" w:rsidRDefault="00CA234F" w:rsidP="002459D2">
      <w:pPr>
        <w:ind w:left="720" w:hanging="720"/>
      </w:pPr>
      <w:r>
        <w:t xml:space="preserve">Ye, X., Pendyala, R.M., Shankar, V., Konduri, K.C., 2013. A simultaneous equations model of crash frequency by severity level for freeway sections. </w:t>
      </w:r>
      <w:r w:rsidRPr="00161136">
        <w:rPr>
          <w:i/>
          <w:iCs/>
        </w:rPr>
        <w:t>Accident Analysis &amp; Prevention</w:t>
      </w:r>
      <w:r>
        <w:t xml:space="preserve">, 57, pp. 140–149. </w:t>
      </w:r>
    </w:p>
    <w:p w14:paraId="0D2CA1D1" w14:textId="77777777" w:rsidR="00CA234F" w:rsidRDefault="00CA234F" w:rsidP="002459D2">
      <w:pPr>
        <w:ind w:left="720" w:hanging="720"/>
      </w:pPr>
      <w:r>
        <w:t xml:space="preserve">Ye, X., Pendyala, R.M., Washington, S.P., Konduri, K., Oh, J., 2009. A simultaneous equations model of crash frequency by collision type for rural intersections. </w:t>
      </w:r>
      <w:r w:rsidRPr="00943470">
        <w:rPr>
          <w:i/>
          <w:iCs/>
        </w:rPr>
        <w:t xml:space="preserve">Safety </w:t>
      </w:r>
      <w:r>
        <w:rPr>
          <w:i/>
          <w:iCs/>
        </w:rPr>
        <w:t>S</w:t>
      </w:r>
      <w:r w:rsidRPr="00943470">
        <w:rPr>
          <w:i/>
          <w:iCs/>
        </w:rPr>
        <w:t>cience</w:t>
      </w:r>
      <w:r>
        <w:rPr>
          <w:rFonts w:ascii="Arial" w:hAnsi="Arial" w:cs="Arial"/>
          <w:i/>
          <w:iCs/>
          <w:color w:val="222222"/>
          <w:sz w:val="20"/>
          <w:szCs w:val="20"/>
          <w:shd w:val="clear" w:color="auto" w:fill="FFFFFF"/>
        </w:rPr>
        <w:t xml:space="preserve">, </w:t>
      </w:r>
      <w:r>
        <w:t xml:space="preserve">47(3), pp. 443–452. </w:t>
      </w:r>
    </w:p>
    <w:p w14:paraId="04487A3D" w14:textId="77777777" w:rsidR="00CA234F" w:rsidRDefault="00CA234F" w:rsidP="002459D2">
      <w:pPr>
        <w:ind w:left="720" w:hanging="720"/>
      </w:pPr>
      <w:r>
        <w:t xml:space="preserve">Yu, R., Abdel-Aty, M., 2013. Multi-level Bayesian analyses for single- and multi-vehicle freeway crashes. </w:t>
      </w:r>
      <w:r w:rsidRPr="00161136">
        <w:rPr>
          <w:i/>
          <w:iCs/>
        </w:rPr>
        <w:t>Accident Analysis &amp; Prevention</w:t>
      </w:r>
      <w:r>
        <w:t xml:space="preserve">, 58, pp. 97–105. </w:t>
      </w:r>
    </w:p>
    <w:p w14:paraId="14E6E4AA" w14:textId="77777777" w:rsidR="00CA234F" w:rsidRDefault="00CA234F" w:rsidP="002459D2">
      <w:pPr>
        <w:ind w:left="720" w:hanging="720"/>
      </w:pPr>
      <w:r w:rsidRPr="009622C7">
        <w:t xml:space="preserve">Zeng, Q., Guo, Q., Wong, S.C., Wen, H., Huang, H. and Pei, X., 2019. Jointly modeling area-level crash rates by severity: a Bayesian multivariate random-parameters </w:t>
      </w:r>
      <w:proofErr w:type="spellStart"/>
      <w:r w:rsidRPr="009622C7">
        <w:t>spatio</w:t>
      </w:r>
      <w:proofErr w:type="spellEnd"/>
      <w:r w:rsidRPr="009622C7">
        <w:t xml:space="preserve">-temporal Tobit regression. </w:t>
      </w:r>
      <w:proofErr w:type="spellStart"/>
      <w:r w:rsidRPr="009622C7">
        <w:t>Transportmetrica</w:t>
      </w:r>
      <w:proofErr w:type="spellEnd"/>
      <w:r w:rsidRPr="009622C7">
        <w:t xml:space="preserve"> A: Transport Science, 15(2), pp.1867-1884.</w:t>
      </w:r>
    </w:p>
    <w:p w14:paraId="78DF1982" w14:textId="77777777" w:rsidR="00CA234F" w:rsidRDefault="00CA234F" w:rsidP="002459D2">
      <w:pPr>
        <w:ind w:left="720" w:hanging="720"/>
      </w:pPr>
      <w:r>
        <w:t xml:space="preserve">Zeng, Q., Wen, H., Huang, H., Pei, X., Wong, S.C., 2017. A multivariate random-parameters Tobit model for analyzing highway crash rates by injury severity. </w:t>
      </w:r>
      <w:r w:rsidRPr="00161136">
        <w:rPr>
          <w:i/>
          <w:iCs/>
        </w:rPr>
        <w:t>Accident Analysis &amp; Prevention</w:t>
      </w:r>
      <w:r>
        <w:t xml:space="preserve">, 99, pp. 184–191. </w:t>
      </w:r>
    </w:p>
    <w:p w14:paraId="21E28292" w14:textId="77777777" w:rsidR="00CA234F" w:rsidRDefault="00CA234F" w:rsidP="002459D2">
      <w:pPr>
        <w:ind w:left="720" w:hanging="720"/>
      </w:pPr>
      <w:r>
        <w:t xml:space="preserve">Zeng, Q., Wen, H., Huang, H., Pei, X., Wong, S.C., 2018. Incorporating temporal correlation into a multivariate random parameters Tobit model for modeling crash rate by injury severity. </w:t>
      </w:r>
      <w:proofErr w:type="spellStart"/>
      <w:r w:rsidRPr="00CA0632">
        <w:rPr>
          <w:i/>
          <w:iCs/>
        </w:rPr>
        <w:t>Transportmetrica</w:t>
      </w:r>
      <w:proofErr w:type="spellEnd"/>
      <w:r w:rsidRPr="00CA0632">
        <w:rPr>
          <w:i/>
          <w:iCs/>
        </w:rPr>
        <w:t xml:space="preserve"> A: Transport Science</w:t>
      </w:r>
      <w:r>
        <w:t xml:space="preserve">, 14(3), pp. 177–191. </w:t>
      </w:r>
    </w:p>
    <w:p w14:paraId="09B7D5B6" w14:textId="77777777" w:rsidR="00CA234F" w:rsidRDefault="00CA234F" w:rsidP="002459D2">
      <w:pPr>
        <w:ind w:left="720" w:hanging="720"/>
      </w:pPr>
      <w:r>
        <w:t xml:space="preserve">Zhan, X., Abdul Aziz, H.M., Ukkusuri, S. V., 2015. An efficient parallel sampling technique for Multivariate Poisson-Lognormal model: Analysis with two crash count datasets. </w:t>
      </w:r>
      <w:r w:rsidRPr="004C5483">
        <w:rPr>
          <w:i/>
          <w:iCs/>
        </w:rPr>
        <w:t>Analytic Methods in Accident Research</w:t>
      </w:r>
      <w:r>
        <w:t xml:space="preserve">, 8, pp. 45–60. </w:t>
      </w:r>
    </w:p>
    <w:p w14:paraId="3B9E391D" w14:textId="77777777" w:rsidR="0019751E" w:rsidRDefault="0019751E" w:rsidP="00906EBC"/>
    <w:p w14:paraId="2391E57F" w14:textId="77777777" w:rsidR="00EC52AF" w:rsidRDefault="00EC52AF" w:rsidP="00906EBC"/>
    <w:p w14:paraId="2F635726" w14:textId="77777777" w:rsidR="00EC52AF" w:rsidRDefault="00EC52AF" w:rsidP="00906EBC"/>
    <w:p w14:paraId="25E9A32F" w14:textId="77777777" w:rsidR="00EC52AF" w:rsidRDefault="00EC52AF" w:rsidP="00906EBC"/>
    <w:p w14:paraId="43ADB5D1" w14:textId="77777777" w:rsidR="00EC52AF" w:rsidRDefault="00EC52AF" w:rsidP="00906EBC"/>
    <w:p w14:paraId="780E90AE" w14:textId="77777777" w:rsidR="00EC52AF" w:rsidRDefault="00EC52AF" w:rsidP="00906EBC"/>
    <w:p w14:paraId="366747B5" w14:textId="77777777" w:rsidR="00EC52AF" w:rsidRDefault="00EC52AF" w:rsidP="00906EBC"/>
    <w:p w14:paraId="55FE79F4" w14:textId="77777777" w:rsidR="00EC52AF" w:rsidRDefault="00EC52AF" w:rsidP="00906EBC"/>
    <w:p w14:paraId="7C022E16" w14:textId="77777777" w:rsidR="00EC52AF" w:rsidRDefault="00EC52AF" w:rsidP="00906EBC"/>
    <w:p w14:paraId="26673053" w14:textId="77777777" w:rsidR="00EC52AF" w:rsidRDefault="00EC52AF" w:rsidP="00906EBC"/>
    <w:p w14:paraId="5779B04B" w14:textId="77777777" w:rsidR="00EC52AF" w:rsidRDefault="00EC52AF" w:rsidP="00906EBC"/>
    <w:p w14:paraId="5BF4E5D1" w14:textId="77777777" w:rsidR="00EC52AF" w:rsidRDefault="00EC52AF" w:rsidP="00906EBC"/>
    <w:p w14:paraId="646029A8" w14:textId="77777777" w:rsidR="00D921E8" w:rsidRDefault="00105619" w:rsidP="00D921E8">
      <w:pPr>
        <w:pStyle w:val="Heading1"/>
        <w:numPr>
          <w:ilvl w:val="0"/>
          <w:numId w:val="0"/>
        </w:numPr>
        <w:ind w:left="431"/>
        <w:jc w:val="center"/>
      </w:pPr>
      <w:r w:rsidRPr="00C50EB7">
        <w:lastRenderedPageBreak/>
        <w:t>A</w:t>
      </w:r>
      <w:r w:rsidR="00767050">
        <w:t>PPENDIX</w:t>
      </w:r>
      <w:r w:rsidR="00596687">
        <w:t xml:space="preserve"> A</w:t>
      </w:r>
    </w:p>
    <w:p w14:paraId="6A0EB591" w14:textId="0DDC158E" w:rsidR="00886AB5" w:rsidRDefault="006F4CD6" w:rsidP="00886AB5">
      <w:pPr>
        <w:rPr>
          <w:b/>
          <w:bCs/>
        </w:rPr>
      </w:pPr>
      <w:r>
        <w:rPr>
          <w:b/>
          <w:bCs/>
        </w:rPr>
        <w:t xml:space="preserve">Example of </w:t>
      </w:r>
      <w:r w:rsidR="00886AB5" w:rsidRPr="00886AB5">
        <w:rPr>
          <w:b/>
          <w:bCs/>
        </w:rPr>
        <w:t>Correlation Structure</w:t>
      </w:r>
    </w:p>
    <w:p w14:paraId="5AF4BB7B" w14:textId="7C949DAC" w:rsidR="00D27857" w:rsidRDefault="00D27857" w:rsidP="00886AB5">
      <w:r>
        <w:t xml:space="preserve">As discussed in the main manuscript, we test for both positive and negative correlations across different components in our proposed joint framework and finally, we select the model that offer best fit. </w:t>
      </w:r>
      <w:r w:rsidR="00845E00">
        <w:t xml:space="preserve">It is important to note that this sign can vary within the matrix elements. For instance, let us consider the correlation structure across the crash counts only for different crash types which is indicated by the </w:t>
      </w:r>
      <m:oMath>
        <m:sSub>
          <m:sSubPr>
            <m:ctrlPr>
              <w:rPr>
                <w:rFonts w:ascii="Cambria Math" w:hAnsi="Cambria Math"/>
              </w:rPr>
            </m:ctrlPr>
          </m:sSubPr>
          <m:e>
            <m:r>
              <w:rPr>
                <w:rFonts w:ascii="Cambria Math" w:hAnsi="Cambria Math"/>
              </w:rPr>
              <m:t>Ѧ</m:t>
            </m:r>
          </m:e>
          <m:sub>
            <m:r>
              <m:rPr>
                <m:sty m:val="p"/>
              </m:rPr>
              <w:rPr>
                <w:rFonts w:ascii="Cambria Math" w:hAnsi="Cambria Math"/>
              </w:rPr>
              <m:t>1</m:t>
            </m:r>
          </m:sub>
        </m:sSub>
      </m:oMath>
      <w:r w:rsidR="00845E00">
        <w:rPr>
          <w:rFonts w:eastAsiaTheme="minorEastAsia"/>
        </w:rPr>
        <w:t xml:space="preserve"> matrix. </w:t>
      </w:r>
      <w:r w:rsidR="00AF7242">
        <w:rPr>
          <w:rFonts w:eastAsiaTheme="minorEastAsia"/>
        </w:rPr>
        <w:t xml:space="preserve">The structure of the </w:t>
      </w:r>
      <m:oMath>
        <m:sSub>
          <m:sSubPr>
            <m:ctrlPr>
              <w:rPr>
                <w:rFonts w:ascii="Cambria Math" w:hAnsi="Cambria Math"/>
              </w:rPr>
            </m:ctrlPr>
          </m:sSubPr>
          <m:e>
            <m:r>
              <w:rPr>
                <w:rFonts w:ascii="Cambria Math" w:hAnsi="Cambria Math"/>
              </w:rPr>
              <m:t>Ѧ</m:t>
            </m:r>
          </m:e>
          <m:sub>
            <m:r>
              <m:rPr>
                <m:sty m:val="p"/>
              </m:rPr>
              <w:rPr>
                <w:rFonts w:ascii="Cambria Math" w:hAnsi="Cambria Math"/>
              </w:rPr>
              <m:t>1</m:t>
            </m:r>
          </m:sub>
        </m:sSub>
      </m:oMath>
      <w:r w:rsidR="00AF7242">
        <w:rPr>
          <w:rFonts w:eastAsiaTheme="minorEastAsia"/>
        </w:rPr>
        <w:t xml:space="preserve"> matrix is as follows: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66"/>
        <w:gridCol w:w="4661"/>
      </w:tblGrid>
      <w:tr w:rsidR="00EB5B45" w14:paraId="0FB4B3FE" w14:textId="77777777" w:rsidTr="00EB5B45">
        <w:tc>
          <w:tcPr>
            <w:tcW w:w="4660" w:type="dxa"/>
          </w:tcPr>
          <w:p w14:paraId="360EC96B" w14:textId="7932629F" w:rsidR="00EB5B45" w:rsidRDefault="005D0735" w:rsidP="00886AB5">
            <w:r>
              <w:rPr>
                <w:noProof/>
                <w:lang w:val="en-US"/>
              </w:rPr>
              <w:drawing>
                <wp:inline distT="0" distB="0" distL="0" distR="0" wp14:anchorId="7203C61F" wp14:editId="48C4B8FA">
                  <wp:extent cx="2826045" cy="16459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26045" cy="1645920"/>
                          </a:xfrm>
                          <a:prstGeom prst="rect">
                            <a:avLst/>
                          </a:prstGeom>
                          <a:noFill/>
                        </pic:spPr>
                      </pic:pic>
                    </a:graphicData>
                  </a:graphic>
                </wp:inline>
              </w:drawing>
            </w:r>
          </w:p>
        </w:tc>
        <w:tc>
          <w:tcPr>
            <w:tcW w:w="4661" w:type="dxa"/>
            <w:vAlign w:val="center"/>
          </w:tcPr>
          <w:p w14:paraId="7051DDBE" w14:textId="45F71275" w:rsidR="00EB5B45" w:rsidRDefault="00EB5B45" w:rsidP="00EB5B45">
            <w:pPr>
              <w:jc w:val="right"/>
            </w:pPr>
            <w:r>
              <w:t>(A.1)</w:t>
            </w:r>
          </w:p>
        </w:tc>
      </w:tr>
    </w:tbl>
    <w:p w14:paraId="639E571A" w14:textId="6993A36D" w:rsidR="00AF7242" w:rsidRPr="006519F7" w:rsidRDefault="00A968AF" w:rsidP="006519F7">
      <w:pPr>
        <w:ind w:firstLine="720"/>
        <w:rPr>
          <w:rFonts w:eastAsiaTheme="minorEastAsia"/>
          <w:lang w:val="en-US"/>
        </w:rPr>
      </w:pPr>
      <w:r>
        <w:rPr>
          <w:rFonts w:eastAsiaTheme="minorEastAsia"/>
        </w:rPr>
        <w:t>w</w:t>
      </w:r>
      <w:r w:rsidR="00AF7242">
        <w:rPr>
          <w:rFonts w:eastAsiaTheme="minorEastAsia"/>
        </w:rPr>
        <w:t xml:space="preserve">here the first part </w:t>
      </w:r>
      <w:r w:rsidR="002C1432">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 xml:space="preserve">) </m:t>
        </m:r>
      </m:oMath>
      <w:r w:rsidR="00E816FF">
        <w:rPr>
          <w:rFonts w:eastAsiaTheme="minorEastAsia"/>
        </w:rPr>
        <w:t>represents</w:t>
      </w:r>
      <w:r w:rsidR="00AF7242">
        <w:rPr>
          <w:rFonts w:eastAsiaTheme="minorEastAsia"/>
        </w:rPr>
        <w:t xml:space="preserve"> the covariance structure across </w:t>
      </w:r>
      <w:r w:rsidR="00E816FF">
        <w:rPr>
          <w:rFonts w:eastAsiaTheme="minorEastAsia"/>
        </w:rPr>
        <w:t xml:space="preserve">the crash counts of </w:t>
      </w:r>
      <w:r w:rsidR="00AF7242">
        <w:rPr>
          <w:rFonts w:eastAsiaTheme="minorEastAsia"/>
        </w:rPr>
        <w:t xml:space="preserve">different crash types </w:t>
      </w:r>
      <w:r w:rsidR="00A55B61">
        <w:rPr>
          <w:rFonts w:eastAsiaTheme="minorEastAsia"/>
        </w:rPr>
        <w:t>and</w:t>
      </w:r>
      <w:r w:rsidR="00A55B61" w:rsidRPr="007F4C6B">
        <w:rPr>
          <w:rFonts w:eastAsiaTheme="minorEastAsia"/>
        </w:rPr>
        <w:t xml:space="preserve"> </w:t>
      </w:r>
      <w:r w:rsidR="007F4C6B">
        <w:rPr>
          <w:rFonts w:eastAsiaTheme="minorEastAsia"/>
        </w:rPr>
        <w:t>the second component (</w:t>
      </w:r>
      <m:oMath>
        <m:sSub>
          <m:sSubPr>
            <m:ctrlPr>
              <w:rPr>
                <w:rFonts w:ascii="Cambria Math" w:hAnsi="Cambria Math"/>
                <w:i/>
                <w:lang w:val="en-US"/>
              </w:rPr>
            </m:ctrlPr>
          </m:sSubPr>
          <m:e>
            <m:r>
              <w:rPr>
                <w:rFonts w:ascii="Cambria Math" w:hAnsi="Cambria Math"/>
                <w:lang w:val="en-US"/>
              </w:rPr>
              <m:t>þ</m:t>
            </m:r>
          </m:e>
          <m:sub>
            <m:r>
              <w:rPr>
                <w:rFonts w:ascii="Cambria Math" w:hAnsi="Cambria Math"/>
                <w:lang w:val="en-US"/>
              </w:rPr>
              <m:t>r</m:t>
            </m:r>
          </m:sub>
        </m:sSub>
      </m:oMath>
      <w:r w:rsidR="007F4C6B">
        <w:rPr>
          <w:rFonts w:eastAsiaTheme="minorEastAsia"/>
          <w:lang w:val="en-US"/>
        </w:rPr>
        <w:t>)</w:t>
      </w:r>
      <w:r w:rsidR="007F4C6B">
        <w:rPr>
          <w:rFonts w:eastAsiaTheme="minorEastAsia"/>
        </w:rPr>
        <w:t xml:space="preserve"> is a vector with a value of </w:t>
      </w:r>
      <w:r w:rsidR="007F4C6B">
        <w:rPr>
          <w:rFonts w:eastAsiaTheme="minorEastAsia"/>
          <w:lang w:val="en-US"/>
        </w:rPr>
        <w:t>+1 if the association is positive, -1 if association is negative and 0 if no association is considered</w:t>
      </w:r>
      <w:r w:rsidR="00E816FF">
        <w:rPr>
          <w:rFonts w:eastAsiaTheme="minorEastAsia"/>
        </w:rPr>
        <w:t xml:space="preserve">. </w:t>
      </w:r>
      <w:r w:rsidR="000071E6">
        <w:rPr>
          <w:rFonts w:eastAsiaTheme="minorEastAsia"/>
          <w:lang w:val="en-US"/>
        </w:rPr>
        <w:t xml:space="preserve">This </w:t>
      </w:r>
      <m:oMath>
        <m:sSub>
          <m:sSubPr>
            <m:ctrlPr>
              <w:rPr>
                <w:rFonts w:ascii="Cambria Math" w:hAnsi="Cambria Math"/>
                <w:i/>
                <w:lang w:val="en-US"/>
              </w:rPr>
            </m:ctrlPr>
          </m:sSubPr>
          <m:e>
            <m:r>
              <w:rPr>
                <w:rFonts w:ascii="Cambria Math" w:hAnsi="Cambria Math"/>
                <w:lang w:val="en-US"/>
              </w:rPr>
              <m:t>þ</m:t>
            </m:r>
          </m:e>
          <m:sub>
            <m:r>
              <w:rPr>
                <w:rFonts w:ascii="Cambria Math" w:hAnsi="Cambria Math"/>
                <w:lang w:val="en-US"/>
              </w:rPr>
              <m:t>r</m:t>
            </m:r>
          </m:sub>
        </m:sSub>
      </m:oMath>
      <w:r w:rsidR="000071E6">
        <w:rPr>
          <w:rFonts w:eastAsiaTheme="minorEastAsia"/>
          <w:lang w:val="en-US"/>
        </w:rPr>
        <w:t xml:space="preserve"> matrix allows us to generate the various possible combinations of positive and negative associations between these correlations. </w:t>
      </w:r>
      <w:r>
        <w:rPr>
          <w:rFonts w:eastAsiaTheme="minorEastAsia"/>
        </w:rPr>
        <w:t>Now, let us consider the following scenarios:</w:t>
      </w:r>
    </w:p>
    <w:p w14:paraId="02B43240" w14:textId="4A5C84D0" w:rsidR="00D27298" w:rsidRDefault="00D27298" w:rsidP="009F17B5">
      <w:pPr>
        <w:pStyle w:val="ListParagraph"/>
        <w:numPr>
          <w:ilvl w:val="0"/>
          <w:numId w:val="56"/>
        </w:numPr>
        <w:rPr>
          <w:rFonts w:eastAsiaTheme="minorEastAsia"/>
        </w:rPr>
      </w:pPr>
      <w:r>
        <w:rPr>
          <w:rFonts w:eastAsiaTheme="minorEastAsia"/>
        </w:rPr>
        <w:t>A</w:t>
      </w:r>
      <w:r w:rsidR="00A968AF">
        <w:rPr>
          <w:rFonts w:eastAsiaTheme="minorEastAsia"/>
        </w:rPr>
        <w:t xml:space="preserve"> common </w:t>
      </w:r>
      <w:r>
        <w:rPr>
          <w:rFonts w:eastAsiaTheme="minorEastAsia"/>
        </w:rPr>
        <w:t xml:space="preserve">positive </w:t>
      </w:r>
      <w:r w:rsidR="00A968AF">
        <w:rPr>
          <w:rFonts w:eastAsiaTheme="minorEastAsia"/>
        </w:rPr>
        <w:t>correlation affecting the rear-end</w:t>
      </w:r>
      <w:r w:rsidR="007279BF">
        <w:rPr>
          <w:rFonts w:eastAsiaTheme="minorEastAsia"/>
        </w:rPr>
        <w:t xml:space="preserve"> (RE)</w:t>
      </w:r>
      <w:r w:rsidR="00A968AF">
        <w:rPr>
          <w:rFonts w:eastAsiaTheme="minorEastAsia"/>
        </w:rPr>
        <w:t>, angular</w:t>
      </w:r>
      <w:r w:rsidR="007279BF">
        <w:rPr>
          <w:rFonts w:eastAsiaTheme="minorEastAsia"/>
        </w:rPr>
        <w:t xml:space="preserve"> (ANG)</w:t>
      </w:r>
      <w:r w:rsidR="00A968AF">
        <w:rPr>
          <w:rFonts w:eastAsiaTheme="minorEastAsia"/>
        </w:rPr>
        <w:t xml:space="preserve"> and sideswipe </w:t>
      </w:r>
      <w:r w:rsidR="007279BF">
        <w:rPr>
          <w:rFonts w:eastAsiaTheme="minorEastAsia"/>
        </w:rPr>
        <w:t xml:space="preserve">(SW) </w:t>
      </w:r>
      <w:r w:rsidR="00A968AF">
        <w:rPr>
          <w:rFonts w:eastAsiaTheme="minorEastAsia"/>
        </w:rPr>
        <w:t>crash frequencies simultaneously</w:t>
      </w:r>
      <w:r w:rsidR="000A6776">
        <w:rPr>
          <w:rFonts w:eastAsiaTheme="minorEastAsia"/>
        </w:rPr>
        <w:t xml:space="preserve">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R1</m:t>
            </m:r>
          </m:sub>
        </m:sSub>
      </m:oMath>
      <w:r>
        <w:rPr>
          <w:rFonts w:eastAsiaTheme="minorEastAsia"/>
        </w:rPr>
        <w:t>:</w:t>
      </w:r>
      <w:r w:rsidR="00A968AF">
        <w:rPr>
          <w:rFonts w:eastAsiaTheme="minorEastAsia"/>
        </w:rPr>
        <w:t xml:space="preserve"> indicates that </w:t>
      </w:r>
      <w:r>
        <w:rPr>
          <w:rFonts w:eastAsiaTheme="minorEastAsia"/>
        </w:rPr>
        <w:t xml:space="preserve">zones with higher number of rear-end crashes will be more likely to have higher number of angular and sideswipe crashes. </w:t>
      </w:r>
    </w:p>
    <w:p w14:paraId="45012E03" w14:textId="78DE03A3" w:rsidR="00B337C6" w:rsidRDefault="00B337C6" w:rsidP="009F17B5">
      <w:pPr>
        <w:pStyle w:val="ListParagraph"/>
        <w:numPr>
          <w:ilvl w:val="0"/>
          <w:numId w:val="56"/>
        </w:numPr>
        <w:rPr>
          <w:rFonts w:eastAsiaTheme="minorEastAsia"/>
        </w:rPr>
      </w:pPr>
      <w:r>
        <w:rPr>
          <w:rFonts w:eastAsiaTheme="minorEastAsia"/>
        </w:rPr>
        <w:t xml:space="preserve">A </w:t>
      </w:r>
      <w:r w:rsidR="007279BF">
        <w:rPr>
          <w:rFonts w:eastAsiaTheme="minorEastAsia"/>
        </w:rPr>
        <w:t xml:space="preserve">common </w:t>
      </w:r>
      <w:r>
        <w:rPr>
          <w:rFonts w:eastAsiaTheme="minorEastAsia"/>
        </w:rPr>
        <w:t xml:space="preserve">negative correlation </w:t>
      </w:r>
      <w:r w:rsidR="007279BF">
        <w:rPr>
          <w:rFonts w:eastAsiaTheme="minorEastAsia"/>
        </w:rPr>
        <w:t>across</w:t>
      </w:r>
      <w:r>
        <w:rPr>
          <w:rFonts w:eastAsiaTheme="minorEastAsia"/>
        </w:rPr>
        <w:t xml:space="preserve"> </w:t>
      </w:r>
      <w:r w:rsidR="007279BF">
        <w:rPr>
          <w:rFonts w:eastAsiaTheme="minorEastAsia"/>
        </w:rPr>
        <w:t xml:space="preserve">RE, </w:t>
      </w:r>
      <w:r>
        <w:rPr>
          <w:rFonts w:eastAsiaTheme="minorEastAsia"/>
        </w:rPr>
        <w:t>head-on</w:t>
      </w:r>
      <w:r w:rsidR="007279BF">
        <w:rPr>
          <w:rFonts w:eastAsiaTheme="minorEastAsia"/>
        </w:rPr>
        <w:t xml:space="preserve"> (HD)</w:t>
      </w:r>
      <w:r>
        <w:rPr>
          <w:rFonts w:eastAsiaTheme="minorEastAsia"/>
        </w:rPr>
        <w:t xml:space="preserve"> </w:t>
      </w:r>
      <w:r w:rsidR="007279BF">
        <w:rPr>
          <w:rFonts w:eastAsiaTheme="minorEastAsia"/>
        </w:rPr>
        <w:t xml:space="preserve">and single vehicle (SV) </w:t>
      </w:r>
      <w:r>
        <w:rPr>
          <w:rFonts w:eastAsiaTheme="minorEastAsia"/>
        </w:rPr>
        <w:t>crash counts</w:t>
      </w:r>
      <w:r w:rsidR="000A6776">
        <w:rPr>
          <w:rFonts w:eastAsiaTheme="minorEastAsia"/>
        </w:rPr>
        <w:t xml:space="preserve">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R2</m:t>
            </m:r>
          </m:sub>
        </m:sSub>
      </m:oMath>
      <w:r>
        <w:rPr>
          <w:rFonts w:eastAsiaTheme="minorEastAsia"/>
        </w:rPr>
        <w:t xml:space="preserve">: indicates that zones with higher number of rear-end crashes will be more likely to incur lower number of head-on </w:t>
      </w:r>
      <w:r w:rsidR="007279BF">
        <w:rPr>
          <w:rFonts w:eastAsiaTheme="minorEastAsia"/>
        </w:rPr>
        <w:t xml:space="preserve">and single vehicle </w:t>
      </w:r>
      <w:r>
        <w:rPr>
          <w:rFonts w:eastAsiaTheme="minorEastAsia"/>
        </w:rPr>
        <w:t xml:space="preserve">crashes. </w:t>
      </w:r>
    </w:p>
    <w:p w14:paraId="50DF7F0E" w14:textId="0DA19303" w:rsidR="00B337C6" w:rsidRDefault="00B337C6" w:rsidP="009F17B5">
      <w:pPr>
        <w:pStyle w:val="ListParagraph"/>
        <w:numPr>
          <w:ilvl w:val="0"/>
          <w:numId w:val="56"/>
        </w:numPr>
        <w:rPr>
          <w:rFonts w:eastAsiaTheme="minorEastAsia"/>
        </w:rPr>
      </w:pPr>
      <w:r>
        <w:rPr>
          <w:rFonts w:eastAsiaTheme="minorEastAsia"/>
        </w:rPr>
        <w:t xml:space="preserve">A positive correlation between </w:t>
      </w:r>
      <w:r w:rsidR="007279BF">
        <w:rPr>
          <w:rFonts w:eastAsiaTheme="minorEastAsia"/>
        </w:rPr>
        <w:t>RE</w:t>
      </w:r>
      <w:r>
        <w:rPr>
          <w:rFonts w:eastAsiaTheme="minorEastAsia"/>
        </w:rPr>
        <w:t xml:space="preserve"> and non-motorized</w:t>
      </w:r>
      <w:r w:rsidR="007279BF">
        <w:rPr>
          <w:rFonts w:eastAsiaTheme="minorEastAsia"/>
        </w:rPr>
        <w:t xml:space="preserve"> (NMT)</w:t>
      </w:r>
      <w:r>
        <w:rPr>
          <w:rFonts w:eastAsiaTheme="minorEastAsia"/>
        </w:rPr>
        <w:t xml:space="preserve"> crash counts</w:t>
      </w:r>
      <w:r w:rsidR="000A6776">
        <w:rPr>
          <w:rFonts w:eastAsiaTheme="minorEastAsia"/>
        </w:rPr>
        <w:t xml:space="preserve">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R3</m:t>
            </m:r>
          </m:sub>
        </m:sSub>
      </m:oMath>
    </w:p>
    <w:p w14:paraId="738A9F72" w14:textId="08245367" w:rsidR="007279BF" w:rsidRDefault="007279BF" w:rsidP="009F17B5">
      <w:pPr>
        <w:pStyle w:val="ListParagraph"/>
        <w:numPr>
          <w:ilvl w:val="0"/>
          <w:numId w:val="56"/>
        </w:numPr>
        <w:rPr>
          <w:rFonts w:eastAsiaTheme="minorEastAsia"/>
        </w:rPr>
      </w:pPr>
      <w:r>
        <w:rPr>
          <w:rFonts w:eastAsiaTheme="minorEastAsia"/>
        </w:rPr>
        <w:t xml:space="preserve">A positive correlation between </w:t>
      </w:r>
      <w:r w:rsidR="00C25F9A">
        <w:rPr>
          <w:rFonts w:eastAsiaTheme="minorEastAsia"/>
        </w:rPr>
        <w:t>ANG</w:t>
      </w:r>
      <w:r>
        <w:rPr>
          <w:rFonts w:eastAsiaTheme="minorEastAsia"/>
        </w:rPr>
        <w:t xml:space="preserve"> and </w:t>
      </w:r>
      <w:r w:rsidR="00C25F9A">
        <w:rPr>
          <w:rFonts w:eastAsiaTheme="minorEastAsia"/>
        </w:rPr>
        <w:t>SW</w:t>
      </w:r>
      <w:r>
        <w:rPr>
          <w:rFonts w:eastAsiaTheme="minorEastAsia"/>
        </w:rPr>
        <w:t xml:space="preserve"> crash counts</w:t>
      </w:r>
      <w:r w:rsidR="000A6776">
        <w:rPr>
          <w:rFonts w:eastAsiaTheme="minorEastAsia"/>
        </w:rPr>
        <w:t xml:space="preserve">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A1</m:t>
            </m:r>
          </m:sub>
        </m:sSub>
      </m:oMath>
    </w:p>
    <w:p w14:paraId="403BF565" w14:textId="6EA341E8" w:rsidR="00C25F9A" w:rsidRDefault="00C25F9A" w:rsidP="009F17B5">
      <w:pPr>
        <w:pStyle w:val="ListParagraph"/>
        <w:numPr>
          <w:ilvl w:val="0"/>
          <w:numId w:val="56"/>
        </w:numPr>
        <w:rPr>
          <w:rFonts w:eastAsiaTheme="minorEastAsia"/>
        </w:rPr>
      </w:pPr>
      <w:r>
        <w:rPr>
          <w:rFonts w:eastAsiaTheme="minorEastAsia"/>
        </w:rPr>
        <w:t>A negative correlation between SW and SV crash counts</w:t>
      </w:r>
      <w:r w:rsidR="000A6776">
        <w:rPr>
          <w:rFonts w:eastAsiaTheme="minorEastAsia"/>
        </w:rPr>
        <w:t xml:space="preserve">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S1</m:t>
            </m:r>
          </m:sub>
        </m:sSub>
      </m:oMath>
    </w:p>
    <w:p w14:paraId="0D4DA527" w14:textId="461A9AAC" w:rsidR="00C25F9A" w:rsidRDefault="00C25F9A" w:rsidP="009F17B5">
      <w:pPr>
        <w:pStyle w:val="ListParagraph"/>
        <w:numPr>
          <w:ilvl w:val="0"/>
          <w:numId w:val="56"/>
        </w:numPr>
        <w:rPr>
          <w:rFonts w:eastAsiaTheme="minorEastAsia"/>
        </w:rPr>
      </w:pPr>
      <w:r>
        <w:rPr>
          <w:rFonts w:eastAsiaTheme="minorEastAsia"/>
        </w:rPr>
        <w:t>A positive correlation between HD and SV crash counts</w:t>
      </w:r>
      <w:r w:rsidR="000A6776">
        <w:rPr>
          <w:rFonts w:eastAsiaTheme="minorEastAsia"/>
        </w:rPr>
        <w:t xml:space="preserve">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H1</m:t>
            </m:r>
          </m:sub>
        </m:sSub>
      </m:oMath>
    </w:p>
    <w:p w14:paraId="5D23CE64" w14:textId="42060DBE" w:rsidR="00B337C6" w:rsidRDefault="001D6DF9" w:rsidP="009F17B5">
      <w:pPr>
        <w:pStyle w:val="ListParagraph"/>
        <w:numPr>
          <w:ilvl w:val="0"/>
          <w:numId w:val="56"/>
        </w:numPr>
        <w:rPr>
          <w:rFonts w:eastAsiaTheme="minorEastAsia"/>
        </w:rPr>
      </w:pPr>
      <w:r>
        <w:rPr>
          <w:rFonts w:eastAsiaTheme="minorEastAsia"/>
        </w:rPr>
        <w:t>There are no other correlations</w:t>
      </w:r>
    </w:p>
    <w:p w14:paraId="746AC41E" w14:textId="6520DD1A" w:rsidR="00A968AF" w:rsidRDefault="002928E3" w:rsidP="0076745F">
      <w:pPr>
        <w:rPr>
          <w:rFonts w:eastAsiaTheme="minorEastAsia"/>
        </w:rPr>
      </w:pPr>
      <w:r>
        <w:rPr>
          <w:rFonts w:eastAsiaTheme="minorEastAsia"/>
        </w:rPr>
        <w:t>With</w:t>
      </w:r>
      <w:r w:rsidR="00EB5B45">
        <w:rPr>
          <w:rFonts w:eastAsiaTheme="minorEastAsia"/>
        </w:rPr>
        <w:t xml:space="preserve"> these scenarios, the first and second part of equation A.1 will </w:t>
      </w:r>
      <w:r>
        <w:rPr>
          <w:rFonts w:eastAsiaTheme="minorEastAsia"/>
        </w:rPr>
        <w:t>be</w:t>
      </w:r>
      <w:r w:rsidR="006E31E5">
        <w:rPr>
          <w:rFonts w:eastAsiaTheme="minorEastAsia"/>
        </w:rPr>
        <w:t>:</w:t>
      </w:r>
    </w:p>
    <w:p w14:paraId="38CF1745" w14:textId="77777777" w:rsidR="00C86F15" w:rsidRDefault="00C86F15" w:rsidP="0076745F">
      <w:pPr>
        <w:rPr>
          <w:rFonts w:eastAsiaTheme="minorEastAsia"/>
        </w:rPr>
      </w:pPr>
    </w:p>
    <w:p w14:paraId="37E74AEC" w14:textId="347AC694" w:rsidR="002928E3" w:rsidRPr="001D6DF9" w:rsidRDefault="00E81E93" w:rsidP="0076745F">
      <w:pPr>
        <w:ind w:left="180"/>
        <w:rPr>
          <w:rFonts w:eastAsiaTheme="minorEastAsia"/>
        </w:rPr>
      </w:pPr>
      <w:r>
        <w:rPr>
          <w:noProof/>
          <w:lang w:val="en-US"/>
        </w:rPr>
        <w:drawing>
          <wp:inline distT="0" distB="0" distL="0" distR="0" wp14:anchorId="60EC303E" wp14:editId="05B34546">
            <wp:extent cx="5778711"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78711" cy="1828800"/>
                    </a:xfrm>
                    <a:prstGeom prst="rect">
                      <a:avLst/>
                    </a:prstGeom>
                  </pic:spPr>
                </pic:pic>
              </a:graphicData>
            </a:graphic>
          </wp:inline>
        </w:drawing>
      </w:r>
    </w:p>
    <w:p w14:paraId="453CAD53" w14:textId="77777777" w:rsidR="003234A6" w:rsidRDefault="003234A6" w:rsidP="00604DAD">
      <w:pPr>
        <w:rPr>
          <w:rFonts w:eastAsiaTheme="minorEastAsia"/>
        </w:rPr>
      </w:pPr>
    </w:p>
    <w:p w14:paraId="77B3E457" w14:textId="5602C28D" w:rsidR="00EE632D" w:rsidRDefault="00EE632D" w:rsidP="00EE632D">
      <w:pPr>
        <w:ind w:firstLine="720"/>
        <w:rPr>
          <w:rFonts w:eastAsiaTheme="minorEastAsia"/>
        </w:rPr>
      </w:pPr>
      <w:r>
        <w:rPr>
          <w:rFonts w:eastAsiaTheme="minorEastAsia"/>
        </w:rPr>
        <w:t>The reader would note that the final matrix (</w:t>
      </w:r>
      <m:oMath>
        <m:sSub>
          <m:sSubPr>
            <m:ctrlPr>
              <w:rPr>
                <w:rFonts w:ascii="Cambria Math" w:hAnsi="Cambria Math"/>
              </w:rPr>
            </m:ctrlPr>
          </m:sSubPr>
          <m:e>
            <m:r>
              <w:rPr>
                <w:rFonts w:ascii="Cambria Math" w:hAnsi="Cambria Math"/>
              </w:rPr>
              <m:t>Ѧ</m:t>
            </m:r>
          </m:e>
          <m:sub>
            <m:r>
              <m:rPr>
                <m:sty m:val="p"/>
              </m:rPr>
              <w:rPr>
                <w:rFonts w:ascii="Cambria Math" w:hAnsi="Cambria Math"/>
              </w:rPr>
              <m:t>1</m:t>
            </m:r>
          </m:sub>
        </m:sSub>
        <m:r>
          <w:rPr>
            <w:rFonts w:ascii="Cambria Math" w:hAnsi="Cambria Math"/>
          </w:rPr>
          <m:t>)</m:t>
        </m:r>
      </m:oMath>
      <w:r>
        <w:rPr>
          <w:rFonts w:eastAsiaTheme="minorEastAsia"/>
        </w:rPr>
        <w:t xml:space="preserve"> is estimat</w:t>
      </w:r>
      <w:r w:rsidR="00247185">
        <w:rPr>
          <w:rFonts w:eastAsiaTheme="minorEastAsia"/>
        </w:rPr>
        <w:t>ed</w:t>
      </w:r>
      <w:r>
        <w:rPr>
          <w:rFonts w:eastAsiaTheme="minorEastAsia"/>
        </w:rPr>
        <w:t xml:space="preserve"> by conducting an element-by-element multiplication of the two-matrixes mentioned above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 xml:space="preserve">and </m:t>
        </m:r>
        <m:sSub>
          <m:sSubPr>
            <m:ctrlPr>
              <w:rPr>
                <w:rFonts w:ascii="Cambria Math" w:hAnsi="Cambria Math"/>
                <w:i/>
                <w:lang w:val="en-US"/>
              </w:rPr>
            </m:ctrlPr>
          </m:sSubPr>
          <m:e>
            <m:r>
              <w:rPr>
                <w:rFonts w:ascii="Cambria Math" w:hAnsi="Cambria Math"/>
                <w:lang w:val="en-US"/>
              </w:rPr>
              <m:t>þ</m:t>
            </m:r>
          </m:e>
          <m:sub>
            <m:r>
              <w:rPr>
                <w:rFonts w:ascii="Cambria Math" w:hAnsi="Cambria Math"/>
                <w:lang w:val="en-US"/>
              </w:rPr>
              <m:t>r</m:t>
            </m:r>
          </m:sub>
        </m:sSub>
        <m:r>
          <w:rPr>
            <w:rFonts w:ascii="Cambria Math" w:hAnsi="Cambria Math"/>
            <w:lang w:val="en-US"/>
          </w:rPr>
          <m:t>)</m:t>
        </m:r>
      </m:oMath>
      <w:r>
        <w:rPr>
          <w:rFonts w:eastAsiaTheme="minorEastAsia"/>
        </w:rPr>
        <w:t xml:space="preserve">. For instance, lets’ assume </w:t>
      </w:r>
      <w:r w:rsidRPr="006519F7">
        <w:rPr>
          <w:rFonts w:eastAsiaTheme="minorEastAsia"/>
          <w:i/>
        </w:rPr>
        <w:t>t</w:t>
      </w:r>
      <w:r>
        <w:rPr>
          <w:rFonts w:eastAsiaTheme="minorEastAsia"/>
        </w:rPr>
        <w:t xml:space="preserve"> (1,2,…6)  and </w:t>
      </w:r>
      <w:r w:rsidRPr="006519F7">
        <w:rPr>
          <w:rFonts w:eastAsiaTheme="minorEastAsia"/>
          <w:i/>
        </w:rPr>
        <w:t>u</w:t>
      </w:r>
      <w:r>
        <w:rPr>
          <w:rFonts w:eastAsiaTheme="minorEastAsia"/>
        </w:rPr>
        <w:t xml:space="preserve"> (1,2…6) be the indexes represent the row and column number of the matrixes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 xml:space="preserve">, </m:t>
        </m:r>
        <m:sSub>
          <m:sSubPr>
            <m:ctrlPr>
              <w:rPr>
                <w:rFonts w:ascii="Cambria Math" w:hAnsi="Cambria Math"/>
                <w:i/>
                <w:lang w:val="en-US"/>
              </w:rPr>
            </m:ctrlPr>
          </m:sSubPr>
          <m:e>
            <m:r>
              <w:rPr>
                <w:rFonts w:ascii="Cambria Math" w:hAnsi="Cambria Math"/>
                <w:lang w:val="en-US"/>
              </w:rPr>
              <m:t>þ</m:t>
            </m:r>
          </m:e>
          <m:sub>
            <m:r>
              <w:rPr>
                <w:rFonts w:ascii="Cambria Math" w:hAnsi="Cambria Math"/>
                <w:lang w:val="en-US"/>
              </w:rPr>
              <m:t>r</m:t>
            </m:r>
          </m:sub>
        </m:sSub>
        <m:r>
          <w:rPr>
            <w:rFonts w:ascii="Cambria Math" w:hAnsi="Cambria Math"/>
            <w:lang w:val="en-US"/>
          </w:rPr>
          <m:t xml:space="preserve"> and </m:t>
        </m:r>
        <m:sSub>
          <m:sSubPr>
            <m:ctrlPr>
              <w:rPr>
                <w:rFonts w:ascii="Cambria Math" w:hAnsi="Cambria Math"/>
              </w:rPr>
            </m:ctrlPr>
          </m:sSubPr>
          <m:e>
            <m:r>
              <w:rPr>
                <w:rFonts w:ascii="Cambria Math" w:hAnsi="Cambria Math"/>
              </w:rPr>
              <m:t>Ѧ</m:t>
            </m:r>
          </m:e>
          <m:sub>
            <m:r>
              <m:rPr>
                <m:sty m:val="p"/>
              </m:rPr>
              <w:rPr>
                <w:rFonts w:ascii="Cambria Math" w:hAnsi="Cambria Math"/>
              </w:rPr>
              <m:t>1</m:t>
            </m:r>
          </m:sub>
        </m:sSub>
        <m:r>
          <w:rPr>
            <w:rFonts w:ascii="Cambria Math" w:hAnsi="Cambria Math"/>
          </w:rPr>
          <m:t>)</m:t>
        </m:r>
      </m:oMath>
      <w:r>
        <w:rPr>
          <w:rFonts w:eastAsiaTheme="minorEastAsia"/>
        </w:rPr>
        <w:t xml:space="preserve"> respectively. So, each element of the </w:t>
      </w:r>
      <m:oMath>
        <m:sSub>
          <m:sSubPr>
            <m:ctrlPr>
              <w:rPr>
                <w:rFonts w:ascii="Cambria Math" w:hAnsi="Cambria Math"/>
              </w:rPr>
            </m:ctrlPr>
          </m:sSubPr>
          <m:e>
            <m:r>
              <w:rPr>
                <w:rFonts w:ascii="Cambria Math" w:hAnsi="Cambria Math"/>
              </w:rPr>
              <m:t>Ѧ</m:t>
            </m:r>
          </m:e>
          <m:sub>
            <m:r>
              <m:rPr>
                <m:sty m:val="p"/>
              </m:rPr>
              <w:rPr>
                <w:rFonts w:ascii="Cambria Math" w:hAnsi="Cambria Math"/>
              </w:rPr>
              <m:t>1</m:t>
            </m:r>
          </m:sub>
        </m:sSub>
      </m:oMath>
      <w:r>
        <w:rPr>
          <w:rFonts w:eastAsiaTheme="minorEastAsia"/>
        </w:rPr>
        <w:t xml:space="preserve"> matrix will be:</w:t>
      </w:r>
    </w:p>
    <w:p w14:paraId="4B4BE6A6" w14:textId="77777777" w:rsidR="00EE632D" w:rsidRDefault="00EE632D" w:rsidP="00EE632D">
      <w:pPr>
        <w:ind w:firstLine="720"/>
        <w:rPr>
          <w:rFonts w:eastAsiaTheme="minorEastAs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0"/>
        <w:gridCol w:w="4661"/>
      </w:tblGrid>
      <w:tr w:rsidR="00EE632D" w14:paraId="0D02AA77" w14:textId="77777777" w:rsidTr="005C0EE8">
        <w:trPr>
          <w:trHeight w:val="414"/>
        </w:trPr>
        <w:tc>
          <w:tcPr>
            <w:tcW w:w="4660" w:type="dxa"/>
            <w:vAlign w:val="center"/>
          </w:tcPr>
          <w:p w14:paraId="39DC50B0" w14:textId="77777777" w:rsidR="00EE632D" w:rsidRPr="004645DC" w:rsidRDefault="00DA4C35" w:rsidP="005C0EE8">
            <w:pPr>
              <w:jc w:val="left"/>
              <w:rPr>
                <w:rFonts w:eastAsiaTheme="minorEastAsia"/>
              </w:rPr>
            </w:pPr>
            <m:oMath>
              <m:sSub>
                <m:sSubPr>
                  <m:ctrlPr>
                    <w:rPr>
                      <w:rFonts w:ascii="Cambria Math" w:hAnsi="Cambria Math"/>
                    </w:rPr>
                  </m:ctrlPr>
                </m:sSubPr>
                <m:e>
                  <m:r>
                    <w:rPr>
                      <w:rFonts w:ascii="Cambria Math" w:hAnsi="Cambria Math"/>
                    </w:rPr>
                    <m:t>Ѧ</m:t>
                  </m:r>
                </m:e>
                <m:sub>
                  <m:r>
                    <m:rPr>
                      <m:sty m:val="p"/>
                    </m:rPr>
                    <w:rPr>
                      <w:rFonts w:ascii="Cambria Math" w:hAnsi="Cambria Math"/>
                    </w:rPr>
                    <m:t>1(tu)</m:t>
                  </m:r>
                </m:sub>
              </m:sSub>
              <m:r>
                <w:rPr>
                  <w:rFonts w:ascii="Cambria Math" w:hAnsi="Cambria Math"/>
                </w:rPr>
                <m:t xml:space="preserve">= </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1(tu)</m:t>
                  </m:r>
                </m:sub>
              </m:sSub>
            </m:oMath>
            <w:r w:rsidR="00EE632D">
              <w:rPr>
                <w:rFonts w:eastAsiaTheme="minorEastAsia"/>
              </w:rPr>
              <w:t xml:space="preserve"> x </w:t>
            </w:r>
            <m:oMath>
              <m:sSub>
                <m:sSubPr>
                  <m:ctrlPr>
                    <w:rPr>
                      <w:rFonts w:ascii="Cambria Math" w:hAnsi="Cambria Math"/>
                      <w:i/>
                      <w:lang w:val="en-US"/>
                    </w:rPr>
                  </m:ctrlPr>
                </m:sSubPr>
                <m:e>
                  <m:r>
                    <w:rPr>
                      <w:rFonts w:ascii="Cambria Math" w:hAnsi="Cambria Math"/>
                      <w:lang w:val="en-US"/>
                    </w:rPr>
                    <m:t>þ</m:t>
                  </m:r>
                </m:e>
                <m:sub>
                  <m:r>
                    <w:rPr>
                      <w:rFonts w:ascii="Cambria Math" w:hAnsi="Cambria Math"/>
                      <w:lang w:val="en-US"/>
                    </w:rPr>
                    <m:t>r(tu)</m:t>
                  </m:r>
                </m:sub>
              </m:sSub>
            </m:oMath>
          </w:p>
        </w:tc>
        <w:tc>
          <w:tcPr>
            <w:tcW w:w="4661" w:type="dxa"/>
            <w:vAlign w:val="center"/>
          </w:tcPr>
          <w:p w14:paraId="5410365F" w14:textId="77777777" w:rsidR="00EE632D" w:rsidRDefault="00EE632D" w:rsidP="005C0EE8">
            <w:pPr>
              <w:jc w:val="left"/>
            </w:pPr>
            <w:r>
              <w:t xml:space="preserve">                                                                 (A.2)</w:t>
            </w:r>
          </w:p>
        </w:tc>
      </w:tr>
    </w:tbl>
    <w:p w14:paraId="44A221C2" w14:textId="77777777" w:rsidR="00E31394" w:rsidRDefault="00E31394" w:rsidP="00763B5D">
      <w:pPr>
        <w:ind w:firstLine="720"/>
        <w:rPr>
          <w:rFonts w:eastAsiaTheme="minorEastAsia"/>
        </w:rPr>
      </w:pPr>
    </w:p>
    <w:p w14:paraId="7F343DF2" w14:textId="77777777" w:rsidR="00EA117B" w:rsidRDefault="00EA117B" w:rsidP="00EA117B">
      <w:pPr>
        <w:ind w:firstLine="720"/>
        <w:rPr>
          <w:rFonts w:eastAsiaTheme="minorEastAsia"/>
        </w:rPr>
      </w:pPr>
      <w:r>
        <w:rPr>
          <w:rFonts w:eastAsiaTheme="minorEastAsia"/>
        </w:rPr>
        <w:t xml:space="preserve">Therefore, the final </w:t>
      </w:r>
      <m:oMath>
        <m:sSub>
          <m:sSubPr>
            <m:ctrlPr>
              <w:rPr>
                <w:rFonts w:ascii="Cambria Math" w:hAnsi="Cambria Math"/>
              </w:rPr>
            </m:ctrlPr>
          </m:sSubPr>
          <m:e>
            <m:r>
              <w:rPr>
                <w:rFonts w:ascii="Cambria Math" w:hAnsi="Cambria Math"/>
              </w:rPr>
              <m:t>Ѧ</m:t>
            </m:r>
          </m:e>
          <m:sub>
            <m:r>
              <m:rPr>
                <m:sty m:val="p"/>
              </m:rPr>
              <w:rPr>
                <w:rFonts w:ascii="Cambria Math" w:hAnsi="Cambria Math"/>
              </w:rPr>
              <m:t>1</m:t>
            </m:r>
          </m:sub>
        </m:sSub>
      </m:oMath>
      <w:r>
        <w:rPr>
          <w:rFonts w:eastAsiaTheme="minorEastAsia"/>
        </w:rPr>
        <w:t xml:space="preserve"> matrix will be:</w:t>
      </w:r>
    </w:p>
    <w:p w14:paraId="74B4716A" w14:textId="70731D62" w:rsidR="00604DAD" w:rsidRDefault="00604DAD" w:rsidP="00604DAD">
      <w:pPr>
        <w:jc w:val="left"/>
        <w:rPr>
          <w:rFonts w:eastAsiaTheme="minorEastAsia"/>
        </w:rPr>
      </w:pPr>
      <w:r>
        <w:rPr>
          <w:noProof/>
          <w:lang w:val="en-US"/>
        </w:rPr>
        <w:drawing>
          <wp:inline distT="0" distB="0" distL="0" distR="0" wp14:anchorId="196AFE4A" wp14:editId="38AA184D">
            <wp:extent cx="3595961" cy="2377440"/>
            <wp:effectExtent l="0" t="0" r="508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95961" cy="2377440"/>
                    </a:xfrm>
                    <a:prstGeom prst="rect">
                      <a:avLst/>
                    </a:prstGeom>
                  </pic:spPr>
                </pic:pic>
              </a:graphicData>
            </a:graphic>
          </wp:inline>
        </w:drawing>
      </w:r>
    </w:p>
    <w:p w14:paraId="633E6A4D" w14:textId="77777777" w:rsidR="0041592C" w:rsidRDefault="00EC0568" w:rsidP="009C64DE">
      <w:pPr>
        <w:rPr>
          <w:rFonts w:eastAsiaTheme="minorEastAsia"/>
        </w:rPr>
      </w:pPr>
      <w:r>
        <w:rPr>
          <w:rFonts w:eastAsiaTheme="minorEastAsia"/>
        </w:rPr>
        <w:tab/>
      </w:r>
    </w:p>
    <w:p w14:paraId="7EF6B64A" w14:textId="79C1F8A8" w:rsidR="009F11DE" w:rsidRDefault="0045243D" w:rsidP="009C64DE">
      <w:pPr>
        <w:ind w:firstLine="720"/>
        <w:rPr>
          <w:rFonts w:eastAsiaTheme="minorEastAsia"/>
        </w:rPr>
      </w:pPr>
      <w:r>
        <w:rPr>
          <w:rFonts w:eastAsiaTheme="minorEastAsia"/>
        </w:rPr>
        <w:t xml:space="preserve">As we can see, </w:t>
      </w:r>
      <w:r w:rsidR="009F11DE">
        <w:rPr>
          <w:rFonts w:eastAsiaTheme="minorEastAsia"/>
        </w:rPr>
        <w:t xml:space="preserve">using our proposed joint system, within the crash count component itself, we can test for different combination of correlations with different signs. We allow the </w:t>
      </w:r>
      <w:r w:rsidR="00A55B61">
        <w:rPr>
          <w:rFonts w:eastAsiaTheme="minorEastAsia"/>
        </w:rPr>
        <w:t xml:space="preserve">similar </w:t>
      </w:r>
      <m:oMath>
        <m:sSub>
          <m:sSubPr>
            <m:ctrlPr>
              <w:rPr>
                <w:rFonts w:ascii="Cambria Math" w:hAnsi="Cambria Math"/>
                <w:i/>
                <w:lang w:val="en-US"/>
              </w:rPr>
            </m:ctrlPr>
          </m:sSubPr>
          <m:e>
            <m:r>
              <w:rPr>
                <w:rFonts w:ascii="Cambria Math" w:hAnsi="Cambria Math"/>
                <w:lang w:val="en-US"/>
              </w:rPr>
              <m:t>þ</m:t>
            </m:r>
          </m:e>
          <m:sub>
            <m:r>
              <w:rPr>
                <w:rFonts w:ascii="Cambria Math" w:hAnsi="Cambria Math"/>
                <w:lang w:val="en-US"/>
              </w:rPr>
              <m:t>k</m:t>
            </m:r>
          </m:sub>
        </m:sSub>
        <m:r>
          <m:rPr>
            <m:sty m:val="p"/>
          </m:rPr>
          <w:rPr>
            <w:rFonts w:ascii="Cambria Math" w:eastAsiaTheme="minorEastAsia" w:hAnsi="Cambria Math"/>
            <w:lang w:val="en-US"/>
          </w:rPr>
          <m:t xml:space="preserve"> </m:t>
        </m:r>
        <m:r>
          <m:rPr>
            <m:sty m:val="p"/>
          </m:rPr>
          <w:rPr>
            <w:rFonts w:ascii="Cambria Math" w:eastAsiaTheme="minorEastAsia"/>
            <w:lang w:val="en-US"/>
          </w:rPr>
          <m:t xml:space="preserve"> or </m:t>
        </m:r>
        <m:sSub>
          <m:sSubPr>
            <m:ctrlPr>
              <w:rPr>
                <w:rFonts w:ascii="Cambria Math" w:hAnsi="Cambria Math"/>
                <w:i/>
                <w:lang w:val="en-US"/>
              </w:rPr>
            </m:ctrlPr>
          </m:sSubPr>
          <m:e>
            <m:r>
              <w:rPr>
                <w:rFonts w:ascii="Cambria Math" w:hAnsi="Cambria Math"/>
                <w:lang w:val="en-US"/>
              </w:rPr>
              <m:t>þ</m:t>
            </m:r>
          </m:e>
          <m:sub>
            <m:r>
              <w:rPr>
                <w:rFonts w:ascii="Cambria Math" w:hAnsi="Cambria Math"/>
                <w:lang w:val="en-US"/>
              </w:rPr>
              <m:t>rk</m:t>
            </m:r>
          </m:sub>
        </m:sSub>
      </m:oMath>
      <w:r w:rsidR="007630CE">
        <w:rPr>
          <w:rFonts w:eastAsiaTheme="minorEastAsia"/>
          <w:lang w:val="en-US"/>
        </w:rPr>
        <w:t xml:space="preserve"> </w:t>
      </w:r>
      <w:r w:rsidR="007630CE">
        <w:rPr>
          <w:rFonts w:eastAsiaTheme="minorEastAsia"/>
        </w:rPr>
        <w:t>term</w:t>
      </w:r>
      <w:r w:rsidR="00A55B61">
        <w:rPr>
          <w:rFonts w:eastAsiaTheme="minorEastAsia"/>
        </w:rPr>
        <w:t>s</w:t>
      </w:r>
      <w:r w:rsidR="009F11DE">
        <w:rPr>
          <w:rFonts w:eastAsiaTheme="minorEastAsia"/>
        </w:rPr>
        <w:t xml:space="preserve"> </w:t>
      </w:r>
      <w:r w:rsidR="00A55B61">
        <w:rPr>
          <w:rFonts w:eastAsiaTheme="minorEastAsia"/>
        </w:rPr>
        <w:t xml:space="preserve">within </w:t>
      </w:r>
      <w:r w:rsidR="009F11DE">
        <w:rPr>
          <w:rFonts w:eastAsiaTheme="minorEastAsia"/>
        </w:rPr>
        <w:t xml:space="preserve">the </w:t>
      </w:r>
      <m:oMath>
        <m:sSub>
          <m:sSubPr>
            <m:ctrlPr>
              <w:rPr>
                <w:rFonts w:ascii="Cambria Math" w:hAnsi="Cambria Math"/>
              </w:rPr>
            </m:ctrlPr>
          </m:sSubPr>
          <m:e>
            <m:r>
              <w:rPr>
                <w:rFonts w:ascii="Cambria Math" w:hAnsi="Cambria Math"/>
              </w:rPr>
              <m:t>Ѧ</m:t>
            </m:r>
          </m:e>
          <m:sub>
            <m:r>
              <m:rPr>
                <m:sty m:val="p"/>
              </m:rPr>
              <w:rPr>
                <w:rFonts w:ascii="Cambria Math" w:hAnsi="Cambria Math"/>
              </w:rPr>
              <m:t>2</m:t>
            </m:r>
          </m:sub>
        </m:sSub>
        <m:r>
          <w:rPr>
            <w:rFonts w:ascii="Cambria Math" w:hAnsi="Cambria Math"/>
          </w:rPr>
          <m:t xml:space="preserve"> and </m:t>
        </m:r>
        <m:sSub>
          <m:sSubPr>
            <m:ctrlPr>
              <w:rPr>
                <w:rFonts w:ascii="Cambria Math" w:hAnsi="Cambria Math"/>
              </w:rPr>
            </m:ctrlPr>
          </m:sSubPr>
          <m:e>
            <m:r>
              <w:rPr>
                <w:rFonts w:ascii="Cambria Math" w:hAnsi="Cambria Math"/>
              </w:rPr>
              <m:t>Ѧ</m:t>
            </m:r>
          </m:e>
          <m:sub>
            <m:r>
              <m:rPr>
                <m:sty m:val="p"/>
              </m:rPr>
              <w:rPr>
                <w:rFonts w:ascii="Cambria Math" w:hAnsi="Cambria Math"/>
              </w:rPr>
              <m:t>3</m:t>
            </m:r>
          </m:sub>
        </m:sSub>
      </m:oMath>
      <w:r w:rsidR="009F11DE">
        <w:rPr>
          <w:rFonts w:eastAsiaTheme="minorEastAsia"/>
        </w:rPr>
        <w:t xml:space="preserve"> correlation matrix</w:t>
      </w:r>
      <w:r w:rsidR="007630CE">
        <w:rPr>
          <w:rFonts w:eastAsiaTheme="minorEastAsia"/>
        </w:rPr>
        <w:t xml:space="preserve"> to allow for the positive and negative correlations. </w:t>
      </w:r>
    </w:p>
    <w:p w14:paraId="6081FCD3" w14:textId="75CD096F" w:rsidR="009F11DE" w:rsidRDefault="009F11DE" w:rsidP="0041592C">
      <w:pPr>
        <w:ind w:firstLine="720"/>
        <w:jc w:val="left"/>
        <w:rPr>
          <w:rFonts w:eastAsiaTheme="minorEastAsia"/>
        </w:rPr>
      </w:pPr>
    </w:p>
    <w:p w14:paraId="00E7988A" w14:textId="46244F7F" w:rsidR="00CA63E8" w:rsidRDefault="00CA63E8" w:rsidP="00886AB5">
      <w:pPr>
        <w:rPr>
          <w:b/>
          <w:bCs/>
        </w:rPr>
      </w:pPr>
    </w:p>
    <w:p w14:paraId="3B507434" w14:textId="77777777" w:rsidR="0000454D" w:rsidRDefault="0000454D" w:rsidP="00886AB5">
      <w:pPr>
        <w:rPr>
          <w:b/>
          <w:bCs/>
        </w:rPr>
      </w:pPr>
    </w:p>
    <w:p w14:paraId="6E8D3367" w14:textId="23D1A02D" w:rsidR="00186AAD" w:rsidRPr="00886AB5" w:rsidRDefault="00186AAD" w:rsidP="00886AB5">
      <w:pPr>
        <w:rPr>
          <w:b/>
          <w:bCs/>
        </w:rPr>
        <w:sectPr w:rsidR="00186AAD" w:rsidRPr="00886AB5" w:rsidSect="00D921E8">
          <w:headerReference w:type="default" r:id="rId41"/>
          <w:headerReference w:type="first" r:id="rId42"/>
          <w:type w:val="continuous"/>
          <w:pgSz w:w="12240" w:h="15840" w:code="1"/>
          <w:pgMar w:top="1440" w:right="1440" w:bottom="1440" w:left="1469" w:header="720" w:footer="720" w:gutter="0"/>
          <w:cols w:space="708"/>
          <w:titlePg/>
          <w:docGrid w:linePitch="360"/>
        </w:sectPr>
      </w:pPr>
    </w:p>
    <w:p w14:paraId="05091F7E" w14:textId="72E6A3D9" w:rsidR="00A95D9C" w:rsidRDefault="00A95D9C" w:rsidP="00650053">
      <w:pPr>
        <w:rPr>
          <w:b/>
          <w:bCs/>
        </w:rPr>
      </w:pPr>
      <w:r w:rsidRPr="00650053">
        <w:rPr>
          <w:b/>
          <w:bCs/>
        </w:rPr>
        <w:lastRenderedPageBreak/>
        <w:t>Independent Model</w:t>
      </w:r>
      <w:r w:rsidR="00DB74D8">
        <w:rPr>
          <w:b/>
          <w:bCs/>
        </w:rPr>
        <w:t xml:space="preserve"> Results</w:t>
      </w:r>
    </w:p>
    <w:p w14:paraId="4A59EB43" w14:textId="77777777" w:rsidR="00F35D43" w:rsidRPr="00650053" w:rsidRDefault="00F35D43" w:rsidP="00650053">
      <w:pPr>
        <w:rPr>
          <w:b/>
          <w:bCs/>
        </w:rPr>
      </w:pPr>
    </w:p>
    <w:p w14:paraId="3E1877BB" w14:textId="7FD0B6FE" w:rsidR="00E7034E" w:rsidRPr="00802839" w:rsidRDefault="00244F8F" w:rsidP="00802839">
      <w:pPr>
        <w:jc w:val="center"/>
        <w:rPr>
          <w:b/>
          <w:bCs/>
        </w:rPr>
      </w:pPr>
      <w:r w:rsidRPr="00802839">
        <w:rPr>
          <w:b/>
          <w:bCs/>
        </w:rPr>
        <w:t>TABLE</w:t>
      </w:r>
      <w:r w:rsidR="00E7034E" w:rsidRPr="00802839">
        <w:rPr>
          <w:b/>
          <w:bCs/>
        </w:rPr>
        <w:t xml:space="preserve"> </w:t>
      </w:r>
      <w:r w:rsidR="00767050" w:rsidRPr="00802839">
        <w:rPr>
          <w:b/>
          <w:bCs/>
        </w:rPr>
        <w:t>A.1</w:t>
      </w:r>
      <w:r w:rsidR="00E7034E" w:rsidRPr="00802839">
        <w:rPr>
          <w:b/>
          <w:bCs/>
        </w:rPr>
        <w:t xml:space="preserve"> Independent Panel NB model</w:t>
      </w:r>
    </w:p>
    <w:tbl>
      <w:tblPr>
        <w:tblW w:w="12855" w:type="dxa"/>
        <w:tblLook w:val="04A0" w:firstRow="1" w:lastRow="0" w:firstColumn="1" w:lastColumn="0" w:noHBand="0" w:noVBand="1"/>
      </w:tblPr>
      <w:tblGrid>
        <w:gridCol w:w="1965"/>
        <w:gridCol w:w="916"/>
        <w:gridCol w:w="879"/>
        <w:gridCol w:w="17"/>
        <w:gridCol w:w="899"/>
        <w:gridCol w:w="900"/>
        <w:gridCol w:w="916"/>
        <w:gridCol w:w="900"/>
        <w:gridCol w:w="916"/>
        <w:gridCol w:w="900"/>
        <w:gridCol w:w="916"/>
        <w:gridCol w:w="931"/>
        <w:gridCol w:w="7"/>
        <w:gridCol w:w="909"/>
        <w:gridCol w:w="884"/>
      </w:tblGrid>
      <w:tr w:rsidR="00E7034E" w:rsidRPr="00E75453" w14:paraId="3DF4406A" w14:textId="77777777" w:rsidTr="00D34B75">
        <w:trPr>
          <w:trHeight w:val="300"/>
        </w:trPr>
        <w:tc>
          <w:tcPr>
            <w:tcW w:w="1965" w:type="dxa"/>
            <w:vMerge w:val="restart"/>
            <w:tcBorders>
              <w:top w:val="double" w:sz="4" w:space="0" w:color="auto"/>
              <w:left w:val="double" w:sz="4" w:space="0" w:color="auto"/>
              <w:right w:val="single" w:sz="4" w:space="0" w:color="auto"/>
            </w:tcBorders>
            <w:shd w:val="clear" w:color="auto" w:fill="auto"/>
            <w:noWrap/>
            <w:vAlign w:val="center"/>
            <w:hideMark/>
          </w:tcPr>
          <w:p w14:paraId="4BB61334" w14:textId="77777777" w:rsidR="00E7034E" w:rsidRPr="00E75453" w:rsidRDefault="00E7034E" w:rsidP="00D34B75">
            <w:pPr>
              <w:jc w:val="center"/>
              <w:rPr>
                <w:rFonts w:eastAsia="Times New Roman" w:cs="Times New Roman"/>
                <w:color w:val="000000"/>
                <w:sz w:val="20"/>
                <w:szCs w:val="20"/>
              </w:rPr>
            </w:pPr>
            <w:r w:rsidRPr="000B6500">
              <w:rPr>
                <w:rFonts w:eastAsia="Times New Roman" w:cs="Times New Roman"/>
                <w:b/>
                <w:color w:val="000000"/>
                <w:sz w:val="20"/>
                <w:szCs w:val="20"/>
              </w:rPr>
              <w:t>Variable</w:t>
            </w:r>
            <w:r>
              <w:rPr>
                <w:rFonts w:eastAsia="Times New Roman" w:cs="Times New Roman"/>
                <w:b/>
                <w:color w:val="000000"/>
                <w:sz w:val="20"/>
                <w:szCs w:val="20"/>
              </w:rPr>
              <w:t>s (np)</w:t>
            </w:r>
          </w:p>
        </w:tc>
        <w:tc>
          <w:tcPr>
            <w:tcW w:w="1812" w:type="dxa"/>
            <w:gridSpan w:val="3"/>
            <w:tcBorders>
              <w:top w:val="double" w:sz="4" w:space="0" w:color="auto"/>
              <w:left w:val="nil"/>
              <w:bottom w:val="single" w:sz="4" w:space="0" w:color="auto"/>
              <w:right w:val="single" w:sz="4" w:space="0" w:color="auto"/>
            </w:tcBorders>
            <w:shd w:val="clear" w:color="auto" w:fill="auto"/>
            <w:noWrap/>
            <w:vAlign w:val="center"/>
            <w:hideMark/>
          </w:tcPr>
          <w:p w14:paraId="230B9CAA" w14:textId="77777777" w:rsidR="00E7034E" w:rsidRPr="00E75453" w:rsidRDefault="00E7034E" w:rsidP="00D34B75">
            <w:pPr>
              <w:jc w:val="center"/>
              <w:rPr>
                <w:rFonts w:eastAsia="Times New Roman" w:cs="Times New Roman"/>
                <w:b/>
                <w:color w:val="000000"/>
                <w:sz w:val="20"/>
                <w:szCs w:val="20"/>
              </w:rPr>
            </w:pPr>
            <w:r w:rsidRPr="00E75453">
              <w:rPr>
                <w:rFonts w:eastAsia="Times New Roman" w:cs="Times New Roman"/>
                <w:b/>
                <w:color w:val="000000"/>
                <w:sz w:val="20"/>
                <w:szCs w:val="20"/>
              </w:rPr>
              <w:t>Rear End</w:t>
            </w:r>
          </w:p>
        </w:tc>
        <w:tc>
          <w:tcPr>
            <w:tcW w:w="1799" w:type="dxa"/>
            <w:gridSpan w:val="2"/>
            <w:tcBorders>
              <w:top w:val="double" w:sz="4" w:space="0" w:color="auto"/>
              <w:left w:val="nil"/>
              <w:bottom w:val="single" w:sz="4" w:space="0" w:color="auto"/>
              <w:right w:val="single" w:sz="4" w:space="0" w:color="auto"/>
            </w:tcBorders>
            <w:shd w:val="clear" w:color="auto" w:fill="auto"/>
            <w:noWrap/>
            <w:vAlign w:val="center"/>
            <w:hideMark/>
          </w:tcPr>
          <w:p w14:paraId="0F85F962" w14:textId="77777777" w:rsidR="00E7034E" w:rsidRPr="00E75453" w:rsidRDefault="00E7034E" w:rsidP="00D34B75">
            <w:pPr>
              <w:jc w:val="center"/>
              <w:rPr>
                <w:rFonts w:eastAsia="Times New Roman" w:cs="Times New Roman"/>
                <w:b/>
                <w:color w:val="000000"/>
                <w:sz w:val="20"/>
                <w:szCs w:val="20"/>
              </w:rPr>
            </w:pPr>
            <w:r w:rsidRPr="00E75453">
              <w:rPr>
                <w:rFonts w:eastAsia="Times New Roman" w:cs="Times New Roman"/>
                <w:b/>
                <w:color w:val="000000"/>
                <w:sz w:val="20"/>
                <w:szCs w:val="20"/>
              </w:rPr>
              <w:t>Angular</w:t>
            </w:r>
          </w:p>
        </w:tc>
        <w:tc>
          <w:tcPr>
            <w:tcW w:w="1816" w:type="dxa"/>
            <w:gridSpan w:val="2"/>
            <w:tcBorders>
              <w:top w:val="double" w:sz="4" w:space="0" w:color="auto"/>
              <w:left w:val="nil"/>
              <w:bottom w:val="single" w:sz="4" w:space="0" w:color="auto"/>
              <w:right w:val="single" w:sz="4" w:space="0" w:color="auto"/>
            </w:tcBorders>
            <w:shd w:val="clear" w:color="auto" w:fill="auto"/>
            <w:noWrap/>
            <w:vAlign w:val="center"/>
            <w:hideMark/>
          </w:tcPr>
          <w:p w14:paraId="21BCCCFD" w14:textId="77777777" w:rsidR="00E7034E" w:rsidRPr="00E75453" w:rsidRDefault="00E7034E" w:rsidP="00D34B75">
            <w:pPr>
              <w:jc w:val="center"/>
              <w:rPr>
                <w:rFonts w:eastAsia="Times New Roman" w:cs="Times New Roman"/>
                <w:b/>
                <w:color w:val="000000"/>
                <w:sz w:val="20"/>
                <w:szCs w:val="20"/>
              </w:rPr>
            </w:pPr>
            <w:r w:rsidRPr="00E75453">
              <w:rPr>
                <w:rFonts w:eastAsia="Times New Roman" w:cs="Times New Roman"/>
                <w:b/>
                <w:color w:val="000000"/>
                <w:sz w:val="20"/>
                <w:szCs w:val="20"/>
              </w:rPr>
              <w:t>Sideswipe</w:t>
            </w:r>
          </w:p>
        </w:tc>
        <w:tc>
          <w:tcPr>
            <w:tcW w:w="1816" w:type="dxa"/>
            <w:gridSpan w:val="2"/>
            <w:tcBorders>
              <w:top w:val="double" w:sz="4" w:space="0" w:color="auto"/>
              <w:left w:val="nil"/>
              <w:bottom w:val="single" w:sz="4" w:space="0" w:color="auto"/>
              <w:right w:val="single" w:sz="4" w:space="0" w:color="auto"/>
            </w:tcBorders>
            <w:shd w:val="clear" w:color="auto" w:fill="auto"/>
            <w:noWrap/>
            <w:vAlign w:val="center"/>
            <w:hideMark/>
          </w:tcPr>
          <w:p w14:paraId="6310DC13" w14:textId="77777777" w:rsidR="00E7034E" w:rsidRPr="00E75453" w:rsidRDefault="00E7034E" w:rsidP="00D34B75">
            <w:pPr>
              <w:jc w:val="center"/>
              <w:rPr>
                <w:rFonts w:eastAsia="Times New Roman" w:cs="Times New Roman"/>
                <w:b/>
                <w:color w:val="000000"/>
                <w:sz w:val="20"/>
                <w:szCs w:val="20"/>
              </w:rPr>
            </w:pPr>
            <w:r>
              <w:rPr>
                <w:rFonts w:eastAsia="Times New Roman" w:cs="Times New Roman"/>
                <w:b/>
                <w:color w:val="000000"/>
                <w:sz w:val="20"/>
                <w:szCs w:val="20"/>
              </w:rPr>
              <w:t>Head-on</w:t>
            </w:r>
          </w:p>
        </w:tc>
        <w:tc>
          <w:tcPr>
            <w:tcW w:w="1854" w:type="dxa"/>
            <w:gridSpan w:val="3"/>
            <w:tcBorders>
              <w:top w:val="double" w:sz="4" w:space="0" w:color="auto"/>
              <w:left w:val="nil"/>
              <w:bottom w:val="single" w:sz="4" w:space="0" w:color="auto"/>
              <w:right w:val="single" w:sz="4" w:space="0" w:color="auto"/>
            </w:tcBorders>
            <w:shd w:val="clear" w:color="auto" w:fill="auto"/>
            <w:noWrap/>
            <w:vAlign w:val="center"/>
            <w:hideMark/>
          </w:tcPr>
          <w:p w14:paraId="18D7C0C3" w14:textId="77777777" w:rsidR="00E7034E" w:rsidRPr="00E75453" w:rsidRDefault="00E7034E" w:rsidP="00D34B75">
            <w:pPr>
              <w:jc w:val="center"/>
              <w:rPr>
                <w:rFonts w:eastAsia="Times New Roman" w:cs="Times New Roman"/>
                <w:b/>
                <w:color w:val="000000"/>
                <w:sz w:val="20"/>
                <w:szCs w:val="20"/>
              </w:rPr>
            </w:pPr>
            <w:r>
              <w:rPr>
                <w:rFonts w:eastAsia="Times New Roman" w:cs="Times New Roman"/>
                <w:b/>
                <w:color w:val="000000"/>
                <w:sz w:val="20"/>
              </w:rPr>
              <w:t>Single</w:t>
            </w:r>
            <w:r w:rsidRPr="00240799">
              <w:rPr>
                <w:rFonts w:eastAsia="Times New Roman" w:cs="Times New Roman"/>
                <w:b/>
                <w:color w:val="000000"/>
                <w:sz w:val="20"/>
              </w:rPr>
              <w:t xml:space="preserve"> vehicle</w:t>
            </w:r>
          </w:p>
        </w:tc>
        <w:tc>
          <w:tcPr>
            <w:tcW w:w="1793" w:type="dxa"/>
            <w:gridSpan w:val="2"/>
            <w:tcBorders>
              <w:top w:val="double" w:sz="4" w:space="0" w:color="auto"/>
              <w:left w:val="nil"/>
              <w:bottom w:val="single" w:sz="4" w:space="0" w:color="auto"/>
              <w:right w:val="double" w:sz="4" w:space="0" w:color="auto"/>
            </w:tcBorders>
            <w:shd w:val="clear" w:color="auto" w:fill="auto"/>
            <w:noWrap/>
            <w:vAlign w:val="center"/>
            <w:hideMark/>
          </w:tcPr>
          <w:p w14:paraId="280AB5FC" w14:textId="77777777" w:rsidR="00E7034E" w:rsidRPr="00E75453" w:rsidRDefault="00E7034E" w:rsidP="00D34B75">
            <w:pPr>
              <w:jc w:val="center"/>
              <w:rPr>
                <w:rFonts w:eastAsia="Times New Roman" w:cs="Times New Roman"/>
                <w:b/>
                <w:color w:val="000000"/>
                <w:sz w:val="20"/>
                <w:szCs w:val="20"/>
              </w:rPr>
            </w:pPr>
            <w:r w:rsidRPr="00E75453">
              <w:rPr>
                <w:rFonts w:eastAsia="Times New Roman" w:cs="Times New Roman"/>
                <w:b/>
                <w:color w:val="000000"/>
                <w:sz w:val="20"/>
                <w:szCs w:val="20"/>
              </w:rPr>
              <w:t>Non-motorized</w:t>
            </w:r>
          </w:p>
        </w:tc>
      </w:tr>
      <w:tr w:rsidR="00E7034E" w:rsidRPr="00E75453" w14:paraId="5B053279" w14:textId="77777777" w:rsidTr="00D34B75">
        <w:trPr>
          <w:trHeight w:val="300"/>
        </w:trPr>
        <w:tc>
          <w:tcPr>
            <w:tcW w:w="1965" w:type="dxa"/>
            <w:vMerge/>
            <w:tcBorders>
              <w:left w:val="double" w:sz="4" w:space="0" w:color="auto"/>
              <w:bottom w:val="double" w:sz="4" w:space="0" w:color="auto"/>
              <w:right w:val="single" w:sz="4" w:space="0" w:color="auto"/>
            </w:tcBorders>
            <w:shd w:val="clear" w:color="auto" w:fill="auto"/>
            <w:noWrap/>
            <w:vAlign w:val="center"/>
          </w:tcPr>
          <w:p w14:paraId="5E58015E" w14:textId="77777777" w:rsidR="00E7034E" w:rsidRDefault="00E7034E" w:rsidP="00D34B75">
            <w:pPr>
              <w:rPr>
                <w:rFonts w:eastAsia="Times New Roman" w:cs="Times New Roman"/>
                <w:color w:val="000000"/>
                <w:sz w:val="20"/>
                <w:szCs w:val="20"/>
              </w:rPr>
            </w:pPr>
          </w:p>
        </w:tc>
        <w:tc>
          <w:tcPr>
            <w:tcW w:w="916" w:type="dxa"/>
            <w:tcBorders>
              <w:top w:val="nil"/>
              <w:left w:val="nil"/>
              <w:bottom w:val="double" w:sz="4" w:space="0" w:color="auto"/>
              <w:right w:val="single" w:sz="4" w:space="0" w:color="auto"/>
            </w:tcBorders>
            <w:shd w:val="clear" w:color="auto" w:fill="auto"/>
            <w:noWrap/>
            <w:vAlign w:val="center"/>
          </w:tcPr>
          <w:p w14:paraId="71394B56" w14:textId="77777777" w:rsidR="00E7034E" w:rsidRPr="00E75453" w:rsidRDefault="00E7034E" w:rsidP="00D34B75">
            <w:pPr>
              <w:jc w:val="center"/>
              <w:rPr>
                <w:rFonts w:eastAsia="Times New Roman" w:cs="Times New Roman"/>
                <w:color w:val="000000"/>
                <w:sz w:val="20"/>
                <w:szCs w:val="20"/>
              </w:rPr>
            </w:pPr>
            <w:r>
              <w:rPr>
                <w:rFonts w:eastAsia="Times New Roman" w:cs="Times New Roman"/>
                <w:color w:val="000000"/>
                <w:sz w:val="20"/>
                <w:szCs w:val="20"/>
              </w:rPr>
              <w:t>Estimate</w:t>
            </w:r>
          </w:p>
        </w:tc>
        <w:tc>
          <w:tcPr>
            <w:tcW w:w="879" w:type="dxa"/>
            <w:tcBorders>
              <w:top w:val="nil"/>
              <w:left w:val="nil"/>
              <w:bottom w:val="double" w:sz="4" w:space="0" w:color="auto"/>
              <w:right w:val="single" w:sz="4" w:space="0" w:color="auto"/>
            </w:tcBorders>
            <w:shd w:val="clear" w:color="auto" w:fill="auto"/>
            <w:noWrap/>
            <w:vAlign w:val="center"/>
          </w:tcPr>
          <w:p w14:paraId="3E0C1A6D" w14:textId="77777777" w:rsidR="00E7034E" w:rsidRPr="00E75453" w:rsidRDefault="00E7034E" w:rsidP="00D34B75">
            <w:pPr>
              <w:jc w:val="center"/>
              <w:rPr>
                <w:rFonts w:eastAsia="Times New Roman" w:cs="Times New Roman"/>
                <w:color w:val="000000"/>
                <w:sz w:val="20"/>
                <w:szCs w:val="20"/>
              </w:rPr>
            </w:pPr>
            <w:r>
              <w:rPr>
                <w:rFonts w:eastAsia="Times New Roman" w:cs="Times New Roman"/>
                <w:color w:val="000000"/>
                <w:sz w:val="20"/>
                <w:szCs w:val="20"/>
              </w:rPr>
              <w:t>t-stat</w:t>
            </w:r>
          </w:p>
        </w:tc>
        <w:tc>
          <w:tcPr>
            <w:tcW w:w="916" w:type="dxa"/>
            <w:gridSpan w:val="2"/>
            <w:tcBorders>
              <w:top w:val="nil"/>
              <w:left w:val="nil"/>
              <w:bottom w:val="double" w:sz="4" w:space="0" w:color="auto"/>
              <w:right w:val="single" w:sz="4" w:space="0" w:color="auto"/>
            </w:tcBorders>
            <w:shd w:val="clear" w:color="auto" w:fill="auto"/>
            <w:noWrap/>
            <w:vAlign w:val="center"/>
          </w:tcPr>
          <w:p w14:paraId="715EAEEC" w14:textId="77777777" w:rsidR="00E7034E" w:rsidRPr="00E75453" w:rsidRDefault="00E7034E" w:rsidP="00D34B75">
            <w:pPr>
              <w:jc w:val="center"/>
              <w:rPr>
                <w:rFonts w:eastAsia="Times New Roman" w:cs="Times New Roman"/>
                <w:color w:val="000000"/>
                <w:sz w:val="20"/>
                <w:szCs w:val="20"/>
              </w:rPr>
            </w:pPr>
            <w:r>
              <w:rPr>
                <w:rFonts w:eastAsia="Times New Roman" w:cs="Times New Roman"/>
                <w:color w:val="000000"/>
                <w:sz w:val="20"/>
                <w:szCs w:val="20"/>
              </w:rPr>
              <w:t>Estimate</w:t>
            </w:r>
          </w:p>
        </w:tc>
        <w:tc>
          <w:tcPr>
            <w:tcW w:w="900" w:type="dxa"/>
            <w:tcBorders>
              <w:top w:val="nil"/>
              <w:left w:val="nil"/>
              <w:bottom w:val="double" w:sz="4" w:space="0" w:color="auto"/>
              <w:right w:val="single" w:sz="4" w:space="0" w:color="auto"/>
            </w:tcBorders>
            <w:shd w:val="clear" w:color="auto" w:fill="auto"/>
            <w:noWrap/>
            <w:vAlign w:val="center"/>
          </w:tcPr>
          <w:p w14:paraId="58698014" w14:textId="77777777" w:rsidR="00E7034E" w:rsidRPr="00E75453" w:rsidRDefault="00E7034E" w:rsidP="00D34B75">
            <w:pPr>
              <w:jc w:val="center"/>
              <w:rPr>
                <w:rFonts w:eastAsia="Times New Roman" w:cs="Times New Roman"/>
                <w:color w:val="000000"/>
                <w:sz w:val="20"/>
                <w:szCs w:val="20"/>
              </w:rPr>
            </w:pPr>
            <w:r>
              <w:rPr>
                <w:rFonts w:eastAsia="Times New Roman" w:cs="Times New Roman"/>
                <w:color w:val="000000"/>
                <w:sz w:val="20"/>
                <w:szCs w:val="20"/>
              </w:rPr>
              <w:t>t-stat</w:t>
            </w:r>
          </w:p>
        </w:tc>
        <w:tc>
          <w:tcPr>
            <w:tcW w:w="916" w:type="dxa"/>
            <w:tcBorders>
              <w:top w:val="nil"/>
              <w:left w:val="nil"/>
              <w:bottom w:val="double" w:sz="4" w:space="0" w:color="auto"/>
              <w:right w:val="single" w:sz="4" w:space="0" w:color="auto"/>
            </w:tcBorders>
            <w:shd w:val="clear" w:color="auto" w:fill="auto"/>
            <w:noWrap/>
            <w:vAlign w:val="center"/>
          </w:tcPr>
          <w:p w14:paraId="62637247" w14:textId="77777777" w:rsidR="00E7034E" w:rsidRPr="00E75453" w:rsidRDefault="00E7034E" w:rsidP="00D34B75">
            <w:pPr>
              <w:jc w:val="center"/>
              <w:rPr>
                <w:rFonts w:eastAsia="Times New Roman" w:cs="Times New Roman"/>
                <w:color w:val="000000"/>
                <w:sz w:val="20"/>
                <w:szCs w:val="20"/>
              </w:rPr>
            </w:pPr>
            <w:r>
              <w:rPr>
                <w:rFonts w:eastAsia="Times New Roman" w:cs="Times New Roman"/>
                <w:color w:val="000000"/>
                <w:sz w:val="20"/>
                <w:szCs w:val="20"/>
              </w:rPr>
              <w:t>Estimate</w:t>
            </w:r>
          </w:p>
        </w:tc>
        <w:tc>
          <w:tcPr>
            <w:tcW w:w="900" w:type="dxa"/>
            <w:tcBorders>
              <w:top w:val="nil"/>
              <w:left w:val="nil"/>
              <w:bottom w:val="double" w:sz="4" w:space="0" w:color="auto"/>
              <w:right w:val="single" w:sz="4" w:space="0" w:color="auto"/>
            </w:tcBorders>
            <w:shd w:val="clear" w:color="auto" w:fill="auto"/>
            <w:noWrap/>
            <w:vAlign w:val="center"/>
          </w:tcPr>
          <w:p w14:paraId="1C240708" w14:textId="77777777" w:rsidR="00E7034E" w:rsidRPr="00E75453" w:rsidRDefault="00E7034E" w:rsidP="00D34B75">
            <w:pPr>
              <w:jc w:val="center"/>
              <w:rPr>
                <w:rFonts w:eastAsia="Times New Roman" w:cs="Times New Roman"/>
                <w:color w:val="000000"/>
                <w:sz w:val="20"/>
                <w:szCs w:val="20"/>
              </w:rPr>
            </w:pPr>
            <w:r>
              <w:rPr>
                <w:rFonts w:eastAsia="Times New Roman" w:cs="Times New Roman"/>
                <w:color w:val="000000"/>
                <w:sz w:val="20"/>
                <w:szCs w:val="20"/>
              </w:rPr>
              <w:t>t-stat</w:t>
            </w:r>
          </w:p>
        </w:tc>
        <w:tc>
          <w:tcPr>
            <w:tcW w:w="916" w:type="dxa"/>
            <w:tcBorders>
              <w:top w:val="nil"/>
              <w:left w:val="nil"/>
              <w:bottom w:val="double" w:sz="4" w:space="0" w:color="auto"/>
              <w:right w:val="single" w:sz="4" w:space="0" w:color="auto"/>
            </w:tcBorders>
            <w:shd w:val="clear" w:color="auto" w:fill="auto"/>
            <w:noWrap/>
            <w:vAlign w:val="center"/>
          </w:tcPr>
          <w:p w14:paraId="2D2E6D56" w14:textId="77777777" w:rsidR="00E7034E" w:rsidRPr="00E75453" w:rsidRDefault="00E7034E" w:rsidP="00D34B75">
            <w:pPr>
              <w:jc w:val="center"/>
              <w:rPr>
                <w:rFonts w:eastAsia="Times New Roman" w:cs="Times New Roman"/>
                <w:color w:val="000000"/>
                <w:sz w:val="20"/>
                <w:szCs w:val="20"/>
              </w:rPr>
            </w:pPr>
            <w:r>
              <w:rPr>
                <w:rFonts w:eastAsia="Times New Roman" w:cs="Times New Roman"/>
                <w:color w:val="000000"/>
                <w:sz w:val="20"/>
                <w:szCs w:val="20"/>
              </w:rPr>
              <w:t>Estimate</w:t>
            </w:r>
          </w:p>
        </w:tc>
        <w:tc>
          <w:tcPr>
            <w:tcW w:w="900" w:type="dxa"/>
            <w:tcBorders>
              <w:top w:val="nil"/>
              <w:left w:val="nil"/>
              <w:bottom w:val="double" w:sz="4" w:space="0" w:color="auto"/>
              <w:right w:val="single" w:sz="4" w:space="0" w:color="auto"/>
            </w:tcBorders>
            <w:shd w:val="clear" w:color="auto" w:fill="auto"/>
            <w:noWrap/>
            <w:vAlign w:val="center"/>
          </w:tcPr>
          <w:p w14:paraId="69255541" w14:textId="77777777" w:rsidR="00E7034E" w:rsidRPr="00E75453" w:rsidRDefault="00E7034E" w:rsidP="00D34B75">
            <w:pPr>
              <w:jc w:val="center"/>
              <w:rPr>
                <w:rFonts w:eastAsia="Times New Roman" w:cs="Times New Roman"/>
                <w:color w:val="000000"/>
                <w:sz w:val="20"/>
                <w:szCs w:val="20"/>
              </w:rPr>
            </w:pPr>
            <w:r>
              <w:rPr>
                <w:rFonts w:eastAsia="Times New Roman" w:cs="Times New Roman"/>
                <w:color w:val="000000"/>
                <w:sz w:val="20"/>
                <w:szCs w:val="20"/>
              </w:rPr>
              <w:t>t-stat</w:t>
            </w:r>
          </w:p>
        </w:tc>
        <w:tc>
          <w:tcPr>
            <w:tcW w:w="916" w:type="dxa"/>
            <w:tcBorders>
              <w:top w:val="nil"/>
              <w:left w:val="nil"/>
              <w:bottom w:val="double" w:sz="4" w:space="0" w:color="auto"/>
              <w:right w:val="single" w:sz="4" w:space="0" w:color="auto"/>
            </w:tcBorders>
            <w:shd w:val="clear" w:color="auto" w:fill="auto"/>
            <w:noWrap/>
            <w:vAlign w:val="center"/>
          </w:tcPr>
          <w:p w14:paraId="584496B9" w14:textId="77777777" w:rsidR="00E7034E" w:rsidRPr="00E75453" w:rsidRDefault="00E7034E" w:rsidP="00D34B75">
            <w:pPr>
              <w:jc w:val="center"/>
              <w:rPr>
                <w:rFonts w:eastAsia="Times New Roman" w:cs="Times New Roman"/>
                <w:color w:val="000000"/>
                <w:sz w:val="20"/>
                <w:szCs w:val="20"/>
              </w:rPr>
            </w:pPr>
            <w:r>
              <w:rPr>
                <w:rFonts w:eastAsia="Times New Roman" w:cs="Times New Roman"/>
                <w:color w:val="000000"/>
                <w:sz w:val="20"/>
                <w:szCs w:val="20"/>
              </w:rPr>
              <w:t>Estimate</w:t>
            </w:r>
          </w:p>
        </w:tc>
        <w:tc>
          <w:tcPr>
            <w:tcW w:w="931" w:type="dxa"/>
            <w:tcBorders>
              <w:top w:val="nil"/>
              <w:left w:val="nil"/>
              <w:bottom w:val="double" w:sz="4" w:space="0" w:color="auto"/>
              <w:right w:val="single" w:sz="4" w:space="0" w:color="auto"/>
            </w:tcBorders>
            <w:shd w:val="clear" w:color="auto" w:fill="auto"/>
            <w:noWrap/>
            <w:vAlign w:val="center"/>
          </w:tcPr>
          <w:p w14:paraId="5A571790" w14:textId="77777777" w:rsidR="00E7034E" w:rsidRPr="00E75453" w:rsidRDefault="00E7034E" w:rsidP="00D34B75">
            <w:pPr>
              <w:jc w:val="center"/>
              <w:rPr>
                <w:rFonts w:eastAsia="Times New Roman" w:cs="Times New Roman"/>
                <w:color w:val="000000"/>
                <w:sz w:val="20"/>
                <w:szCs w:val="20"/>
              </w:rPr>
            </w:pPr>
            <w:r>
              <w:rPr>
                <w:rFonts w:eastAsia="Times New Roman" w:cs="Times New Roman"/>
                <w:color w:val="000000"/>
                <w:sz w:val="20"/>
                <w:szCs w:val="20"/>
              </w:rPr>
              <w:t>t-stat</w:t>
            </w:r>
          </w:p>
        </w:tc>
        <w:tc>
          <w:tcPr>
            <w:tcW w:w="916" w:type="dxa"/>
            <w:gridSpan w:val="2"/>
            <w:tcBorders>
              <w:top w:val="nil"/>
              <w:left w:val="nil"/>
              <w:bottom w:val="double" w:sz="4" w:space="0" w:color="auto"/>
              <w:right w:val="single" w:sz="4" w:space="0" w:color="auto"/>
            </w:tcBorders>
            <w:shd w:val="clear" w:color="auto" w:fill="auto"/>
            <w:noWrap/>
            <w:vAlign w:val="center"/>
          </w:tcPr>
          <w:p w14:paraId="5A2FDFC7" w14:textId="77777777" w:rsidR="00E7034E" w:rsidRPr="00E75453" w:rsidRDefault="00E7034E" w:rsidP="00D34B75">
            <w:pPr>
              <w:jc w:val="center"/>
              <w:rPr>
                <w:rFonts w:eastAsia="Times New Roman" w:cs="Times New Roman"/>
                <w:color w:val="000000"/>
                <w:sz w:val="20"/>
                <w:szCs w:val="20"/>
              </w:rPr>
            </w:pPr>
            <w:r>
              <w:rPr>
                <w:rFonts w:eastAsia="Times New Roman" w:cs="Times New Roman"/>
                <w:color w:val="000000"/>
                <w:sz w:val="20"/>
                <w:szCs w:val="20"/>
              </w:rPr>
              <w:t>Estimate</w:t>
            </w:r>
          </w:p>
        </w:tc>
        <w:tc>
          <w:tcPr>
            <w:tcW w:w="884" w:type="dxa"/>
            <w:tcBorders>
              <w:top w:val="nil"/>
              <w:left w:val="nil"/>
              <w:bottom w:val="double" w:sz="4" w:space="0" w:color="auto"/>
              <w:right w:val="double" w:sz="4" w:space="0" w:color="auto"/>
            </w:tcBorders>
            <w:shd w:val="clear" w:color="auto" w:fill="auto"/>
            <w:noWrap/>
            <w:vAlign w:val="center"/>
          </w:tcPr>
          <w:p w14:paraId="79A8C7C8" w14:textId="77777777" w:rsidR="00E7034E" w:rsidRPr="00E75453" w:rsidRDefault="00E7034E" w:rsidP="00D34B75">
            <w:pPr>
              <w:jc w:val="center"/>
              <w:rPr>
                <w:rFonts w:eastAsia="Times New Roman" w:cs="Times New Roman"/>
                <w:color w:val="000000"/>
                <w:sz w:val="20"/>
                <w:szCs w:val="20"/>
              </w:rPr>
            </w:pPr>
            <w:r>
              <w:rPr>
                <w:rFonts w:eastAsia="Times New Roman" w:cs="Times New Roman"/>
                <w:color w:val="000000"/>
                <w:sz w:val="20"/>
                <w:szCs w:val="20"/>
              </w:rPr>
              <w:t>t-stat</w:t>
            </w:r>
          </w:p>
        </w:tc>
      </w:tr>
      <w:tr w:rsidR="00E7034E" w:rsidRPr="00E75453" w14:paraId="39C3C41C" w14:textId="77777777" w:rsidTr="00D34B75">
        <w:trPr>
          <w:trHeight w:val="300"/>
        </w:trPr>
        <w:tc>
          <w:tcPr>
            <w:tcW w:w="1965" w:type="dxa"/>
            <w:tcBorders>
              <w:top w:val="nil"/>
              <w:left w:val="double" w:sz="4" w:space="0" w:color="auto"/>
              <w:bottom w:val="double" w:sz="4" w:space="0" w:color="auto"/>
              <w:right w:val="single" w:sz="4" w:space="0" w:color="auto"/>
            </w:tcBorders>
            <w:shd w:val="clear" w:color="auto" w:fill="auto"/>
            <w:noWrap/>
            <w:vAlign w:val="center"/>
            <w:hideMark/>
          </w:tcPr>
          <w:p w14:paraId="716E3EAB" w14:textId="77777777" w:rsidR="00E7034E" w:rsidRPr="00BC49D9" w:rsidRDefault="00E7034E" w:rsidP="00D34B75">
            <w:pPr>
              <w:rPr>
                <w:rFonts w:eastAsia="Times New Roman" w:cs="Times New Roman"/>
                <w:b/>
                <w:color w:val="000000"/>
                <w:sz w:val="20"/>
                <w:szCs w:val="20"/>
              </w:rPr>
            </w:pPr>
            <w:r w:rsidRPr="00BC49D9">
              <w:rPr>
                <w:rFonts w:eastAsia="Times New Roman" w:cs="Times New Roman"/>
                <w:b/>
                <w:color w:val="000000"/>
                <w:sz w:val="20"/>
                <w:szCs w:val="20"/>
              </w:rPr>
              <w:t>Constant</w:t>
            </w:r>
            <w:r>
              <w:rPr>
                <w:rFonts w:eastAsia="Times New Roman" w:cs="Times New Roman"/>
                <w:b/>
                <w:color w:val="000000"/>
                <w:sz w:val="20"/>
                <w:szCs w:val="20"/>
              </w:rPr>
              <w:t xml:space="preserve"> </w:t>
            </w:r>
            <w:r w:rsidRPr="00C71057">
              <w:rPr>
                <w:rFonts w:eastAsia="Times New Roman" w:cs="Times New Roman"/>
                <w:bCs/>
                <w:color w:val="000000"/>
                <w:sz w:val="20"/>
                <w:szCs w:val="20"/>
              </w:rPr>
              <w:t>(6)</w:t>
            </w:r>
          </w:p>
        </w:tc>
        <w:tc>
          <w:tcPr>
            <w:tcW w:w="916" w:type="dxa"/>
            <w:tcBorders>
              <w:top w:val="nil"/>
              <w:left w:val="nil"/>
              <w:bottom w:val="double" w:sz="4" w:space="0" w:color="auto"/>
              <w:right w:val="single" w:sz="4" w:space="0" w:color="auto"/>
            </w:tcBorders>
            <w:shd w:val="clear" w:color="auto" w:fill="auto"/>
            <w:noWrap/>
            <w:vAlign w:val="center"/>
            <w:hideMark/>
          </w:tcPr>
          <w:p w14:paraId="2D6729D9" w14:textId="77777777" w:rsidR="00E7034E" w:rsidRPr="000147EF" w:rsidRDefault="00E7034E" w:rsidP="00D34B75">
            <w:pPr>
              <w:jc w:val="center"/>
              <w:rPr>
                <w:rFonts w:cs="Times New Roman"/>
                <w:color w:val="000000"/>
                <w:sz w:val="20"/>
                <w:szCs w:val="20"/>
              </w:rPr>
            </w:pPr>
            <w:r w:rsidRPr="002D466A">
              <w:rPr>
                <w:rFonts w:cs="Times New Roman"/>
                <w:color w:val="000000"/>
                <w:sz w:val="20"/>
                <w:szCs w:val="20"/>
              </w:rPr>
              <w:t>-0.611</w:t>
            </w:r>
          </w:p>
        </w:tc>
        <w:tc>
          <w:tcPr>
            <w:tcW w:w="879" w:type="dxa"/>
            <w:tcBorders>
              <w:top w:val="nil"/>
              <w:left w:val="nil"/>
              <w:bottom w:val="double" w:sz="4" w:space="0" w:color="auto"/>
              <w:right w:val="single" w:sz="4" w:space="0" w:color="auto"/>
            </w:tcBorders>
            <w:shd w:val="clear" w:color="auto" w:fill="auto"/>
            <w:noWrap/>
            <w:vAlign w:val="center"/>
            <w:hideMark/>
          </w:tcPr>
          <w:p w14:paraId="69BD29E5" w14:textId="77777777" w:rsidR="00E7034E" w:rsidRPr="000147EF" w:rsidRDefault="00E7034E" w:rsidP="00D34B75">
            <w:pPr>
              <w:jc w:val="center"/>
              <w:rPr>
                <w:rFonts w:cs="Times New Roman"/>
                <w:color w:val="000000"/>
                <w:sz w:val="20"/>
                <w:szCs w:val="20"/>
              </w:rPr>
            </w:pPr>
            <w:r w:rsidRPr="002D466A">
              <w:rPr>
                <w:rFonts w:cs="Times New Roman"/>
                <w:color w:val="000000"/>
                <w:sz w:val="20"/>
                <w:szCs w:val="20"/>
              </w:rPr>
              <w:t>-8.094</w:t>
            </w:r>
          </w:p>
        </w:tc>
        <w:tc>
          <w:tcPr>
            <w:tcW w:w="916" w:type="dxa"/>
            <w:gridSpan w:val="2"/>
            <w:tcBorders>
              <w:top w:val="nil"/>
              <w:left w:val="nil"/>
              <w:bottom w:val="double" w:sz="4" w:space="0" w:color="auto"/>
              <w:right w:val="single" w:sz="4" w:space="0" w:color="auto"/>
            </w:tcBorders>
            <w:shd w:val="clear" w:color="auto" w:fill="auto"/>
            <w:noWrap/>
            <w:vAlign w:val="center"/>
            <w:hideMark/>
          </w:tcPr>
          <w:p w14:paraId="18FD1BA6" w14:textId="77777777" w:rsidR="00E7034E" w:rsidRPr="000147EF" w:rsidRDefault="00E7034E" w:rsidP="00D34B75">
            <w:pPr>
              <w:jc w:val="center"/>
              <w:rPr>
                <w:rFonts w:cs="Times New Roman"/>
                <w:color w:val="000000"/>
                <w:sz w:val="20"/>
                <w:szCs w:val="20"/>
              </w:rPr>
            </w:pPr>
            <w:r w:rsidRPr="002D466A">
              <w:rPr>
                <w:rFonts w:cs="Times New Roman"/>
                <w:color w:val="000000"/>
                <w:sz w:val="20"/>
                <w:szCs w:val="20"/>
              </w:rPr>
              <w:t>-0.990</w:t>
            </w:r>
          </w:p>
        </w:tc>
        <w:tc>
          <w:tcPr>
            <w:tcW w:w="900" w:type="dxa"/>
            <w:tcBorders>
              <w:top w:val="nil"/>
              <w:left w:val="nil"/>
              <w:bottom w:val="double" w:sz="4" w:space="0" w:color="auto"/>
              <w:right w:val="single" w:sz="4" w:space="0" w:color="auto"/>
            </w:tcBorders>
            <w:shd w:val="clear" w:color="auto" w:fill="auto"/>
            <w:noWrap/>
            <w:vAlign w:val="center"/>
            <w:hideMark/>
          </w:tcPr>
          <w:p w14:paraId="411A6088" w14:textId="77777777" w:rsidR="00E7034E" w:rsidRPr="000147EF" w:rsidRDefault="00E7034E" w:rsidP="00D34B75">
            <w:pPr>
              <w:jc w:val="center"/>
              <w:rPr>
                <w:rFonts w:cs="Times New Roman"/>
                <w:color w:val="000000"/>
                <w:sz w:val="20"/>
                <w:szCs w:val="20"/>
              </w:rPr>
            </w:pPr>
            <w:r w:rsidRPr="002D466A">
              <w:rPr>
                <w:rFonts w:cs="Times New Roman"/>
                <w:color w:val="000000"/>
                <w:sz w:val="20"/>
                <w:szCs w:val="20"/>
              </w:rPr>
              <w:t>-9.461</w:t>
            </w:r>
          </w:p>
        </w:tc>
        <w:tc>
          <w:tcPr>
            <w:tcW w:w="916" w:type="dxa"/>
            <w:tcBorders>
              <w:top w:val="nil"/>
              <w:left w:val="nil"/>
              <w:bottom w:val="double" w:sz="4" w:space="0" w:color="auto"/>
              <w:right w:val="single" w:sz="4" w:space="0" w:color="auto"/>
            </w:tcBorders>
            <w:shd w:val="clear" w:color="auto" w:fill="auto"/>
            <w:noWrap/>
            <w:vAlign w:val="center"/>
            <w:hideMark/>
          </w:tcPr>
          <w:p w14:paraId="2BF62836" w14:textId="77777777" w:rsidR="00E7034E" w:rsidRPr="000147EF" w:rsidRDefault="00E7034E" w:rsidP="00D34B75">
            <w:pPr>
              <w:jc w:val="center"/>
              <w:rPr>
                <w:rFonts w:cs="Times New Roman"/>
                <w:color w:val="000000"/>
                <w:sz w:val="20"/>
                <w:szCs w:val="20"/>
              </w:rPr>
            </w:pPr>
            <w:r w:rsidRPr="002D466A">
              <w:rPr>
                <w:rFonts w:cs="Times New Roman"/>
                <w:color w:val="000000"/>
                <w:sz w:val="20"/>
                <w:szCs w:val="20"/>
              </w:rPr>
              <w:t>-1.826</w:t>
            </w:r>
          </w:p>
        </w:tc>
        <w:tc>
          <w:tcPr>
            <w:tcW w:w="900" w:type="dxa"/>
            <w:tcBorders>
              <w:top w:val="nil"/>
              <w:left w:val="nil"/>
              <w:bottom w:val="double" w:sz="4" w:space="0" w:color="auto"/>
              <w:right w:val="single" w:sz="4" w:space="0" w:color="auto"/>
            </w:tcBorders>
            <w:shd w:val="clear" w:color="auto" w:fill="auto"/>
            <w:noWrap/>
            <w:vAlign w:val="center"/>
            <w:hideMark/>
          </w:tcPr>
          <w:p w14:paraId="1D715B30" w14:textId="77777777" w:rsidR="00E7034E" w:rsidRPr="000147EF" w:rsidRDefault="00E7034E" w:rsidP="00D34B75">
            <w:pPr>
              <w:jc w:val="center"/>
              <w:rPr>
                <w:rFonts w:cs="Times New Roman"/>
                <w:color w:val="000000"/>
                <w:sz w:val="20"/>
                <w:szCs w:val="20"/>
              </w:rPr>
            </w:pPr>
            <w:r w:rsidRPr="002D466A">
              <w:rPr>
                <w:rFonts w:cs="Times New Roman"/>
                <w:color w:val="000000"/>
                <w:sz w:val="20"/>
                <w:szCs w:val="20"/>
              </w:rPr>
              <w:t>-16.869</w:t>
            </w:r>
          </w:p>
        </w:tc>
        <w:tc>
          <w:tcPr>
            <w:tcW w:w="916" w:type="dxa"/>
            <w:tcBorders>
              <w:top w:val="nil"/>
              <w:left w:val="nil"/>
              <w:bottom w:val="double" w:sz="4" w:space="0" w:color="auto"/>
              <w:right w:val="single" w:sz="4" w:space="0" w:color="auto"/>
            </w:tcBorders>
            <w:shd w:val="clear" w:color="auto" w:fill="auto"/>
            <w:noWrap/>
            <w:vAlign w:val="center"/>
            <w:hideMark/>
          </w:tcPr>
          <w:p w14:paraId="20C4036D" w14:textId="77777777" w:rsidR="00E7034E" w:rsidRPr="000147EF" w:rsidRDefault="00E7034E" w:rsidP="00D34B75">
            <w:pPr>
              <w:jc w:val="center"/>
              <w:rPr>
                <w:rFonts w:cs="Times New Roman"/>
                <w:color w:val="000000"/>
                <w:sz w:val="20"/>
                <w:szCs w:val="20"/>
              </w:rPr>
            </w:pPr>
            <w:r w:rsidRPr="002D466A">
              <w:rPr>
                <w:rFonts w:cs="Times New Roman"/>
                <w:color w:val="000000"/>
                <w:sz w:val="20"/>
                <w:szCs w:val="20"/>
              </w:rPr>
              <w:t>-3.080</w:t>
            </w:r>
          </w:p>
        </w:tc>
        <w:tc>
          <w:tcPr>
            <w:tcW w:w="900" w:type="dxa"/>
            <w:tcBorders>
              <w:top w:val="nil"/>
              <w:left w:val="nil"/>
              <w:bottom w:val="double" w:sz="4" w:space="0" w:color="auto"/>
              <w:right w:val="single" w:sz="4" w:space="0" w:color="auto"/>
            </w:tcBorders>
            <w:shd w:val="clear" w:color="auto" w:fill="auto"/>
            <w:noWrap/>
            <w:vAlign w:val="center"/>
            <w:hideMark/>
          </w:tcPr>
          <w:p w14:paraId="1AC42EE9" w14:textId="77777777" w:rsidR="00E7034E" w:rsidRPr="000147EF" w:rsidRDefault="00E7034E" w:rsidP="00D34B75">
            <w:pPr>
              <w:jc w:val="center"/>
              <w:rPr>
                <w:rFonts w:cs="Times New Roman"/>
                <w:color w:val="000000"/>
                <w:sz w:val="20"/>
                <w:szCs w:val="20"/>
              </w:rPr>
            </w:pPr>
            <w:r w:rsidRPr="002D466A">
              <w:rPr>
                <w:rFonts w:cs="Times New Roman"/>
                <w:color w:val="000000"/>
                <w:sz w:val="20"/>
                <w:szCs w:val="20"/>
              </w:rPr>
              <w:t>-16.270</w:t>
            </w:r>
          </w:p>
        </w:tc>
        <w:tc>
          <w:tcPr>
            <w:tcW w:w="916" w:type="dxa"/>
            <w:tcBorders>
              <w:top w:val="nil"/>
              <w:left w:val="nil"/>
              <w:bottom w:val="double" w:sz="4" w:space="0" w:color="auto"/>
              <w:right w:val="single" w:sz="4" w:space="0" w:color="auto"/>
            </w:tcBorders>
            <w:shd w:val="clear" w:color="auto" w:fill="auto"/>
            <w:noWrap/>
            <w:vAlign w:val="center"/>
            <w:hideMark/>
          </w:tcPr>
          <w:p w14:paraId="734870F7" w14:textId="77777777" w:rsidR="00E7034E" w:rsidRPr="000147EF" w:rsidRDefault="00E7034E" w:rsidP="00D34B75">
            <w:pPr>
              <w:jc w:val="center"/>
              <w:rPr>
                <w:rFonts w:cs="Times New Roman"/>
                <w:color w:val="000000"/>
                <w:sz w:val="20"/>
                <w:szCs w:val="20"/>
              </w:rPr>
            </w:pPr>
            <w:r w:rsidRPr="002D466A">
              <w:rPr>
                <w:rFonts w:cs="Times New Roman"/>
                <w:color w:val="000000"/>
                <w:sz w:val="20"/>
                <w:szCs w:val="20"/>
              </w:rPr>
              <w:t>-0.744</w:t>
            </w:r>
          </w:p>
        </w:tc>
        <w:tc>
          <w:tcPr>
            <w:tcW w:w="931" w:type="dxa"/>
            <w:tcBorders>
              <w:top w:val="nil"/>
              <w:left w:val="nil"/>
              <w:bottom w:val="double" w:sz="4" w:space="0" w:color="auto"/>
              <w:right w:val="single" w:sz="4" w:space="0" w:color="auto"/>
            </w:tcBorders>
            <w:shd w:val="clear" w:color="auto" w:fill="auto"/>
            <w:noWrap/>
            <w:vAlign w:val="center"/>
            <w:hideMark/>
          </w:tcPr>
          <w:p w14:paraId="3D22A925" w14:textId="77777777" w:rsidR="00E7034E" w:rsidRPr="000147EF" w:rsidRDefault="00E7034E" w:rsidP="00D34B75">
            <w:pPr>
              <w:jc w:val="center"/>
              <w:rPr>
                <w:rFonts w:cs="Times New Roman"/>
                <w:color w:val="000000"/>
                <w:sz w:val="20"/>
                <w:szCs w:val="20"/>
              </w:rPr>
            </w:pPr>
            <w:r w:rsidRPr="002D466A">
              <w:rPr>
                <w:rFonts w:cs="Times New Roman"/>
                <w:color w:val="000000"/>
                <w:sz w:val="20"/>
                <w:szCs w:val="20"/>
              </w:rPr>
              <w:t>-9.933</w:t>
            </w:r>
          </w:p>
        </w:tc>
        <w:tc>
          <w:tcPr>
            <w:tcW w:w="916" w:type="dxa"/>
            <w:gridSpan w:val="2"/>
            <w:tcBorders>
              <w:top w:val="nil"/>
              <w:left w:val="nil"/>
              <w:bottom w:val="double" w:sz="4" w:space="0" w:color="auto"/>
              <w:right w:val="single" w:sz="4" w:space="0" w:color="auto"/>
            </w:tcBorders>
            <w:shd w:val="clear" w:color="auto" w:fill="auto"/>
            <w:noWrap/>
            <w:vAlign w:val="center"/>
            <w:hideMark/>
          </w:tcPr>
          <w:p w14:paraId="75BFBC31" w14:textId="77777777" w:rsidR="00E7034E" w:rsidRPr="000147EF" w:rsidRDefault="00E7034E" w:rsidP="00D34B75">
            <w:pPr>
              <w:jc w:val="center"/>
              <w:rPr>
                <w:rFonts w:cs="Times New Roman"/>
                <w:color w:val="000000"/>
                <w:sz w:val="20"/>
                <w:szCs w:val="20"/>
              </w:rPr>
            </w:pPr>
            <w:r w:rsidRPr="002D466A">
              <w:rPr>
                <w:rFonts w:cs="Times New Roman"/>
                <w:color w:val="000000"/>
                <w:sz w:val="20"/>
                <w:szCs w:val="20"/>
              </w:rPr>
              <w:t>-2.523</w:t>
            </w:r>
          </w:p>
        </w:tc>
        <w:tc>
          <w:tcPr>
            <w:tcW w:w="884" w:type="dxa"/>
            <w:tcBorders>
              <w:top w:val="nil"/>
              <w:left w:val="nil"/>
              <w:bottom w:val="double" w:sz="4" w:space="0" w:color="auto"/>
              <w:right w:val="double" w:sz="4" w:space="0" w:color="auto"/>
            </w:tcBorders>
            <w:shd w:val="clear" w:color="auto" w:fill="auto"/>
            <w:noWrap/>
            <w:vAlign w:val="center"/>
            <w:hideMark/>
          </w:tcPr>
          <w:p w14:paraId="57A39624" w14:textId="77777777" w:rsidR="00E7034E" w:rsidRPr="000147EF" w:rsidRDefault="00E7034E" w:rsidP="00D34B75">
            <w:pPr>
              <w:jc w:val="center"/>
              <w:rPr>
                <w:rFonts w:cs="Times New Roman"/>
                <w:color w:val="000000"/>
                <w:sz w:val="20"/>
                <w:szCs w:val="20"/>
              </w:rPr>
            </w:pPr>
            <w:r w:rsidRPr="002D466A">
              <w:rPr>
                <w:rFonts w:cs="Times New Roman"/>
                <w:color w:val="000000"/>
                <w:sz w:val="20"/>
                <w:szCs w:val="20"/>
              </w:rPr>
              <w:t>-23.787</w:t>
            </w:r>
          </w:p>
        </w:tc>
      </w:tr>
      <w:tr w:rsidR="00E7034E" w:rsidRPr="00E75453" w14:paraId="17BA15E4" w14:textId="77777777" w:rsidTr="00D34B75">
        <w:trPr>
          <w:trHeight w:val="300"/>
        </w:trPr>
        <w:tc>
          <w:tcPr>
            <w:tcW w:w="12855" w:type="dxa"/>
            <w:gridSpan w:val="15"/>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264748A1" w14:textId="77777777" w:rsidR="00E7034E" w:rsidRPr="00E75453" w:rsidRDefault="00E7034E" w:rsidP="00D34B75">
            <w:pPr>
              <w:rPr>
                <w:rFonts w:eastAsia="Times New Roman" w:cs="Times New Roman"/>
                <w:b/>
                <w:bCs/>
                <w:color w:val="000000"/>
                <w:sz w:val="20"/>
                <w:szCs w:val="20"/>
              </w:rPr>
            </w:pPr>
            <w:r w:rsidRPr="00E75453">
              <w:rPr>
                <w:rFonts w:eastAsia="Times New Roman" w:cs="Times New Roman"/>
                <w:b/>
                <w:bCs/>
                <w:color w:val="000000"/>
                <w:sz w:val="20"/>
                <w:szCs w:val="20"/>
              </w:rPr>
              <w:t>Roadway Characteristics</w:t>
            </w:r>
          </w:p>
        </w:tc>
      </w:tr>
      <w:tr w:rsidR="00E7034E" w:rsidRPr="00E75453" w14:paraId="75AA245A" w14:textId="77777777" w:rsidTr="00D34B75">
        <w:trPr>
          <w:trHeight w:val="300"/>
        </w:trPr>
        <w:tc>
          <w:tcPr>
            <w:tcW w:w="1965" w:type="dxa"/>
            <w:tcBorders>
              <w:top w:val="double" w:sz="4" w:space="0" w:color="auto"/>
              <w:left w:val="double" w:sz="4" w:space="0" w:color="auto"/>
              <w:bottom w:val="single" w:sz="4" w:space="0" w:color="auto"/>
              <w:right w:val="single" w:sz="4" w:space="0" w:color="auto"/>
            </w:tcBorders>
            <w:shd w:val="clear" w:color="auto" w:fill="auto"/>
            <w:noWrap/>
            <w:vAlign w:val="center"/>
            <w:hideMark/>
          </w:tcPr>
          <w:p w14:paraId="58E697A8" w14:textId="77777777" w:rsidR="00E7034E" w:rsidRPr="00E75453" w:rsidRDefault="00E7034E" w:rsidP="006D1D87">
            <w:pPr>
              <w:ind w:left="150"/>
              <w:jc w:val="left"/>
              <w:rPr>
                <w:rFonts w:eastAsia="Times New Roman" w:cs="Times New Roman"/>
                <w:color w:val="000000"/>
                <w:sz w:val="20"/>
                <w:szCs w:val="20"/>
              </w:rPr>
            </w:pPr>
            <w:r w:rsidRPr="00240799">
              <w:rPr>
                <w:rFonts w:eastAsia="Times New Roman" w:cs="Times New Roman"/>
                <w:color w:val="000000"/>
                <w:sz w:val="20"/>
                <w:szCs w:val="20"/>
              </w:rPr>
              <w:t>Proportion of arterial road</w:t>
            </w:r>
            <w:r>
              <w:rPr>
                <w:rFonts w:eastAsia="Times New Roman" w:cs="Times New Roman"/>
                <w:color w:val="000000"/>
                <w:sz w:val="20"/>
                <w:szCs w:val="20"/>
              </w:rPr>
              <w:t xml:space="preserve"> (2)</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2154DAFB"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0.205</w:t>
            </w:r>
          </w:p>
        </w:tc>
        <w:tc>
          <w:tcPr>
            <w:tcW w:w="879" w:type="dxa"/>
            <w:tcBorders>
              <w:top w:val="double" w:sz="4" w:space="0" w:color="auto"/>
              <w:left w:val="nil"/>
              <w:bottom w:val="single" w:sz="4" w:space="0" w:color="auto"/>
              <w:right w:val="single" w:sz="4" w:space="0" w:color="auto"/>
            </w:tcBorders>
            <w:shd w:val="clear" w:color="auto" w:fill="auto"/>
            <w:noWrap/>
            <w:vAlign w:val="center"/>
            <w:hideMark/>
          </w:tcPr>
          <w:p w14:paraId="4F618595"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4.418</w:t>
            </w:r>
          </w:p>
        </w:tc>
        <w:tc>
          <w:tcPr>
            <w:tcW w:w="916" w:type="dxa"/>
            <w:gridSpan w:val="2"/>
            <w:tcBorders>
              <w:top w:val="double" w:sz="4" w:space="0" w:color="auto"/>
              <w:left w:val="nil"/>
              <w:bottom w:val="single" w:sz="4" w:space="0" w:color="auto"/>
              <w:right w:val="single" w:sz="4" w:space="0" w:color="auto"/>
            </w:tcBorders>
            <w:shd w:val="clear" w:color="auto" w:fill="auto"/>
            <w:noWrap/>
            <w:vAlign w:val="center"/>
            <w:hideMark/>
          </w:tcPr>
          <w:p w14:paraId="6B4E7A05"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0.205</w:t>
            </w:r>
          </w:p>
        </w:tc>
        <w:tc>
          <w:tcPr>
            <w:tcW w:w="900" w:type="dxa"/>
            <w:tcBorders>
              <w:top w:val="double" w:sz="4" w:space="0" w:color="auto"/>
              <w:left w:val="nil"/>
              <w:bottom w:val="single" w:sz="4" w:space="0" w:color="auto"/>
              <w:right w:val="single" w:sz="4" w:space="0" w:color="auto"/>
            </w:tcBorders>
            <w:shd w:val="clear" w:color="auto" w:fill="auto"/>
            <w:noWrap/>
            <w:vAlign w:val="center"/>
            <w:hideMark/>
          </w:tcPr>
          <w:p w14:paraId="3CAC0A4D"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4.418</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2F1408CF" w14:textId="77777777" w:rsidR="00E7034E" w:rsidRPr="009D0CA0" w:rsidRDefault="00E7034E" w:rsidP="00D34B75">
            <w:pPr>
              <w:jc w:val="center"/>
              <w:rPr>
                <w:rFonts w:cs="Times New Roman"/>
                <w:color w:val="000000"/>
                <w:sz w:val="20"/>
                <w:szCs w:val="20"/>
              </w:rPr>
            </w:pPr>
            <w:r>
              <w:rPr>
                <w:rFonts w:cs="Times New Roman"/>
                <w:color w:val="000000"/>
                <w:sz w:val="20"/>
                <w:szCs w:val="20"/>
              </w:rPr>
              <w:t>--</w:t>
            </w:r>
          </w:p>
        </w:tc>
        <w:tc>
          <w:tcPr>
            <w:tcW w:w="900" w:type="dxa"/>
            <w:tcBorders>
              <w:top w:val="double" w:sz="4" w:space="0" w:color="auto"/>
              <w:left w:val="nil"/>
              <w:bottom w:val="single" w:sz="4" w:space="0" w:color="auto"/>
              <w:right w:val="single" w:sz="4" w:space="0" w:color="auto"/>
            </w:tcBorders>
            <w:shd w:val="clear" w:color="auto" w:fill="auto"/>
            <w:noWrap/>
            <w:vAlign w:val="center"/>
            <w:hideMark/>
          </w:tcPr>
          <w:p w14:paraId="2EA2C910" w14:textId="77777777" w:rsidR="00E7034E" w:rsidRPr="009D0CA0" w:rsidRDefault="00E7034E" w:rsidP="00D34B75">
            <w:pPr>
              <w:jc w:val="center"/>
              <w:rPr>
                <w:rFonts w:cs="Times New Roman"/>
                <w:color w:val="000000"/>
                <w:sz w:val="20"/>
                <w:szCs w:val="20"/>
              </w:rPr>
            </w:pPr>
            <w:r w:rsidRPr="00F06330">
              <w:rPr>
                <w:rFonts w:cs="Times New Roman"/>
                <w:color w:val="000000"/>
                <w:sz w:val="20"/>
                <w:szCs w:val="20"/>
              </w:rPr>
              <w:t>--</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360838D0" w14:textId="77777777" w:rsidR="00E7034E" w:rsidRPr="009D0CA0" w:rsidRDefault="00E7034E" w:rsidP="00D34B75">
            <w:pPr>
              <w:jc w:val="center"/>
              <w:rPr>
                <w:rFonts w:cs="Times New Roman"/>
                <w:color w:val="000000"/>
                <w:sz w:val="20"/>
                <w:szCs w:val="20"/>
              </w:rPr>
            </w:pPr>
            <w:r w:rsidRPr="00F06330">
              <w:rPr>
                <w:rFonts w:cs="Times New Roman"/>
                <w:color w:val="000000"/>
                <w:sz w:val="20"/>
                <w:szCs w:val="20"/>
              </w:rPr>
              <w:t>--</w:t>
            </w:r>
          </w:p>
        </w:tc>
        <w:tc>
          <w:tcPr>
            <w:tcW w:w="900" w:type="dxa"/>
            <w:tcBorders>
              <w:top w:val="double" w:sz="4" w:space="0" w:color="auto"/>
              <w:left w:val="nil"/>
              <w:bottom w:val="single" w:sz="4" w:space="0" w:color="auto"/>
              <w:right w:val="single" w:sz="4" w:space="0" w:color="auto"/>
            </w:tcBorders>
            <w:shd w:val="clear" w:color="auto" w:fill="auto"/>
            <w:noWrap/>
            <w:vAlign w:val="center"/>
            <w:hideMark/>
          </w:tcPr>
          <w:p w14:paraId="747860C5" w14:textId="77777777" w:rsidR="00E7034E" w:rsidRPr="009D0CA0" w:rsidRDefault="00E7034E" w:rsidP="00D34B75">
            <w:pPr>
              <w:jc w:val="center"/>
              <w:rPr>
                <w:rFonts w:cs="Times New Roman"/>
                <w:color w:val="000000"/>
                <w:sz w:val="20"/>
                <w:szCs w:val="20"/>
              </w:rPr>
            </w:pPr>
            <w:r w:rsidRPr="00F06330">
              <w:rPr>
                <w:rFonts w:cs="Times New Roman"/>
                <w:color w:val="000000"/>
                <w:sz w:val="20"/>
                <w:szCs w:val="20"/>
              </w:rPr>
              <w:t>--</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49256445"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-0.284</w:t>
            </w:r>
          </w:p>
        </w:tc>
        <w:tc>
          <w:tcPr>
            <w:tcW w:w="931" w:type="dxa"/>
            <w:tcBorders>
              <w:top w:val="double" w:sz="4" w:space="0" w:color="auto"/>
              <w:left w:val="nil"/>
              <w:bottom w:val="single" w:sz="4" w:space="0" w:color="auto"/>
              <w:right w:val="single" w:sz="4" w:space="0" w:color="auto"/>
            </w:tcBorders>
            <w:shd w:val="clear" w:color="auto" w:fill="auto"/>
            <w:noWrap/>
            <w:vAlign w:val="center"/>
            <w:hideMark/>
          </w:tcPr>
          <w:p w14:paraId="3A848AE6"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-5.103</w:t>
            </w:r>
          </w:p>
        </w:tc>
        <w:tc>
          <w:tcPr>
            <w:tcW w:w="916" w:type="dxa"/>
            <w:gridSpan w:val="2"/>
            <w:tcBorders>
              <w:top w:val="double" w:sz="4" w:space="0" w:color="auto"/>
              <w:left w:val="nil"/>
              <w:bottom w:val="single" w:sz="4" w:space="0" w:color="auto"/>
              <w:right w:val="single" w:sz="4" w:space="0" w:color="auto"/>
            </w:tcBorders>
            <w:shd w:val="clear" w:color="auto" w:fill="auto"/>
            <w:noWrap/>
            <w:vAlign w:val="center"/>
            <w:hideMark/>
          </w:tcPr>
          <w:p w14:paraId="09D17F9C"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0.205</w:t>
            </w:r>
          </w:p>
        </w:tc>
        <w:tc>
          <w:tcPr>
            <w:tcW w:w="884" w:type="dxa"/>
            <w:tcBorders>
              <w:top w:val="double" w:sz="4" w:space="0" w:color="auto"/>
              <w:left w:val="nil"/>
              <w:bottom w:val="single" w:sz="4" w:space="0" w:color="auto"/>
              <w:right w:val="double" w:sz="4" w:space="0" w:color="auto"/>
            </w:tcBorders>
            <w:shd w:val="clear" w:color="auto" w:fill="auto"/>
            <w:noWrap/>
            <w:vAlign w:val="center"/>
            <w:hideMark/>
          </w:tcPr>
          <w:p w14:paraId="45194648"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4.418</w:t>
            </w:r>
          </w:p>
        </w:tc>
      </w:tr>
      <w:tr w:rsidR="00E7034E" w:rsidRPr="00E75453" w14:paraId="3728A46B" w14:textId="77777777" w:rsidTr="00D34B75">
        <w:trPr>
          <w:trHeight w:val="300"/>
        </w:trPr>
        <w:tc>
          <w:tcPr>
            <w:tcW w:w="1965" w:type="dxa"/>
            <w:tcBorders>
              <w:top w:val="nil"/>
              <w:left w:val="double" w:sz="4" w:space="0" w:color="auto"/>
              <w:bottom w:val="single" w:sz="4" w:space="0" w:color="auto"/>
              <w:right w:val="single" w:sz="4" w:space="0" w:color="auto"/>
            </w:tcBorders>
            <w:shd w:val="clear" w:color="auto" w:fill="auto"/>
            <w:noWrap/>
            <w:vAlign w:val="center"/>
            <w:hideMark/>
          </w:tcPr>
          <w:p w14:paraId="1B4175A0" w14:textId="77777777" w:rsidR="00E7034E" w:rsidRPr="00E75453" w:rsidRDefault="00E7034E" w:rsidP="006D1D87">
            <w:pPr>
              <w:ind w:left="150"/>
              <w:jc w:val="left"/>
              <w:rPr>
                <w:rFonts w:eastAsia="Times New Roman" w:cs="Times New Roman"/>
                <w:color w:val="000000"/>
                <w:sz w:val="20"/>
                <w:szCs w:val="20"/>
              </w:rPr>
            </w:pPr>
            <w:r w:rsidRPr="00240799">
              <w:rPr>
                <w:rFonts w:eastAsia="Times New Roman" w:cs="Times New Roman"/>
                <w:color w:val="000000"/>
                <w:sz w:val="20"/>
                <w:szCs w:val="20"/>
              </w:rPr>
              <w:t>Number of intersections</w:t>
            </w:r>
            <w:r>
              <w:rPr>
                <w:rFonts w:eastAsia="Times New Roman" w:cs="Times New Roman"/>
                <w:color w:val="000000"/>
                <w:sz w:val="20"/>
                <w:szCs w:val="20"/>
              </w:rPr>
              <w:t xml:space="preserve"> (1)</w:t>
            </w:r>
          </w:p>
        </w:tc>
        <w:tc>
          <w:tcPr>
            <w:tcW w:w="916" w:type="dxa"/>
            <w:tcBorders>
              <w:top w:val="nil"/>
              <w:left w:val="nil"/>
              <w:bottom w:val="single" w:sz="4" w:space="0" w:color="auto"/>
              <w:right w:val="single" w:sz="4" w:space="0" w:color="auto"/>
            </w:tcBorders>
            <w:shd w:val="clear" w:color="auto" w:fill="auto"/>
            <w:noWrap/>
            <w:vAlign w:val="center"/>
            <w:hideMark/>
          </w:tcPr>
          <w:p w14:paraId="394A4860" w14:textId="77777777" w:rsidR="00E7034E" w:rsidRPr="009D0CA0" w:rsidRDefault="00E7034E" w:rsidP="00D34B75">
            <w:pPr>
              <w:jc w:val="center"/>
              <w:rPr>
                <w:rFonts w:cs="Times New Roman"/>
                <w:color w:val="000000"/>
                <w:sz w:val="20"/>
                <w:szCs w:val="20"/>
              </w:rPr>
            </w:pPr>
            <w:r w:rsidRPr="00F64293">
              <w:rPr>
                <w:rFonts w:cs="Times New Roman"/>
                <w:color w:val="000000"/>
                <w:sz w:val="20"/>
                <w:szCs w:val="20"/>
              </w:rPr>
              <w:t>--</w:t>
            </w:r>
          </w:p>
        </w:tc>
        <w:tc>
          <w:tcPr>
            <w:tcW w:w="879" w:type="dxa"/>
            <w:tcBorders>
              <w:top w:val="nil"/>
              <w:left w:val="nil"/>
              <w:bottom w:val="single" w:sz="4" w:space="0" w:color="auto"/>
              <w:right w:val="single" w:sz="4" w:space="0" w:color="auto"/>
            </w:tcBorders>
            <w:shd w:val="clear" w:color="auto" w:fill="auto"/>
            <w:noWrap/>
            <w:vAlign w:val="center"/>
            <w:hideMark/>
          </w:tcPr>
          <w:p w14:paraId="71C76F20" w14:textId="77777777" w:rsidR="00E7034E" w:rsidRPr="009D0CA0" w:rsidRDefault="00E7034E" w:rsidP="00D34B75">
            <w:pPr>
              <w:jc w:val="center"/>
              <w:rPr>
                <w:rFonts w:cs="Times New Roman"/>
                <w:color w:val="000000"/>
                <w:sz w:val="20"/>
                <w:szCs w:val="20"/>
              </w:rPr>
            </w:pPr>
            <w:r w:rsidRPr="00F64293">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hideMark/>
          </w:tcPr>
          <w:p w14:paraId="0AFF202E"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0.284</w:t>
            </w:r>
          </w:p>
        </w:tc>
        <w:tc>
          <w:tcPr>
            <w:tcW w:w="900" w:type="dxa"/>
            <w:tcBorders>
              <w:top w:val="nil"/>
              <w:left w:val="nil"/>
              <w:bottom w:val="single" w:sz="4" w:space="0" w:color="auto"/>
              <w:right w:val="single" w:sz="4" w:space="0" w:color="auto"/>
            </w:tcBorders>
            <w:shd w:val="clear" w:color="auto" w:fill="auto"/>
            <w:noWrap/>
            <w:vAlign w:val="center"/>
            <w:hideMark/>
          </w:tcPr>
          <w:p w14:paraId="78823A6E"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9.008</w:t>
            </w:r>
          </w:p>
        </w:tc>
        <w:tc>
          <w:tcPr>
            <w:tcW w:w="916" w:type="dxa"/>
            <w:tcBorders>
              <w:top w:val="nil"/>
              <w:left w:val="nil"/>
              <w:bottom w:val="single" w:sz="4" w:space="0" w:color="auto"/>
              <w:right w:val="single" w:sz="4" w:space="0" w:color="auto"/>
            </w:tcBorders>
            <w:shd w:val="clear" w:color="auto" w:fill="auto"/>
            <w:noWrap/>
            <w:vAlign w:val="center"/>
            <w:hideMark/>
          </w:tcPr>
          <w:p w14:paraId="3708973B" w14:textId="77777777" w:rsidR="00E7034E" w:rsidRPr="009D0CA0" w:rsidRDefault="00E7034E" w:rsidP="00D34B75">
            <w:pPr>
              <w:jc w:val="center"/>
              <w:rPr>
                <w:rFonts w:cs="Times New Roman"/>
                <w:color w:val="000000"/>
                <w:sz w:val="20"/>
                <w:szCs w:val="20"/>
              </w:rPr>
            </w:pPr>
            <w:r w:rsidRPr="008F677D">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5F9E8348" w14:textId="77777777" w:rsidR="00E7034E" w:rsidRPr="009D0CA0" w:rsidRDefault="00E7034E" w:rsidP="00D34B75">
            <w:pPr>
              <w:jc w:val="center"/>
              <w:rPr>
                <w:rFonts w:cs="Times New Roman"/>
                <w:color w:val="000000"/>
                <w:sz w:val="20"/>
                <w:szCs w:val="20"/>
              </w:rPr>
            </w:pPr>
            <w:r w:rsidRPr="008F677D">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hideMark/>
          </w:tcPr>
          <w:p w14:paraId="5F1F3A9E"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0.284</w:t>
            </w:r>
          </w:p>
        </w:tc>
        <w:tc>
          <w:tcPr>
            <w:tcW w:w="900" w:type="dxa"/>
            <w:tcBorders>
              <w:top w:val="nil"/>
              <w:left w:val="nil"/>
              <w:bottom w:val="single" w:sz="4" w:space="0" w:color="auto"/>
              <w:right w:val="single" w:sz="4" w:space="0" w:color="auto"/>
            </w:tcBorders>
            <w:shd w:val="clear" w:color="auto" w:fill="auto"/>
            <w:noWrap/>
            <w:vAlign w:val="center"/>
            <w:hideMark/>
          </w:tcPr>
          <w:p w14:paraId="4C18BAF4"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9.008</w:t>
            </w:r>
          </w:p>
        </w:tc>
        <w:tc>
          <w:tcPr>
            <w:tcW w:w="916" w:type="dxa"/>
            <w:tcBorders>
              <w:top w:val="nil"/>
              <w:left w:val="nil"/>
              <w:bottom w:val="single" w:sz="4" w:space="0" w:color="auto"/>
              <w:right w:val="single" w:sz="4" w:space="0" w:color="auto"/>
            </w:tcBorders>
            <w:shd w:val="clear" w:color="auto" w:fill="auto"/>
            <w:noWrap/>
            <w:vAlign w:val="center"/>
            <w:hideMark/>
          </w:tcPr>
          <w:p w14:paraId="6BC910A2" w14:textId="77777777" w:rsidR="00E7034E" w:rsidRPr="009D0CA0" w:rsidRDefault="00E7034E" w:rsidP="00D34B75">
            <w:pPr>
              <w:jc w:val="center"/>
              <w:rPr>
                <w:rFonts w:cs="Times New Roman"/>
                <w:color w:val="000000"/>
                <w:sz w:val="20"/>
                <w:szCs w:val="20"/>
              </w:rPr>
            </w:pPr>
            <w:r w:rsidRPr="006142C7">
              <w:rPr>
                <w:rFonts w:cs="Times New Roman"/>
                <w:color w:val="000000"/>
                <w:sz w:val="20"/>
                <w:szCs w:val="20"/>
              </w:rPr>
              <w:t>--</w:t>
            </w:r>
          </w:p>
        </w:tc>
        <w:tc>
          <w:tcPr>
            <w:tcW w:w="931" w:type="dxa"/>
            <w:tcBorders>
              <w:top w:val="nil"/>
              <w:left w:val="nil"/>
              <w:bottom w:val="single" w:sz="4" w:space="0" w:color="auto"/>
              <w:right w:val="single" w:sz="4" w:space="0" w:color="auto"/>
            </w:tcBorders>
            <w:shd w:val="clear" w:color="auto" w:fill="auto"/>
            <w:noWrap/>
            <w:vAlign w:val="center"/>
            <w:hideMark/>
          </w:tcPr>
          <w:p w14:paraId="1B900992" w14:textId="77777777" w:rsidR="00E7034E" w:rsidRPr="009D0CA0" w:rsidRDefault="00E7034E" w:rsidP="00D34B75">
            <w:pPr>
              <w:jc w:val="center"/>
              <w:rPr>
                <w:rFonts w:cs="Times New Roman"/>
                <w:color w:val="000000"/>
                <w:sz w:val="20"/>
                <w:szCs w:val="20"/>
              </w:rPr>
            </w:pPr>
            <w:r w:rsidRPr="006142C7">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hideMark/>
          </w:tcPr>
          <w:p w14:paraId="7FCBDD1C"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0.284</w:t>
            </w:r>
          </w:p>
        </w:tc>
        <w:tc>
          <w:tcPr>
            <w:tcW w:w="884" w:type="dxa"/>
            <w:tcBorders>
              <w:top w:val="nil"/>
              <w:left w:val="nil"/>
              <w:bottom w:val="single" w:sz="4" w:space="0" w:color="auto"/>
              <w:right w:val="double" w:sz="4" w:space="0" w:color="auto"/>
            </w:tcBorders>
            <w:shd w:val="clear" w:color="auto" w:fill="auto"/>
            <w:noWrap/>
            <w:vAlign w:val="center"/>
            <w:hideMark/>
          </w:tcPr>
          <w:p w14:paraId="4AEE686B"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9.008</w:t>
            </w:r>
          </w:p>
        </w:tc>
      </w:tr>
      <w:tr w:rsidR="00E7034E" w:rsidRPr="00E75453" w14:paraId="57D97B95" w14:textId="77777777" w:rsidTr="00D34B75">
        <w:trPr>
          <w:trHeight w:val="300"/>
        </w:trPr>
        <w:tc>
          <w:tcPr>
            <w:tcW w:w="1965" w:type="dxa"/>
            <w:tcBorders>
              <w:top w:val="nil"/>
              <w:left w:val="double" w:sz="4" w:space="0" w:color="auto"/>
              <w:bottom w:val="single" w:sz="4" w:space="0" w:color="auto"/>
              <w:right w:val="single" w:sz="4" w:space="0" w:color="auto"/>
            </w:tcBorders>
            <w:shd w:val="clear" w:color="auto" w:fill="auto"/>
            <w:noWrap/>
            <w:vAlign w:val="center"/>
          </w:tcPr>
          <w:p w14:paraId="2D3864A7" w14:textId="77777777" w:rsidR="00E7034E" w:rsidRPr="00240799" w:rsidRDefault="00E7034E" w:rsidP="006D1D87">
            <w:pPr>
              <w:ind w:left="150"/>
              <w:jc w:val="left"/>
              <w:rPr>
                <w:rFonts w:eastAsia="Times New Roman" w:cs="Times New Roman"/>
                <w:color w:val="000000"/>
                <w:sz w:val="20"/>
                <w:szCs w:val="20"/>
              </w:rPr>
            </w:pPr>
            <w:r w:rsidRPr="00240799">
              <w:rPr>
                <w:rFonts w:eastAsia="Times New Roman" w:cs="Times New Roman"/>
                <w:color w:val="000000"/>
                <w:sz w:val="20"/>
                <w:szCs w:val="20"/>
              </w:rPr>
              <w:t>Signal intensity</w:t>
            </w:r>
            <w:r>
              <w:rPr>
                <w:rFonts w:eastAsia="Times New Roman" w:cs="Times New Roman"/>
                <w:color w:val="000000"/>
                <w:sz w:val="20"/>
                <w:szCs w:val="20"/>
              </w:rPr>
              <w:t xml:space="preserve"> (3)</w:t>
            </w:r>
          </w:p>
        </w:tc>
        <w:tc>
          <w:tcPr>
            <w:tcW w:w="916" w:type="dxa"/>
            <w:tcBorders>
              <w:top w:val="nil"/>
              <w:left w:val="nil"/>
              <w:bottom w:val="single" w:sz="4" w:space="0" w:color="auto"/>
              <w:right w:val="single" w:sz="4" w:space="0" w:color="auto"/>
            </w:tcBorders>
            <w:shd w:val="clear" w:color="auto" w:fill="auto"/>
            <w:noWrap/>
            <w:vAlign w:val="center"/>
          </w:tcPr>
          <w:p w14:paraId="677A34F4"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0.456</w:t>
            </w:r>
          </w:p>
        </w:tc>
        <w:tc>
          <w:tcPr>
            <w:tcW w:w="879" w:type="dxa"/>
            <w:tcBorders>
              <w:top w:val="nil"/>
              <w:left w:val="nil"/>
              <w:bottom w:val="single" w:sz="4" w:space="0" w:color="auto"/>
              <w:right w:val="single" w:sz="4" w:space="0" w:color="auto"/>
            </w:tcBorders>
            <w:shd w:val="clear" w:color="auto" w:fill="auto"/>
            <w:noWrap/>
            <w:vAlign w:val="center"/>
          </w:tcPr>
          <w:p w14:paraId="564E701F"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2.578</w:t>
            </w:r>
          </w:p>
        </w:tc>
        <w:tc>
          <w:tcPr>
            <w:tcW w:w="916" w:type="dxa"/>
            <w:gridSpan w:val="2"/>
            <w:tcBorders>
              <w:top w:val="nil"/>
              <w:left w:val="nil"/>
              <w:bottom w:val="single" w:sz="4" w:space="0" w:color="auto"/>
              <w:right w:val="single" w:sz="4" w:space="0" w:color="auto"/>
            </w:tcBorders>
            <w:shd w:val="clear" w:color="auto" w:fill="auto"/>
            <w:noWrap/>
            <w:vAlign w:val="center"/>
          </w:tcPr>
          <w:p w14:paraId="1A303C4A" w14:textId="77777777" w:rsidR="00E7034E" w:rsidRPr="009D0CA0" w:rsidRDefault="00E7034E" w:rsidP="00D34B75">
            <w:pPr>
              <w:jc w:val="center"/>
              <w:rPr>
                <w:rFonts w:cs="Times New Roman"/>
                <w:color w:val="000000"/>
                <w:sz w:val="20"/>
                <w:szCs w:val="20"/>
              </w:rPr>
            </w:pPr>
            <w:r w:rsidRPr="004C2B5D">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4785B35B" w14:textId="77777777" w:rsidR="00E7034E" w:rsidRPr="009D0CA0" w:rsidRDefault="00E7034E" w:rsidP="00D34B75">
            <w:pPr>
              <w:jc w:val="center"/>
              <w:rPr>
                <w:rFonts w:cs="Times New Roman"/>
                <w:color w:val="000000"/>
                <w:sz w:val="20"/>
                <w:szCs w:val="20"/>
              </w:rPr>
            </w:pPr>
            <w:r w:rsidRPr="004C2B5D">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tcPr>
          <w:p w14:paraId="6F3E870B"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-0.577</w:t>
            </w:r>
          </w:p>
        </w:tc>
        <w:tc>
          <w:tcPr>
            <w:tcW w:w="900" w:type="dxa"/>
            <w:tcBorders>
              <w:top w:val="nil"/>
              <w:left w:val="nil"/>
              <w:bottom w:val="single" w:sz="4" w:space="0" w:color="auto"/>
              <w:right w:val="single" w:sz="4" w:space="0" w:color="auto"/>
            </w:tcBorders>
            <w:shd w:val="clear" w:color="auto" w:fill="auto"/>
            <w:noWrap/>
            <w:vAlign w:val="center"/>
          </w:tcPr>
          <w:p w14:paraId="4CCF9ACB"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-2.725</w:t>
            </w:r>
          </w:p>
        </w:tc>
        <w:tc>
          <w:tcPr>
            <w:tcW w:w="916" w:type="dxa"/>
            <w:tcBorders>
              <w:top w:val="nil"/>
              <w:left w:val="nil"/>
              <w:bottom w:val="single" w:sz="4" w:space="0" w:color="auto"/>
              <w:right w:val="single" w:sz="4" w:space="0" w:color="auto"/>
            </w:tcBorders>
            <w:shd w:val="clear" w:color="auto" w:fill="auto"/>
            <w:noWrap/>
            <w:vAlign w:val="center"/>
          </w:tcPr>
          <w:p w14:paraId="537249DE" w14:textId="77777777" w:rsidR="00E7034E" w:rsidRPr="009D0CA0" w:rsidRDefault="00E7034E" w:rsidP="00D34B75">
            <w:pPr>
              <w:jc w:val="center"/>
              <w:rPr>
                <w:rFonts w:cs="Times New Roman"/>
                <w:color w:val="000000"/>
                <w:sz w:val="20"/>
                <w:szCs w:val="20"/>
              </w:rPr>
            </w:pPr>
            <w:r w:rsidRPr="00AE196A">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6288A79B" w14:textId="77777777" w:rsidR="00E7034E" w:rsidRPr="009D0CA0" w:rsidRDefault="00E7034E" w:rsidP="00D34B75">
            <w:pPr>
              <w:jc w:val="center"/>
              <w:rPr>
                <w:rFonts w:cs="Times New Roman"/>
                <w:color w:val="000000"/>
                <w:sz w:val="20"/>
                <w:szCs w:val="20"/>
              </w:rPr>
            </w:pPr>
            <w:r w:rsidRPr="00AE196A">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tcPr>
          <w:p w14:paraId="2F92DCF8"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-0.447</w:t>
            </w:r>
          </w:p>
        </w:tc>
        <w:tc>
          <w:tcPr>
            <w:tcW w:w="931" w:type="dxa"/>
            <w:tcBorders>
              <w:top w:val="nil"/>
              <w:left w:val="nil"/>
              <w:bottom w:val="single" w:sz="4" w:space="0" w:color="auto"/>
              <w:right w:val="single" w:sz="4" w:space="0" w:color="auto"/>
            </w:tcBorders>
            <w:shd w:val="clear" w:color="auto" w:fill="auto"/>
            <w:noWrap/>
            <w:vAlign w:val="center"/>
          </w:tcPr>
          <w:p w14:paraId="3033F302"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-1.746</w:t>
            </w:r>
          </w:p>
        </w:tc>
        <w:tc>
          <w:tcPr>
            <w:tcW w:w="916" w:type="dxa"/>
            <w:gridSpan w:val="2"/>
            <w:tcBorders>
              <w:top w:val="nil"/>
              <w:left w:val="nil"/>
              <w:bottom w:val="single" w:sz="4" w:space="0" w:color="auto"/>
              <w:right w:val="single" w:sz="4" w:space="0" w:color="auto"/>
            </w:tcBorders>
            <w:shd w:val="clear" w:color="auto" w:fill="auto"/>
            <w:noWrap/>
            <w:vAlign w:val="center"/>
          </w:tcPr>
          <w:p w14:paraId="53FE5031"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0.456</w:t>
            </w:r>
          </w:p>
        </w:tc>
        <w:tc>
          <w:tcPr>
            <w:tcW w:w="884" w:type="dxa"/>
            <w:tcBorders>
              <w:top w:val="nil"/>
              <w:left w:val="nil"/>
              <w:bottom w:val="single" w:sz="4" w:space="0" w:color="auto"/>
              <w:right w:val="double" w:sz="4" w:space="0" w:color="auto"/>
            </w:tcBorders>
            <w:shd w:val="clear" w:color="auto" w:fill="auto"/>
            <w:noWrap/>
            <w:vAlign w:val="center"/>
          </w:tcPr>
          <w:p w14:paraId="5E57580B"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2.578</w:t>
            </w:r>
          </w:p>
        </w:tc>
      </w:tr>
      <w:tr w:rsidR="00E7034E" w:rsidRPr="00E75453" w14:paraId="6379E055" w14:textId="77777777" w:rsidTr="00D34B75">
        <w:trPr>
          <w:trHeight w:val="300"/>
        </w:trPr>
        <w:tc>
          <w:tcPr>
            <w:tcW w:w="1965" w:type="dxa"/>
            <w:tcBorders>
              <w:top w:val="nil"/>
              <w:left w:val="double" w:sz="4" w:space="0" w:color="auto"/>
              <w:bottom w:val="single" w:sz="4" w:space="0" w:color="auto"/>
              <w:right w:val="single" w:sz="4" w:space="0" w:color="auto"/>
            </w:tcBorders>
            <w:shd w:val="clear" w:color="auto" w:fill="auto"/>
            <w:noWrap/>
            <w:vAlign w:val="center"/>
          </w:tcPr>
          <w:p w14:paraId="4D66D7F2" w14:textId="77777777" w:rsidR="00E7034E" w:rsidRPr="00240799" w:rsidRDefault="00E7034E" w:rsidP="006D1D87">
            <w:pPr>
              <w:ind w:left="150"/>
              <w:jc w:val="left"/>
              <w:rPr>
                <w:rFonts w:eastAsia="Times New Roman" w:cs="Times New Roman"/>
                <w:color w:val="000000"/>
                <w:sz w:val="20"/>
                <w:szCs w:val="20"/>
              </w:rPr>
            </w:pPr>
            <w:r w:rsidRPr="00240799">
              <w:rPr>
                <w:rFonts w:eastAsia="Times New Roman" w:cs="Times New Roman"/>
                <w:color w:val="000000"/>
                <w:sz w:val="20"/>
                <w:szCs w:val="20"/>
              </w:rPr>
              <w:t>Road length over 55mph</w:t>
            </w:r>
            <w:r>
              <w:rPr>
                <w:rFonts w:eastAsia="Times New Roman" w:cs="Times New Roman"/>
                <w:color w:val="000000"/>
                <w:sz w:val="20"/>
                <w:szCs w:val="20"/>
              </w:rPr>
              <w:t xml:space="preserve"> (5)</w:t>
            </w:r>
          </w:p>
        </w:tc>
        <w:tc>
          <w:tcPr>
            <w:tcW w:w="916" w:type="dxa"/>
            <w:tcBorders>
              <w:top w:val="nil"/>
              <w:left w:val="nil"/>
              <w:bottom w:val="single" w:sz="4" w:space="0" w:color="auto"/>
              <w:right w:val="single" w:sz="4" w:space="0" w:color="auto"/>
            </w:tcBorders>
            <w:shd w:val="clear" w:color="auto" w:fill="auto"/>
            <w:noWrap/>
            <w:vAlign w:val="center"/>
          </w:tcPr>
          <w:p w14:paraId="7D77506D"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0.568</w:t>
            </w:r>
          </w:p>
        </w:tc>
        <w:tc>
          <w:tcPr>
            <w:tcW w:w="879" w:type="dxa"/>
            <w:tcBorders>
              <w:top w:val="nil"/>
              <w:left w:val="nil"/>
              <w:bottom w:val="single" w:sz="4" w:space="0" w:color="auto"/>
              <w:right w:val="single" w:sz="4" w:space="0" w:color="auto"/>
            </w:tcBorders>
            <w:shd w:val="clear" w:color="auto" w:fill="auto"/>
            <w:noWrap/>
            <w:vAlign w:val="center"/>
          </w:tcPr>
          <w:p w14:paraId="65556CEB"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4.554</w:t>
            </w:r>
          </w:p>
        </w:tc>
        <w:tc>
          <w:tcPr>
            <w:tcW w:w="916" w:type="dxa"/>
            <w:gridSpan w:val="2"/>
            <w:tcBorders>
              <w:top w:val="nil"/>
              <w:left w:val="nil"/>
              <w:bottom w:val="single" w:sz="4" w:space="0" w:color="auto"/>
              <w:right w:val="single" w:sz="4" w:space="0" w:color="auto"/>
            </w:tcBorders>
            <w:shd w:val="clear" w:color="auto" w:fill="auto"/>
            <w:noWrap/>
            <w:vAlign w:val="center"/>
          </w:tcPr>
          <w:p w14:paraId="19404F03"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-1.451</w:t>
            </w:r>
          </w:p>
        </w:tc>
        <w:tc>
          <w:tcPr>
            <w:tcW w:w="900" w:type="dxa"/>
            <w:tcBorders>
              <w:top w:val="nil"/>
              <w:left w:val="nil"/>
              <w:bottom w:val="single" w:sz="4" w:space="0" w:color="auto"/>
              <w:right w:val="single" w:sz="4" w:space="0" w:color="auto"/>
            </w:tcBorders>
            <w:shd w:val="clear" w:color="auto" w:fill="auto"/>
            <w:noWrap/>
            <w:vAlign w:val="center"/>
          </w:tcPr>
          <w:p w14:paraId="5323DF2F"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-7.764</w:t>
            </w:r>
          </w:p>
        </w:tc>
        <w:tc>
          <w:tcPr>
            <w:tcW w:w="916" w:type="dxa"/>
            <w:tcBorders>
              <w:top w:val="nil"/>
              <w:left w:val="nil"/>
              <w:bottom w:val="single" w:sz="4" w:space="0" w:color="auto"/>
              <w:right w:val="single" w:sz="4" w:space="0" w:color="auto"/>
            </w:tcBorders>
            <w:shd w:val="clear" w:color="auto" w:fill="auto"/>
            <w:noWrap/>
            <w:vAlign w:val="center"/>
          </w:tcPr>
          <w:p w14:paraId="2235F7A6"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0.568</w:t>
            </w:r>
          </w:p>
        </w:tc>
        <w:tc>
          <w:tcPr>
            <w:tcW w:w="900" w:type="dxa"/>
            <w:tcBorders>
              <w:top w:val="nil"/>
              <w:left w:val="nil"/>
              <w:bottom w:val="single" w:sz="4" w:space="0" w:color="auto"/>
              <w:right w:val="single" w:sz="4" w:space="0" w:color="auto"/>
            </w:tcBorders>
            <w:shd w:val="clear" w:color="auto" w:fill="auto"/>
            <w:noWrap/>
            <w:vAlign w:val="center"/>
          </w:tcPr>
          <w:p w14:paraId="0B6A7286"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4.554</w:t>
            </w:r>
          </w:p>
        </w:tc>
        <w:tc>
          <w:tcPr>
            <w:tcW w:w="916" w:type="dxa"/>
            <w:tcBorders>
              <w:top w:val="nil"/>
              <w:left w:val="nil"/>
              <w:bottom w:val="single" w:sz="4" w:space="0" w:color="auto"/>
              <w:right w:val="single" w:sz="4" w:space="0" w:color="auto"/>
            </w:tcBorders>
            <w:shd w:val="clear" w:color="auto" w:fill="auto"/>
            <w:noWrap/>
            <w:vAlign w:val="center"/>
          </w:tcPr>
          <w:p w14:paraId="0DB842A5"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-1.346</w:t>
            </w:r>
          </w:p>
        </w:tc>
        <w:tc>
          <w:tcPr>
            <w:tcW w:w="900" w:type="dxa"/>
            <w:tcBorders>
              <w:top w:val="nil"/>
              <w:left w:val="nil"/>
              <w:bottom w:val="single" w:sz="4" w:space="0" w:color="auto"/>
              <w:right w:val="single" w:sz="4" w:space="0" w:color="auto"/>
            </w:tcBorders>
            <w:shd w:val="clear" w:color="auto" w:fill="auto"/>
            <w:noWrap/>
            <w:vAlign w:val="center"/>
          </w:tcPr>
          <w:p w14:paraId="70E15DC0"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-3.784</w:t>
            </w:r>
          </w:p>
        </w:tc>
        <w:tc>
          <w:tcPr>
            <w:tcW w:w="916" w:type="dxa"/>
            <w:tcBorders>
              <w:top w:val="nil"/>
              <w:left w:val="nil"/>
              <w:bottom w:val="single" w:sz="4" w:space="0" w:color="auto"/>
              <w:right w:val="single" w:sz="4" w:space="0" w:color="auto"/>
            </w:tcBorders>
            <w:shd w:val="clear" w:color="auto" w:fill="auto"/>
            <w:noWrap/>
            <w:vAlign w:val="center"/>
          </w:tcPr>
          <w:p w14:paraId="10D6763B"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0.892</w:t>
            </w:r>
          </w:p>
        </w:tc>
        <w:tc>
          <w:tcPr>
            <w:tcW w:w="931" w:type="dxa"/>
            <w:tcBorders>
              <w:top w:val="nil"/>
              <w:left w:val="nil"/>
              <w:bottom w:val="single" w:sz="4" w:space="0" w:color="auto"/>
              <w:right w:val="single" w:sz="4" w:space="0" w:color="auto"/>
            </w:tcBorders>
            <w:shd w:val="clear" w:color="auto" w:fill="auto"/>
            <w:noWrap/>
            <w:vAlign w:val="center"/>
          </w:tcPr>
          <w:p w14:paraId="0E826311"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7.675</w:t>
            </w:r>
          </w:p>
        </w:tc>
        <w:tc>
          <w:tcPr>
            <w:tcW w:w="916" w:type="dxa"/>
            <w:gridSpan w:val="2"/>
            <w:tcBorders>
              <w:top w:val="nil"/>
              <w:left w:val="nil"/>
              <w:bottom w:val="single" w:sz="4" w:space="0" w:color="auto"/>
              <w:right w:val="single" w:sz="4" w:space="0" w:color="auto"/>
            </w:tcBorders>
            <w:shd w:val="clear" w:color="auto" w:fill="auto"/>
            <w:noWrap/>
            <w:vAlign w:val="center"/>
          </w:tcPr>
          <w:p w14:paraId="3B1F4E68"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-1.298</w:t>
            </w:r>
          </w:p>
        </w:tc>
        <w:tc>
          <w:tcPr>
            <w:tcW w:w="884" w:type="dxa"/>
            <w:tcBorders>
              <w:top w:val="nil"/>
              <w:left w:val="nil"/>
              <w:bottom w:val="single" w:sz="4" w:space="0" w:color="auto"/>
              <w:right w:val="double" w:sz="4" w:space="0" w:color="auto"/>
            </w:tcBorders>
            <w:shd w:val="clear" w:color="auto" w:fill="auto"/>
            <w:noWrap/>
            <w:vAlign w:val="center"/>
          </w:tcPr>
          <w:p w14:paraId="3B0FAD58"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-5.172</w:t>
            </w:r>
          </w:p>
        </w:tc>
      </w:tr>
      <w:tr w:rsidR="00E7034E" w:rsidRPr="00E75453" w14:paraId="70255D60" w14:textId="77777777" w:rsidTr="00D34B75">
        <w:trPr>
          <w:trHeight w:val="300"/>
        </w:trPr>
        <w:tc>
          <w:tcPr>
            <w:tcW w:w="1965" w:type="dxa"/>
            <w:tcBorders>
              <w:top w:val="nil"/>
              <w:left w:val="double" w:sz="4" w:space="0" w:color="auto"/>
              <w:bottom w:val="single" w:sz="4" w:space="0" w:color="auto"/>
              <w:right w:val="single" w:sz="4" w:space="0" w:color="auto"/>
            </w:tcBorders>
            <w:shd w:val="clear" w:color="auto" w:fill="auto"/>
            <w:noWrap/>
            <w:vAlign w:val="center"/>
          </w:tcPr>
          <w:p w14:paraId="55A01523" w14:textId="77777777" w:rsidR="00E7034E" w:rsidRPr="00240799" w:rsidRDefault="00E7034E" w:rsidP="006D1D87">
            <w:pPr>
              <w:ind w:left="150"/>
              <w:jc w:val="left"/>
              <w:rPr>
                <w:rFonts w:eastAsia="Times New Roman" w:cs="Times New Roman"/>
                <w:color w:val="000000"/>
                <w:sz w:val="20"/>
                <w:szCs w:val="20"/>
              </w:rPr>
            </w:pPr>
            <w:r>
              <w:rPr>
                <w:rFonts w:eastAsia="Times New Roman" w:cs="Times New Roman"/>
                <w:color w:val="000000"/>
                <w:sz w:val="20"/>
                <w:szCs w:val="20"/>
              </w:rPr>
              <w:t>Variance of Speed (2)</w:t>
            </w:r>
          </w:p>
        </w:tc>
        <w:tc>
          <w:tcPr>
            <w:tcW w:w="916" w:type="dxa"/>
            <w:tcBorders>
              <w:top w:val="nil"/>
              <w:left w:val="nil"/>
              <w:bottom w:val="single" w:sz="4" w:space="0" w:color="auto"/>
              <w:right w:val="single" w:sz="4" w:space="0" w:color="auto"/>
            </w:tcBorders>
            <w:shd w:val="clear" w:color="auto" w:fill="auto"/>
            <w:noWrap/>
            <w:vAlign w:val="center"/>
          </w:tcPr>
          <w:p w14:paraId="7957CE02" w14:textId="77777777" w:rsidR="00E7034E" w:rsidRPr="009E3BE2" w:rsidRDefault="00E7034E" w:rsidP="00D34B75">
            <w:pPr>
              <w:jc w:val="center"/>
              <w:rPr>
                <w:rFonts w:cs="Times New Roman"/>
                <w:color w:val="000000"/>
                <w:sz w:val="20"/>
                <w:szCs w:val="20"/>
              </w:rPr>
            </w:pPr>
            <w:r w:rsidRPr="00FA7C43">
              <w:rPr>
                <w:rFonts w:cs="Times New Roman"/>
                <w:color w:val="000000"/>
                <w:sz w:val="20"/>
                <w:szCs w:val="20"/>
              </w:rPr>
              <w:t>0.039</w:t>
            </w:r>
          </w:p>
        </w:tc>
        <w:tc>
          <w:tcPr>
            <w:tcW w:w="879" w:type="dxa"/>
            <w:tcBorders>
              <w:top w:val="nil"/>
              <w:left w:val="nil"/>
              <w:bottom w:val="single" w:sz="4" w:space="0" w:color="auto"/>
              <w:right w:val="single" w:sz="4" w:space="0" w:color="auto"/>
            </w:tcBorders>
            <w:shd w:val="clear" w:color="auto" w:fill="auto"/>
            <w:noWrap/>
            <w:vAlign w:val="center"/>
          </w:tcPr>
          <w:p w14:paraId="38870AF4" w14:textId="77777777" w:rsidR="00E7034E" w:rsidRPr="009E3BE2" w:rsidRDefault="00E7034E" w:rsidP="00D34B75">
            <w:pPr>
              <w:jc w:val="center"/>
              <w:rPr>
                <w:rFonts w:cs="Times New Roman"/>
                <w:color w:val="000000"/>
                <w:sz w:val="20"/>
                <w:szCs w:val="20"/>
              </w:rPr>
            </w:pPr>
            <w:r w:rsidRPr="00FA7C43">
              <w:rPr>
                <w:rFonts w:cs="Times New Roman"/>
                <w:color w:val="000000"/>
                <w:sz w:val="20"/>
                <w:szCs w:val="20"/>
              </w:rPr>
              <w:t>3.499</w:t>
            </w:r>
          </w:p>
        </w:tc>
        <w:tc>
          <w:tcPr>
            <w:tcW w:w="916" w:type="dxa"/>
            <w:gridSpan w:val="2"/>
            <w:tcBorders>
              <w:top w:val="nil"/>
              <w:left w:val="nil"/>
              <w:bottom w:val="single" w:sz="4" w:space="0" w:color="auto"/>
              <w:right w:val="single" w:sz="4" w:space="0" w:color="auto"/>
            </w:tcBorders>
            <w:shd w:val="clear" w:color="auto" w:fill="auto"/>
            <w:noWrap/>
            <w:vAlign w:val="center"/>
          </w:tcPr>
          <w:p w14:paraId="2FBBFF98"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0.039</w:t>
            </w:r>
          </w:p>
        </w:tc>
        <w:tc>
          <w:tcPr>
            <w:tcW w:w="900" w:type="dxa"/>
            <w:tcBorders>
              <w:top w:val="nil"/>
              <w:left w:val="nil"/>
              <w:bottom w:val="single" w:sz="4" w:space="0" w:color="auto"/>
              <w:right w:val="single" w:sz="4" w:space="0" w:color="auto"/>
            </w:tcBorders>
            <w:shd w:val="clear" w:color="auto" w:fill="auto"/>
            <w:noWrap/>
            <w:vAlign w:val="center"/>
          </w:tcPr>
          <w:p w14:paraId="5A493299"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3.499</w:t>
            </w:r>
          </w:p>
        </w:tc>
        <w:tc>
          <w:tcPr>
            <w:tcW w:w="916" w:type="dxa"/>
            <w:tcBorders>
              <w:top w:val="nil"/>
              <w:left w:val="nil"/>
              <w:bottom w:val="single" w:sz="4" w:space="0" w:color="auto"/>
              <w:right w:val="single" w:sz="4" w:space="0" w:color="auto"/>
            </w:tcBorders>
            <w:shd w:val="clear" w:color="auto" w:fill="auto"/>
            <w:noWrap/>
            <w:vAlign w:val="center"/>
          </w:tcPr>
          <w:p w14:paraId="45270341" w14:textId="77777777" w:rsidR="00E7034E" w:rsidRPr="009E3BE2" w:rsidRDefault="00E7034E" w:rsidP="00D34B75">
            <w:pPr>
              <w:jc w:val="center"/>
              <w:rPr>
                <w:rFonts w:cs="Times New Roman"/>
                <w:color w:val="000000"/>
                <w:sz w:val="20"/>
                <w:szCs w:val="20"/>
              </w:rPr>
            </w:pPr>
            <w:r w:rsidRPr="00FA7C43">
              <w:rPr>
                <w:rFonts w:cs="Times New Roman"/>
                <w:color w:val="000000"/>
                <w:sz w:val="20"/>
                <w:szCs w:val="20"/>
              </w:rPr>
              <w:t>0.067</w:t>
            </w:r>
          </w:p>
        </w:tc>
        <w:tc>
          <w:tcPr>
            <w:tcW w:w="900" w:type="dxa"/>
            <w:tcBorders>
              <w:top w:val="nil"/>
              <w:left w:val="nil"/>
              <w:bottom w:val="single" w:sz="4" w:space="0" w:color="auto"/>
              <w:right w:val="single" w:sz="4" w:space="0" w:color="auto"/>
            </w:tcBorders>
            <w:shd w:val="clear" w:color="auto" w:fill="auto"/>
            <w:noWrap/>
            <w:vAlign w:val="center"/>
          </w:tcPr>
          <w:p w14:paraId="04B4AF21" w14:textId="77777777" w:rsidR="00E7034E" w:rsidRPr="009E3BE2" w:rsidRDefault="00E7034E" w:rsidP="00D34B75">
            <w:pPr>
              <w:jc w:val="center"/>
              <w:rPr>
                <w:rFonts w:cs="Times New Roman"/>
                <w:color w:val="000000"/>
                <w:sz w:val="20"/>
                <w:szCs w:val="20"/>
              </w:rPr>
            </w:pPr>
            <w:r w:rsidRPr="00FA7C43">
              <w:rPr>
                <w:rFonts w:cs="Times New Roman"/>
                <w:color w:val="000000"/>
                <w:sz w:val="20"/>
                <w:szCs w:val="20"/>
              </w:rPr>
              <w:t>4.564</w:t>
            </w:r>
          </w:p>
        </w:tc>
        <w:tc>
          <w:tcPr>
            <w:tcW w:w="916" w:type="dxa"/>
            <w:tcBorders>
              <w:top w:val="nil"/>
              <w:left w:val="nil"/>
              <w:bottom w:val="single" w:sz="4" w:space="0" w:color="auto"/>
              <w:right w:val="single" w:sz="4" w:space="0" w:color="auto"/>
            </w:tcBorders>
            <w:shd w:val="clear" w:color="auto" w:fill="auto"/>
            <w:noWrap/>
            <w:vAlign w:val="center"/>
          </w:tcPr>
          <w:p w14:paraId="22AF48A7" w14:textId="77777777" w:rsidR="00E7034E" w:rsidRPr="009D0CA0" w:rsidRDefault="00E7034E" w:rsidP="00D34B75">
            <w:pPr>
              <w:jc w:val="center"/>
              <w:rPr>
                <w:rFonts w:cs="Times New Roman"/>
                <w:color w:val="000000"/>
                <w:sz w:val="20"/>
                <w:szCs w:val="20"/>
              </w:rPr>
            </w:pPr>
            <w:r w:rsidRPr="000D1648">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3982E2F8" w14:textId="77777777" w:rsidR="00E7034E" w:rsidRPr="009D0CA0" w:rsidRDefault="00E7034E" w:rsidP="00D34B75">
            <w:pPr>
              <w:jc w:val="center"/>
              <w:rPr>
                <w:rFonts w:cs="Times New Roman"/>
                <w:color w:val="000000"/>
                <w:sz w:val="20"/>
                <w:szCs w:val="20"/>
              </w:rPr>
            </w:pPr>
            <w:r w:rsidRPr="000D1648">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tcPr>
          <w:p w14:paraId="6D4A15B0" w14:textId="77777777" w:rsidR="00E7034E" w:rsidRPr="009D0CA0" w:rsidRDefault="00E7034E" w:rsidP="00D34B75">
            <w:pPr>
              <w:jc w:val="center"/>
              <w:rPr>
                <w:rFonts w:cs="Times New Roman"/>
                <w:color w:val="000000"/>
                <w:sz w:val="20"/>
                <w:szCs w:val="20"/>
              </w:rPr>
            </w:pPr>
            <w:r w:rsidRPr="000D1648">
              <w:rPr>
                <w:rFonts w:cs="Times New Roman"/>
                <w:color w:val="000000"/>
                <w:sz w:val="20"/>
                <w:szCs w:val="20"/>
              </w:rPr>
              <w:t>--</w:t>
            </w:r>
          </w:p>
        </w:tc>
        <w:tc>
          <w:tcPr>
            <w:tcW w:w="931" w:type="dxa"/>
            <w:tcBorders>
              <w:top w:val="nil"/>
              <w:left w:val="nil"/>
              <w:bottom w:val="single" w:sz="4" w:space="0" w:color="auto"/>
              <w:right w:val="single" w:sz="4" w:space="0" w:color="auto"/>
            </w:tcBorders>
            <w:shd w:val="clear" w:color="auto" w:fill="auto"/>
            <w:noWrap/>
            <w:vAlign w:val="center"/>
          </w:tcPr>
          <w:p w14:paraId="4E2EF9B9" w14:textId="77777777" w:rsidR="00E7034E" w:rsidRPr="009D0CA0" w:rsidRDefault="00E7034E" w:rsidP="00D34B75">
            <w:pPr>
              <w:jc w:val="center"/>
              <w:rPr>
                <w:rFonts w:cs="Times New Roman"/>
                <w:color w:val="000000"/>
                <w:sz w:val="20"/>
                <w:szCs w:val="20"/>
              </w:rPr>
            </w:pPr>
            <w:r w:rsidRPr="000D1648">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tcPr>
          <w:p w14:paraId="7B2F008D" w14:textId="77777777" w:rsidR="00E7034E" w:rsidRPr="009D0CA0" w:rsidRDefault="00E7034E" w:rsidP="00D34B75">
            <w:pPr>
              <w:jc w:val="center"/>
              <w:rPr>
                <w:rFonts w:cs="Times New Roman"/>
                <w:color w:val="000000"/>
                <w:sz w:val="20"/>
                <w:szCs w:val="20"/>
              </w:rPr>
            </w:pPr>
            <w:r w:rsidRPr="00C21C03">
              <w:rPr>
                <w:rFonts w:cs="Times New Roman"/>
                <w:color w:val="000000"/>
                <w:sz w:val="20"/>
                <w:szCs w:val="20"/>
              </w:rPr>
              <w:t>--</w:t>
            </w:r>
          </w:p>
        </w:tc>
        <w:tc>
          <w:tcPr>
            <w:tcW w:w="884" w:type="dxa"/>
            <w:tcBorders>
              <w:top w:val="nil"/>
              <w:left w:val="nil"/>
              <w:bottom w:val="single" w:sz="4" w:space="0" w:color="auto"/>
              <w:right w:val="double" w:sz="4" w:space="0" w:color="auto"/>
            </w:tcBorders>
            <w:shd w:val="clear" w:color="auto" w:fill="auto"/>
            <w:noWrap/>
            <w:vAlign w:val="center"/>
          </w:tcPr>
          <w:p w14:paraId="553512F6" w14:textId="77777777" w:rsidR="00E7034E" w:rsidRPr="009D0CA0" w:rsidRDefault="00E7034E" w:rsidP="00D34B75">
            <w:pPr>
              <w:jc w:val="center"/>
              <w:rPr>
                <w:rFonts w:cs="Times New Roman"/>
                <w:color w:val="000000"/>
                <w:sz w:val="20"/>
                <w:szCs w:val="20"/>
              </w:rPr>
            </w:pPr>
            <w:r w:rsidRPr="00C21C03">
              <w:rPr>
                <w:rFonts w:cs="Times New Roman"/>
                <w:color w:val="000000"/>
                <w:sz w:val="20"/>
                <w:szCs w:val="20"/>
              </w:rPr>
              <w:t>--</w:t>
            </w:r>
          </w:p>
        </w:tc>
      </w:tr>
      <w:tr w:rsidR="00E7034E" w:rsidRPr="00E75453" w14:paraId="12937376" w14:textId="77777777" w:rsidTr="00D34B75">
        <w:trPr>
          <w:trHeight w:val="300"/>
        </w:trPr>
        <w:tc>
          <w:tcPr>
            <w:tcW w:w="1965" w:type="dxa"/>
            <w:tcBorders>
              <w:top w:val="nil"/>
              <w:left w:val="double" w:sz="4" w:space="0" w:color="auto"/>
              <w:bottom w:val="single" w:sz="4" w:space="0" w:color="auto"/>
              <w:right w:val="single" w:sz="4" w:space="0" w:color="auto"/>
            </w:tcBorders>
            <w:shd w:val="clear" w:color="auto" w:fill="auto"/>
            <w:noWrap/>
            <w:vAlign w:val="center"/>
            <w:hideMark/>
          </w:tcPr>
          <w:p w14:paraId="647C2F4C" w14:textId="77777777" w:rsidR="00E7034E" w:rsidRPr="00E75453" w:rsidRDefault="00E7034E" w:rsidP="006D1D87">
            <w:pPr>
              <w:ind w:left="150"/>
              <w:jc w:val="left"/>
              <w:rPr>
                <w:rFonts w:eastAsia="Times New Roman" w:cs="Times New Roman"/>
                <w:color w:val="000000"/>
                <w:sz w:val="20"/>
                <w:szCs w:val="20"/>
              </w:rPr>
            </w:pPr>
            <w:r>
              <w:rPr>
                <w:rFonts w:eastAsia="Times New Roman" w:cs="Times New Roman"/>
                <w:color w:val="000000"/>
                <w:sz w:val="20"/>
                <w:szCs w:val="20"/>
              </w:rPr>
              <w:t>Road with separated median (2)</w:t>
            </w:r>
          </w:p>
        </w:tc>
        <w:tc>
          <w:tcPr>
            <w:tcW w:w="916" w:type="dxa"/>
            <w:tcBorders>
              <w:top w:val="nil"/>
              <w:left w:val="nil"/>
              <w:bottom w:val="single" w:sz="4" w:space="0" w:color="auto"/>
              <w:right w:val="single" w:sz="4" w:space="0" w:color="auto"/>
            </w:tcBorders>
            <w:shd w:val="clear" w:color="auto" w:fill="auto"/>
            <w:noWrap/>
            <w:vAlign w:val="center"/>
            <w:hideMark/>
          </w:tcPr>
          <w:p w14:paraId="0B2F6788"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0.164</w:t>
            </w:r>
          </w:p>
        </w:tc>
        <w:tc>
          <w:tcPr>
            <w:tcW w:w="879" w:type="dxa"/>
            <w:tcBorders>
              <w:top w:val="nil"/>
              <w:left w:val="nil"/>
              <w:bottom w:val="single" w:sz="4" w:space="0" w:color="auto"/>
              <w:right w:val="single" w:sz="4" w:space="0" w:color="auto"/>
            </w:tcBorders>
            <w:shd w:val="clear" w:color="auto" w:fill="auto"/>
            <w:noWrap/>
            <w:vAlign w:val="center"/>
            <w:hideMark/>
          </w:tcPr>
          <w:p w14:paraId="34A3759E"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3.770</w:t>
            </w:r>
          </w:p>
        </w:tc>
        <w:tc>
          <w:tcPr>
            <w:tcW w:w="916" w:type="dxa"/>
            <w:gridSpan w:val="2"/>
            <w:tcBorders>
              <w:top w:val="nil"/>
              <w:left w:val="nil"/>
              <w:bottom w:val="single" w:sz="4" w:space="0" w:color="auto"/>
              <w:right w:val="single" w:sz="4" w:space="0" w:color="auto"/>
            </w:tcBorders>
            <w:shd w:val="clear" w:color="auto" w:fill="auto"/>
            <w:noWrap/>
            <w:vAlign w:val="center"/>
            <w:hideMark/>
          </w:tcPr>
          <w:p w14:paraId="7DE4047D"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0.164</w:t>
            </w:r>
          </w:p>
        </w:tc>
        <w:tc>
          <w:tcPr>
            <w:tcW w:w="900" w:type="dxa"/>
            <w:tcBorders>
              <w:top w:val="nil"/>
              <w:left w:val="nil"/>
              <w:bottom w:val="single" w:sz="4" w:space="0" w:color="auto"/>
              <w:right w:val="single" w:sz="4" w:space="0" w:color="auto"/>
            </w:tcBorders>
            <w:shd w:val="clear" w:color="auto" w:fill="auto"/>
            <w:noWrap/>
            <w:vAlign w:val="center"/>
            <w:hideMark/>
          </w:tcPr>
          <w:p w14:paraId="2F8D244D"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3.770</w:t>
            </w:r>
          </w:p>
        </w:tc>
        <w:tc>
          <w:tcPr>
            <w:tcW w:w="916" w:type="dxa"/>
            <w:tcBorders>
              <w:top w:val="nil"/>
              <w:left w:val="nil"/>
              <w:bottom w:val="single" w:sz="4" w:space="0" w:color="auto"/>
              <w:right w:val="single" w:sz="4" w:space="0" w:color="auto"/>
            </w:tcBorders>
            <w:shd w:val="clear" w:color="auto" w:fill="auto"/>
            <w:noWrap/>
            <w:vAlign w:val="center"/>
            <w:hideMark/>
          </w:tcPr>
          <w:p w14:paraId="54B65F3C"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0.164</w:t>
            </w:r>
          </w:p>
        </w:tc>
        <w:tc>
          <w:tcPr>
            <w:tcW w:w="900" w:type="dxa"/>
            <w:tcBorders>
              <w:top w:val="nil"/>
              <w:left w:val="nil"/>
              <w:bottom w:val="single" w:sz="4" w:space="0" w:color="auto"/>
              <w:right w:val="single" w:sz="4" w:space="0" w:color="auto"/>
            </w:tcBorders>
            <w:shd w:val="clear" w:color="auto" w:fill="auto"/>
            <w:noWrap/>
            <w:vAlign w:val="center"/>
            <w:hideMark/>
          </w:tcPr>
          <w:p w14:paraId="737062A7"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3.770</w:t>
            </w:r>
          </w:p>
        </w:tc>
        <w:tc>
          <w:tcPr>
            <w:tcW w:w="916" w:type="dxa"/>
            <w:tcBorders>
              <w:top w:val="nil"/>
              <w:left w:val="nil"/>
              <w:bottom w:val="single" w:sz="4" w:space="0" w:color="auto"/>
              <w:right w:val="single" w:sz="4" w:space="0" w:color="auto"/>
            </w:tcBorders>
            <w:shd w:val="clear" w:color="auto" w:fill="auto"/>
            <w:noWrap/>
            <w:vAlign w:val="center"/>
            <w:hideMark/>
          </w:tcPr>
          <w:p w14:paraId="3985830D"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-0.201</w:t>
            </w:r>
          </w:p>
        </w:tc>
        <w:tc>
          <w:tcPr>
            <w:tcW w:w="900" w:type="dxa"/>
            <w:tcBorders>
              <w:top w:val="nil"/>
              <w:left w:val="nil"/>
              <w:bottom w:val="single" w:sz="4" w:space="0" w:color="auto"/>
              <w:right w:val="single" w:sz="4" w:space="0" w:color="auto"/>
            </w:tcBorders>
            <w:shd w:val="clear" w:color="auto" w:fill="auto"/>
            <w:noWrap/>
            <w:vAlign w:val="center"/>
            <w:hideMark/>
          </w:tcPr>
          <w:p w14:paraId="5201503B"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-1.741</w:t>
            </w:r>
          </w:p>
        </w:tc>
        <w:tc>
          <w:tcPr>
            <w:tcW w:w="916" w:type="dxa"/>
            <w:tcBorders>
              <w:top w:val="nil"/>
              <w:left w:val="nil"/>
              <w:bottom w:val="single" w:sz="4" w:space="0" w:color="auto"/>
              <w:right w:val="single" w:sz="4" w:space="0" w:color="auto"/>
            </w:tcBorders>
            <w:shd w:val="clear" w:color="auto" w:fill="auto"/>
            <w:noWrap/>
            <w:vAlign w:val="center"/>
            <w:hideMark/>
          </w:tcPr>
          <w:p w14:paraId="176FBE5A" w14:textId="77777777" w:rsidR="00E7034E" w:rsidRPr="009D0CA0" w:rsidRDefault="00E7034E" w:rsidP="00D34B75">
            <w:pPr>
              <w:jc w:val="center"/>
              <w:rPr>
                <w:rFonts w:cs="Times New Roman"/>
                <w:color w:val="000000"/>
                <w:sz w:val="20"/>
                <w:szCs w:val="20"/>
              </w:rPr>
            </w:pPr>
            <w:r w:rsidRPr="004B2357">
              <w:rPr>
                <w:rFonts w:cs="Times New Roman"/>
                <w:color w:val="000000"/>
                <w:sz w:val="20"/>
                <w:szCs w:val="20"/>
              </w:rPr>
              <w:t>--</w:t>
            </w:r>
          </w:p>
        </w:tc>
        <w:tc>
          <w:tcPr>
            <w:tcW w:w="931" w:type="dxa"/>
            <w:tcBorders>
              <w:top w:val="nil"/>
              <w:left w:val="nil"/>
              <w:bottom w:val="single" w:sz="4" w:space="0" w:color="auto"/>
              <w:right w:val="single" w:sz="4" w:space="0" w:color="auto"/>
            </w:tcBorders>
            <w:shd w:val="clear" w:color="auto" w:fill="auto"/>
            <w:noWrap/>
            <w:vAlign w:val="center"/>
            <w:hideMark/>
          </w:tcPr>
          <w:p w14:paraId="34E65125" w14:textId="77777777" w:rsidR="00E7034E" w:rsidRPr="009D0CA0" w:rsidRDefault="00E7034E" w:rsidP="00D34B75">
            <w:pPr>
              <w:jc w:val="center"/>
              <w:rPr>
                <w:rFonts w:cs="Times New Roman"/>
                <w:color w:val="000000"/>
                <w:sz w:val="20"/>
                <w:szCs w:val="20"/>
              </w:rPr>
            </w:pPr>
            <w:r w:rsidRPr="004B2357">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hideMark/>
          </w:tcPr>
          <w:p w14:paraId="02C3D91A" w14:textId="77777777" w:rsidR="00E7034E" w:rsidRPr="009D0CA0" w:rsidRDefault="00E7034E" w:rsidP="00D34B75">
            <w:pPr>
              <w:jc w:val="center"/>
              <w:rPr>
                <w:rFonts w:cs="Times New Roman"/>
                <w:color w:val="000000"/>
                <w:sz w:val="20"/>
                <w:szCs w:val="20"/>
              </w:rPr>
            </w:pPr>
            <w:r w:rsidRPr="00C21C03">
              <w:rPr>
                <w:rFonts w:cs="Times New Roman"/>
                <w:color w:val="000000"/>
                <w:sz w:val="20"/>
                <w:szCs w:val="20"/>
              </w:rPr>
              <w:t>--</w:t>
            </w:r>
          </w:p>
        </w:tc>
        <w:tc>
          <w:tcPr>
            <w:tcW w:w="884" w:type="dxa"/>
            <w:tcBorders>
              <w:top w:val="nil"/>
              <w:left w:val="nil"/>
              <w:bottom w:val="single" w:sz="4" w:space="0" w:color="auto"/>
              <w:right w:val="double" w:sz="4" w:space="0" w:color="auto"/>
            </w:tcBorders>
            <w:shd w:val="clear" w:color="auto" w:fill="auto"/>
            <w:noWrap/>
            <w:vAlign w:val="center"/>
            <w:hideMark/>
          </w:tcPr>
          <w:p w14:paraId="2E6C7A10" w14:textId="77777777" w:rsidR="00E7034E" w:rsidRPr="009D0CA0" w:rsidRDefault="00E7034E" w:rsidP="00D34B75">
            <w:pPr>
              <w:jc w:val="center"/>
              <w:rPr>
                <w:rFonts w:cs="Times New Roman"/>
                <w:color w:val="000000"/>
                <w:sz w:val="20"/>
                <w:szCs w:val="20"/>
              </w:rPr>
            </w:pPr>
            <w:r w:rsidRPr="00C21C03">
              <w:rPr>
                <w:rFonts w:cs="Times New Roman"/>
                <w:color w:val="000000"/>
                <w:sz w:val="20"/>
                <w:szCs w:val="20"/>
              </w:rPr>
              <w:t>--</w:t>
            </w:r>
          </w:p>
        </w:tc>
      </w:tr>
      <w:tr w:rsidR="00E7034E" w:rsidRPr="00E75453" w14:paraId="251020BE" w14:textId="77777777" w:rsidTr="00D34B75">
        <w:trPr>
          <w:trHeight w:val="300"/>
        </w:trPr>
        <w:tc>
          <w:tcPr>
            <w:tcW w:w="1965" w:type="dxa"/>
            <w:tcBorders>
              <w:top w:val="nil"/>
              <w:left w:val="double" w:sz="4" w:space="0" w:color="auto"/>
              <w:bottom w:val="single" w:sz="4" w:space="0" w:color="auto"/>
              <w:right w:val="single" w:sz="4" w:space="0" w:color="auto"/>
            </w:tcBorders>
            <w:shd w:val="clear" w:color="auto" w:fill="auto"/>
            <w:noWrap/>
            <w:vAlign w:val="center"/>
            <w:hideMark/>
          </w:tcPr>
          <w:p w14:paraId="3DC13076" w14:textId="77777777" w:rsidR="00E7034E" w:rsidRPr="00E75453" w:rsidRDefault="00E7034E" w:rsidP="006D1D87">
            <w:pPr>
              <w:ind w:left="150"/>
              <w:jc w:val="left"/>
              <w:rPr>
                <w:rFonts w:eastAsia="Times New Roman" w:cs="Times New Roman"/>
                <w:color w:val="000000"/>
                <w:sz w:val="20"/>
                <w:szCs w:val="20"/>
              </w:rPr>
            </w:pPr>
            <w:r w:rsidRPr="00240799">
              <w:rPr>
                <w:rFonts w:eastAsia="Times New Roman" w:cs="Times New Roman"/>
                <w:color w:val="000000"/>
                <w:sz w:val="20"/>
                <w:szCs w:val="20"/>
              </w:rPr>
              <w:t>Average outside shoulder width</w:t>
            </w:r>
            <w:r>
              <w:rPr>
                <w:rFonts w:eastAsia="Times New Roman" w:cs="Times New Roman"/>
                <w:color w:val="000000"/>
                <w:sz w:val="20"/>
                <w:szCs w:val="20"/>
              </w:rPr>
              <w:t xml:space="preserve"> (4)</w:t>
            </w:r>
          </w:p>
        </w:tc>
        <w:tc>
          <w:tcPr>
            <w:tcW w:w="916" w:type="dxa"/>
            <w:tcBorders>
              <w:top w:val="nil"/>
              <w:left w:val="nil"/>
              <w:bottom w:val="single" w:sz="4" w:space="0" w:color="auto"/>
              <w:right w:val="single" w:sz="4" w:space="0" w:color="auto"/>
            </w:tcBorders>
            <w:shd w:val="clear" w:color="auto" w:fill="auto"/>
            <w:noWrap/>
            <w:vAlign w:val="center"/>
            <w:hideMark/>
          </w:tcPr>
          <w:p w14:paraId="376CFA5B"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-0.269</w:t>
            </w:r>
          </w:p>
        </w:tc>
        <w:tc>
          <w:tcPr>
            <w:tcW w:w="879" w:type="dxa"/>
            <w:tcBorders>
              <w:top w:val="nil"/>
              <w:left w:val="nil"/>
              <w:bottom w:val="single" w:sz="4" w:space="0" w:color="auto"/>
              <w:right w:val="single" w:sz="4" w:space="0" w:color="auto"/>
            </w:tcBorders>
            <w:shd w:val="clear" w:color="auto" w:fill="auto"/>
            <w:noWrap/>
            <w:vAlign w:val="center"/>
            <w:hideMark/>
          </w:tcPr>
          <w:p w14:paraId="6ACD4694"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-6.450</w:t>
            </w:r>
          </w:p>
        </w:tc>
        <w:tc>
          <w:tcPr>
            <w:tcW w:w="916" w:type="dxa"/>
            <w:gridSpan w:val="2"/>
            <w:tcBorders>
              <w:top w:val="nil"/>
              <w:left w:val="nil"/>
              <w:bottom w:val="single" w:sz="4" w:space="0" w:color="auto"/>
              <w:right w:val="single" w:sz="4" w:space="0" w:color="auto"/>
            </w:tcBorders>
            <w:shd w:val="clear" w:color="auto" w:fill="auto"/>
            <w:noWrap/>
            <w:vAlign w:val="center"/>
            <w:hideMark/>
          </w:tcPr>
          <w:p w14:paraId="60198D94"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-0.381</w:t>
            </w:r>
          </w:p>
        </w:tc>
        <w:tc>
          <w:tcPr>
            <w:tcW w:w="900" w:type="dxa"/>
            <w:tcBorders>
              <w:top w:val="nil"/>
              <w:left w:val="nil"/>
              <w:bottom w:val="single" w:sz="4" w:space="0" w:color="auto"/>
              <w:right w:val="single" w:sz="4" w:space="0" w:color="auto"/>
            </w:tcBorders>
            <w:shd w:val="clear" w:color="auto" w:fill="auto"/>
            <w:noWrap/>
            <w:vAlign w:val="center"/>
            <w:hideMark/>
          </w:tcPr>
          <w:p w14:paraId="4F5963AC"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-7.637</w:t>
            </w:r>
          </w:p>
        </w:tc>
        <w:tc>
          <w:tcPr>
            <w:tcW w:w="916" w:type="dxa"/>
            <w:tcBorders>
              <w:top w:val="nil"/>
              <w:left w:val="nil"/>
              <w:bottom w:val="single" w:sz="4" w:space="0" w:color="auto"/>
              <w:right w:val="single" w:sz="4" w:space="0" w:color="auto"/>
            </w:tcBorders>
            <w:shd w:val="clear" w:color="auto" w:fill="auto"/>
            <w:noWrap/>
            <w:vAlign w:val="center"/>
            <w:hideMark/>
          </w:tcPr>
          <w:p w14:paraId="33518F75"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-0.410</w:t>
            </w:r>
          </w:p>
        </w:tc>
        <w:tc>
          <w:tcPr>
            <w:tcW w:w="900" w:type="dxa"/>
            <w:tcBorders>
              <w:top w:val="nil"/>
              <w:left w:val="nil"/>
              <w:bottom w:val="single" w:sz="4" w:space="0" w:color="auto"/>
              <w:right w:val="single" w:sz="4" w:space="0" w:color="auto"/>
            </w:tcBorders>
            <w:shd w:val="clear" w:color="auto" w:fill="auto"/>
            <w:noWrap/>
            <w:vAlign w:val="center"/>
            <w:hideMark/>
          </w:tcPr>
          <w:p w14:paraId="5AF94A67"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-7.666</w:t>
            </w:r>
          </w:p>
        </w:tc>
        <w:tc>
          <w:tcPr>
            <w:tcW w:w="916" w:type="dxa"/>
            <w:tcBorders>
              <w:top w:val="nil"/>
              <w:left w:val="nil"/>
              <w:bottom w:val="single" w:sz="4" w:space="0" w:color="auto"/>
              <w:right w:val="single" w:sz="4" w:space="0" w:color="auto"/>
            </w:tcBorders>
            <w:shd w:val="clear" w:color="auto" w:fill="auto"/>
            <w:noWrap/>
            <w:vAlign w:val="center"/>
            <w:hideMark/>
          </w:tcPr>
          <w:p w14:paraId="28A83586"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-0.269</w:t>
            </w:r>
          </w:p>
        </w:tc>
        <w:tc>
          <w:tcPr>
            <w:tcW w:w="900" w:type="dxa"/>
            <w:tcBorders>
              <w:top w:val="nil"/>
              <w:left w:val="nil"/>
              <w:bottom w:val="single" w:sz="4" w:space="0" w:color="auto"/>
              <w:right w:val="single" w:sz="4" w:space="0" w:color="auto"/>
            </w:tcBorders>
            <w:shd w:val="clear" w:color="auto" w:fill="auto"/>
            <w:noWrap/>
            <w:vAlign w:val="center"/>
            <w:hideMark/>
          </w:tcPr>
          <w:p w14:paraId="581A22EE"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-6.450</w:t>
            </w:r>
          </w:p>
        </w:tc>
        <w:tc>
          <w:tcPr>
            <w:tcW w:w="916" w:type="dxa"/>
            <w:tcBorders>
              <w:top w:val="nil"/>
              <w:left w:val="nil"/>
              <w:bottom w:val="single" w:sz="4" w:space="0" w:color="auto"/>
              <w:right w:val="single" w:sz="4" w:space="0" w:color="auto"/>
            </w:tcBorders>
            <w:shd w:val="clear" w:color="auto" w:fill="auto"/>
            <w:noWrap/>
            <w:vAlign w:val="center"/>
            <w:hideMark/>
          </w:tcPr>
          <w:p w14:paraId="7DBAE8B6"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-0.115</w:t>
            </w:r>
          </w:p>
        </w:tc>
        <w:tc>
          <w:tcPr>
            <w:tcW w:w="931" w:type="dxa"/>
            <w:tcBorders>
              <w:top w:val="nil"/>
              <w:left w:val="nil"/>
              <w:bottom w:val="single" w:sz="4" w:space="0" w:color="auto"/>
              <w:right w:val="single" w:sz="4" w:space="0" w:color="auto"/>
            </w:tcBorders>
            <w:shd w:val="clear" w:color="auto" w:fill="auto"/>
            <w:noWrap/>
            <w:vAlign w:val="center"/>
            <w:hideMark/>
          </w:tcPr>
          <w:p w14:paraId="067E8FAC"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-2.622</w:t>
            </w:r>
          </w:p>
        </w:tc>
        <w:tc>
          <w:tcPr>
            <w:tcW w:w="916" w:type="dxa"/>
            <w:gridSpan w:val="2"/>
            <w:tcBorders>
              <w:top w:val="nil"/>
              <w:left w:val="nil"/>
              <w:bottom w:val="single" w:sz="4" w:space="0" w:color="auto"/>
              <w:right w:val="single" w:sz="4" w:space="0" w:color="auto"/>
            </w:tcBorders>
            <w:shd w:val="clear" w:color="auto" w:fill="auto"/>
            <w:noWrap/>
            <w:vAlign w:val="center"/>
            <w:hideMark/>
          </w:tcPr>
          <w:p w14:paraId="405A6F35" w14:textId="77777777" w:rsidR="00E7034E" w:rsidRPr="009D0CA0" w:rsidRDefault="00E7034E" w:rsidP="00D34B75">
            <w:pPr>
              <w:jc w:val="center"/>
              <w:rPr>
                <w:rFonts w:cs="Times New Roman"/>
                <w:color w:val="000000"/>
                <w:sz w:val="20"/>
                <w:szCs w:val="20"/>
              </w:rPr>
            </w:pPr>
            <w:r w:rsidRPr="00C21C03">
              <w:rPr>
                <w:rFonts w:cs="Times New Roman"/>
                <w:color w:val="000000"/>
                <w:sz w:val="20"/>
                <w:szCs w:val="20"/>
              </w:rPr>
              <w:t>--</w:t>
            </w:r>
          </w:p>
        </w:tc>
        <w:tc>
          <w:tcPr>
            <w:tcW w:w="884" w:type="dxa"/>
            <w:tcBorders>
              <w:top w:val="nil"/>
              <w:left w:val="nil"/>
              <w:bottom w:val="single" w:sz="4" w:space="0" w:color="auto"/>
              <w:right w:val="double" w:sz="4" w:space="0" w:color="auto"/>
            </w:tcBorders>
            <w:shd w:val="clear" w:color="auto" w:fill="auto"/>
            <w:noWrap/>
            <w:vAlign w:val="center"/>
            <w:hideMark/>
          </w:tcPr>
          <w:p w14:paraId="68692728" w14:textId="77777777" w:rsidR="00E7034E" w:rsidRPr="009D0CA0" w:rsidRDefault="00E7034E" w:rsidP="00D34B75">
            <w:pPr>
              <w:jc w:val="center"/>
              <w:rPr>
                <w:rFonts w:cs="Times New Roman"/>
                <w:color w:val="000000"/>
                <w:sz w:val="20"/>
                <w:szCs w:val="20"/>
              </w:rPr>
            </w:pPr>
            <w:r w:rsidRPr="00C21C03">
              <w:rPr>
                <w:rFonts w:cs="Times New Roman"/>
                <w:color w:val="000000"/>
                <w:sz w:val="20"/>
                <w:szCs w:val="20"/>
              </w:rPr>
              <w:t>--</w:t>
            </w:r>
          </w:p>
        </w:tc>
      </w:tr>
      <w:tr w:rsidR="00E7034E" w:rsidRPr="00E75453" w14:paraId="46B7D6DA" w14:textId="77777777" w:rsidTr="00D34B75">
        <w:trPr>
          <w:trHeight w:val="300"/>
        </w:trPr>
        <w:tc>
          <w:tcPr>
            <w:tcW w:w="1965" w:type="dxa"/>
            <w:tcBorders>
              <w:top w:val="nil"/>
              <w:left w:val="double" w:sz="4" w:space="0" w:color="auto"/>
              <w:bottom w:val="double" w:sz="4" w:space="0" w:color="auto"/>
              <w:right w:val="single" w:sz="4" w:space="0" w:color="auto"/>
            </w:tcBorders>
            <w:shd w:val="clear" w:color="auto" w:fill="auto"/>
            <w:noWrap/>
            <w:vAlign w:val="center"/>
            <w:hideMark/>
          </w:tcPr>
          <w:p w14:paraId="76C4F27C" w14:textId="77777777" w:rsidR="00E7034E" w:rsidRPr="00E75453" w:rsidRDefault="00E7034E" w:rsidP="006D1D87">
            <w:pPr>
              <w:ind w:left="150"/>
              <w:jc w:val="left"/>
              <w:rPr>
                <w:rFonts w:eastAsia="Times New Roman" w:cs="Times New Roman"/>
                <w:color w:val="000000"/>
                <w:sz w:val="20"/>
                <w:szCs w:val="20"/>
              </w:rPr>
            </w:pPr>
            <w:r>
              <w:rPr>
                <w:rFonts w:eastAsia="Times New Roman" w:cs="Times New Roman"/>
                <w:color w:val="000000"/>
                <w:sz w:val="20"/>
                <w:szCs w:val="20"/>
              </w:rPr>
              <w:t>Average s</w:t>
            </w:r>
            <w:r w:rsidRPr="00240799">
              <w:rPr>
                <w:rFonts w:eastAsia="Times New Roman" w:cs="Times New Roman"/>
                <w:color w:val="000000"/>
                <w:sz w:val="20"/>
                <w:szCs w:val="20"/>
              </w:rPr>
              <w:t>idewalk width</w:t>
            </w:r>
            <w:r>
              <w:rPr>
                <w:rFonts w:eastAsia="Times New Roman" w:cs="Times New Roman"/>
                <w:color w:val="000000"/>
                <w:sz w:val="20"/>
                <w:szCs w:val="20"/>
              </w:rPr>
              <w:t xml:space="preserve"> (1)</w:t>
            </w:r>
          </w:p>
        </w:tc>
        <w:tc>
          <w:tcPr>
            <w:tcW w:w="916" w:type="dxa"/>
            <w:tcBorders>
              <w:top w:val="nil"/>
              <w:left w:val="nil"/>
              <w:bottom w:val="double" w:sz="4" w:space="0" w:color="auto"/>
              <w:right w:val="single" w:sz="4" w:space="0" w:color="auto"/>
            </w:tcBorders>
            <w:shd w:val="clear" w:color="auto" w:fill="auto"/>
            <w:noWrap/>
            <w:vAlign w:val="center"/>
            <w:hideMark/>
          </w:tcPr>
          <w:p w14:paraId="7C977A9A" w14:textId="77777777" w:rsidR="00E7034E" w:rsidRPr="009D0CA0" w:rsidRDefault="00E7034E" w:rsidP="00D34B75">
            <w:pPr>
              <w:jc w:val="center"/>
              <w:rPr>
                <w:rFonts w:cs="Times New Roman"/>
                <w:color w:val="000000"/>
                <w:sz w:val="20"/>
                <w:szCs w:val="20"/>
              </w:rPr>
            </w:pPr>
            <w:r w:rsidRPr="00B32DD8">
              <w:rPr>
                <w:rFonts w:cs="Times New Roman"/>
                <w:color w:val="000000"/>
                <w:sz w:val="20"/>
                <w:szCs w:val="20"/>
              </w:rPr>
              <w:t>--</w:t>
            </w:r>
          </w:p>
        </w:tc>
        <w:tc>
          <w:tcPr>
            <w:tcW w:w="879" w:type="dxa"/>
            <w:tcBorders>
              <w:top w:val="nil"/>
              <w:left w:val="nil"/>
              <w:bottom w:val="double" w:sz="4" w:space="0" w:color="auto"/>
              <w:right w:val="single" w:sz="4" w:space="0" w:color="auto"/>
            </w:tcBorders>
            <w:shd w:val="clear" w:color="auto" w:fill="auto"/>
            <w:noWrap/>
            <w:vAlign w:val="center"/>
            <w:hideMark/>
          </w:tcPr>
          <w:p w14:paraId="5A475404" w14:textId="77777777" w:rsidR="00E7034E" w:rsidRPr="009D0CA0" w:rsidRDefault="00E7034E" w:rsidP="00D34B75">
            <w:pPr>
              <w:jc w:val="center"/>
              <w:rPr>
                <w:rFonts w:cs="Times New Roman"/>
                <w:color w:val="000000"/>
                <w:sz w:val="20"/>
                <w:szCs w:val="20"/>
              </w:rPr>
            </w:pPr>
            <w:r w:rsidRPr="00B32DD8">
              <w:rPr>
                <w:rFonts w:cs="Times New Roman"/>
                <w:color w:val="000000"/>
                <w:sz w:val="20"/>
                <w:szCs w:val="20"/>
              </w:rPr>
              <w:t>--</w:t>
            </w:r>
          </w:p>
        </w:tc>
        <w:tc>
          <w:tcPr>
            <w:tcW w:w="916" w:type="dxa"/>
            <w:gridSpan w:val="2"/>
            <w:tcBorders>
              <w:top w:val="nil"/>
              <w:left w:val="nil"/>
              <w:bottom w:val="double" w:sz="4" w:space="0" w:color="auto"/>
              <w:right w:val="single" w:sz="4" w:space="0" w:color="auto"/>
            </w:tcBorders>
            <w:shd w:val="clear" w:color="auto" w:fill="auto"/>
            <w:noWrap/>
            <w:vAlign w:val="center"/>
            <w:hideMark/>
          </w:tcPr>
          <w:p w14:paraId="7D6EF0D8" w14:textId="77777777" w:rsidR="00E7034E" w:rsidRPr="009D0CA0" w:rsidRDefault="00E7034E" w:rsidP="00D34B75">
            <w:pPr>
              <w:jc w:val="center"/>
              <w:rPr>
                <w:rFonts w:cs="Times New Roman"/>
                <w:color w:val="000000"/>
                <w:sz w:val="20"/>
                <w:szCs w:val="20"/>
              </w:rPr>
            </w:pPr>
            <w:r w:rsidRPr="00B32DD8">
              <w:rPr>
                <w:rFonts w:cs="Times New Roman"/>
                <w:color w:val="000000"/>
                <w:sz w:val="20"/>
                <w:szCs w:val="20"/>
              </w:rPr>
              <w:t>--</w:t>
            </w:r>
          </w:p>
        </w:tc>
        <w:tc>
          <w:tcPr>
            <w:tcW w:w="900" w:type="dxa"/>
            <w:tcBorders>
              <w:top w:val="nil"/>
              <w:left w:val="nil"/>
              <w:bottom w:val="double" w:sz="4" w:space="0" w:color="auto"/>
              <w:right w:val="single" w:sz="4" w:space="0" w:color="auto"/>
            </w:tcBorders>
            <w:shd w:val="clear" w:color="auto" w:fill="auto"/>
            <w:noWrap/>
            <w:vAlign w:val="center"/>
            <w:hideMark/>
          </w:tcPr>
          <w:p w14:paraId="241A950B" w14:textId="77777777" w:rsidR="00E7034E" w:rsidRPr="009D0CA0" w:rsidRDefault="00E7034E" w:rsidP="00D34B75">
            <w:pPr>
              <w:jc w:val="center"/>
              <w:rPr>
                <w:rFonts w:cs="Times New Roman"/>
                <w:color w:val="000000"/>
                <w:sz w:val="20"/>
                <w:szCs w:val="20"/>
              </w:rPr>
            </w:pPr>
            <w:r w:rsidRPr="00B32DD8">
              <w:rPr>
                <w:rFonts w:cs="Times New Roman"/>
                <w:color w:val="000000"/>
                <w:sz w:val="20"/>
                <w:szCs w:val="20"/>
              </w:rPr>
              <w:t>--</w:t>
            </w:r>
          </w:p>
        </w:tc>
        <w:tc>
          <w:tcPr>
            <w:tcW w:w="916" w:type="dxa"/>
            <w:tcBorders>
              <w:top w:val="nil"/>
              <w:left w:val="nil"/>
              <w:bottom w:val="double" w:sz="4" w:space="0" w:color="auto"/>
              <w:right w:val="single" w:sz="4" w:space="0" w:color="auto"/>
            </w:tcBorders>
            <w:shd w:val="clear" w:color="auto" w:fill="auto"/>
            <w:noWrap/>
            <w:vAlign w:val="center"/>
            <w:hideMark/>
          </w:tcPr>
          <w:p w14:paraId="2AD4832A" w14:textId="77777777" w:rsidR="00E7034E" w:rsidRPr="009D0CA0" w:rsidRDefault="00E7034E" w:rsidP="00D34B75">
            <w:pPr>
              <w:jc w:val="center"/>
              <w:rPr>
                <w:rFonts w:cs="Times New Roman"/>
                <w:color w:val="000000"/>
                <w:sz w:val="20"/>
                <w:szCs w:val="20"/>
              </w:rPr>
            </w:pPr>
            <w:r w:rsidRPr="00B32DD8">
              <w:rPr>
                <w:rFonts w:cs="Times New Roman"/>
                <w:color w:val="000000"/>
                <w:sz w:val="20"/>
                <w:szCs w:val="20"/>
              </w:rPr>
              <w:t>--</w:t>
            </w:r>
          </w:p>
        </w:tc>
        <w:tc>
          <w:tcPr>
            <w:tcW w:w="900" w:type="dxa"/>
            <w:tcBorders>
              <w:top w:val="nil"/>
              <w:left w:val="nil"/>
              <w:bottom w:val="double" w:sz="4" w:space="0" w:color="auto"/>
              <w:right w:val="single" w:sz="4" w:space="0" w:color="auto"/>
            </w:tcBorders>
            <w:shd w:val="clear" w:color="auto" w:fill="auto"/>
            <w:noWrap/>
            <w:vAlign w:val="center"/>
            <w:hideMark/>
          </w:tcPr>
          <w:p w14:paraId="35B8B6A1" w14:textId="77777777" w:rsidR="00E7034E" w:rsidRPr="009D0CA0" w:rsidRDefault="00E7034E" w:rsidP="00D34B75">
            <w:pPr>
              <w:jc w:val="center"/>
              <w:rPr>
                <w:rFonts w:cs="Times New Roman"/>
                <w:color w:val="000000"/>
                <w:sz w:val="20"/>
                <w:szCs w:val="20"/>
              </w:rPr>
            </w:pPr>
            <w:r w:rsidRPr="00B32DD8">
              <w:rPr>
                <w:rFonts w:cs="Times New Roman"/>
                <w:color w:val="000000"/>
                <w:sz w:val="20"/>
                <w:szCs w:val="20"/>
              </w:rPr>
              <w:t>--</w:t>
            </w:r>
          </w:p>
        </w:tc>
        <w:tc>
          <w:tcPr>
            <w:tcW w:w="916" w:type="dxa"/>
            <w:tcBorders>
              <w:top w:val="nil"/>
              <w:left w:val="nil"/>
              <w:bottom w:val="double" w:sz="4" w:space="0" w:color="auto"/>
              <w:right w:val="single" w:sz="4" w:space="0" w:color="auto"/>
            </w:tcBorders>
            <w:shd w:val="clear" w:color="auto" w:fill="auto"/>
            <w:noWrap/>
            <w:vAlign w:val="center"/>
            <w:hideMark/>
          </w:tcPr>
          <w:p w14:paraId="0A430633" w14:textId="77777777" w:rsidR="00E7034E" w:rsidRPr="009D0CA0" w:rsidRDefault="00E7034E" w:rsidP="00D34B75">
            <w:pPr>
              <w:jc w:val="center"/>
              <w:rPr>
                <w:rFonts w:cs="Times New Roman"/>
                <w:color w:val="000000"/>
                <w:sz w:val="20"/>
                <w:szCs w:val="20"/>
              </w:rPr>
            </w:pPr>
            <w:r w:rsidRPr="00B32DD8">
              <w:rPr>
                <w:rFonts w:cs="Times New Roman"/>
                <w:color w:val="000000"/>
                <w:sz w:val="20"/>
                <w:szCs w:val="20"/>
              </w:rPr>
              <w:t>--</w:t>
            </w:r>
          </w:p>
        </w:tc>
        <w:tc>
          <w:tcPr>
            <w:tcW w:w="900" w:type="dxa"/>
            <w:tcBorders>
              <w:top w:val="nil"/>
              <w:left w:val="nil"/>
              <w:bottom w:val="double" w:sz="4" w:space="0" w:color="auto"/>
              <w:right w:val="single" w:sz="4" w:space="0" w:color="auto"/>
            </w:tcBorders>
            <w:shd w:val="clear" w:color="auto" w:fill="auto"/>
            <w:noWrap/>
            <w:vAlign w:val="center"/>
            <w:hideMark/>
          </w:tcPr>
          <w:p w14:paraId="48517F7C" w14:textId="77777777" w:rsidR="00E7034E" w:rsidRPr="009D0CA0" w:rsidRDefault="00E7034E" w:rsidP="00D34B75">
            <w:pPr>
              <w:jc w:val="center"/>
              <w:rPr>
                <w:rFonts w:cs="Times New Roman"/>
                <w:color w:val="000000"/>
                <w:sz w:val="20"/>
                <w:szCs w:val="20"/>
              </w:rPr>
            </w:pPr>
            <w:r w:rsidRPr="00B32DD8">
              <w:rPr>
                <w:rFonts w:cs="Times New Roman"/>
                <w:color w:val="000000"/>
                <w:sz w:val="20"/>
                <w:szCs w:val="20"/>
              </w:rPr>
              <w:t>--</w:t>
            </w:r>
          </w:p>
        </w:tc>
        <w:tc>
          <w:tcPr>
            <w:tcW w:w="916" w:type="dxa"/>
            <w:tcBorders>
              <w:top w:val="nil"/>
              <w:left w:val="nil"/>
              <w:bottom w:val="double" w:sz="4" w:space="0" w:color="auto"/>
              <w:right w:val="single" w:sz="4" w:space="0" w:color="auto"/>
            </w:tcBorders>
            <w:shd w:val="clear" w:color="auto" w:fill="auto"/>
            <w:noWrap/>
            <w:vAlign w:val="center"/>
            <w:hideMark/>
          </w:tcPr>
          <w:p w14:paraId="79949149" w14:textId="77777777" w:rsidR="00E7034E" w:rsidRPr="009D0CA0" w:rsidRDefault="00E7034E" w:rsidP="00D34B75">
            <w:pPr>
              <w:jc w:val="center"/>
              <w:rPr>
                <w:rFonts w:cs="Times New Roman"/>
                <w:color w:val="000000"/>
                <w:sz w:val="20"/>
                <w:szCs w:val="20"/>
              </w:rPr>
            </w:pPr>
            <w:r w:rsidRPr="00B32DD8">
              <w:rPr>
                <w:rFonts w:cs="Times New Roman"/>
                <w:color w:val="000000"/>
                <w:sz w:val="20"/>
                <w:szCs w:val="20"/>
              </w:rPr>
              <w:t>--</w:t>
            </w:r>
          </w:p>
        </w:tc>
        <w:tc>
          <w:tcPr>
            <w:tcW w:w="931" w:type="dxa"/>
            <w:tcBorders>
              <w:top w:val="nil"/>
              <w:left w:val="nil"/>
              <w:bottom w:val="double" w:sz="4" w:space="0" w:color="auto"/>
              <w:right w:val="single" w:sz="4" w:space="0" w:color="auto"/>
            </w:tcBorders>
            <w:shd w:val="clear" w:color="auto" w:fill="auto"/>
            <w:noWrap/>
            <w:vAlign w:val="center"/>
            <w:hideMark/>
          </w:tcPr>
          <w:p w14:paraId="5396842C" w14:textId="77777777" w:rsidR="00E7034E" w:rsidRPr="009D0CA0" w:rsidRDefault="00E7034E" w:rsidP="00D34B75">
            <w:pPr>
              <w:jc w:val="center"/>
              <w:rPr>
                <w:rFonts w:cs="Times New Roman"/>
                <w:color w:val="000000"/>
                <w:sz w:val="20"/>
                <w:szCs w:val="20"/>
              </w:rPr>
            </w:pPr>
            <w:r w:rsidRPr="00B32DD8">
              <w:rPr>
                <w:rFonts w:cs="Times New Roman"/>
                <w:color w:val="000000"/>
                <w:sz w:val="20"/>
                <w:szCs w:val="20"/>
              </w:rPr>
              <w:t>--</w:t>
            </w:r>
          </w:p>
        </w:tc>
        <w:tc>
          <w:tcPr>
            <w:tcW w:w="916" w:type="dxa"/>
            <w:gridSpan w:val="2"/>
            <w:tcBorders>
              <w:top w:val="nil"/>
              <w:left w:val="nil"/>
              <w:bottom w:val="double" w:sz="4" w:space="0" w:color="auto"/>
              <w:right w:val="single" w:sz="4" w:space="0" w:color="auto"/>
            </w:tcBorders>
            <w:shd w:val="clear" w:color="auto" w:fill="auto"/>
            <w:noWrap/>
            <w:vAlign w:val="center"/>
            <w:hideMark/>
          </w:tcPr>
          <w:p w14:paraId="50596021"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-0.201</w:t>
            </w:r>
          </w:p>
        </w:tc>
        <w:tc>
          <w:tcPr>
            <w:tcW w:w="884" w:type="dxa"/>
            <w:tcBorders>
              <w:top w:val="nil"/>
              <w:left w:val="nil"/>
              <w:bottom w:val="double" w:sz="4" w:space="0" w:color="auto"/>
              <w:right w:val="double" w:sz="4" w:space="0" w:color="auto"/>
            </w:tcBorders>
            <w:shd w:val="clear" w:color="auto" w:fill="auto"/>
            <w:noWrap/>
            <w:vAlign w:val="center"/>
            <w:hideMark/>
          </w:tcPr>
          <w:p w14:paraId="0FC9AB28" w14:textId="77777777" w:rsidR="00E7034E" w:rsidRPr="009D0CA0" w:rsidRDefault="00E7034E" w:rsidP="00D34B75">
            <w:pPr>
              <w:jc w:val="center"/>
              <w:rPr>
                <w:rFonts w:cs="Times New Roman"/>
                <w:color w:val="000000"/>
                <w:sz w:val="20"/>
                <w:szCs w:val="20"/>
              </w:rPr>
            </w:pPr>
            <w:r w:rsidRPr="00FA7C43">
              <w:rPr>
                <w:rFonts w:cs="Times New Roman"/>
                <w:color w:val="000000"/>
                <w:sz w:val="20"/>
                <w:szCs w:val="20"/>
              </w:rPr>
              <w:t>-3.583</w:t>
            </w:r>
          </w:p>
        </w:tc>
      </w:tr>
      <w:tr w:rsidR="00E7034E" w:rsidRPr="00E75453" w14:paraId="256864EB" w14:textId="77777777" w:rsidTr="00D34B75">
        <w:trPr>
          <w:trHeight w:val="300"/>
        </w:trPr>
        <w:tc>
          <w:tcPr>
            <w:tcW w:w="12855" w:type="dxa"/>
            <w:gridSpan w:val="15"/>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15BA4150" w14:textId="77777777" w:rsidR="00E7034E" w:rsidRPr="00E75453" w:rsidRDefault="00E7034E" w:rsidP="00D34B75">
            <w:pPr>
              <w:rPr>
                <w:rFonts w:eastAsia="Times New Roman" w:cs="Times New Roman"/>
                <w:b/>
                <w:bCs/>
                <w:color w:val="000000"/>
                <w:sz w:val="20"/>
                <w:szCs w:val="20"/>
              </w:rPr>
            </w:pPr>
            <w:r w:rsidRPr="00E75453">
              <w:rPr>
                <w:rFonts w:eastAsia="Times New Roman" w:cs="Times New Roman"/>
                <w:b/>
                <w:bCs/>
                <w:color w:val="000000"/>
                <w:sz w:val="20"/>
                <w:szCs w:val="20"/>
              </w:rPr>
              <w:t>Traffic Characteristic</w:t>
            </w:r>
          </w:p>
        </w:tc>
      </w:tr>
      <w:tr w:rsidR="00E7034E" w:rsidRPr="00E75453" w14:paraId="11039308" w14:textId="77777777" w:rsidTr="00D34B75">
        <w:trPr>
          <w:trHeight w:val="300"/>
        </w:trPr>
        <w:tc>
          <w:tcPr>
            <w:tcW w:w="1965" w:type="dxa"/>
            <w:tcBorders>
              <w:top w:val="double" w:sz="4" w:space="0" w:color="auto"/>
              <w:left w:val="double" w:sz="4" w:space="0" w:color="auto"/>
              <w:bottom w:val="single" w:sz="4" w:space="0" w:color="auto"/>
              <w:right w:val="single" w:sz="4" w:space="0" w:color="auto"/>
            </w:tcBorders>
            <w:shd w:val="clear" w:color="auto" w:fill="auto"/>
            <w:noWrap/>
            <w:vAlign w:val="center"/>
            <w:hideMark/>
          </w:tcPr>
          <w:p w14:paraId="30F45075" w14:textId="77777777" w:rsidR="00E7034E" w:rsidRPr="00E75453" w:rsidRDefault="00E7034E" w:rsidP="00D34B75">
            <w:pPr>
              <w:ind w:left="150"/>
              <w:rPr>
                <w:rFonts w:eastAsia="Times New Roman" w:cs="Times New Roman"/>
                <w:color w:val="000000"/>
                <w:sz w:val="20"/>
                <w:szCs w:val="20"/>
              </w:rPr>
            </w:pPr>
            <w:r w:rsidRPr="00240799">
              <w:rPr>
                <w:rFonts w:eastAsia="Times New Roman" w:cs="Times New Roman"/>
                <w:color w:val="000000"/>
                <w:sz w:val="20"/>
                <w:szCs w:val="20"/>
              </w:rPr>
              <w:t>VMT</w:t>
            </w:r>
            <w:r>
              <w:rPr>
                <w:rFonts w:eastAsia="Times New Roman" w:cs="Times New Roman"/>
                <w:color w:val="000000"/>
                <w:sz w:val="20"/>
                <w:szCs w:val="20"/>
              </w:rPr>
              <w:t xml:space="preserve"> (4)</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27BF5E1D" w14:textId="77777777" w:rsidR="00E7034E" w:rsidRPr="00F26EFE" w:rsidRDefault="00E7034E" w:rsidP="00D34B75">
            <w:pPr>
              <w:jc w:val="center"/>
              <w:rPr>
                <w:rFonts w:cs="Times New Roman"/>
                <w:color w:val="000000"/>
                <w:sz w:val="20"/>
                <w:szCs w:val="20"/>
              </w:rPr>
            </w:pPr>
            <w:r w:rsidRPr="00E0777D">
              <w:rPr>
                <w:rFonts w:cs="Times New Roman"/>
                <w:color w:val="000000"/>
                <w:sz w:val="20"/>
                <w:szCs w:val="20"/>
              </w:rPr>
              <w:t>--</w:t>
            </w:r>
          </w:p>
        </w:tc>
        <w:tc>
          <w:tcPr>
            <w:tcW w:w="879" w:type="dxa"/>
            <w:tcBorders>
              <w:top w:val="double" w:sz="4" w:space="0" w:color="auto"/>
              <w:left w:val="nil"/>
              <w:bottom w:val="single" w:sz="4" w:space="0" w:color="auto"/>
              <w:right w:val="single" w:sz="4" w:space="0" w:color="auto"/>
            </w:tcBorders>
            <w:shd w:val="clear" w:color="auto" w:fill="auto"/>
            <w:noWrap/>
            <w:vAlign w:val="center"/>
            <w:hideMark/>
          </w:tcPr>
          <w:p w14:paraId="738A4E8E" w14:textId="77777777" w:rsidR="00E7034E" w:rsidRPr="00F26EFE" w:rsidRDefault="00E7034E" w:rsidP="00D34B75">
            <w:pPr>
              <w:jc w:val="center"/>
              <w:rPr>
                <w:rFonts w:cs="Times New Roman"/>
                <w:color w:val="000000"/>
                <w:sz w:val="20"/>
                <w:szCs w:val="20"/>
              </w:rPr>
            </w:pPr>
            <w:r w:rsidRPr="00E0777D">
              <w:rPr>
                <w:rFonts w:cs="Times New Roman"/>
                <w:color w:val="000000"/>
                <w:sz w:val="20"/>
                <w:szCs w:val="20"/>
              </w:rPr>
              <w:t>--</w:t>
            </w:r>
          </w:p>
        </w:tc>
        <w:tc>
          <w:tcPr>
            <w:tcW w:w="916" w:type="dxa"/>
            <w:gridSpan w:val="2"/>
            <w:tcBorders>
              <w:top w:val="double" w:sz="4" w:space="0" w:color="auto"/>
              <w:left w:val="nil"/>
              <w:bottom w:val="single" w:sz="4" w:space="0" w:color="auto"/>
              <w:right w:val="single" w:sz="4" w:space="0" w:color="auto"/>
            </w:tcBorders>
            <w:shd w:val="clear" w:color="auto" w:fill="auto"/>
            <w:noWrap/>
            <w:vAlign w:val="center"/>
            <w:hideMark/>
          </w:tcPr>
          <w:p w14:paraId="1BF49D7E" w14:textId="77777777" w:rsidR="00E7034E" w:rsidRPr="00F26EFE" w:rsidRDefault="00E7034E" w:rsidP="00D34B75">
            <w:pPr>
              <w:jc w:val="center"/>
              <w:rPr>
                <w:rFonts w:cs="Times New Roman"/>
                <w:color w:val="000000"/>
                <w:sz w:val="20"/>
                <w:szCs w:val="20"/>
              </w:rPr>
            </w:pPr>
            <w:r w:rsidRPr="00FA7C43">
              <w:rPr>
                <w:rFonts w:cs="Times New Roman"/>
                <w:color w:val="000000"/>
                <w:sz w:val="20"/>
                <w:szCs w:val="20"/>
              </w:rPr>
              <w:t>0.102</w:t>
            </w:r>
          </w:p>
        </w:tc>
        <w:tc>
          <w:tcPr>
            <w:tcW w:w="900" w:type="dxa"/>
            <w:tcBorders>
              <w:top w:val="double" w:sz="4" w:space="0" w:color="auto"/>
              <w:left w:val="nil"/>
              <w:bottom w:val="single" w:sz="4" w:space="0" w:color="auto"/>
              <w:right w:val="single" w:sz="4" w:space="0" w:color="auto"/>
            </w:tcBorders>
            <w:shd w:val="clear" w:color="auto" w:fill="auto"/>
            <w:noWrap/>
            <w:vAlign w:val="center"/>
            <w:hideMark/>
          </w:tcPr>
          <w:p w14:paraId="124AA0A6" w14:textId="77777777" w:rsidR="00E7034E" w:rsidRPr="00F26EFE" w:rsidRDefault="00E7034E" w:rsidP="00D34B75">
            <w:pPr>
              <w:jc w:val="center"/>
              <w:rPr>
                <w:rFonts w:cs="Times New Roman"/>
                <w:color w:val="000000"/>
                <w:sz w:val="20"/>
                <w:szCs w:val="20"/>
              </w:rPr>
            </w:pPr>
            <w:r w:rsidRPr="00FA7C43">
              <w:rPr>
                <w:rFonts w:cs="Times New Roman"/>
                <w:color w:val="000000"/>
                <w:sz w:val="20"/>
                <w:szCs w:val="20"/>
              </w:rPr>
              <w:t>6.738</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5401CAC8" w14:textId="77777777" w:rsidR="00E7034E" w:rsidRPr="00F26EFE" w:rsidRDefault="00E7034E" w:rsidP="00D34B75">
            <w:pPr>
              <w:jc w:val="center"/>
              <w:rPr>
                <w:rFonts w:cs="Times New Roman"/>
                <w:color w:val="000000"/>
                <w:sz w:val="20"/>
                <w:szCs w:val="20"/>
              </w:rPr>
            </w:pPr>
            <w:r w:rsidRPr="00FA7C43">
              <w:rPr>
                <w:rFonts w:cs="Times New Roman"/>
                <w:color w:val="000000"/>
                <w:sz w:val="20"/>
                <w:szCs w:val="20"/>
              </w:rPr>
              <w:t>0.191</w:t>
            </w:r>
          </w:p>
        </w:tc>
        <w:tc>
          <w:tcPr>
            <w:tcW w:w="900" w:type="dxa"/>
            <w:tcBorders>
              <w:top w:val="double" w:sz="4" w:space="0" w:color="auto"/>
              <w:left w:val="nil"/>
              <w:bottom w:val="single" w:sz="4" w:space="0" w:color="auto"/>
              <w:right w:val="single" w:sz="4" w:space="0" w:color="auto"/>
            </w:tcBorders>
            <w:shd w:val="clear" w:color="auto" w:fill="auto"/>
            <w:noWrap/>
            <w:vAlign w:val="center"/>
            <w:hideMark/>
          </w:tcPr>
          <w:p w14:paraId="63CD49A0" w14:textId="77777777" w:rsidR="00E7034E" w:rsidRPr="00F26EFE" w:rsidRDefault="00E7034E" w:rsidP="00D34B75">
            <w:pPr>
              <w:jc w:val="center"/>
              <w:rPr>
                <w:rFonts w:cs="Times New Roman"/>
                <w:color w:val="000000"/>
                <w:sz w:val="20"/>
                <w:szCs w:val="20"/>
              </w:rPr>
            </w:pPr>
            <w:r w:rsidRPr="00FA7C43">
              <w:rPr>
                <w:rFonts w:cs="Times New Roman"/>
                <w:color w:val="000000"/>
                <w:sz w:val="20"/>
                <w:szCs w:val="20"/>
              </w:rPr>
              <w:t>13.228</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558E5956" w14:textId="77777777" w:rsidR="00E7034E" w:rsidRPr="00F26EFE" w:rsidRDefault="00E7034E" w:rsidP="00D34B75">
            <w:pPr>
              <w:jc w:val="center"/>
              <w:rPr>
                <w:rFonts w:cs="Times New Roman"/>
                <w:color w:val="000000"/>
                <w:sz w:val="20"/>
                <w:szCs w:val="20"/>
              </w:rPr>
            </w:pPr>
            <w:r w:rsidRPr="00FA7C43">
              <w:rPr>
                <w:rFonts w:cs="Times New Roman"/>
                <w:color w:val="000000"/>
                <w:sz w:val="20"/>
                <w:szCs w:val="20"/>
              </w:rPr>
              <w:t>0.197</w:t>
            </w:r>
          </w:p>
        </w:tc>
        <w:tc>
          <w:tcPr>
            <w:tcW w:w="900" w:type="dxa"/>
            <w:tcBorders>
              <w:top w:val="double" w:sz="4" w:space="0" w:color="auto"/>
              <w:left w:val="nil"/>
              <w:bottom w:val="single" w:sz="4" w:space="0" w:color="auto"/>
              <w:right w:val="single" w:sz="4" w:space="0" w:color="auto"/>
            </w:tcBorders>
            <w:shd w:val="clear" w:color="auto" w:fill="auto"/>
            <w:noWrap/>
            <w:vAlign w:val="center"/>
            <w:hideMark/>
          </w:tcPr>
          <w:p w14:paraId="51062CC1" w14:textId="77777777" w:rsidR="00E7034E" w:rsidRPr="00F26EFE" w:rsidRDefault="00E7034E" w:rsidP="00D34B75">
            <w:pPr>
              <w:jc w:val="center"/>
              <w:rPr>
                <w:rFonts w:cs="Times New Roman"/>
                <w:color w:val="000000"/>
                <w:sz w:val="20"/>
                <w:szCs w:val="20"/>
              </w:rPr>
            </w:pPr>
            <w:r w:rsidRPr="00FA7C43">
              <w:rPr>
                <w:rFonts w:cs="Times New Roman"/>
                <w:color w:val="000000"/>
                <w:sz w:val="20"/>
                <w:szCs w:val="20"/>
              </w:rPr>
              <w:t>8.470</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74EFD342" w14:textId="77777777" w:rsidR="00E7034E" w:rsidRPr="00F26EFE" w:rsidRDefault="00E7034E" w:rsidP="00D34B75">
            <w:pPr>
              <w:jc w:val="center"/>
              <w:rPr>
                <w:rFonts w:cs="Times New Roman"/>
                <w:color w:val="000000"/>
                <w:sz w:val="20"/>
                <w:szCs w:val="20"/>
              </w:rPr>
            </w:pPr>
            <w:r w:rsidRPr="00AE00A7">
              <w:rPr>
                <w:rFonts w:cs="Times New Roman"/>
                <w:color w:val="000000"/>
                <w:sz w:val="20"/>
                <w:szCs w:val="20"/>
              </w:rPr>
              <w:t>--</w:t>
            </w:r>
          </w:p>
        </w:tc>
        <w:tc>
          <w:tcPr>
            <w:tcW w:w="931" w:type="dxa"/>
            <w:tcBorders>
              <w:top w:val="double" w:sz="4" w:space="0" w:color="auto"/>
              <w:left w:val="nil"/>
              <w:bottom w:val="single" w:sz="4" w:space="0" w:color="auto"/>
              <w:right w:val="single" w:sz="4" w:space="0" w:color="auto"/>
            </w:tcBorders>
            <w:shd w:val="clear" w:color="auto" w:fill="auto"/>
            <w:noWrap/>
            <w:vAlign w:val="center"/>
            <w:hideMark/>
          </w:tcPr>
          <w:p w14:paraId="2F888171" w14:textId="77777777" w:rsidR="00E7034E" w:rsidRPr="00F26EFE" w:rsidRDefault="00E7034E" w:rsidP="00D34B75">
            <w:pPr>
              <w:jc w:val="center"/>
              <w:rPr>
                <w:rFonts w:cs="Times New Roman"/>
                <w:color w:val="000000"/>
                <w:sz w:val="20"/>
                <w:szCs w:val="20"/>
              </w:rPr>
            </w:pPr>
            <w:r w:rsidRPr="00AE00A7">
              <w:rPr>
                <w:rFonts w:cs="Times New Roman"/>
                <w:color w:val="000000"/>
                <w:sz w:val="20"/>
                <w:szCs w:val="20"/>
              </w:rPr>
              <w:t>--</w:t>
            </w:r>
          </w:p>
        </w:tc>
        <w:tc>
          <w:tcPr>
            <w:tcW w:w="916" w:type="dxa"/>
            <w:gridSpan w:val="2"/>
            <w:tcBorders>
              <w:top w:val="double" w:sz="4" w:space="0" w:color="auto"/>
              <w:left w:val="nil"/>
              <w:bottom w:val="single" w:sz="4" w:space="0" w:color="auto"/>
              <w:right w:val="single" w:sz="4" w:space="0" w:color="auto"/>
            </w:tcBorders>
            <w:shd w:val="clear" w:color="auto" w:fill="auto"/>
            <w:noWrap/>
            <w:vAlign w:val="center"/>
            <w:hideMark/>
          </w:tcPr>
          <w:p w14:paraId="22DA8646" w14:textId="77777777" w:rsidR="00E7034E" w:rsidRPr="00F26EFE" w:rsidRDefault="00E7034E" w:rsidP="00D34B75">
            <w:pPr>
              <w:jc w:val="center"/>
              <w:rPr>
                <w:rFonts w:cs="Times New Roman"/>
                <w:color w:val="000000"/>
                <w:sz w:val="20"/>
                <w:szCs w:val="20"/>
              </w:rPr>
            </w:pPr>
            <w:r w:rsidRPr="00FA7C43">
              <w:rPr>
                <w:rFonts w:cs="Times New Roman"/>
                <w:color w:val="000000"/>
                <w:sz w:val="20"/>
                <w:szCs w:val="20"/>
              </w:rPr>
              <w:t>0.048</w:t>
            </w:r>
          </w:p>
        </w:tc>
        <w:tc>
          <w:tcPr>
            <w:tcW w:w="884" w:type="dxa"/>
            <w:tcBorders>
              <w:top w:val="double" w:sz="4" w:space="0" w:color="auto"/>
              <w:left w:val="nil"/>
              <w:bottom w:val="single" w:sz="4" w:space="0" w:color="auto"/>
              <w:right w:val="double" w:sz="4" w:space="0" w:color="auto"/>
            </w:tcBorders>
            <w:shd w:val="clear" w:color="auto" w:fill="auto"/>
            <w:noWrap/>
            <w:vAlign w:val="center"/>
            <w:hideMark/>
          </w:tcPr>
          <w:p w14:paraId="345DE414" w14:textId="77777777" w:rsidR="00E7034E" w:rsidRPr="00F26EFE" w:rsidRDefault="00E7034E" w:rsidP="00D34B75">
            <w:pPr>
              <w:jc w:val="center"/>
              <w:rPr>
                <w:rFonts w:cs="Times New Roman"/>
                <w:color w:val="000000"/>
                <w:sz w:val="20"/>
                <w:szCs w:val="20"/>
              </w:rPr>
            </w:pPr>
            <w:r w:rsidRPr="00FA7C43">
              <w:rPr>
                <w:rFonts w:cs="Times New Roman"/>
                <w:color w:val="000000"/>
                <w:sz w:val="20"/>
                <w:szCs w:val="20"/>
              </w:rPr>
              <w:t>3.180</w:t>
            </w:r>
          </w:p>
        </w:tc>
      </w:tr>
      <w:tr w:rsidR="00E7034E" w:rsidRPr="00E75453" w14:paraId="48C39852" w14:textId="77777777" w:rsidTr="00D34B75">
        <w:trPr>
          <w:trHeight w:val="300"/>
        </w:trPr>
        <w:tc>
          <w:tcPr>
            <w:tcW w:w="1965" w:type="dxa"/>
            <w:tcBorders>
              <w:top w:val="nil"/>
              <w:left w:val="double" w:sz="4" w:space="0" w:color="auto"/>
              <w:bottom w:val="double" w:sz="4" w:space="0" w:color="auto"/>
              <w:right w:val="single" w:sz="4" w:space="0" w:color="auto"/>
            </w:tcBorders>
            <w:shd w:val="clear" w:color="auto" w:fill="auto"/>
            <w:noWrap/>
            <w:vAlign w:val="center"/>
            <w:hideMark/>
          </w:tcPr>
          <w:p w14:paraId="512C637C" w14:textId="77777777" w:rsidR="00E7034E" w:rsidRPr="00E75453" w:rsidRDefault="00E7034E" w:rsidP="00D34B75">
            <w:pPr>
              <w:ind w:left="150"/>
              <w:rPr>
                <w:rFonts w:eastAsia="Times New Roman" w:cs="Times New Roman"/>
                <w:color w:val="000000"/>
                <w:sz w:val="20"/>
                <w:szCs w:val="20"/>
              </w:rPr>
            </w:pPr>
            <w:r w:rsidRPr="00240799">
              <w:rPr>
                <w:rFonts w:eastAsia="Times New Roman" w:cs="Times New Roman"/>
                <w:color w:val="000000"/>
                <w:sz w:val="20"/>
                <w:szCs w:val="20"/>
              </w:rPr>
              <w:t>Truck VMT</w:t>
            </w:r>
            <w:r>
              <w:rPr>
                <w:rFonts w:eastAsia="Times New Roman" w:cs="Times New Roman"/>
                <w:color w:val="000000"/>
                <w:sz w:val="20"/>
                <w:szCs w:val="20"/>
              </w:rPr>
              <w:t xml:space="preserve"> (2)</w:t>
            </w:r>
          </w:p>
        </w:tc>
        <w:tc>
          <w:tcPr>
            <w:tcW w:w="916" w:type="dxa"/>
            <w:tcBorders>
              <w:top w:val="nil"/>
              <w:left w:val="nil"/>
              <w:bottom w:val="double" w:sz="4" w:space="0" w:color="auto"/>
              <w:right w:val="single" w:sz="4" w:space="0" w:color="auto"/>
            </w:tcBorders>
            <w:shd w:val="clear" w:color="auto" w:fill="auto"/>
            <w:noWrap/>
            <w:vAlign w:val="center"/>
            <w:hideMark/>
          </w:tcPr>
          <w:p w14:paraId="2EF17420" w14:textId="77777777" w:rsidR="00E7034E" w:rsidRPr="00F26EFE" w:rsidRDefault="00E7034E" w:rsidP="00D34B75">
            <w:pPr>
              <w:jc w:val="center"/>
              <w:rPr>
                <w:rFonts w:cs="Times New Roman"/>
                <w:color w:val="000000"/>
                <w:sz w:val="20"/>
                <w:szCs w:val="20"/>
              </w:rPr>
            </w:pPr>
            <w:r w:rsidRPr="00FA7C43">
              <w:rPr>
                <w:rFonts w:cs="Times New Roman"/>
                <w:color w:val="000000"/>
                <w:sz w:val="20"/>
                <w:szCs w:val="20"/>
              </w:rPr>
              <w:t>0.174</w:t>
            </w:r>
          </w:p>
        </w:tc>
        <w:tc>
          <w:tcPr>
            <w:tcW w:w="879" w:type="dxa"/>
            <w:tcBorders>
              <w:top w:val="nil"/>
              <w:left w:val="nil"/>
              <w:bottom w:val="double" w:sz="4" w:space="0" w:color="auto"/>
              <w:right w:val="single" w:sz="4" w:space="0" w:color="auto"/>
            </w:tcBorders>
            <w:shd w:val="clear" w:color="auto" w:fill="auto"/>
            <w:noWrap/>
            <w:vAlign w:val="center"/>
            <w:hideMark/>
          </w:tcPr>
          <w:p w14:paraId="0000AE92" w14:textId="77777777" w:rsidR="00E7034E" w:rsidRPr="00F26EFE" w:rsidRDefault="00E7034E" w:rsidP="00D34B75">
            <w:pPr>
              <w:jc w:val="center"/>
              <w:rPr>
                <w:rFonts w:cs="Times New Roman"/>
                <w:color w:val="000000"/>
                <w:sz w:val="20"/>
                <w:szCs w:val="20"/>
              </w:rPr>
            </w:pPr>
            <w:r w:rsidRPr="00FA7C43">
              <w:rPr>
                <w:rFonts w:cs="Times New Roman"/>
                <w:color w:val="000000"/>
                <w:sz w:val="20"/>
                <w:szCs w:val="20"/>
              </w:rPr>
              <w:t>15.400</w:t>
            </w:r>
          </w:p>
        </w:tc>
        <w:tc>
          <w:tcPr>
            <w:tcW w:w="916" w:type="dxa"/>
            <w:gridSpan w:val="2"/>
            <w:tcBorders>
              <w:top w:val="nil"/>
              <w:left w:val="nil"/>
              <w:bottom w:val="double" w:sz="4" w:space="0" w:color="auto"/>
              <w:right w:val="single" w:sz="4" w:space="0" w:color="auto"/>
            </w:tcBorders>
            <w:shd w:val="clear" w:color="auto" w:fill="auto"/>
            <w:noWrap/>
            <w:vAlign w:val="center"/>
            <w:hideMark/>
          </w:tcPr>
          <w:p w14:paraId="3535BA55" w14:textId="77777777" w:rsidR="00E7034E" w:rsidRPr="00F26EFE" w:rsidRDefault="00E7034E" w:rsidP="00D34B75">
            <w:pPr>
              <w:jc w:val="center"/>
              <w:rPr>
                <w:rFonts w:cs="Times New Roman"/>
                <w:color w:val="000000"/>
                <w:sz w:val="20"/>
                <w:szCs w:val="20"/>
              </w:rPr>
            </w:pPr>
            <w:r w:rsidRPr="002D15AE">
              <w:rPr>
                <w:rFonts w:cs="Times New Roman"/>
                <w:color w:val="000000"/>
                <w:sz w:val="20"/>
                <w:szCs w:val="20"/>
              </w:rPr>
              <w:t>--</w:t>
            </w:r>
          </w:p>
        </w:tc>
        <w:tc>
          <w:tcPr>
            <w:tcW w:w="900" w:type="dxa"/>
            <w:tcBorders>
              <w:top w:val="nil"/>
              <w:left w:val="nil"/>
              <w:bottom w:val="double" w:sz="4" w:space="0" w:color="auto"/>
              <w:right w:val="single" w:sz="4" w:space="0" w:color="auto"/>
            </w:tcBorders>
            <w:shd w:val="clear" w:color="auto" w:fill="auto"/>
            <w:noWrap/>
            <w:vAlign w:val="center"/>
            <w:hideMark/>
          </w:tcPr>
          <w:p w14:paraId="693A178F" w14:textId="77777777" w:rsidR="00E7034E" w:rsidRPr="00F26EFE" w:rsidRDefault="00E7034E" w:rsidP="00D34B75">
            <w:pPr>
              <w:jc w:val="center"/>
              <w:rPr>
                <w:rFonts w:cs="Times New Roman"/>
                <w:color w:val="000000"/>
                <w:sz w:val="20"/>
                <w:szCs w:val="20"/>
              </w:rPr>
            </w:pPr>
            <w:r w:rsidRPr="002D15AE">
              <w:rPr>
                <w:rFonts w:cs="Times New Roman"/>
                <w:color w:val="000000"/>
                <w:sz w:val="20"/>
                <w:szCs w:val="20"/>
              </w:rPr>
              <w:t>--</w:t>
            </w:r>
          </w:p>
        </w:tc>
        <w:tc>
          <w:tcPr>
            <w:tcW w:w="916" w:type="dxa"/>
            <w:tcBorders>
              <w:top w:val="nil"/>
              <w:left w:val="nil"/>
              <w:bottom w:val="double" w:sz="4" w:space="0" w:color="auto"/>
              <w:right w:val="single" w:sz="4" w:space="0" w:color="auto"/>
            </w:tcBorders>
            <w:shd w:val="clear" w:color="auto" w:fill="auto"/>
            <w:noWrap/>
            <w:vAlign w:val="center"/>
            <w:hideMark/>
          </w:tcPr>
          <w:p w14:paraId="74A6B7EA" w14:textId="77777777" w:rsidR="00E7034E" w:rsidRPr="00F26EFE" w:rsidRDefault="00E7034E" w:rsidP="00D34B75">
            <w:pPr>
              <w:jc w:val="center"/>
              <w:rPr>
                <w:rFonts w:cs="Times New Roman"/>
                <w:color w:val="000000"/>
                <w:sz w:val="20"/>
                <w:szCs w:val="20"/>
              </w:rPr>
            </w:pPr>
            <w:r w:rsidRPr="002D15AE">
              <w:rPr>
                <w:rFonts w:cs="Times New Roman"/>
                <w:color w:val="000000"/>
                <w:sz w:val="20"/>
                <w:szCs w:val="20"/>
              </w:rPr>
              <w:t>--</w:t>
            </w:r>
          </w:p>
        </w:tc>
        <w:tc>
          <w:tcPr>
            <w:tcW w:w="900" w:type="dxa"/>
            <w:tcBorders>
              <w:top w:val="nil"/>
              <w:left w:val="nil"/>
              <w:bottom w:val="double" w:sz="4" w:space="0" w:color="auto"/>
              <w:right w:val="single" w:sz="4" w:space="0" w:color="auto"/>
            </w:tcBorders>
            <w:shd w:val="clear" w:color="auto" w:fill="auto"/>
            <w:noWrap/>
            <w:vAlign w:val="center"/>
            <w:hideMark/>
          </w:tcPr>
          <w:p w14:paraId="3AEA8C96" w14:textId="77777777" w:rsidR="00E7034E" w:rsidRPr="00F26EFE" w:rsidRDefault="00E7034E" w:rsidP="00D34B75">
            <w:pPr>
              <w:jc w:val="center"/>
              <w:rPr>
                <w:rFonts w:cs="Times New Roman"/>
                <w:color w:val="000000"/>
                <w:sz w:val="20"/>
                <w:szCs w:val="20"/>
              </w:rPr>
            </w:pPr>
            <w:r w:rsidRPr="002D15AE">
              <w:rPr>
                <w:rFonts w:cs="Times New Roman"/>
                <w:color w:val="000000"/>
                <w:sz w:val="20"/>
                <w:szCs w:val="20"/>
              </w:rPr>
              <w:t>--</w:t>
            </w:r>
          </w:p>
        </w:tc>
        <w:tc>
          <w:tcPr>
            <w:tcW w:w="916" w:type="dxa"/>
            <w:tcBorders>
              <w:top w:val="nil"/>
              <w:left w:val="nil"/>
              <w:bottom w:val="double" w:sz="4" w:space="0" w:color="auto"/>
              <w:right w:val="single" w:sz="4" w:space="0" w:color="auto"/>
            </w:tcBorders>
            <w:shd w:val="clear" w:color="auto" w:fill="auto"/>
            <w:noWrap/>
            <w:vAlign w:val="center"/>
            <w:hideMark/>
          </w:tcPr>
          <w:p w14:paraId="532024A4" w14:textId="77777777" w:rsidR="00E7034E" w:rsidRPr="00F26EFE" w:rsidRDefault="00E7034E" w:rsidP="00D34B75">
            <w:pPr>
              <w:jc w:val="center"/>
              <w:rPr>
                <w:rFonts w:cs="Times New Roman"/>
                <w:color w:val="000000"/>
                <w:sz w:val="20"/>
                <w:szCs w:val="20"/>
              </w:rPr>
            </w:pPr>
            <w:r w:rsidRPr="002D15AE">
              <w:rPr>
                <w:rFonts w:cs="Times New Roman"/>
                <w:color w:val="000000"/>
                <w:sz w:val="20"/>
                <w:szCs w:val="20"/>
              </w:rPr>
              <w:t>--</w:t>
            </w:r>
          </w:p>
        </w:tc>
        <w:tc>
          <w:tcPr>
            <w:tcW w:w="900" w:type="dxa"/>
            <w:tcBorders>
              <w:top w:val="nil"/>
              <w:left w:val="nil"/>
              <w:bottom w:val="double" w:sz="4" w:space="0" w:color="auto"/>
              <w:right w:val="single" w:sz="4" w:space="0" w:color="auto"/>
            </w:tcBorders>
            <w:shd w:val="clear" w:color="auto" w:fill="auto"/>
            <w:noWrap/>
            <w:vAlign w:val="center"/>
            <w:hideMark/>
          </w:tcPr>
          <w:p w14:paraId="132A92BB" w14:textId="77777777" w:rsidR="00E7034E" w:rsidRPr="00F26EFE" w:rsidRDefault="00E7034E" w:rsidP="00D34B75">
            <w:pPr>
              <w:jc w:val="center"/>
              <w:rPr>
                <w:rFonts w:cs="Times New Roman"/>
                <w:color w:val="000000"/>
                <w:sz w:val="20"/>
                <w:szCs w:val="20"/>
              </w:rPr>
            </w:pPr>
            <w:r w:rsidRPr="002D15AE">
              <w:rPr>
                <w:rFonts w:cs="Times New Roman"/>
                <w:color w:val="000000"/>
                <w:sz w:val="20"/>
                <w:szCs w:val="20"/>
              </w:rPr>
              <w:t>--</w:t>
            </w:r>
          </w:p>
        </w:tc>
        <w:tc>
          <w:tcPr>
            <w:tcW w:w="916" w:type="dxa"/>
            <w:tcBorders>
              <w:top w:val="nil"/>
              <w:left w:val="nil"/>
              <w:bottom w:val="double" w:sz="4" w:space="0" w:color="auto"/>
              <w:right w:val="single" w:sz="4" w:space="0" w:color="auto"/>
            </w:tcBorders>
            <w:shd w:val="clear" w:color="auto" w:fill="auto"/>
            <w:noWrap/>
            <w:vAlign w:val="center"/>
            <w:hideMark/>
          </w:tcPr>
          <w:p w14:paraId="634BB9AB" w14:textId="77777777" w:rsidR="00E7034E" w:rsidRPr="00F26EFE" w:rsidRDefault="00E7034E" w:rsidP="00D34B75">
            <w:pPr>
              <w:jc w:val="center"/>
              <w:rPr>
                <w:rFonts w:cs="Times New Roman"/>
                <w:color w:val="000000"/>
                <w:sz w:val="20"/>
                <w:szCs w:val="20"/>
              </w:rPr>
            </w:pPr>
            <w:r w:rsidRPr="00FA7C43">
              <w:rPr>
                <w:rFonts w:cs="Times New Roman"/>
                <w:color w:val="000000"/>
                <w:sz w:val="20"/>
                <w:szCs w:val="20"/>
              </w:rPr>
              <w:t>0.270</w:t>
            </w:r>
          </w:p>
        </w:tc>
        <w:tc>
          <w:tcPr>
            <w:tcW w:w="931" w:type="dxa"/>
            <w:tcBorders>
              <w:top w:val="nil"/>
              <w:left w:val="nil"/>
              <w:bottom w:val="double" w:sz="4" w:space="0" w:color="auto"/>
              <w:right w:val="single" w:sz="4" w:space="0" w:color="auto"/>
            </w:tcBorders>
            <w:shd w:val="clear" w:color="auto" w:fill="auto"/>
            <w:noWrap/>
            <w:vAlign w:val="center"/>
            <w:hideMark/>
          </w:tcPr>
          <w:p w14:paraId="6B1EB5A0" w14:textId="77777777" w:rsidR="00E7034E" w:rsidRPr="00F26EFE" w:rsidRDefault="00E7034E" w:rsidP="00D34B75">
            <w:pPr>
              <w:jc w:val="center"/>
              <w:rPr>
                <w:rFonts w:cs="Times New Roman"/>
                <w:color w:val="000000"/>
                <w:sz w:val="20"/>
                <w:szCs w:val="20"/>
              </w:rPr>
            </w:pPr>
            <w:r w:rsidRPr="00FA7C43">
              <w:rPr>
                <w:rFonts w:cs="Times New Roman"/>
                <w:color w:val="000000"/>
                <w:sz w:val="20"/>
                <w:szCs w:val="20"/>
              </w:rPr>
              <w:t>26.825</w:t>
            </w:r>
          </w:p>
        </w:tc>
        <w:tc>
          <w:tcPr>
            <w:tcW w:w="916" w:type="dxa"/>
            <w:gridSpan w:val="2"/>
            <w:tcBorders>
              <w:top w:val="nil"/>
              <w:left w:val="nil"/>
              <w:bottom w:val="double" w:sz="4" w:space="0" w:color="auto"/>
              <w:right w:val="single" w:sz="4" w:space="0" w:color="auto"/>
            </w:tcBorders>
            <w:shd w:val="clear" w:color="auto" w:fill="auto"/>
            <w:noWrap/>
            <w:vAlign w:val="center"/>
            <w:hideMark/>
          </w:tcPr>
          <w:p w14:paraId="142AB988" w14:textId="77777777" w:rsidR="00E7034E" w:rsidRPr="00F26EFE" w:rsidRDefault="00E7034E" w:rsidP="00D34B75">
            <w:pPr>
              <w:jc w:val="center"/>
              <w:rPr>
                <w:rFonts w:cs="Times New Roman"/>
                <w:color w:val="000000"/>
                <w:sz w:val="20"/>
                <w:szCs w:val="20"/>
              </w:rPr>
            </w:pPr>
            <w:r w:rsidRPr="00AE00A7">
              <w:rPr>
                <w:rFonts w:cs="Times New Roman"/>
                <w:color w:val="000000"/>
                <w:sz w:val="20"/>
                <w:szCs w:val="20"/>
              </w:rPr>
              <w:t>--</w:t>
            </w:r>
          </w:p>
        </w:tc>
        <w:tc>
          <w:tcPr>
            <w:tcW w:w="884" w:type="dxa"/>
            <w:tcBorders>
              <w:top w:val="nil"/>
              <w:left w:val="nil"/>
              <w:bottom w:val="double" w:sz="4" w:space="0" w:color="auto"/>
              <w:right w:val="double" w:sz="4" w:space="0" w:color="auto"/>
            </w:tcBorders>
            <w:shd w:val="clear" w:color="auto" w:fill="auto"/>
            <w:noWrap/>
            <w:vAlign w:val="center"/>
            <w:hideMark/>
          </w:tcPr>
          <w:p w14:paraId="461C5A5E" w14:textId="77777777" w:rsidR="00E7034E" w:rsidRPr="00F26EFE" w:rsidRDefault="00E7034E" w:rsidP="00D34B75">
            <w:pPr>
              <w:jc w:val="center"/>
              <w:rPr>
                <w:rFonts w:cs="Times New Roman"/>
                <w:color w:val="000000"/>
                <w:sz w:val="20"/>
                <w:szCs w:val="20"/>
              </w:rPr>
            </w:pPr>
            <w:r w:rsidRPr="00AE00A7">
              <w:rPr>
                <w:rFonts w:cs="Times New Roman"/>
                <w:color w:val="000000"/>
                <w:sz w:val="20"/>
                <w:szCs w:val="20"/>
              </w:rPr>
              <w:t>--</w:t>
            </w:r>
          </w:p>
        </w:tc>
      </w:tr>
      <w:tr w:rsidR="00E7034E" w:rsidRPr="00E75453" w14:paraId="214E29A0" w14:textId="77777777" w:rsidTr="00D34B75">
        <w:trPr>
          <w:trHeight w:val="300"/>
        </w:trPr>
        <w:tc>
          <w:tcPr>
            <w:tcW w:w="12855" w:type="dxa"/>
            <w:gridSpan w:val="15"/>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12B76945" w14:textId="77777777" w:rsidR="00E7034E" w:rsidRPr="00E75453" w:rsidRDefault="00E7034E" w:rsidP="00D34B75">
            <w:pPr>
              <w:rPr>
                <w:rFonts w:eastAsia="Times New Roman" w:cs="Times New Roman"/>
                <w:b/>
                <w:bCs/>
                <w:color w:val="000000"/>
                <w:sz w:val="20"/>
                <w:szCs w:val="20"/>
              </w:rPr>
            </w:pPr>
            <w:r w:rsidRPr="00E75453">
              <w:rPr>
                <w:rFonts w:eastAsia="Times New Roman" w:cs="Times New Roman"/>
                <w:b/>
                <w:bCs/>
                <w:color w:val="000000"/>
                <w:sz w:val="20"/>
                <w:szCs w:val="20"/>
              </w:rPr>
              <w:t>Land-use attributes</w:t>
            </w:r>
          </w:p>
        </w:tc>
      </w:tr>
      <w:tr w:rsidR="00E7034E" w:rsidRPr="00E75453" w14:paraId="5F21FFF3" w14:textId="77777777" w:rsidTr="00D34B75">
        <w:trPr>
          <w:trHeight w:val="300"/>
        </w:trPr>
        <w:tc>
          <w:tcPr>
            <w:tcW w:w="1965" w:type="dxa"/>
            <w:tcBorders>
              <w:top w:val="double" w:sz="4" w:space="0" w:color="auto"/>
              <w:left w:val="double" w:sz="4" w:space="0" w:color="auto"/>
              <w:bottom w:val="single" w:sz="4" w:space="0" w:color="auto"/>
              <w:right w:val="single" w:sz="4" w:space="0" w:color="auto"/>
            </w:tcBorders>
            <w:shd w:val="clear" w:color="auto" w:fill="auto"/>
            <w:noWrap/>
            <w:vAlign w:val="center"/>
          </w:tcPr>
          <w:p w14:paraId="4E9FA362" w14:textId="77777777" w:rsidR="00E7034E" w:rsidRPr="00240799" w:rsidRDefault="00E7034E" w:rsidP="00D34B75">
            <w:pPr>
              <w:ind w:left="150"/>
              <w:rPr>
                <w:rFonts w:eastAsia="Times New Roman" w:cs="Times New Roman"/>
                <w:color w:val="000000"/>
                <w:sz w:val="20"/>
                <w:szCs w:val="20"/>
              </w:rPr>
            </w:pPr>
            <w:r w:rsidRPr="00240799">
              <w:rPr>
                <w:rFonts w:eastAsia="Times New Roman" w:cs="Times New Roman"/>
                <w:color w:val="000000"/>
                <w:sz w:val="20"/>
                <w:szCs w:val="20"/>
              </w:rPr>
              <w:t>Urban area</w:t>
            </w:r>
            <w:r>
              <w:rPr>
                <w:rFonts w:eastAsia="Times New Roman" w:cs="Times New Roman"/>
                <w:color w:val="000000"/>
                <w:sz w:val="20"/>
                <w:szCs w:val="20"/>
              </w:rPr>
              <w:t xml:space="preserve"> (4)</w:t>
            </w:r>
          </w:p>
        </w:tc>
        <w:tc>
          <w:tcPr>
            <w:tcW w:w="916" w:type="dxa"/>
            <w:tcBorders>
              <w:top w:val="double" w:sz="4" w:space="0" w:color="auto"/>
              <w:left w:val="nil"/>
              <w:bottom w:val="single" w:sz="4" w:space="0" w:color="auto"/>
              <w:right w:val="single" w:sz="4" w:space="0" w:color="auto"/>
            </w:tcBorders>
            <w:shd w:val="clear" w:color="auto" w:fill="auto"/>
            <w:noWrap/>
            <w:vAlign w:val="center"/>
          </w:tcPr>
          <w:p w14:paraId="5D4BD2A6" w14:textId="77777777" w:rsidR="00E7034E" w:rsidRPr="00F0666B" w:rsidRDefault="00E7034E" w:rsidP="00D34B75">
            <w:pPr>
              <w:jc w:val="center"/>
              <w:rPr>
                <w:rFonts w:cs="Times New Roman"/>
                <w:color w:val="000000"/>
                <w:sz w:val="20"/>
                <w:szCs w:val="20"/>
              </w:rPr>
            </w:pPr>
            <w:r w:rsidRPr="00FA7C43">
              <w:rPr>
                <w:rFonts w:cs="Times New Roman"/>
                <w:color w:val="000000"/>
                <w:sz w:val="20"/>
                <w:szCs w:val="20"/>
              </w:rPr>
              <w:t>0.158</w:t>
            </w:r>
          </w:p>
        </w:tc>
        <w:tc>
          <w:tcPr>
            <w:tcW w:w="879" w:type="dxa"/>
            <w:tcBorders>
              <w:top w:val="double" w:sz="4" w:space="0" w:color="auto"/>
              <w:left w:val="nil"/>
              <w:bottom w:val="single" w:sz="4" w:space="0" w:color="auto"/>
              <w:right w:val="single" w:sz="4" w:space="0" w:color="auto"/>
            </w:tcBorders>
            <w:shd w:val="clear" w:color="auto" w:fill="auto"/>
            <w:noWrap/>
            <w:vAlign w:val="center"/>
          </w:tcPr>
          <w:p w14:paraId="40DD014C" w14:textId="77777777" w:rsidR="00E7034E" w:rsidRPr="00F0666B" w:rsidRDefault="00E7034E" w:rsidP="00D34B75">
            <w:pPr>
              <w:jc w:val="center"/>
              <w:rPr>
                <w:rFonts w:cs="Times New Roman"/>
                <w:color w:val="000000"/>
                <w:sz w:val="20"/>
                <w:szCs w:val="20"/>
              </w:rPr>
            </w:pPr>
            <w:r w:rsidRPr="00FA7C43">
              <w:rPr>
                <w:rFonts w:cs="Times New Roman"/>
                <w:color w:val="000000"/>
                <w:sz w:val="20"/>
                <w:szCs w:val="20"/>
              </w:rPr>
              <w:t>14.896</w:t>
            </w:r>
          </w:p>
        </w:tc>
        <w:tc>
          <w:tcPr>
            <w:tcW w:w="916" w:type="dxa"/>
            <w:gridSpan w:val="2"/>
            <w:tcBorders>
              <w:top w:val="double" w:sz="4" w:space="0" w:color="auto"/>
              <w:left w:val="nil"/>
              <w:bottom w:val="single" w:sz="4" w:space="0" w:color="auto"/>
              <w:right w:val="single" w:sz="4" w:space="0" w:color="auto"/>
            </w:tcBorders>
            <w:shd w:val="clear" w:color="auto" w:fill="auto"/>
            <w:noWrap/>
            <w:vAlign w:val="center"/>
          </w:tcPr>
          <w:p w14:paraId="79879606" w14:textId="77777777" w:rsidR="00E7034E" w:rsidRPr="00F0666B" w:rsidRDefault="00E7034E" w:rsidP="00D34B75">
            <w:pPr>
              <w:jc w:val="center"/>
              <w:rPr>
                <w:rFonts w:cs="Times New Roman"/>
                <w:color w:val="000000"/>
                <w:sz w:val="20"/>
                <w:szCs w:val="20"/>
              </w:rPr>
            </w:pPr>
            <w:r w:rsidRPr="00FA7C43">
              <w:rPr>
                <w:rFonts w:cs="Times New Roman"/>
                <w:color w:val="000000"/>
                <w:sz w:val="20"/>
                <w:szCs w:val="20"/>
              </w:rPr>
              <w:t>0.158</w:t>
            </w:r>
          </w:p>
        </w:tc>
        <w:tc>
          <w:tcPr>
            <w:tcW w:w="900" w:type="dxa"/>
            <w:tcBorders>
              <w:top w:val="double" w:sz="4" w:space="0" w:color="auto"/>
              <w:left w:val="nil"/>
              <w:bottom w:val="single" w:sz="4" w:space="0" w:color="auto"/>
              <w:right w:val="single" w:sz="4" w:space="0" w:color="auto"/>
            </w:tcBorders>
            <w:shd w:val="clear" w:color="auto" w:fill="auto"/>
            <w:noWrap/>
            <w:vAlign w:val="center"/>
          </w:tcPr>
          <w:p w14:paraId="61936714" w14:textId="77777777" w:rsidR="00E7034E" w:rsidRPr="00F0666B" w:rsidRDefault="00E7034E" w:rsidP="00D34B75">
            <w:pPr>
              <w:jc w:val="center"/>
              <w:rPr>
                <w:rFonts w:cs="Times New Roman"/>
                <w:color w:val="000000"/>
                <w:sz w:val="20"/>
                <w:szCs w:val="20"/>
              </w:rPr>
            </w:pPr>
            <w:r w:rsidRPr="00FA7C43">
              <w:rPr>
                <w:rFonts w:cs="Times New Roman"/>
                <w:color w:val="000000"/>
                <w:sz w:val="20"/>
                <w:szCs w:val="20"/>
              </w:rPr>
              <w:t>14.896</w:t>
            </w:r>
          </w:p>
        </w:tc>
        <w:tc>
          <w:tcPr>
            <w:tcW w:w="916" w:type="dxa"/>
            <w:tcBorders>
              <w:top w:val="double" w:sz="4" w:space="0" w:color="auto"/>
              <w:left w:val="nil"/>
              <w:bottom w:val="single" w:sz="4" w:space="0" w:color="auto"/>
              <w:right w:val="single" w:sz="4" w:space="0" w:color="auto"/>
            </w:tcBorders>
            <w:shd w:val="clear" w:color="auto" w:fill="auto"/>
            <w:noWrap/>
            <w:vAlign w:val="center"/>
          </w:tcPr>
          <w:p w14:paraId="6EE650B1" w14:textId="77777777" w:rsidR="00E7034E" w:rsidRPr="00F0666B" w:rsidRDefault="00E7034E" w:rsidP="00D34B75">
            <w:pPr>
              <w:jc w:val="center"/>
              <w:rPr>
                <w:rFonts w:cs="Times New Roman"/>
                <w:color w:val="000000"/>
                <w:sz w:val="20"/>
                <w:szCs w:val="20"/>
              </w:rPr>
            </w:pPr>
            <w:r w:rsidRPr="00FA7C43">
              <w:rPr>
                <w:rFonts w:cs="Times New Roman"/>
                <w:color w:val="000000"/>
                <w:sz w:val="20"/>
                <w:szCs w:val="20"/>
              </w:rPr>
              <w:t>0.127</w:t>
            </w:r>
          </w:p>
        </w:tc>
        <w:tc>
          <w:tcPr>
            <w:tcW w:w="900" w:type="dxa"/>
            <w:tcBorders>
              <w:top w:val="double" w:sz="4" w:space="0" w:color="auto"/>
              <w:left w:val="nil"/>
              <w:bottom w:val="single" w:sz="4" w:space="0" w:color="auto"/>
              <w:right w:val="single" w:sz="4" w:space="0" w:color="auto"/>
            </w:tcBorders>
            <w:shd w:val="clear" w:color="auto" w:fill="auto"/>
            <w:noWrap/>
            <w:vAlign w:val="center"/>
          </w:tcPr>
          <w:p w14:paraId="14B27BC2" w14:textId="77777777" w:rsidR="00E7034E" w:rsidRPr="00F0666B" w:rsidRDefault="00E7034E" w:rsidP="00D34B75">
            <w:pPr>
              <w:jc w:val="center"/>
              <w:rPr>
                <w:rFonts w:cs="Times New Roman"/>
                <w:color w:val="000000"/>
                <w:sz w:val="20"/>
                <w:szCs w:val="20"/>
              </w:rPr>
            </w:pPr>
            <w:r w:rsidRPr="00FA7C43">
              <w:rPr>
                <w:rFonts w:cs="Times New Roman"/>
                <w:color w:val="000000"/>
                <w:sz w:val="20"/>
                <w:szCs w:val="20"/>
              </w:rPr>
              <w:t>8.396</w:t>
            </w:r>
          </w:p>
        </w:tc>
        <w:tc>
          <w:tcPr>
            <w:tcW w:w="916" w:type="dxa"/>
            <w:tcBorders>
              <w:top w:val="double" w:sz="4" w:space="0" w:color="auto"/>
              <w:left w:val="nil"/>
              <w:bottom w:val="single" w:sz="4" w:space="0" w:color="auto"/>
              <w:right w:val="single" w:sz="4" w:space="0" w:color="auto"/>
            </w:tcBorders>
            <w:shd w:val="clear" w:color="auto" w:fill="auto"/>
            <w:noWrap/>
            <w:vAlign w:val="center"/>
          </w:tcPr>
          <w:p w14:paraId="1E4272DB" w14:textId="77777777" w:rsidR="00E7034E" w:rsidRPr="00F0666B" w:rsidRDefault="00E7034E" w:rsidP="00D34B75">
            <w:pPr>
              <w:jc w:val="center"/>
              <w:rPr>
                <w:rFonts w:cs="Times New Roman"/>
                <w:color w:val="000000"/>
                <w:sz w:val="20"/>
                <w:szCs w:val="20"/>
              </w:rPr>
            </w:pPr>
            <w:r w:rsidRPr="00FA7C43">
              <w:rPr>
                <w:rFonts w:cs="Times New Roman"/>
                <w:color w:val="000000"/>
                <w:sz w:val="20"/>
                <w:szCs w:val="20"/>
              </w:rPr>
              <w:t>0.086</w:t>
            </w:r>
          </w:p>
        </w:tc>
        <w:tc>
          <w:tcPr>
            <w:tcW w:w="900" w:type="dxa"/>
            <w:tcBorders>
              <w:top w:val="double" w:sz="4" w:space="0" w:color="auto"/>
              <w:left w:val="nil"/>
              <w:bottom w:val="single" w:sz="4" w:space="0" w:color="auto"/>
              <w:right w:val="single" w:sz="4" w:space="0" w:color="auto"/>
            </w:tcBorders>
            <w:shd w:val="clear" w:color="auto" w:fill="auto"/>
            <w:noWrap/>
            <w:vAlign w:val="center"/>
          </w:tcPr>
          <w:p w14:paraId="763D09EE" w14:textId="77777777" w:rsidR="00E7034E" w:rsidRPr="00F0666B" w:rsidRDefault="00E7034E" w:rsidP="00D34B75">
            <w:pPr>
              <w:jc w:val="center"/>
              <w:rPr>
                <w:rFonts w:cs="Times New Roman"/>
                <w:color w:val="000000"/>
                <w:sz w:val="20"/>
                <w:szCs w:val="20"/>
              </w:rPr>
            </w:pPr>
            <w:r w:rsidRPr="00FA7C43">
              <w:rPr>
                <w:rFonts w:cs="Times New Roman"/>
                <w:color w:val="000000"/>
                <w:sz w:val="20"/>
                <w:szCs w:val="20"/>
              </w:rPr>
              <w:t>3.347</w:t>
            </w:r>
          </w:p>
        </w:tc>
        <w:tc>
          <w:tcPr>
            <w:tcW w:w="916" w:type="dxa"/>
            <w:tcBorders>
              <w:top w:val="double" w:sz="4" w:space="0" w:color="auto"/>
              <w:left w:val="nil"/>
              <w:bottom w:val="single" w:sz="4" w:space="0" w:color="auto"/>
              <w:right w:val="single" w:sz="4" w:space="0" w:color="auto"/>
            </w:tcBorders>
            <w:shd w:val="clear" w:color="auto" w:fill="auto"/>
            <w:noWrap/>
            <w:vAlign w:val="center"/>
          </w:tcPr>
          <w:p w14:paraId="1EB2EF84" w14:textId="77777777" w:rsidR="00E7034E" w:rsidRPr="00F0666B" w:rsidRDefault="00E7034E" w:rsidP="00D34B75">
            <w:pPr>
              <w:jc w:val="center"/>
              <w:rPr>
                <w:rFonts w:cs="Times New Roman"/>
                <w:color w:val="000000"/>
                <w:sz w:val="20"/>
                <w:szCs w:val="20"/>
              </w:rPr>
            </w:pPr>
            <w:r w:rsidRPr="00AE5F4A">
              <w:rPr>
                <w:rFonts w:cs="Times New Roman"/>
                <w:color w:val="000000"/>
                <w:sz w:val="20"/>
                <w:szCs w:val="20"/>
              </w:rPr>
              <w:t>--</w:t>
            </w:r>
          </w:p>
        </w:tc>
        <w:tc>
          <w:tcPr>
            <w:tcW w:w="931" w:type="dxa"/>
            <w:tcBorders>
              <w:top w:val="double" w:sz="4" w:space="0" w:color="auto"/>
              <w:left w:val="nil"/>
              <w:bottom w:val="single" w:sz="4" w:space="0" w:color="auto"/>
              <w:right w:val="single" w:sz="4" w:space="0" w:color="auto"/>
            </w:tcBorders>
            <w:shd w:val="clear" w:color="auto" w:fill="auto"/>
            <w:noWrap/>
            <w:vAlign w:val="center"/>
          </w:tcPr>
          <w:p w14:paraId="519B5EC3" w14:textId="77777777" w:rsidR="00E7034E" w:rsidRPr="00F0666B" w:rsidRDefault="00E7034E" w:rsidP="00D34B75">
            <w:pPr>
              <w:jc w:val="center"/>
              <w:rPr>
                <w:rFonts w:cs="Times New Roman"/>
                <w:color w:val="000000"/>
                <w:sz w:val="20"/>
                <w:szCs w:val="20"/>
              </w:rPr>
            </w:pPr>
            <w:r w:rsidRPr="00AE5F4A">
              <w:rPr>
                <w:rFonts w:cs="Times New Roman"/>
                <w:color w:val="000000"/>
                <w:sz w:val="20"/>
                <w:szCs w:val="20"/>
              </w:rPr>
              <w:t>--</w:t>
            </w:r>
          </w:p>
        </w:tc>
        <w:tc>
          <w:tcPr>
            <w:tcW w:w="916" w:type="dxa"/>
            <w:gridSpan w:val="2"/>
            <w:tcBorders>
              <w:top w:val="double" w:sz="4" w:space="0" w:color="auto"/>
              <w:left w:val="nil"/>
              <w:bottom w:val="single" w:sz="4" w:space="0" w:color="auto"/>
              <w:right w:val="single" w:sz="4" w:space="0" w:color="auto"/>
            </w:tcBorders>
            <w:shd w:val="clear" w:color="auto" w:fill="auto"/>
            <w:noWrap/>
            <w:vAlign w:val="center"/>
          </w:tcPr>
          <w:p w14:paraId="508F4770" w14:textId="77777777" w:rsidR="00E7034E" w:rsidRPr="00F0666B" w:rsidRDefault="00E7034E" w:rsidP="00D34B75">
            <w:pPr>
              <w:jc w:val="center"/>
              <w:rPr>
                <w:rFonts w:cs="Times New Roman"/>
                <w:color w:val="000000"/>
                <w:sz w:val="20"/>
                <w:szCs w:val="20"/>
              </w:rPr>
            </w:pPr>
            <w:r w:rsidRPr="00FA7C43">
              <w:rPr>
                <w:rFonts w:cs="Times New Roman"/>
                <w:color w:val="000000"/>
                <w:sz w:val="20"/>
                <w:szCs w:val="20"/>
              </w:rPr>
              <w:t>0.099</w:t>
            </w:r>
          </w:p>
        </w:tc>
        <w:tc>
          <w:tcPr>
            <w:tcW w:w="884" w:type="dxa"/>
            <w:tcBorders>
              <w:top w:val="double" w:sz="4" w:space="0" w:color="auto"/>
              <w:left w:val="nil"/>
              <w:bottom w:val="single" w:sz="4" w:space="0" w:color="auto"/>
              <w:right w:val="double" w:sz="4" w:space="0" w:color="auto"/>
            </w:tcBorders>
            <w:shd w:val="clear" w:color="auto" w:fill="auto"/>
            <w:noWrap/>
            <w:vAlign w:val="center"/>
          </w:tcPr>
          <w:p w14:paraId="23B48368" w14:textId="77777777" w:rsidR="00E7034E" w:rsidRPr="00F0666B" w:rsidRDefault="00E7034E" w:rsidP="00D34B75">
            <w:pPr>
              <w:jc w:val="center"/>
              <w:rPr>
                <w:rFonts w:cs="Times New Roman"/>
                <w:color w:val="000000"/>
                <w:sz w:val="20"/>
                <w:szCs w:val="20"/>
              </w:rPr>
            </w:pPr>
            <w:r w:rsidRPr="00FA7C43">
              <w:rPr>
                <w:rFonts w:cs="Times New Roman"/>
                <w:color w:val="000000"/>
                <w:sz w:val="20"/>
                <w:szCs w:val="20"/>
              </w:rPr>
              <w:t>5.712</w:t>
            </w:r>
          </w:p>
        </w:tc>
      </w:tr>
      <w:tr w:rsidR="00E7034E" w:rsidRPr="00E75453" w14:paraId="638628FA" w14:textId="77777777" w:rsidTr="00D34B75">
        <w:trPr>
          <w:trHeight w:val="300"/>
        </w:trPr>
        <w:tc>
          <w:tcPr>
            <w:tcW w:w="1965" w:type="dxa"/>
            <w:tcBorders>
              <w:top w:val="nil"/>
              <w:left w:val="double" w:sz="4" w:space="0" w:color="auto"/>
              <w:bottom w:val="single" w:sz="4" w:space="0" w:color="auto"/>
              <w:right w:val="single" w:sz="4" w:space="0" w:color="auto"/>
            </w:tcBorders>
            <w:shd w:val="clear" w:color="auto" w:fill="auto"/>
            <w:noWrap/>
            <w:vAlign w:val="center"/>
            <w:hideMark/>
          </w:tcPr>
          <w:p w14:paraId="3664FEF2" w14:textId="77777777" w:rsidR="00E7034E" w:rsidRPr="00E75453" w:rsidRDefault="00E7034E" w:rsidP="00D34B75">
            <w:pPr>
              <w:ind w:left="150"/>
              <w:rPr>
                <w:rFonts w:eastAsia="Times New Roman" w:cs="Times New Roman"/>
                <w:color w:val="000000"/>
                <w:sz w:val="20"/>
                <w:szCs w:val="20"/>
              </w:rPr>
            </w:pPr>
            <w:r w:rsidRPr="00240799">
              <w:rPr>
                <w:rFonts w:eastAsia="Times New Roman" w:cs="Times New Roman"/>
                <w:color w:val="000000"/>
                <w:sz w:val="20"/>
                <w:szCs w:val="20"/>
              </w:rPr>
              <w:t>Office area</w:t>
            </w:r>
            <w:r>
              <w:rPr>
                <w:rFonts w:eastAsia="Times New Roman" w:cs="Times New Roman"/>
                <w:color w:val="000000"/>
                <w:sz w:val="20"/>
                <w:szCs w:val="20"/>
              </w:rPr>
              <w:t xml:space="preserve"> (2)</w:t>
            </w:r>
          </w:p>
        </w:tc>
        <w:tc>
          <w:tcPr>
            <w:tcW w:w="916" w:type="dxa"/>
            <w:tcBorders>
              <w:top w:val="nil"/>
              <w:left w:val="nil"/>
              <w:bottom w:val="single" w:sz="4" w:space="0" w:color="auto"/>
              <w:right w:val="single" w:sz="4" w:space="0" w:color="auto"/>
            </w:tcBorders>
            <w:shd w:val="clear" w:color="auto" w:fill="auto"/>
            <w:noWrap/>
            <w:vAlign w:val="center"/>
            <w:hideMark/>
          </w:tcPr>
          <w:p w14:paraId="5B955271" w14:textId="77777777" w:rsidR="00E7034E" w:rsidRPr="00F0666B" w:rsidRDefault="00E7034E" w:rsidP="00D34B75">
            <w:pPr>
              <w:jc w:val="center"/>
              <w:rPr>
                <w:rFonts w:cs="Times New Roman"/>
                <w:color w:val="000000"/>
                <w:sz w:val="20"/>
                <w:szCs w:val="20"/>
              </w:rPr>
            </w:pPr>
            <w:r w:rsidRPr="00FA7C43">
              <w:rPr>
                <w:rFonts w:cs="Times New Roman"/>
                <w:color w:val="000000"/>
                <w:sz w:val="20"/>
                <w:szCs w:val="20"/>
              </w:rPr>
              <w:t>0.190</w:t>
            </w:r>
          </w:p>
        </w:tc>
        <w:tc>
          <w:tcPr>
            <w:tcW w:w="879" w:type="dxa"/>
            <w:tcBorders>
              <w:top w:val="nil"/>
              <w:left w:val="nil"/>
              <w:bottom w:val="single" w:sz="4" w:space="0" w:color="auto"/>
              <w:right w:val="single" w:sz="4" w:space="0" w:color="auto"/>
            </w:tcBorders>
            <w:shd w:val="clear" w:color="auto" w:fill="auto"/>
            <w:noWrap/>
            <w:vAlign w:val="center"/>
            <w:hideMark/>
          </w:tcPr>
          <w:p w14:paraId="0A88B2AA" w14:textId="77777777" w:rsidR="00E7034E" w:rsidRPr="00F0666B" w:rsidRDefault="00E7034E" w:rsidP="00D34B75">
            <w:pPr>
              <w:jc w:val="center"/>
              <w:rPr>
                <w:rFonts w:cs="Times New Roman"/>
                <w:color w:val="000000"/>
                <w:sz w:val="20"/>
                <w:szCs w:val="20"/>
              </w:rPr>
            </w:pPr>
            <w:r w:rsidRPr="00FA7C43">
              <w:rPr>
                <w:rFonts w:cs="Times New Roman"/>
                <w:color w:val="000000"/>
                <w:sz w:val="20"/>
                <w:szCs w:val="20"/>
              </w:rPr>
              <w:t>11.928</w:t>
            </w:r>
          </w:p>
        </w:tc>
        <w:tc>
          <w:tcPr>
            <w:tcW w:w="916" w:type="dxa"/>
            <w:gridSpan w:val="2"/>
            <w:tcBorders>
              <w:top w:val="nil"/>
              <w:left w:val="nil"/>
              <w:bottom w:val="single" w:sz="4" w:space="0" w:color="auto"/>
              <w:right w:val="single" w:sz="4" w:space="0" w:color="auto"/>
            </w:tcBorders>
            <w:shd w:val="clear" w:color="auto" w:fill="auto"/>
            <w:noWrap/>
            <w:vAlign w:val="center"/>
            <w:hideMark/>
          </w:tcPr>
          <w:p w14:paraId="393ACFAB" w14:textId="77777777" w:rsidR="00E7034E" w:rsidRPr="00F0666B" w:rsidRDefault="00E7034E" w:rsidP="00D34B75">
            <w:pPr>
              <w:jc w:val="center"/>
              <w:rPr>
                <w:rFonts w:cs="Times New Roman"/>
                <w:color w:val="000000"/>
                <w:sz w:val="20"/>
                <w:szCs w:val="20"/>
              </w:rPr>
            </w:pPr>
            <w:r w:rsidRPr="0024037E">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203D9788" w14:textId="77777777" w:rsidR="00E7034E" w:rsidRPr="00F0666B" w:rsidRDefault="00E7034E" w:rsidP="00D34B75">
            <w:pPr>
              <w:jc w:val="center"/>
              <w:rPr>
                <w:rFonts w:cs="Times New Roman"/>
                <w:color w:val="000000"/>
                <w:sz w:val="20"/>
                <w:szCs w:val="20"/>
              </w:rPr>
            </w:pPr>
            <w:r w:rsidRPr="0024037E">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hideMark/>
          </w:tcPr>
          <w:p w14:paraId="75EB1006" w14:textId="77777777" w:rsidR="00E7034E" w:rsidRPr="00F0666B" w:rsidRDefault="00E7034E" w:rsidP="00D34B75">
            <w:pPr>
              <w:jc w:val="center"/>
              <w:rPr>
                <w:rFonts w:cs="Times New Roman"/>
                <w:color w:val="000000"/>
                <w:sz w:val="20"/>
                <w:szCs w:val="20"/>
              </w:rPr>
            </w:pPr>
            <w:r w:rsidRPr="00FA7C43">
              <w:rPr>
                <w:rFonts w:cs="Times New Roman"/>
                <w:color w:val="000000"/>
                <w:sz w:val="20"/>
                <w:szCs w:val="20"/>
              </w:rPr>
              <w:t>0.190</w:t>
            </w:r>
          </w:p>
        </w:tc>
        <w:tc>
          <w:tcPr>
            <w:tcW w:w="900" w:type="dxa"/>
            <w:tcBorders>
              <w:top w:val="nil"/>
              <w:left w:val="nil"/>
              <w:bottom w:val="single" w:sz="4" w:space="0" w:color="auto"/>
              <w:right w:val="single" w:sz="4" w:space="0" w:color="auto"/>
            </w:tcBorders>
            <w:shd w:val="clear" w:color="auto" w:fill="auto"/>
            <w:noWrap/>
            <w:vAlign w:val="center"/>
            <w:hideMark/>
          </w:tcPr>
          <w:p w14:paraId="55D2AB4B" w14:textId="77777777" w:rsidR="00E7034E" w:rsidRPr="00F0666B" w:rsidRDefault="00E7034E" w:rsidP="00D34B75">
            <w:pPr>
              <w:jc w:val="center"/>
              <w:rPr>
                <w:rFonts w:cs="Times New Roman"/>
                <w:color w:val="000000"/>
                <w:sz w:val="20"/>
                <w:szCs w:val="20"/>
              </w:rPr>
            </w:pPr>
            <w:r w:rsidRPr="00FA7C43">
              <w:rPr>
                <w:rFonts w:cs="Times New Roman"/>
                <w:color w:val="000000"/>
                <w:sz w:val="20"/>
                <w:szCs w:val="20"/>
              </w:rPr>
              <w:t>11.928</w:t>
            </w:r>
          </w:p>
        </w:tc>
        <w:tc>
          <w:tcPr>
            <w:tcW w:w="916" w:type="dxa"/>
            <w:tcBorders>
              <w:top w:val="nil"/>
              <w:left w:val="nil"/>
              <w:bottom w:val="single" w:sz="4" w:space="0" w:color="auto"/>
              <w:right w:val="single" w:sz="4" w:space="0" w:color="auto"/>
            </w:tcBorders>
            <w:shd w:val="clear" w:color="auto" w:fill="auto"/>
            <w:noWrap/>
            <w:vAlign w:val="center"/>
            <w:hideMark/>
          </w:tcPr>
          <w:p w14:paraId="0E02327E" w14:textId="77777777" w:rsidR="00E7034E" w:rsidRPr="00F0666B" w:rsidRDefault="00E7034E" w:rsidP="00D34B75">
            <w:pPr>
              <w:jc w:val="center"/>
              <w:rPr>
                <w:rFonts w:cs="Times New Roman"/>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hideMark/>
          </w:tcPr>
          <w:p w14:paraId="0557C1E0" w14:textId="77777777" w:rsidR="00E7034E" w:rsidRPr="00F0666B" w:rsidRDefault="00E7034E" w:rsidP="00D34B75">
            <w:pPr>
              <w:jc w:val="center"/>
              <w:rPr>
                <w:rFonts w:cs="Times New Roman"/>
                <w:color w:val="000000"/>
                <w:sz w:val="20"/>
                <w:szCs w:val="20"/>
              </w:rPr>
            </w:pPr>
          </w:p>
        </w:tc>
        <w:tc>
          <w:tcPr>
            <w:tcW w:w="916" w:type="dxa"/>
            <w:tcBorders>
              <w:top w:val="nil"/>
              <w:left w:val="nil"/>
              <w:bottom w:val="single" w:sz="4" w:space="0" w:color="auto"/>
              <w:right w:val="single" w:sz="4" w:space="0" w:color="auto"/>
            </w:tcBorders>
            <w:shd w:val="clear" w:color="auto" w:fill="auto"/>
            <w:noWrap/>
            <w:vAlign w:val="center"/>
            <w:hideMark/>
          </w:tcPr>
          <w:p w14:paraId="12B56766" w14:textId="77777777" w:rsidR="00E7034E" w:rsidRPr="00F0666B" w:rsidRDefault="00E7034E" w:rsidP="00D34B75">
            <w:pPr>
              <w:jc w:val="center"/>
              <w:rPr>
                <w:rFonts w:cs="Times New Roman"/>
                <w:color w:val="000000"/>
                <w:sz w:val="20"/>
                <w:szCs w:val="20"/>
              </w:rPr>
            </w:pPr>
            <w:r w:rsidRPr="00AE5F4A">
              <w:rPr>
                <w:rFonts w:cs="Times New Roman"/>
                <w:color w:val="000000"/>
                <w:sz w:val="20"/>
                <w:szCs w:val="20"/>
              </w:rPr>
              <w:t>--</w:t>
            </w:r>
          </w:p>
        </w:tc>
        <w:tc>
          <w:tcPr>
            <w:tcW w:w="931" w:type="dxa"/>
            <w:tcBorders>
              <w:top w:val="nil"/>
              <w:left w:val="nil"/>
              <w:bottom w:val="single" w:sz="4" w:space="0" w:color="auto"/>
              <w:right w:val="single" w:sz="4" w:space="0" w:color="auto"/>
            </w:tcBorders>
            <w:shd w:val="clear" w:color="auto" w:fill="auto"/>
            <w:noWrap/>
            <w:vAlign w:val="center"/>
            <w:hideMark/>
          </w:tcPr>
          <w:p w14:paraId="544C704C" w14:textId="77777777" w:rsidR="00E7034E" w:rsidRPr="00F0666B" w:rsidRDefault="00E7034E" w:rsidP="00D34B75">
            <w:pPr>
              <w:jc w:val="center"/>
              <w:rPr>
                <w:rFonts w:cs="Times New Roman"/>
                <w:color w:val="000000"/>
                <w:sz w:val="20"/>
                <w:szCs w:val="20"/>
              </w:rPr>
            </w:pPr>
            <w:r w:rsidRPr="00AE5F4A">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hideMark/>
          </w:tcPr>
          <w:p w14:paraId="137CEEF3" w14:textId="77777777" w:rsidR="00E7034E" w:rsidRPr="00F0666B" w:rsidRDefault="00E7034E" w:rsidP="00D34B75">
            <w:pPr>
              <w:jc w:val="center"/>
              <w:rPr>
                <w:rFonts w:cs="Times New Roman"/>
                <w:color w:val="000000"/>
                <w:sz w:val="20"/>
                <w:szCs w:val="20"/>
              </w:rPr>
            </w:pPr>
            <w:r w:rsidRPr="00FA7C43">
              <w:rPr>
                <w:rFonts w:cs="Times New Roman"/>
                <w:color w:val="000000"/>
                <w:sz w:val="20"/>
                <w:szCs w:val="20"/>
              </w:rPr>
              <w:t>0.148</w:t>
            </w:r>
          </w:p>
        </w:tc>
        <w:tc>
          <w:tcPr>
            <w:tcW w:w="884" w:type="dxa"/>
            <w:tcBorders>
              <w:top w:val="nil"/>
              <w:left w:val="nil"/>
              <w:bottom w:val="single" w:sz="4" w:space="0" w:color="auto"/>
              <w:right w:val="double" w:sz="4" w:space="0" w:color="auto"/>
            </w:tcBorders>
            <w:shd w:val="clear" w:color="auto" w:fill="auto"/>
            <w:noWrap/>
            <w:vAlign w:val="center"/>
            <w:hideMark/>
          </w:tcPr>
          <w:p w14:paraId="3AE7A3DD" w14:textId="77777777" w:rsidR="00E7034E" w:rsidRPr="00F0666B" w:rsidRDefault="00E7034E" w:rsidP="00D34B75">
            <w:pPr>
              <w:jc w:val="center"/>
              <w:rPr>
                <w:rFonts w:cs="Times New Roman"/>
                <w:color w:val="000000"/>
                <w:sz w:val="20"/>
                <w:szCs w:val="20"/>
              </w:rPr>
            </w:pPr>
            <w:r w:rsidRPr="00FA7C43">
              <w:rPr>
                <w:rFonts w:cs="Times New Roman"/>
                <w:color w:val="000000"/>
                <w:sz w:val="20"/>
                <w:szCs w:val="20"/>
              </w:rPr>
              <w:t>7.389</w:t>
            </w:r>
          </w:p>
        </w:tc>
      </w:tr>
      <w:tr w:rsidR="00E7034E" w:rsidRPr="00E75453" w14:paraId="4B5E11B3" w14:textId="77777777" w:rsidTr="00D34B75">
        <w:trPr>
          <w:trHeight w:val="300"/>
        </w:trPr>
        <w:tc>
          <w:tcPr>
            <w:tcW w:w="1965" w:type="dxa"/>
            <w:tcBorders>
              <w:top w:val="nil"/>
              <w:left w:val="double" w:sz="4" w:space="0" w:color="auto"/>
              <w:bottom w:val="single" w:sz="4" w:space="0" w:color="auto"/>
              <w:right w:val="single" w:sz="4" w:space="0" w:color="auto"/>
            </w:tcBorders>
            <w:shd w:val="clear" w:color="auto" w:fill="auto"/>
            <w:noWrap/>
            <w:vAlign w:val="center"/>
            <w:hideMark/>
          </w:tcPr>
          <w:p w14:paraId="2CDEFAE7" w14:textId="77777777" w:rsidR="00E7034E" w:rsidRPr="00E75453" w:rsidRDefault="00E7034E" w:rsidP="00D34B75">
            <w:pPr>
              <w:ind w:left="150"/>
              <w:rPr>
                <w:rFonts w:eastAsia="Times New Roman" w:cs="Times New Roman"/>
                <w:color w:val="000000"/>
                <w:sz w:val="20"/>
                <w:szCs w:val="20"/>
              </w:rPr>
            </w:pPr>
            <w:r w:rsidRPr="00240799">
              <w:rPr>
                <w:rFonts w:eastAsia="Times New Roman" w:cs="Times New Roman"/>
                <w:color w:val="000000"/>
                <w:sz w:val="20"/>
                <w:szCs w:val="20"/>
              </w:rPr>
              <w:t>Residential area</w:t>
            </w:r>
            <w:r>
              <w:rPr>
                <w:rFonts w:eastAsia="Times New Roman" w:cs="Times New Roman"/>
                <w:color w:val="000000"/>
                <w:sz w:val="20"/>
                <w:szCs w:val="20"/>
              </w:rPr>
              <w:t xml:space="preserve"> (1)</w:t>
            </w:r>
          </w:p>
        </w:tc>
        <w:tc>
          <w:tcPr>
            <w:tcW w:w="916" w:type="dxa"/>
            <w:tcBorders>
              <w:top w:val="nil"/>
              <w:left w:val="nil"/>
              <w:bottom w:val="single" w:sz="4" w:space="0" w:color="auto"/>
              <w:right w:val="single" w:sz="4" w:space="0" w:color="auto"/>
            </w:tcBorders>
            <w:shd w:val="clear" w:color="auto" w:fill="auto"/>
            <w:noWrap/>
            <w:vAlign w:val="center"/>
            <w:hideMark/>
          </w:tcPr>
          <w:p w14:paraId="014C41F8" w14:textId="77777777" w:rsidR="00E7034E" w:rsidRPr="00F0666B" w:rsidRDefault="00E7034E" w:rsidP="00D34B75">
            <w:pPr>
              <w:jc w:val="center"/>
              <w:rPr>
                <w:rFonts w:cs="Times New Roman"/>
                <w:color w:val="000000"/>
                <w:sz w:val="20"/>
                <w:szCs w:val="20"/>
              </w:rPr>
            </w:pPr>
            <w:r w:rsidRPr="00C83D6A">
              <w:rPr>
                <w:rFonts w:cs="Times New Roman"/>
                <w:color w:val="000000"/>
                <w:sz w:val="20"/>
                <w:szCs w:val="20"/>
              </w:rPr>
              <w:t>--</w:t>
            </w:r>
          </w:p>
        </w:tc>
        <w:tc>
          <w:tcPr>
            <w:tcW w:w="879" w:type="dxa"/>
            <w:tcBorders>
              <w:top w:val="nil"/>
              <w:left w:val="nil"/>
              <w:bottom w:val="single" w:sz="4" w:space="0" w:color="auto"/>
              <w:right w:val="single" w:sz="4" w:space="0" w:color="auto"/>
            </w:tcBorders>
            <w:shd w:val="clear" w:color="auto" w:fill="auto"/>
            <w:noWrap/>
            <w:vAlign w:val="center"/>
            <w:hideMark/>
          </w:tcPr>
          <w:p w14:paraId="658B7699" w14:textId="77777777" w:rsidR="00E7034E" w:rsidRPr="00F0666B" w:rsidRDefault="00E7034E" w:rsidP="00D34B75">
            <w:pPr>
              <w:jc w:val="center"/>
              <w:rPr>
                <w:rFonts w:cs="Times New Roman"/>
                <w:color w:val="000000"/>
                <w:sz w:val="20"/>
                <w:szCs w:val="20"/>
              </w:rPr>
            </w:pPr>
            <w:r w:rsidRPr="00C83D6A">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hideMark/>
          </w:tcPr>
          <w:p w14:paraId="3251AB91" w14:textId="77777777" w:rsidR="00E7034E" w:rsidRPr="00F0666B" w:rsidRDefault="00E7034E" w:rsidP="00D34B75">
            <w:pPr>
              <w:jc w:val="center"/>
              <w:rPr>
                <w:rFonts w:cs="Times New Roman"/>
                <w:color w:val="000000"/>
                <w:sz w:val="20"/>
                <w:szCs w:val="20"/>
              </w:rPr>
            </w:pPr>
            <w:r w:rsidRPr="0024037E">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022FB2C5" w14:textId="77777777" w:rsidR="00E7034E" w:rsidRPr="00F0666B" w:rsidRDefault="00E7034E" w:rsidP="00D34B75">
            <w:pPr>
              <w:jc w:val="center"/>
              <w:rPr>
                <w:rFonts w:cs="Times New Roman"/>
                <w:color w:val="000000"/>
                <w:sz w:val="20"/>
                <w:szCs w:val="20"/>
              </w:rPr>
            </w:pPr>
            <w:r w:rsidRPr="0024037E">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hideMark/>
          </w:tcPr>
          <w:p w14:paraId="7AE9E1EA" w14:textId="77777777" w:rsidR="00E7034E" w:rsidRPr="00F0666B" w:rsidRDefault="00E7034E" w:rsidP="00D34B75">
            <w:pPr>
              <w:jc w:val="center"/>
              <w:rPr>
                <w:rFonts w:cs="Times New Roman"/>
                <w:color w:val="000000"/>
                <w:sz w:val="20"/>
                <w:szCs w:val="20"/>
              </w:rPr>
            </w:pPr>
            <w:r w:rsidRPr="00FA7C43">
              <w:rPr>
                <w:rFonts w:cs="Times New Roman"/>
                <w:color w:val="000000"/>
                <w:sz w:val="20"/>
                <w:szCs w:val="20"/>
              </w:rPr>
              <w:t>-0.093</w:t>
            </w:r>
          </w:p>
        </w:tc>
        <w:tc>
          <w:tcPr>
            <w:tcW w:w="900" w:type="dxa"/>
            <w:tcBorders>
              <w:top w:val="nil"/>
              <w:left w:val="nil"/>
              <w:bottom w:val="single" w:sz="4" w:space="0" w:color="auto"/>
              <w:right w:val="single" w:sz="4" w:space="0" w:color="auto"/>
            </w:tcBorders>
            <w:shd w:val="clear" w:color="auto" w:fill="auto"/>
            <w:noWrap/>
            <w:vAlign w:val="center"/>
            <w:hideMark/>
          </w:tcPr>
          <w:p w14:paraId="798CD09B" w14:textId="77777777" w:rsidR="00E7034E" w:rsidRPr="00F0666B" w:rsidRDefault="00E7034E" w:rsidP="00D34B75">
            <w:pPr>
              <w:jc w:val="center"/>
              <w:rPr>
                <w:rFonts w:cs="Times New Roman"/>
                <w:color w:val="000000"/>
                <w:sz w:val="20"/>
                <w:szCs w:val="20"/>
              </w:rPr>
            </w:pPr>
            <w:r w:rsidRPr="00FA7C43">
              <w:rPr>
                <w:rFonts w:cs="Times New Roman"/>
                <w:color w:val="000000"/>
                <w:sz w:val="20"/>
                <w:szCs w:val="20"/>
              </w:rPr>
              <w:t>-7.387</w:t>
            </w:r>
          </w:p>
        </w:tc>
        <w:tc>
          <w:tcPr>
            <w:tcW w:w="916" w:type="dxa"/>
            <w:tcBorders>
              <w:top w:val="nil"/>
              <w:left w:val="nil"/>
              <w:bottom w:val="single" w:sz="4" w:space="0" w:color="auto"/>
              <w:right w:val="single" w:sz="4" w:space="0" w:color="auto"/>
            </w:tcBorders>
            <w:shd w:val="clear" w:color="auto" w:fill="auto"/>
            <w:noWrap/>
            <w:vAlign w:val="center"/>
            <w:hideMark/>
          </w:tcPr>
          <w:p w14:paraId="2A2BD228" w14:textId="77777777" w:rsidR="00E7034E" w:rsidRPr="00F0666B" w:rsidRDefault="00E7034E" w:rsidP="00D34B75">
            <w:pPr>
              <w:jc w:val="center"/>
              <w:rPr>
                <w:rFonts w:cs="Times New Roman"/>
                <w:color w:val="000000"/>
                <w:sz w:val="20"/>
                <w:szCs w:val="20"/>
              </w:rPr>
            </w:pPr>
            <w:r w:rsidRPr="00FA7C43">
              <w:rPr>
                <w:rFonts w:cs="Times New Roman"/>
                <w:color w:val="000000"/>
                <w:sz w:val="20"/>
                <w:szCs w:val="20"/>
              </w:rPr>
              <w:t>-0.093</w:t>
            </w:r>
          </w:p>
        </w:tc>
        <w:tc>
          <w:tcPr>
            <w:tcW w:w="900" w:type="dxa"/>
            <w:tcBorders>
              <w:top w:val="nil"/>
              <w:left w:val="nil"/>
              <w:bottom w:val="single" w:sz="4" w:space="0" w:color="auto"/>
              <w:right w:val="single" w:sz="4" w:space="0" w:color="auto"/>
            </w:tcBorders>
            <w:shd w:val="clear" w:color="auto" w:fill="auto"/>
            <w:noWrap/>
            <w:vAlign w:val="center"/>
            <w:hideMark/>
          </w:tcPr>
          <w:p w14:paraId="6E2A0825" w14:textId="77777777" w:rsidR="00E7034E" w:rsidRPr="00F0666B" w:rsidRDefault="00E7034E" w:rsidP="00D34B75">
            <w:pPr>
              <w:jc w:val="center"/>
              <w:rPr>
                <w:rFonts w:cs="Times New Roman"/>
                <w:color w:val="000000"/>
                <w:sz w:val="20"/>
                <w:szCs w:val="20"/>
              </w:rPr>
            </w:pPr>
            <w:r w:rsidRPr="00FA7C43">
              <w:rPr>
                <w:rFonts w:cs="Times New Roman"/>
                <w:color w:val="000000"/>
                <w:sz w:val="20"/>
                <w:szCs w:val="20"/>
              </w:rPr>
              <w:t>-7.387</w:t>
            </w:r>
          </w:p>
        </w:tc>
        <w:tc>
          <w:tcPr>
            <w:tcW w:w="916" w:type="dxa"/>
            <w:tcBorders>
              <w:top w:val="nil"/>
              <w:left w:val="nil"/>
              <w:bottom w:val="single" w:sz="4" w:space="0" w:color="auto"/>
              <w:right w:val="single" w:sz="4" w:space="0" w:color="auto"/>
            </w:tcBorders>
            <w:shd w:val="clear" w:color="auto" w:fill="auto"/>
            <w:noWrap/>
            <w:vAlign w:val="center"/>
            <w:hideMark/>
          </w:tcPr>
          <w:p w14:paraId="5D875572" w14:textId="77777777" w:rsidR="00E7034E" w:rsidRPr="00F0666B" w:rsidRDefault="00E7034E" w:rsidP="00D34B75">
            <w:pPr>
              <w:jc w:val="center"/>
              <w:rPr>
                <w:rFonts w:cs="Times New Roman"/>
                <w:color w:val="000000"/>
                <w:sz w:val="20"/>
                <w:szCs w:val="20"/>
              </w:rPr>
            </w:pPr>
            <w:r w:rsidRPr="00AE5F4A">
              <w:rPr>
                <w:rFonts w:cs="Times New Roman"/>
                <w:color w:val="000000"/>
                <w:sz w:val="20"/>
                <w:szCs w:val="20"/>
              </w:rPr>
              <w:t>--</w:t>
            </w:r>
          </w:p>
        </w:tc>
        <w:tc>
          <w:tcPr>
            <w:tcW w:w="931" w:type="dxa"/>
            <w:tcBorders>
              <w:top w:val="nil"/>
              <w:left w:val="nil"/>
              <w:bottom w:val="single" w:sz="4" w:space="0" w:color="auto"/>
              <w:right w:val="single" w:sz="4" w:space="0" w:color="auto"/>
            </w:tcBorders>
            <w:shd w:val="clear" w:color="auto" w:fill="auto"/>
            <w:noWrap/>
            <w:vAlign w:val="center"/>
            <w:hideMark/>
          </w:tcPr>
          <w:p w14:paraId="2BE5E6BC" w14:textId="77777777" w:rsidR="00E7034E" w:rsidRPr="00F0666B" w:rsidRDefault="00E7034E" w:rsidP="00D34B75">
            <w:pPr>
              <w:jc w:val="center"/>
              <w:rPr>
                <w:rFonts w:cs="Times New Roman"/>
                <w:color w:val="000000"/>
                <w:sz w:val="20"/>
                <w:szCs w:val="20"/>
              </w:rPr>
            </w:pPr>
            <w:r w:rsidRPr="00AE5F4A">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hideMark/>
          </w:tcPr>
          <w:p w14:paraId="2DD1787D" w14:textId="77777777" w:rsidR="00E7034E" w:rsidRPr="00F0666B" w:rsidRDefault="00E7034E" w:rsidP="00D34B75">
            <w:pPr>
              <w:jc w:val="center"/>
              <w:rPr>
                <w:rFonts w:cs="Times New Roman"/>
                <w:color w:val="000000"/>
                <w:sz w:val="20"/>
                <w:szCs w:val="20"/>
              </w:rPr>
            </w:pPr>
            <w:r w:rsidRPr="00AE00A7">
              <w:rPr>
                <w:rFonts w:cs="Times New Roman"/>
                <w:color w:val="000000"/>
                <w:sz w:val="20"/>
                <w:szCs w:val="20"/>
              </w:rPr>
              <w:t>--</w:t>
            </w:r>
          </w:p>
        </w:tc>
        <w:tc>
          <w:tcPr>
            <w:tcW w:w="884" w:type="dxa"/>
            <w:tcBorders>
              <w:top w:val="nil"/>
              <w:left w:val="nil"/>
              <w:bottom w:val="single" w:sz="4" w:space="0" w:color="auto"/>
              <w:right w:val="double" w:sz="4" w:space="0" w:color="auto"/>
            </w:tcBorders>
            <w:shd w:val="clear" w:color="auto" w:fill="auto"/>
            <w:noWrap/>
            <w:vAlign w:val="center"/>
            <w:hideMark/>
          </w:tcPr>
          <w:p w14:paraId="5808241B" w14:textId="77777777" w:rsidR="00E7034E" w:rsidRPr="00F0666B" w:rsidRDefault="00E7034E" w:rsidP="00D34B75">
            <w:pPr>
              <w:jc w:val="center"/>
              <w:rPr>
                <w:rFonts w:cs="Times New Roman"/>
                <w:color w:val="000000"/>
                <w:sz w:val="20"/>
                <w:szCs w:val="20"/>
              </w:rPr>
            </w:pPr>
            <w:r w:rsidRPr="00AE00A7">
              <w:rPr>
                <w:rFonts w:cs="Times New Roman"/>
                <w:color w:val="000000"/>
                <w:sz w:val="20"/>
                <w:szCs w:val="20"/>
              </w:rPr>
              <w:t>--</w:t>
            </w:r>
          </w:p>
        </w:tc>
      </w:tr>
      <w:tr w:rsidR="00E7034E" w:rsidRPr="00E75453" w14:paraId="2B11E51D" w14:textId="77777777" w:rsidTr="00D34B75">
        <w:trPr>
          <w:trHeight w:val="300"/>
        </w:trPr>
        <w:tc>
          <w:tcPr>
            <w:tcW w:w="12855" w:type="dxa"/>
            <w:gridSpan w:val="15"/>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72D9DD76" w14:textId="77777777" w:rsidR="00E7034E" w:rsidRPr="00E75453" w:rsidRDefault="00E7034E" w:rsidP="00D34B75">
            <w:pPr>
              <w:rPr>
                <w:rFonts w:eastAsia="Times New Roman" w:cs="Times New Roman"/>
                <w:b/>
                <w:bCs/>
                <w:color w:val="000000"/>
                <w:sz w:val="20"/>
                <w:szCs w:val="20"/>
              </w:rPr>
            </w:pPr>
            <w:r w:rsidRPr="00E75453">
              <w:rPr>
                <w:rFonts w:eastAsia="Times New Roman" w:cs="Times New Roman"/>
                <w:b/>
                <w:bCs/>
                <w:color w:val="000000"/>
                <w:sz w:val="20"/>
                <w:szCs w:val="20"/>
              </w:rPr>
              <w:t>Built environment characteristic</w:t>
            </w:r>
          </w:p>
        </w:tc>
      </w:tr>
      <w:tr w:rsidR="00E7034E" w:rsidRPr="00E75453" w14:paraId="4B1632AD" w14:textId="77777777" w:rsidTr="00D34B75">
        <w:trPr>
          <w:trHeight w:val="300"/>
        </w:trPr>
        <w:tc>
          <w:tcPr>
            <w:tcW w:w="1965" w:type="dxa"/>
            <w:tcBorders>
              <w:top w:val="double" w:sz="4" w:space="0" w:color="auto"/>
              <w:left w:val="double" w:sz="4" w:space="0" w:color="auto"/>
              <w:bottom w:val="single" w:sz="4" w:space="0" w:color="auto"/>
              <w:right w:val="single" w:sz="4" w:space="0" w:color="auto"/>
            </w:tcBorders>
            <w:shd w:val="clear" w:color="auto" w:fill="auto"/>
            <w:noWrap/>
            <w:vAlign w:val="center"/>
            <w:hideMark/>
          </w:tcPr>
          <w:p w14:paraId="688F5D14" w14:textId="77777777" w:rsidR="00E7034E" w:rsidRPr="00E75453" w:rsidRDefault="00E7034E" w:rsidP="006D1D87">
            <w:pPr>
              <w:ind w:left="150"/>
              <w:rPr>
                <w:rFonts w:eastAsia="Times New Roman" w:cs="Times New Roman"/>
                <w:color w:val="000000"/>
                <w:sz w:val="20"/>
                <w:szCs w:val="20"/>
              </w:rPr>
            </w:pPr>
            <w:r w:rsidRPr="00240799">
              <w:rPr>
                <w:rFonts w:eastAsia="Times New Roman" w:cs="Times New Roman"/>
                <w:color w:val="000000"/>
                <w:sz w:val="20"/>
                <w:szCs w:val="20"/>
              </w:rPr>
              <w:t>No. of restaurant</w:t>
            </w:r>
            <w:r>
              <w:rPr>
                <w:rFonts w:eastAsia="Times New Roman" w:cs="Times New Roman"/>
                <w:color w:val="000000"/>
                <w:sz w:val="20"/>
                <w:szCs w:val="20"/>
              </w:rPr>
              <w:t xml:space="preserve"> (3)</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5EF2B669" w14:textId="77777777" w:rsidR="00E7034E" w:rsidRPr="00907452" w:rsidRDefault="00E7034E" w:rsidP="00D34B75">
            <w:pPr>
              <w:jc w:val="center"/>
              <w:rPr>
                <w:rFonts w:cs="Times New Roman"/>
                <w:color w:val="000000"/>
                <w:sz w:val="20"/>
                <w:szCs w:val="20"/>
              </w:rPr>
            </w:pPr>
            <w:r w:rsidRPr="00FA7C43">
              <w:rPr>
                <w:rFonts w:cs="Times New Roman"/>
                <w:color w:val="000000"/>
                <w:sz w:val="20"/>
                <w:szCs w:val="20"/>
              </w:rPr>
              <w:t>0.254</w:t>
            </w:r>
          </w:p>
        </w:tc>
        <w:tc>
          <w:tcPr>
            <w:tcW w:w="879" w:type="dxa"/>
            <w:tcBorders>
              <w:top w:val="double" w:sz="4" w:space="0" w:color="auto"/>
              <w:left w:val="nil"/>
              <w:bottom w:val="single" w:sz="4" w:space="0" w:color="auto"/>
              <w:right w:val="single" w:sz="4" w:space="0" w:color="auto"/>
            </w:tcBorders>
            <w:shd w:val="clear" w:color="auto" w:fill="auto"/>
            <w:noWrap/>
            <w:vAlign w:val="center"/>
            <w:hideMark/>
          </w:tcPr>
          <w:p w14:paraId="204CB46F" w14:textId="77777777" w:rsidR="00E7034E" w:rsidRPr="00907452" w:rsidRDefault="00E7034E" w:rsidP="00D34B75">
            <w:pPr>
              <w:jc w:val="center"/>
              <w:rPr>
                <w:rFonts w:cs="Times New Roman"/>
                <w:color w:val="000000"/>
                <w:sz w:val="20"/>
                <w:szCs w:val="20"/>
              </w:rPr>
            </w:pPr>
            <w:r w:rsidRPr="00FA7C43">
              <w:rPr>
                <w:rFonts w:cs="Times New Roman"/>
                <w:color w:val="000000"/>
                <w:sz w:val="20"/>
                <w:szCs w:val="20"/>
              </w:rPr>
              <w:t>8.912</w:t>
            </w:r>
          </w:p>
        </w:tc>
        <w:tc>
          <w:tcPr>
            <w:tcW w:w="916" w:type="dxa"/>
            <w:gridSpan w:val="2"/>
            <w:tcBorders>
              <w:top w:val="double" w:sz="4" w:space="0" w:color="auto"/>
              <w:left w:val="nil"/>
              <w:bottom w:val="single" w:sz="4" w:space="0" w:color="auto"/>
              <w:right w:val="single" w:sz="4" w:space="0" w:color="auto"/>
            </w:tcBorders>
            <w:shd w:val="clear" w:color="auto" w:fill="auto"/>
            <w:noWrap/>
            <w:vAlign w:val="center"/>
            <w:hideMark/>
          </w:tcPr>
          <w:p w14:paraId="39B2DB72" w14:textId="77777777" w:rsidR="00E7034E" w:rsidRPr="00907452" w:rsidRDefault="00E7034E" w:rsidP="00D34B75">
            <w:pPr>
              <w:jc w:val="center"/>
              <w:rPr>
                <w:rFonts w:cs="Times New Roman"/>
                <w:color w:val="000000"/>
                <w:sz w:val="20"/>
                <w:szCs w:val="20"/>
              </w:rPr>
            </w:pPr>
            <w:r w:rsidRPr="00A37185">
              <w:rPr>
                <w:rFonts w:cs="Times New Roman"/>
                <w:color w:val="000000"/>
                <w:sz w:val="20"/>
                <w:szCs w:val="20"/>
              </w:rPr>
              <w:t>--</w:t>
            </w:r>
          </w:p>
        </w:tc>
        <w:tc>
          <w:tcPr>
            <w:tcW w:w="900" w:type="dxa"/>
            <w:tcBorders>
              <w:top w:val="double" w:sz="4" w:space="0" w:color="auto"/>
              <w:left w:val="nil"/>
              <w:bottom w:val="single" w:sz="4" w:space="0" w:color="auto"/>
              <w:right w:val="single" w:sz="4" w:space="0" w:color="auto"/>
            </w:tcBorders>
            <w:shd w:val="clear" w:color="auto" w:fill="auto"/>
            <w:noWrap/>
            <w:vAlign w:val="center"/>
            <w:hideMark/>
          </w:tcPr>
          <w:p w14:paraId="1D996514" w14:textId="77777777" w:rsidR="00E7034E" w:rsidRPr="00907452" w:rsidRDefault="00E7034E" w:rsidP="00D34B75">
            <w:pPr>
              <w:jc w:val="center"/>
              <w:rPr>
                <w:rFonts w:cs="Times New Roman"/>
                <w:color w:val="000000"/>
                <w:sz w:val="20"/>
                <w:szCs w:val="20"/>
              </w:rPr>
            </w:pPr>
            <w:r w:rsidRPr="00A37185">
              <w:rPr>
                <w:rFonts w:cs="Times New Roman"/>
                <w:color w:val="000000"/>
                <w:sz w:val="20"/>
                <w:szCs w:val="20"/>
              </w:rPr>
              <w:t>--</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20C780BE" w14:textId="77777777" w:rsidR="00E7034E" w:rsidRPr="00907452" w:rsidRDefault="00E7034E" w:rsidP="00D34B75">
            <w:pPr>
              <w:jc w:val="center"/>
              <w:rPr>
                <w:rFonts w:cs="Times New Roman"/>
                <w:color w:val="000000"/>
                <w:sz w:val="20"/>
                <w:szCs w:val="20"/>
              </w:rPr>
            </w:pPr>
            <w:r w:rsidRPr="00FA7C43">
              <w:rPr>
                <w:rFonts w:cs="Times New Roman"/>
                <w:color w:val="000000"/>
                <w:sz w:val="20"/>
                <w:szCs w:val="20"/>
              </w:rPr>
              <w:t>0.310</w:t>
            </w:r>
          </w:p>
        </w:tc>
        <w:tc>
          <w:tcPr>
            <w:tcW w:w="900" w:type="dxa"/>
            <w:tcBorders>
              <w:top w:val="double" w:sz="4" w:space="0" w:color="auto"/>
              <w:left w:val="nil"/>
              <w:bottom w:val="single" w:sz="4" w:space="0" w:color="auto"/>
              <w:right w:val="single" w:sz="4" w:space="0" w:color="auto"/>
            </w:tcBorders>
            <w:shd w:val="clear" w:color="auto" w:fill="auto"/>
            <w:noWrap/>
            <w:vAlign w:val="center"/>
            <w:hideMark/>
          </w:tcPr>
          <w:p w14:paraId="20A2AFA6" w14:textId="77777777" w:rsidR="00E7034E" w:rsidRPr="00907452" w:rsidRDefault="00E7034E" w:rsidP="00D34B75">
            <w:pPr>
              <w:jc w:val="center"/>
              <w:rPr>
                <w:rFonts w:cs="Times New Roman"/>
                <w:color w:val="000000"/>
                <w:sz w:val="20"/>
                <w:szCs w:val="20"/>
              </w:rPr>
            </w:pPr>
            <w:r w:rsidRPr="00FA7C43">
              <w:rPr>
                <w:rFonts w:cs="Times New Roman"/>
                <w:color w:val="000000"/>
                <w:sz w:val="20"/>
                <w:szCs w:val="20"/>
              </w:rPr>
              <w:t>9.759</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1C3936BE" w14:textId="77777777" w:rsidR="00E7034E" w:rsidRPr="00907452" w:rsidRDefault="00E7034E" w:rsidP="00D34B75">
            <w:pPr>
              <w:jc w:val="center"/>
              <w:rPr>
                <w:rFonts w:cs="Times New Roman"/>
                <w:color w:val="000000"/>
                <w:sz w:val="20"/>
                <w:szCs w:val="20"/>
              </w:rPr>
            </w:pPr>
            <w:r w:rsidRPr="00816F93">
              <w:rPr>
                <w:rFonts w:cs="Times New Roman"/>
                <w:color w:val="000000"/>
                <w:sz w:val="20"/>
                <w:szCs w:val="20"/>
              </w:rPr>
              <w:t>--</w:t>
            </w:r>
          </w:p>
        </w:tc>
        <w:tc>
          <w:tcPr>
            <w:tcW w:w="900" w:type="dxa"/>
            <w:tcBorders>
              <w:top w:val="double" w:sz="4" w:space="0" w:color="auto"/>
              <w:left w:val="nil"/>
              <w:bottom w:val="single" w:sz="4" w:space="0" w:color="auto"/>
              <w:right w:val="single" w:sz="4" w:space="0" w:color="auto"/>
            </w:tcBorders>
            <w:shd w:val="clear" w:color="auto" w:fill="auto"/>
            <w:noWrap/>
            <w:vAlign w:val="center"/>
            <w:hideMark/>
          </w:tcPr>
          <w:p w14:paraId="59F5DCC8" w14:textId="77777777" w:rsidR="00E7034E" w:rsidRPr="00907452" w:rsidRDefault="00E7034E" w:rsidP="00D34B75">
            <w:pPr>
              <w:jc w:val="center"/>
              <w:rPr>
                <w:rFonts w:cs="Times New Roman"/>
                <w:color w:val="000000"/>
                <w:sz w:val="20"/>
                <w:szCs w:val="20"/>
              </w:rPr>
            </w:pPr>
            <w:r w:rsidRPr="00816F93">
              <w:rPr>
                <w:rFonts w:cs="Times New Roman"/>
                <w:color w:val="000000"/>
                <w:sz w:val="20"/>
                <w:szCs w:val="20"/>
              </w:rPr>
              <w:t>--</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4823C29E" w14:textId="77777777" w:rsidR="00E7034E" w:rsidRPr="00907452" w:rsidRDefault="00E7034E" w:rsidP="00D34B75">
            <w:pPr>
              <w:jc w:val="center"/>
              <w:rPr>
                <w:rFonts w:cs="Times New Roman"/>
                <w:color w:val="000000"/>
                <w:sz w:val="20"/>
                <w:szCs w:val="20"/>
              </w:rPr>
            </w:pPr>
            <w:r w:rsidRPr="00816F93">
              <w:rPr>
                <w:rFonts w:cs="Times New Roman"/>
                <w:color w:val="000000"/>
                <w:sz w:val="20"/>
                <w:szCs w:val="20"/>
              </w:rPr>
              <w:t>--</w:t>
            </w:r>
          </w:p>
        </w:tc>
        <w:tc>
          <w:tcPr>
            <w:tcW w:w="931" w:type="dxa"/>
            <w:tcBorders>
              <w:top w:val="double" w:sz="4" w:space="0" w:color="auto"/>
              <w:left w:val="nil"/>
              <w:bottom w:val="single" w:sz="4" w:space="0" w:color="auto"/>
              <w:right w:val="single" w:sz="4" w:space="0" w:color="auto"/>
            </w:tcBorders>
            <w:shd w:val="clear" w:color="auto" w:fill="auto"/>
            <w:noWrap/>
            <w:vAlign w:val="center"/>
            <w:hideMark/>
          </w:tcPr>
          <w:p w14:paraId="1EEDF8B3" w14:textId="77777777" w:rsidR="00E7034E" w:rsidRPr="00907452" w:rsidRDefault="00E7034E" w:rsidP="00D34B75">
            <w:pPr>
              <w:jc w:val="center"/>
              <w:rPr>
                <w:rFonts w:cs="Times New Roman"/>
                <w:color w:val="000000"/>
                <w:sz w:val="20"/>
                <w:szCs w:val="20"/>
              </w:rPr>
            </w:pPr>
            <w:r w:rsidRPr="00816F93">
              <w:rPr>
                <w:rFonts w:cs="Times New Roman"/>
                <w:color w:val="000000"/>
                <w:sz w:val="20"/>
                <w:szCs w:val="20"/>
              </w:rPr>
              <w:t>--</w:t>
            </w:r>
          </w:p>
        </w:tc>
        <w:tc>
          <w:tcPr>
            <w:tcW w:w="916" w:type="dxa"/>
            <w:gridSpan w:val="2"/>
            <w:tcBorders>
              <w:top w:val="double" w:sz="4" w:space="0" w:color="auto"/>
              <w:left w:val="nil"/>
              <w:bottom w:val="single" w:sz="4" w:space="0" w:color="auto"/>
              <w:right w:val="single" w:sz="4" w:space="0" w:color="auto"/>
            </w:tcBorders>
            <w:shd w:val="clear" w:color="auto" w:fill="auto"/>
            <w:noWrap/>
            <w:vAlign w:val="center"/>
            <w:hideMark/>
          </w:tcPr>
          <w:p w14:paraId="2A6AA194" w14:textId="77777777" w:rsidR="00E7034E" w:rsidRPr="00907452" w:rsidRDefault="00E7034E" w:rsidP="00D34B75">
            <w:pPr>
              <w:jc w:val="center"/>
              <w:rPr>
                <w:rFonts w:cs="Times New Roman"/>
                <w:color w:val="000000"/>
                <w:sz w:val="20"/>
                <w:szCs w:val="20"/>
              </w:rPr>
            </w:pPr>
            <w:r w:rsidRPr="00FA7C43">
              <w:rPr>
                <w:rFonts w:cs="Times New Roman"/>
                <w:color w:val="000000"/>
                <w:sz w:val="20"/>
                <w:szCs w:val="20"/>
              </w:rPr>
              <w:t>0.198</w:t>
            </w:r>
          </w:p>
        </w:tc>
        <w:tc>
          <w:tcPr>
            <w:tcW w:w="884" w:type="dxa"/>
            <w:tcBorders>
              <w:top w:val="double" w:sz="4" w:space="0" w:color="auto"/>
              <w:left w:val="nil"/>
              <w:bottom w:val="single" w:sz="4" w:space="0" w:color="auto"/>
              <w:right w:val="double" w:sz="4" w:space="0" w:color="auto"/>
            </w:tcBorders>
            <w:shd w:val="clear" w:color="auto" w:fill="auto"/>
            <w:noWrap/>
            <w:vAlign w:val="center"/>
            <w:hideMark/>
          </w:tcPr>
          <w:p w14:paraId="57C5673B" w14:textId="77777777" w:rsidR="00E7034E" w:rsidRPr="00907452" w:rsidRDefault="00E7034E" w:rsidP="00D34B75">
            <w:pPr>
              <w:jc w:val="center"/>
              <w:rPr>
                <w:rFonts w:cs="Times New Roman"/>
                <w:color w:val="000000"/>
                <w:sz w:val="20"/>
                <w:szCs w:val="20"/>
              </w:rPr>
            </w:pPr>
            <w:r w:rsidRPr="00FA7C43">
              <w:rPr>
                <w:rFonts w:cs="Times New Roman"/>
                <w:color w:val="000000"/>
                <w:sz w:val="20"/>
                <w:szCs w:val="20"/>
              </w:rPr>
              <w:t>8.803</w:t>
            </w:r>
          </w:p>
        </w:tc>
      </w:tr>
      <w:tr w:rsidR="00E7034E" w:rsidRPr="00E75453" w14:paraId="04E9F794" w14:textId="77777777" w:rsidTr="00D34B75">
        <w:trPr>
          <w:trHeight w:val="300"/>
        </w:trPr>
        <w:tc>
          <w:tcPr>
            <w:tcW w:w="1965" w:type="dxa"/>
            <w:tcBorders>
              <w:top w:val="nil"/>
              <w:left w:val="double" w:sz="4" w:space="0" w:color="auto"/>
              <w:bottom w:val="double" w:sz="4" w:space="0" w:color="auto"/>
              <w:right w:val="single" w:sz="4" w:space="0" w:color="auto"/>
            </w:tcBorders>
            <w:shd w:val="clear" w:color="auto" w:fill="auto"/>
            <w:noWrap/>
            <w:vAlign w:val="center"/>
            <w:hideMark/>
          </w:tcPr>
          <w:p w14:paraId="2DA2F46F" w14:textId="77777777" w:rsidR="00E7034E" w:rsidRPr="00E75453" w:rsidRDefault="00E7034E" w:rsidP="006D1D87">
            <w:pPr>
              <w:ind w:left="150"/>
              <w:jc w:val="left"/>
              <w:rPr>
                <w:rFonts w:eastAsia="Times New Roman" w:cs="Times New Roman"/>
                <w:color w:val="000000"/>
                <w:sz w:val="20"/>
                <w:szCs w:val="20"/>
              </w:rPr>
            </w:pPr>
            <w:r w:rsidRPr="00240799">
              <w:rPr>
                <w:rFonts w:eastAsia="Times New Roman" w:cs="Times New Roman"/>
                <w:color w:val="000000"/>
                <w:sz w:val="20"/>
                <w:szCs w:val="20"/>
              </w:rPr>
              <w:lastRenderedPageBreak/>
              <w:t>No. of shopping center</w:t>
            </w:r>
            <w:r>
              <w:rPr>
                <w:rFonts w:eastAsia="Times New Roman" w:cs="Times New Roman"/>
                <w:color w:val="000000"/>
                <w:sz w:val="20"/>
                <w:szCs w:val="20"/>
              </w:rPr>
              <w:t xml:space="preserve"> (1)</w:t>
            </w:r>
          </w:p>
        </w:tc>
        <w:tc>
          <w:tcPr>
            <w:tcW w:w="916" w:type="dxa"/>
            <w:tcBorders>
              <w:top w:val="nil"/>
              <w:left w:val="nil"/>
              <w:bottom w:val="double" w:sz="4" w:space="0" w:color="auto"/>
              <w:right w:val="single" w:sz="4" w:space="0" w:color="auto"/>
            </w:tcBorders>
            <w:shd w:val="clear" w:color="auto" w:fill="auto"/>
            <w:noWrap/>
            <w:vAlign w:val="center"/>
            <w:hideMark/>
          </w:tcPr>
          <w:p w14:paraId="5F881B24" w14:textId="77777777" w:rsidR="00E7034E" w:rsidRPr="00907452" w:rsidRDefault="00E7034E" w:rsidP="00D34B75">
            <w:pPr>
              <w:jc w:val="center"/>
              <w:rPr>
                <w:rFonts w:cs="Times New Roman"/>
                <w:color w:val="000000"/>
                <w:sz w:val="20"/>
                <w:szCs w:val="20"/>
              </w:rPr>
            </w:pPr>
            <w:r w:rsidRPr="00FA7C43">
              <w:rPr>
                <w:rFonts w:cs="Times New Roman"/>
                <w:color w:val="000000"/>
                <w:sz w:val="20"/>
                <w:szCs w:val="20"/>
              </w:rPr>
              <w:t>0.066</w:t>
            </w:r>
          </w:p>
        </w:tc>
        <w:tc>
          <w:tcPr>
            <w:tcW w:w="879" w:type="dxa"/>
            <w:tcBorders>
              <w:top w:val="nil"/>
              <w:left w:val="nil"/>
              <w:bottom w:val="double" w:sz="4" w:space="0" w:color="auto"/>
              <w:right w:val="single" w:sz="4" w:space="0" w:color="auto"/>
            </w:tcBorders>
            <w:shd w:val="clear" w:color="auto" w:fill="auto"/>
            <w:noWrap/>
            <w:vAlign w:val="center"/>
            <w:hideMark/>
          </w:tcPr>
          <w:p w14:paraId="03862599" w14:textId="77777777" w:rsidR="00E7034E" w:rsidRPr="00907452" w:rsidRDefault="00E7034E" w:rsidP="00D34B75">
            <w:pPr>
              <w:jc w:val="center"/>
              <w:rPr>
                <w:rFonts w:cs="Times New Roman"/>
                <w:color w:val="000000"/>
                <w:sz w:val="20"/>
                <w:szCs w:val="20"/>
              </w:rPr>
            </w:pPr>
            <w:r w:rsidRPr="00FA7C43">
              <w:rPr>
                <w:rFonts w:cs="Times New Roman"/>
                <w:color w:val="000000"/>
                <w:sz w:val="20"/>
                <w:szCs w:val="20"/>
              </w:rPr>
              <w:t>2.040</w:t>
            </w:r>
          </w:p>
        </w:tc>
        <w:tc>
          <w:tcPr>
            <w:tcW w:w="916" w:type="dxa"/>
            <w:gridSpan w:val="2"/>
            <w:tcBorders>
              <w:top w:val="nil"/>
              <w:left w:val="nil"/>
              <w:bottom w:val="double" w:sz="4" w:space="0" w:color="auto"/>
              <w:right w:val="single" w:sz="4" w:space="0" w:color="auto"/>
            </w:tcBorders>
            <w:shd w:val="clear" w:color="auto" w:fill="auto"/>
            <w:noWrap/>
            <w:vAlign w:val="center"/>
            <w:hideMark/>
          </w:tcPr>
          <w:p w14:paraId="4C5D192D" w14:textId="77777777" w:rsidR="00E7034E" w:rsidRPr="00907452" w:rsidRDefault="00E7034E" w:rsidP="00D34B75">
            <w:pPr>
              <w:jc w:val="center"/>
              <w:rPr>
                <w:rFonts w:cs="Times New Roman"/>
                <w:color w:val="000000"/>
                <w:sz w:val="20"/>
                <w:szCs w:val="20"/>
              </w:rPr>
            </w:pPr>
            <w:r w:rsidRPr="00A37185">
              <w:rPr>
                <w:rFonts w:cs="Times New Roman"/>
                <w:color w:val="000000"/>
                <w:sz w:val="20"/>
                <w:szCs w:val="20"/>
              </w:rPr>
              <w:t>--</w:t>
            </w:r>
          </w:p>
        </w:tc>
        <w:tc>
          <w:tcPr>
            <w:tcW w:w="900" w:type="dxa"/>
            <w:tcBorders>
              <w:top w:val="nil"/>
              <w:left w:val="nil"/>
              <w:bottom w:val="double" w:sz="4" w:space="0" w:color="auto"/>
              <w:right w:val="single" w:sz="4" w:space="0" w:color="auto"/>
            </w:tcBorders>
            <w:shd w:val="clear" w:color="auto" w:fill="auto"/>
            <w:noWrap/>
            <w:vAlign w:val="center"/>
            <w:hideMark/>
          </w:tcPr>
          <w:p w14:paraId="2A9BAED6" w14:textId="77777777" w:rsidR="00E7034E" w:rsidRPr="00907452" w:rsidRDefault="00E7034E" w:rsidP="00D34B75">
            <w:pPr>
              <w:jc w:val="center"/>
              <w:rPr>
                <w:rFonts w:cs="Times New Roman"/>
                <w:color w:val="000000"/>
                <w:sz w:val="20"/>
                <w:szCs w:val="20"/>
              </w:rPr>
            </w:pPr>
            <w:r w:rsidRPr="00A37185">
              <w:rPr>
                <w:rFonts w:cs="Times New Roman"/>
                <w:color w:val="000000"/>
                <w:sz w:val="20"/>
                <w:szCs w:val="20"/>
              </w:rPr>
              <w:t>--</w:t>
            </w:r>
          </w:p>
        </w:tc>
        <w:tc>
          <w:tcPr>
            <w:tcW w:w="916" w:type="dxa"/>
            <w:tcBorders>
              <w:top w:val="nil"/>
              <w:left w:val="nil"/>
              <w:bottom w:val="double" w:sz="4" w:space="0" w:color="auto"/>
              <w:right w:val="single" w:sz="4" w:space="0" w:color="auto"/>
            </w:tcBorders>
            <w:shd w:val="clear" w:color="auto" w:fill="auto"/>
            <w:noWrap/>
            <w:vAlign w:val="center"/>
            <w:hideMark/>
          </w:tcPr>
          <w:p w14:paraId="318F1944" w14:textId="77777777" w:rsidR="00E7034E" w:rsidRPr="00907452" w:rsidRDefault="00E7034E" w:rsidP="00D34B75">
            <w:pPr>
              <w:jc w:val="center"/>
              <w:rPr>
                <w:rFonts w:cs="Times New Roman"/>
                <w:color w:val="000000"/>
                <w:sz w:val="20"/>
                <w:szCs w:val="20"/>
              </w:rPr>
            </w:pPr>
            <w:r w:rsidRPr="00FA7C43">
              <w:rPr>
                <w:rFonts w:cs="Times New Roman"/>
                <w:color w:val="000000"/>
                <w:sz w:val="20"/>
                <w:szCs w:val="20"/>
              </w:rPr>
              <w:t>0.066</w:t>
            </w:r>
          </w:p>
        </w:tc>
        <w:tc>
          <w:tcPr>
            <w:tcW w:w="900" w:type="dxa"/>
            <w:tcBorders>
              <w:top w:val="nil"/>
              <w:left w:val="nil"/>
              <w:bottom w:val="double" w:sz="4" w:space="0" w:color="auto"/>
              <w:right w:val="single" w:sz="4" w:space="0" w:color="auto"/>
            </w:tcBorders>
            <w:shd w:val="clear" w:color="auto" w:fill="auto"/>
            <w:noWrap/>
            <w:vAlign w:val="center"/>
            <w:hideMark/>
          </w:tcPr>
          <w:p w14:paraId="59C91128" w14:textId="77777777" w:rsidR="00E7034E" w:rsidRPr="00907452" w:rsidRDefault="00E7034E" w:rsidP="00D34B75">
            <w:pPr>
              <w:jc w:val="center"/>
              <w:rPr>
                <w:rFonts w:cs="Times New Roman"/>
                <w:color w:val="000000"/>
                <w:sz w:val="20"/>
                <w:szCs w:val="20"/>
              </w:rPr>
            </w:pPr>
            <w:r w:rsidRPr="00FA7C43">
              <w:rPr>
                <w:rFonts w:cs="Times New Roman"/>
                <w:color w:val="000000"/>
                <w:sz w:val="20"/>
                <w:szCs w:val="20"/>
              </w:rPr>
              <w:t>2.040</w:t>
            </w:r>
          </w:p>
        </w:tc>
        <w:tc>
          <w:tcPr>
            <w:tcW w:w="916" w:type="dxa"/>
            <w:tcBorders>
              <w:top w:val="nil"/>
              <w:left w:val="nil"/>
              <w:bottom w:val="double" w:sz="4" w:space="0" w:color="auto"/>
              <w:right w:val="single" w:sz="4" w:space="0" w:color="auto"/>
            </w:tcBorders>
            <w:shd w:val="clear" w:color="auto" w:fill="auto"/>
            <w:noWrap/>
            <w:vAlign w:val="center"/>
            <w:hideMark/>
          </w:tcPr>
          <w:p w14:paraId="11A40200" w14:textId="77777777" w:rsidR="00E7034E" w:rsidRPr="00907452" w:rsidRDefault="00E7034E" w:rsidP="00D34B75">
            <w:pPr>
              <w:jc w:val="center"/>
              <w:rPr>
                <w:rFonts w:cs="Times New Roman"/>
                <w:color w:val="000000"/>
                <w:sz w:val="20"/>
                <w:szCs w:val="20"/>
              </w:rPr>
            </w:pPr>
            <w:r w:rsidRPr="00816F93">
              <w:rPr>
                <w:rFonts w:cs="Times New Roman"/>
                <w:color w:val="000000"/>
                <w:sz w:val="20"/>
                <w:szCs w:val="20"/>
              </w:rPr>
              <w:t>--</w:t>
            </w:r>
          </w:p>
        </w:tc>
        <w:tc>
          <w:tcPr>
            <w:tcW w:w="900" w:type="dxa"/>
            <w:tcBorders>
              <w:top w:val="nil"/>
              <w:left w:val="nil"/>
              <w:bottom w:val="double" w:sz="4" w:space="0" w:color="auto"/>
              <w:right w:val="single" w:sz="4" w:space="0" w:color="auto"/>
            </w:tcBorders>
            <w:shd w:val="clear" w:color="auto" w:fill="auto"/>
            <w:noWrap/>
            <w:vAlign w:val="center"/>
            <w:hideMark/>
          </w:tcPr>
          <w:p w14:paraId="5BED8500" w14:textId="77777777" w:rsidR="00E7034E" w:rsidRPr="00907452" w:rsidRDefault="00E7034E" w:rsidP="00D34B75">
            <w:pPr>
              <w:jc w:val="center"/>
              <w:rPr>
                <w:rFonts w:cs="Times New Roman"/>
                <w:color w:val="000000"/>
                <w:sz w:val="20"/>
                <w:szCs w:val="20"/>
              </w:rPr>
            </w:pPr>
            <w:r w:rsidRPr="00816F93">
              <w:rPr>
                <w:rFonts w:cs="Times New Roman"/>
                <w:color w:val="000000"/>
                <w:sz w:val="20"/>
                <w:szCs w:val="20"/>
              </w:rPr>
              <w:t>--</w:t>
            </w:r>
          </w:p>
        </w:tc>
        <w:tc>
          <w:tcPr>
            <w:tcW w:w="916" w:type="dxa"/>
            <w:tcBorders>
              <w:top w:val="nil"/>
              <w:left w:val="nil"/>
              <w:bottom w:val="double" w:sz="4" w:space="0" w:color="auto"/>
              <w:right w:val="single" w:sz="4" w:space="0" w:color="auto"/>
            </w:tcBorders>
            <w:shd w:val="clear" w:color="auto" w:fill="auto"/>
            <w:noWrap/>
            <w:vAlign w:val="center"/>
            <w:hideMark/>
          </w:tcPr>
          <w:p w14:paraId="42144A62" w14:textId="77777777" w:rsidR="00E7034E" w:rsidRPr="00907452" w:rsidRDefault="00E7034E" w:rsidP="00D34B75">
            <w:pPr>
              <w:jc w:val="center"/>
              <w:rPr>
                <w:rFonts w:cs="Times New Roman"/>
                <w:color w:val="000000"/>
                <w:sz w:val="20"/>
                <w:szCs w:val="20"/>
              </w:rPr>
            </w:pPr>
            <w:r w:rsidRPr="00816F93">
              <w:rPr>
                <w:rFonts w:cs="Times New Roman"/>
                <w:color w:val="000000"/>
                <w:sz w:val="20"/>
                <w:szCs w:val="20"/>
              </w:rPr>
              <w:t>--</w:t>
            </w:r>
          </w:p>
        </w:tc>
        <w:tc>
          <w:tcPr>
            <w:tcW w:w="931" w:type="dxa"/>
            <w:tcBorders>
              <w:top w:val="nil"/>
              <w:left w:val="nil"/>
              <w:bottom w:val="double" w:sz="4" w:space="0" w:color="auto"/>
              <w:right w:val="single" w:sz="4" w:space="0" w:color="auto"/>
            </w:tcBorders>
            <w:shd w:val="clear" w:color="auto" w:fill="auto"/>
            <w:noWrap/>
            <w:vAlign w:val="center"/>
            <w:hideMark/>
          </w:tcPr>
          <w:p w14:paraId="1F767555" w14:textId="77777777" w:rsidR="00E7034E" w:rsidRPr="00907452" w:rsidRDefault="00E7034E" w:rsidP="00D34B75">
            <w:pPr>
              <w:jc w:val="center"/>
              <w:rPr>
                <w:rFonts w:cs="Times New Roman"/>
                <w:color w:val="000000"/>
                <w:sz w:val="20"/>
                <w:szCs w:val="20"/>
              </w:rPr>
            </w:pPr>
            <w:r w:rsidRPr="00816F93">
              <w:rPr>
                <w:rFonts w:cs="Times New Roman"/>
                <w:color w:val="000000"/>
                <w:sz w:val="20"/>
                <w:szCs w:val="20"/>
              </w:rPr>
              <w:t>--</w:t>
            </w:r>
          </w:p>
        </w:tc>
        <w:tc>
          <w:tcPr>
            <w:tcW w:w="916" w:type="dxa"/>
            <w:gridSpan w:val="2"/>
            <w:tcBorders>
              <w:top w:val="nil"/>
              <w:left w:val="nil"/>
              <w:bottom w:val="double" w:sz="4" w:space="0" w:color="auto"/>
              <w:right w:val="single" w:sz="4" w:space="0" w:color="auto"/>
            </w:tcBorders>
            <w:shd w:val="clear" w:color="auto" w:fill="auto"/>
            <w:noWrap/>
            <w:vAlign w:val="center"/>
            <w:hideMark/>
          </w:tcPr>
          <w:p w14:paraId="1E800EA7" w14:textId="77777777" w:rsidR="00E7034E" w:rsidRPr="00907452" w:rsidRDefault="00E7034E" w:rsidP="00D34B75">
            <w:pPr>
              <w:jc w:val="center"/>
              <w:rPr>
                <w:rFonts w:cs="Times New Roman"/>
                <w:color w:val="000000"/>
                <w:sz w:val="20"/>
                <w:szCs w:val="20"/>
              </w:rPr>
            </w:pPr>
            <w:r w:rsidRPr="00AD539A">
              <w:rPr>
                <w:rFonts w:cs="Times New Roman"/>
                <w:color w:val="000000"/>
                <w:sz w:val="20"/>
                <w:szCs w:val="20"/>
              </w:rPr>
              <w:t>--</w:t>
            </w:r>
          </w:p>
        </w:tc>
        <w:tc>
          <w:tcPr>
            <w:tcW w:w="884" w:type="dxa"/>
            <w:tcBorders>
              <w:top w:val="nil"/>
              <w:left w:val="nil"/>
              <w:bottom w:val="double" w:sz="4" w:space="0" w:color="auto"/>
              <w:right w:val="double" w:sz="4" w:space="0" w:color="auto"/>
            </w:tcBorders>
            <w:shd w:val="clear" w:color="auto" w:fill="auto"/>
            <w:noWrap/>
            <w:vAlign w:val="center"/>
            <w:hideMark/>
          </w:tcPr>
          <w:p w14:paraId="31BEEF2A" w14:textId="77777777" w:rsidR="00E7034E" w:rsidRPr="00907452" w:rsidRDefault="00E7034E" w:rsidP="00D34B75">
            <w:pPr>
              <w:jc w:val="center"/>
              <w:rPr>
                <w:rFonts w:cs="Times New Roman"/>
                <w:color w:val="000000"/>
                <w:sz w:val="20"/>
                <w:szCs w:val="20"/>
              </w:rPr>
            </w:pPr>
            <w:r w:rsidRPr="00AD539A">
              <w:rPr>
                <w:rFonts w:cs="Times New Roman"/>
                <w:color w:val="000000"/>
                <w:sz w:val="20"/>
                <w:szCs w:val="20"/>
              </w:rPr>
              <w:t>--</w:t>
            </w:r>
          </w:p>
        </w:tc>
      </w:tr>
      <w:tr w:rsidR="00E7034E" w:rsidRPr="00E75453" w14:paraId="016CE846" w14:textId="77777777" w:rsidTr="00D34B75">
        <w:trPr>
          <w:trHeight w:val="300"/>
        </w:trPr>
        <w:tc>
          <w:tcPr>
            <w:tcW w:w="12855" w:type="dxa"/>
            <w:gridSpan w:val="15"/>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1ECB89A9" w14:textId="77777777" w:rsidR="00E7034E" w:rsidRPr="00E75453" w:rsidRDefault="00E7034E" w:rsidP="00D34B75">
            <w:pPr>
              <w:rPr>
                <w:rFonts w:eastAsia="Times New Roman" w:cs="Times New Roman"/>
                <w:b/>
                <w:bCs/>
                <w:color w:val="000000"/>
                <w:sz w:val="20"/>
                <w:szCs w:val="20"/>
              </w:rPr>
            </w:pPr>
            <w:r w:rsidRPr="00E75453">
              <w:rPr>
                <w:rFonts w:eastAsia="Times New Roman" w:cs="Times New Roman"/>
                <w:b/>
                <w:bCs/>
                <w:color w:val="000000"/>
                <w:sz w:val="20"/>
                <w:szCs w:val="20"/>
              </w:rPr>
              <w:t>Socio-demographic characteristics</w:t>
            </w:r>
          </w:p>
        </w:tc>
      </w:tr>
      <w:tr w:rsidR="00E7034E" w:rsidRPr="00E75453" w14:paraId="7BBD781D" w14:textId="77777777" w:rsidTr="00D34B75">
        <w:trPr>
          <w:trHeight w:val="300"/>
        </w:trPr>
        <w:tc>
          <w:tcPr>
            <w:tcW w:w="1965" w:type="dxa"/>
            <w:tcBorders>
              <w:top w:val="nil"/>
              <w:left w:val="double" w:sz="4" w:space="0" w:color="auto"/>
              <w:bottom w:val="single" w:sz="4" w:space="0" w:color="auto"/>
              <w:right w:val="single" w:sz="4" w:space="0" w:color="auto"/>
            </w:tcBorders>
            <w:shd w:val="clear" w:color="auto" w:fill="auto"/>
            <w:noWrap/>
            <w:vAlign w:val="center"/>
            <w:hideMark/>
          </w:tcPr>
          <w:p w14:paraId="4A176AAB" w14:textId="77777777" w:rsidR="00E7034E" w:rsidRPr="00E75453" w:rsidRDefault="00E7034E" w:rsidP="00D34B75">
            <w:pPr>
              <w:ind w:left="150"/>
              <w:rPr>
                <w:rFonts w:eastAsia="Times New Roman" w:cs="Times New Roman"/>
                <w:color w:val="000000"/>
                <w:sz w:val="20"/>
                <w:szCs w:val="20"/>
              </w:rPr>
            </w:pPr>
            <w:r w:rsidRPr="00240799">
              <w:rPr>
                <w:rFonts w:eastAsia="Times New Roman" w:cs="Times New Roman"/>
                <w:color w:val="000000"/>
                <w:sz w:val="20"/>
                <w:szCs w:val="20"/>
              </w:rPr>
              <w:t>Non-motorists</w:t>
            </w:r>
            <w:r>
              <w:rPr>
                <w:rFonts w:eastAsia="Times New Roman" w:cs="Times New Roman"/>
                <w:color w:val="000000"/>
                <w:sz w:val="20"/>
                <w:szCs w:val="20"/>
              </w:rPr>
              <w:t xml:space="preserve"> (3)</w:t>
            </w:r>
          </w:p>
        </w:tc>
        <w:tc>
          <w:tcPr>
            <w:tcW w:w="916" w:type="dxa"/>
            <w:tcBorders>
              <w:top w:val="nil"/>
              <w:left w:val="nil"/>
              <w:bottom w:val="single" w:sz="4" w:space="0" w:color="auto"/>
              <w:right w:val="single" w:sz="4" w:space="0" w:color="auto"/>
            </w:tcBorders>
            <w:shd w:val="clear" w:color="auto" w:fill="auto"/>
            <w:noWrap/>
            <w:vAlign w:val="center"/>
            <w:hideMark/>
          </w:tcPr>
          <w:p w14:paraId="7F640686" w14:textId="77777777" w:rsidR="00E7034E" w:rsidRPr="00D72CE4" w:rsidRDefault="00E7034E" w:rsidP="00D34B75">
            <w:pPr>
              <w:jc w:val="center"/>
              <w:rPr>
                <w:rFonts w:cs="Times New Roman"/>
                <w:color w:val="000000"/>
                <w:sz w:val="20"/>
                <w:szCs w:val="20"/>
              </w:rPr>
            </w:pPr>
            <w:r w:rsidRPr="00FA7C43">
              <w:rPr>
                <w:rFonts w:cs="Times New Roman"/>
                <w:color w:val="000000"/>
                <w:sz w:val="20"/>
                <w:szCs w:val="20"/>
              </w:rPr>
              <w:t>0.067</w:t>
            </w:r>
          </w:p>
        </w:tc>
        <w:tc>
          <w:tcPr>
            <w:tcW w:w="879" w:type="dxa"/>
            <w:tcBorders>
              <w:top w:val="nil"/>
              <w:left w:val="nil"/>
              <w:bottom w:val="single" w:sz="4" w:space="0" w:color="auto"/>
              <w:right w:val="single" w:sz="4" w:space="0" w:color="auto"/>
            </w:tcBorders>
            <w:shd w:val="clear" w:color="auto" w:fill="auto"/>
            <w:noWrap/>
            <w:vAlign w:val="center"/>
            <w:hideMark/>
          </w:tcPr>
          <w:p w14:paraId="3B5B3745" w14:textId="77777777" w:rsidR="00E7034E" w:rsidRPr="00D72CE4" w:rsidRDefault="00E7034E" w:rsidP="00D34B75">
            <w:pPr>
              <w:jc w:val="center"/>
              <w:rPr>
                <w:rFonts w:cs="Times New Roman"/>
                <w:color w:val="000000"/>
                <w:sz w:val="20"/>
                <w:szCs w:val="20"/>
              </w:rPr>
            </w:pPr>
            <w:r w:rsidRPr="00FA7C43">
              <w:rPr>
                <w:rFonts w:cs="Times New Roman"/>
                <w:color w:val="000000"/>
                <w:sz w:val="20"/>
                <w:szCs w:val="20"/>
              </w:rPr>
              <w:t>3.996</w:t>
            </w:r>
          </w:p>
        </w:tc>
        <w:tc>
          <w:tcPr>
            <w:tcW w:w="916" w:type="dxa"/>
            <w:gridSpan w:val="2"/>
            <w:tcBorders>
              <w:top w:val="nil"/>
              <w:left w:val="nil"/>
              <w:bottom w:val="single" w:sz="4" w:space="0" w:color="auto"/>
              <w:right w:val="single" w:sz="4" w:space="0" w:color="auto"/>
            </w:tcBorders>
            <w:shd w:val="clear" w:color="auto" w:fill="auto"/>
            <w:noWrap/>
            <w:vAlign w:val="center"/>
            <w:hideMark/>
          </w:tcPr>
          <w:p w14:paraId="35641DD2" w14:textId="77777777" w:rsidR="00E7034E" w:rsidRPr="00D72CE4" w:rsidRDefault="00E7034E" w:rsidP="00D34B75">
            <w:pPr>
              <w:jc w:val="center"/>
              <w:rPr>
                <w:rFonts w:cs="Times New Roman"/>
                <w:color w:val="000000"/>
                <w:sz w:val="20"/>
                <w:szCs w:val="20"/>
              </w:rPr>
            </w:pPr>
            <w:r w:rsidRPr="00FA7C43">
              <w:rPr>
                <w:rFonts w:cs="Times New Roman"/>
                <w:color w:val="000000"/>
                <w:sz w:val="20"/>
                <w:szCs w:val="20"/>
              </w:rPr>
              <w:t>0.145</w:t>
            </w:r>
          </w:p>
        </w:tc>
        <w:tc>
          <w:tcPr>
            <w:tcW w:w="900" w:type="dxa"/>
            <w:tcBorders>
              <w:top w:val="nil"/>
              <w:left w:val="nil"/>
              <w:bottom w:val="single" w:sz="4" w:space="0" w:color="auto"/>
              <w:right w:val="single" w:sz="4" w:space="0" w:color="auto"/>
            </w:tcBorders>
            <w:shd w:val="clear" w:color="auto" w:fill="auto"/>
            <w:noWrap/>
            <w:vAlign w:val="center"/>
            <w:hideMark/>
          </w:tcPr>
          <w:p w14:paraId="5CD8CD44" w14:textId="77777777" w:rsidR="00E7034E" w:rsidRPr="00D72CE4" w:rsidRDefault="00E7034E" w:rsidP="00D34B75">
            <w:pPr>
              <w:jc w:val="center"/>
              <w:rPr>
                <w:rFonts w:cs="Times New Roman"/>
                <w:color w:val="000000"/>
                <w:sz w:val="20"/>
                <w:szCs w:val="20"/>
              </w:rPr>
            </w:pPr>
            <w:r w:rsidRPr="00FA7C43">
              <w:rPr>
                <w:rFonts w:cs="Times New Roman"/>
                <w:color w:val="000000"/>
                <w:sz w:val="20"/>
                <w:szCs w:val="20"/>
              </w:rPr>
              <w:t>7.109</w:t>
            </w:r>
          </w:p>
        </w:tc>
        <w:tc>
          <w:tcPr>
            <w:tcW w:w="916" w:type="dxa"/>
            <w:tcBorders>
              <w:top w:val="nil"/>
              <w:left w:val="nil"/>
              <w:bottom w:val="single" w:sz="4" w:space="0" w:color="auto"/>
              <w:right w:val="single" w:sz="4" w:space="0" w:color="auto"/>
            </w:tcBorders>
            <w:shd w:val="clear" w:color="auto" w:fill="auto"/>
            <w:noWrap/>
            <w:vAlign w:val="center"/>
            <w:hideMark/>
          </w:tcPr>
          <w:p w14:paraId="04478A97" w14:textId="77777777" w:rsidR="00E7034E" w:rsidRPr="00D72CE4" w:rsidRDefault="00E7034E" w:rsidP="00D34B75">
            <w:pPr>
              <w:jc w:val="center"/>
              <w:rPr>
                <w:rFonts w:cs="Times New Roman"/>
                <w:color w:val="000000"/>
                <w:sz w:val="20"/>
                <w:szCs w:val="20"/>
              </w:rPr>
            </w:pPr>
            <w:r w:rsidRPr="00FA7C43">
              <w:rPr>
                <w:rFonts w:cs="Times New Roman"/>
                <w:color w:val="000000"/>
                <w:sz w:val="20"/>
                <w:szCs w:val="20"/>
              </w:rPr>
              <w:t>0.144</w:t>
            </w:r>
          </w:p>
        </w:tc>
        <w:tc>
          <w:tcPr>
            <w:tcW w:w="900" w:type="dxa"/>
            <w:tcBorders>
              <w:top w:val="nil"/>
              <w:left w:val="nil"/>
              <w:bottom w:val="single" w:sz="4" w:space="0" w:color="auto"/>
              <w:right w:val="single" w:sz="4" w:space="0" w:color="auto"/>
            </w:tcBorders>
            <w:shd w:val="clear" w:color="auto" w:fill="auto"/>
            <w:noWrap/>
            <w:vAlign w:val="center"/>
            <w:hideMark/>
          </w:tcPr>
          <w:p w14:paraId="479C7103" w14:textId="77777777" w:rsidR="00E7034E" w:rsidRPr="00D72CE4" w:rsidRDefault="00E7034E" w:rsidP="00D34B75">
            <w:pPr>
              <w:jc w:val="center"/>
              <w:rPr>
                <w:rFonts w:cs="Times New Roman"/>
                <w:color w:val="000000"/>
                <w:sz w:val="20"/>
                <w:szCs w:val="20"/>
              </w:rPr>
            </w:pPr>
            <w:r w:rsidRPr="00FA7C43">
              <w:rPr>
                <w:rFonts w:cs="Times New Roman"/>
                <w:color w:val="000000"/>
                <w:sz w:val="20"/>
                <w:szCs w:val="20"/>
              </w:rPr>
              <w:t>6.858</w:t>
            </w:r>
          </w:p>
        </w:tc>
        <w:tc>
          <w:tcPr>
            <w:tcW w:w="916" w:type="dxa"/>
            <w:tcBorders>
              <w:top w:val="nil"/>
              <w:left w:val="nil"/>
              <w:bottom w:val="single" w:sz="4" w:space="0" w:color="auto"/>
              <w:right w:val="single" w:sz="4" w:space="0" w:color="auto"/>
            </w:tcBorders>
            <w:shd w:val="clear" w:color="auto" w:fill="auto"/>
            <w:noWrap/>
            <w:vAlign w:val="center"/>
            <w:hideMark/>
          </w:tcPr>
          <w:p w14:paraId="57A855BB" w14:textId="77777777" w:rsidR="00E7034E" w:rsidRPr="00D72CE4" w:rsidRDefault="00E7034E" w:rsidP="00D34B75">
            <w:pPr>
              <w:jc w:val="center"/>
              <w:rPr>
                <w:rFonts w:cs="Times New Roman"/>
                <w:color w:val="000000"/>
                <w:sz w:val="20"/>
                <w:szCs w:val="20"/>
              </w:rPr>
            </w:pPr>
            <w:r w:rsidRPr="00122959">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6FEDD85F" w14:textId="77777777" w:rsidR="00E7034E" w:rsidRPr="00D72CE4" w:rsidRDefault="00E7034E" w:rsidP="00D34B75">
            <w:pPr>
              <w:jc w:val="center"/>
              <w:rPr>
                <w:rFonts w:cs="Times New Roman"/>
                <w:color w:val="000000"/>
                <w:sz w:val="20"/>
                <w:szCs w:val="20"/>
              </w:rPr>
            </w:pPr>
            <w:r w:rsidRPr="00122959">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hideMark/>
          </w:tcPr>
          <w:p w14:paraId="1292B4DE" w14:textId="77777777" w:rsidR="00E7034E" w:rsidRPr="00D72CE4" w:rsidRDefault="00E7034E" w:rsidP="00D34B75">
            <w:pPr>
              <w:jc w:val="center"/>
              <w:rPr>
                <w:rFonts w:cs="Times New Roman"/>
                <w:color w:val="000000"/>
                <w:sz w:val="20"/>
                <w:szCs w:val="20"/>
              </w:rPr>
            </w:pPr>
            <w:r w:rsidRPr="00122959">
              <w:rPr>
                <w:rFonts w:cs="Times New Roman"/>
                <w:color w:val="000000"/>
                <w:sz w:val="20"/>
                <w:szCs w:val="20"/>
              </w:rPr>
              <w:t>--</w:t>
            </w:r>
          </w:p>
        </w:tc>
        <w:tc>
          <w:tcPr>
            <w:tcW w:w="931" w:type="dxa"/>
            <w:tcBorders>
              <w:top w:val="nil"/>
              <w:left w:val="nil"/>
              <w:bottom w:val="single" w:sz="4" w:space="0" w:color="auto"/>
              <w:right w:val="single" w:sz="4" w:space="0" w:color="auto"/>
            </w:tcBorders>
            <w:shd w:val="clear" w:color="auto" w:fill="auto"/>
            <w:noWrap/>
            <w:vAlign w:val="center"/>
            <w:hideMark/>
          </w:tcPr>
          <w:p w14:paraId="213161F9" w14:textId="77777777" w:rsidR="00E7034E" w:rsidRPr="00D72CE4" w:rsidRDefault="00E7034E" w:rsidP="00D34B75">
            <w:pPr>
              <w:jc w:val="center"/>
              <w:rPr>
                <w:rFonts w:cs="Times New Roman"/>
                <w:color w:val="000000"/>
                <w:sz w:val="20"/>
                <w:szCs w:val="20"/>
              </w:rPr>
            </w:pPr>
            <w:r w:rsidRPr="00122959">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hideMark/>
          </w:tcPr>
          <w:p w14:paraId="7E883F35" w14:textId="77777777" w:rsidR="00E7034E" w:rsidRPr="00D72CE4" w:rsidRDefault="00E7034E" w:rsidP="00D34B75">
            <w:pPr>
              <w:jc w:val="center"/>
              <w:rPr>
                <w:rFonts w:cs="Times New Roman"/>
                <w:color w:val="000000"/>
                <w:sz w:val="20"/>
                <w:szCs w:val="20"/>
              </w:rPr>
            </w:pPr>
            <w:r w:rsidRPr="00FA7C43">
              <w:rPr>
                <w:rFonts w:cs="Times New Roman"/>
                <w:color w:val="000000"/>
                <w:sz w:val="20"/>
                <w:szCs w:val="20"/>
              </w:rPr>
              <w:t>0.067</w:t>
            </w:r>
          </w:p>
        </w:tc>
        <w:tc>
          <w:tcPr>
            <w:tcW w:w="884" w:type="dxa"/>
            <w:tcBorders>
              <w:top w:val="nil"/>
              <w:left w:val="nil"/>
              <w:bottom w:val="single" w:sz="4" w:space="0" w:color="auto"/>
              <w:right w:val="double" w:sz="4" w:space="0" w:color="auto"/>
            </w:tcBorders>
            <w:shd w:val="clear" w:color="auto" w:fill="auto"/>
            <w:noWrap/>
            <w:vAlign w:val="center"/>
            <w:hideMark/>
          </w:tcPr>
          <w:p w14:paraId="4BEDC578" w14:textId="77777777" w:rsidR="00E7034E" w:rsidRPr="00D72CE4" w:rsidRDefault="00E7034E" w:rsidP="00D34B75">
            <w:pPr>
              <w:jc w:val="center"/>
              <w:rPr>
                <w:rFonts w:cs="Times New Roman"/>
                <w:color w:val="000000"/>
                <w:sz w:val="20"/>
                <w:szCs w:val="20"/>
              </w:rPr>
            </w:pPr>
            <w:r w:rsidRPr="00FA7C43">
              <w:rPr>
                <w:rFonts w:cs="Times New Roman"/>
                <w:color w:val="000000"/>
                <w:sz w:val="20"/>
                <w:szCs w:val="20"/>
              </w:rPr>
              <w:t>3.996</w:t>
            </w:r>
          </w:p>
        </w:tc>
      </w:tr>
      <w:tr w:rsidR="00E7034E" w:rsidRPr="00E75453" w14:paraId="64EF7D8E" w14:textId="77777777" w:rsidTr="00D34B75">
        <w:trPr>
          <w:trHeight w:val="300"/>
        </w:trPr>
        <w:tc>
          <w:tcPr>
            <w:tcW w:w="1965" w:type="dxa"/>
            <w:tcBorders>
              <w:top w:val="nil"/>
              <w:left w:val="double" w:sz="4" w:space="0" w:color="auto"/>
              <w:bottom w:val="single" w:sz="4" w:space="0" w:color="auto"/>
              <w:right w:val="single" w:sz="4" w:space="0" w:color="auto"/>
            </w:tcBorders>
            <w:shd w:val="clear" w:color="auto" w:fill="auto"/>
            <w:noWrap/>
            <w:vAlign w:val="center"/>
            <w:hideMark/>
          </w:tcPr>
          <w:p w14:paraId="2EB5E37A" w14:textId="77777777" w:rsidR="00E7034E" w:rsidRPr="00E75453" w:rsidRDefault="00E7034E" w:rsidP="00D34B75">
            <w:pPr>
              <w:ind w:left="150"/>
              <w:rPr>
                <w:rFonts w:eastAsia="Times New Roman" w:cs="Times New Roman"/>
                <w:color w:val="000000"/>
                <w:sz w:val="20"/>
                <w:szCs w:val="20"/>
              </w:rPr>
            </w:pPr>
            <w:r>
              <w:rPr>
                <w:rFonts w:eastAsia="Times New Roman" w:cs="Times New Roman"/>
                <w:color w:val="000000"/>
                <w:sz w:val="20"/>
                <w:szCs w:val="20"/>
              </w:rPr>
              <w:t>Transit user (1)</w:t>
            </w:r>
          </w:p>
        </w:tc>
        <w:tc>
          <w:tcPr>
            <w:tcW w:w="916" w:type="dxa"/>
            <w:tcBorders>
              <w:top w:val="nil"/>
              <w:left w:val="nil"/>
              <w:bottom w:val="single" w:sz="4" w:space="0" w:color="auto"/>
              <w:right w:val="single" w:sz="4" w:space="0" w:color="auto"/>
            </w:tcBorders>
            <w:shd w:val="clear" w:color="auto" w:fill="auto"/>
            <w:noWrap/>
            <w:vAlign w:val="center"/>
            <w:hideMark/>
          </w:tcPr>
          <w:p w14:paraId="12E48B60" w14:textId="77777777" w:rsidR="00E7034E" w:rsidRPr="00D72CE4" w:rsidRDefault="00E7034E" w:rsidP="00D34B75">
            <w:pPr>
              <w:jc w:val="center"/>
              <w:rPr>
                <w:rFonts w:cs="Times New Roman"/>
                <w:color w:val="000000"/>
                <w:sz w:val="20"/>
                <w:szCs w:val="20"/>
              </w:rPr>
            </w:pPr>
            <w:r w:rsidRPr="00FA7C43">
              <w:rPr>
                <w:rFonts w:cs="Times New Roman"/>
                <w:color w:val="000000"/>
                <w:sz w:val="20"/>
                <w:szCs w:val="20"/>
              </w:rPr>
              <w:t>0.222</w:t>
            </w:r>
          </w:p>
        </w:tc>
        <w:tc>
          <w:tcPr>
            <w:tcW w:w="879" w:type="dxa"/>
            <w:tcBorders>
              <w:top w:val="nil"/>
              <w:left w:val="nil"/>
              <w:bottom w:val="single" w:sz="4" w:space="0" w:color="auto"/>
              <w:right w:val="single" w:sz="4" w:space="0" w:color="auto"/>
            </w:tcBorders>
            <w:shd w:val="clear" w:color="auto" w:fill="auto"/>
            <w:noWrap/>
            <w:vAlign w:val="center"/>
            <w:hideMark/>
          </w:tcPr>
          <w:p w14:paraId="64C3A35C" w14:textId="77777777" w:rsidR="00E7034E" w:rsidRPr="00D72CE4" w:rsidRDefault="00E7034E" w:rsidP="00D34B75">
            <w:pPr>
              <w:jc w:val="center"/>
              <w:rPr>
                <w:rFonts w:cs="Times New Roman"/>
                <w:color w:val="000000"/>
                <w:sz w:val="20"/>
                <w:szCs w:val="20"/>
              </w:rPr>
            </w:pPr>
            <w:r w:rsidRPr="00FA7C43">
              <w:rPr>
                <w:rFonts w:cs="Times New Roman"/>
                <w:color w:val="000000"/>
                <w:sz w:val="20"/>
                <w:szCs w:val="20"/>
              </w:rPr>
              <w:t>14.898</w:t>
            </w:r>
          </w:p>
        </w:tc>
        <w:tc>
          <w:tcPr>
            <w:tcW w:w="916" w:type="dxa"/>
            <w:gridSpan w:val="2"/>
            <w:tcBorders>
              <w:top w:val="nil"/>
              <w:left w:val="nil"/>
              <w:bottom w:val="single" w:sz="4" w:space="0" w:color="auto"/>
              <w:right w:val="single" w:sz="4" w:space="0" w:color="auto"/>
            </w:tcBorders>
            <w:shd w:val="clear" w:color="auto" w:fill="auto"/>
            <w:noWrap/>
            <w:vAlign w:val="center"/>
            <w:hideMark/>
          </w:tcPr>
          <w:p w14:paraId="405EF72F" w14:textId="77777777" w:rsidR="00E7034E" w:rsidRPr="00D72CE4" w:rsidRDefault="00E7034E" w:rsidP="00D34B75">
            <w:pPr>
              <w:jc w:val="center"/>
              <w:rPr>
                <w:rFonts w:cs="Times New Roman"/>
                <w:color w:val="000000"/>
                <w:sz w:val="20"/>
                <w:szCs w:val="20"/>
              </w:rPr>
            </w:pPr>
            <w:r w:rsidRPr="0097227C">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163D9C18" w14:textId="77777777" w:rsidR="00E7034E" w:rsidRPr="00D72CE4" w:rsidRDefault="00E7034E" w:rsidP="00D34B75">
            <w:pPr>
              <w:jc w:val="center"/>
              <w:rPr>
                <w:rFonts w:cs="Times New Roman"/>
                <w:color w:val="000000"/>
                <w:sz w:val="20"/>
                <w:szCs w:val="20"/>
              </w:rPr>
            </w:pPr>
            <w:r w:rsidRPr="0097227C">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hideMark/>
          </w:tcPr>
          <w:p w14:paraId="549A0C46" w14:textId="77777777" w:rsidR="00E7034E" w:rsidRPr="00D72CE4" w:rsidRDefault="00E7034E" w:rsidP="00D34B75">
            <w:pPr>
              <w:jc w:val="center"/>
              <w:rPr>
                <w:rFonts w:cs="Times New Roman"/>
                <w:color w:val="000000"/>
                <w:sz w:val="20"/>
                <w:szCs w:val="20"/>
              </w:rPr>
            </w:pPr>
            <w:r w:rsidRPr="0097227C">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34D5C52D" w14:textId="77777777" w:rsidR="00E7034E" w:rsidRPr="00D72CE4" w:rsidRDefault="00E7034E" w:rsidP="00D34B75">
            <w:pPr>
              <w:jc w:val="center"/>
              <w:rPr>
                <w:rFonts w:cs="Times New Roman"/>
                <w:color w:val="000000"/>
                <w:sz w:val="20"/>
                <w:szCs w:val="20"/>
              </w:rPr>
            </w:pPr>
            <w:r w:rsidRPr="0097227C">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hideMark/>
          </w:tcPr>
          <w:p w14:paraId="07FA30D5" w14:textId="77777777" w:rsidR="00E7034E" w:rsidRPr="00D72CE4" w:rsidRDefault="00E7034E" w:rsidP="00D34B75">
            <w:pPr>
              <w:jc w:val="center"/>
              <w:rPr>
                <w:rFonts w:cs="Times New Roman"/>
                <w:color w:val="000000"/>
                <w:sz w:val="20"/>
                <w:szCs w:val="20"/>
              </w:rPr>
            </w:pPr>
            <w:r w:rsidRPr="0097227C">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24301AEC" w14:textId="77777777" w:rsidR="00E7034E" w:rsidRPr="00D72CE4" w:rsidRDefault="00E7034E" w:rsidP="00D34B75">
            <w:pPr>
              <w:jc w:val="center"/>
              <w:rPr>
                <w:rFonts w:cs="Times New Roman"/>
                <w:color w:val="000000"/>
                <w:sz w:val="20"/>
                <w:szCs w:val="20"/>
              </w:rPr>
            </w:pPr>
            <w:r w:rsidRPr="0097227C">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hideMark/>
          </w:tcPr>
          <w:p w14:paraId="64858468" w14:textId="77777777" w:rsidR="00E7034E" w:rsidRPr="00D72CE4" w:rsidRDefault="00E7034E" w:rsidP="00D34B75">
            <w:pPr>
              <w:jc w:val="center"/>
              <w:rPr>
                <w:rFonts w:cs="Times New Roman"/>
                <w:color w:val="000000"/>
                <w:sz w:val="20"/>
                <w:szCs w:val="20"/>
              </w:rPr>
            </w:pPr>
            <w:r w:rsidRPr="0097227C">
              <w:rPr>
                <w:rFonts w:cs="Times New Roman"/>
                <w:color w:val="000000"/>
                <w:sz w:val="20"/>
                <w:szCs w:val="20"/>
              </w:rPr>
              <w:t>--</w:t>
            </w:r>
          </w:p>
        </w:tc>
        <w:tc>
          <w:tcPr>
            <w:tcW w:w="931" w:type="dxa"/>
            <w:tcBorders>
              <w:top w:val="nil"/>
              <w:left w:val="nil"/>
              <w:bottom w:val="single" w:sz="4" w:space="0" w:color="auto"/>
              <w:right w:val="single" w:sz="4" w:space="0" w:color="auto"/>
            </w:tcBorders>
            <w:shd w:val="clear" w:color="auto" w:fill="auto"/>
            <w:noWrap/>
            <w:vAlign w:val="center"/>
            <w:hideMark/>
          </w:tcPr>
          <w:p w14:paraId="71357E38" w14:textId="77777777" w:rsidR="00E7034E" w:rsidRPr="00D72CE4" w:rsidRDefault="00E7034E" w:rsidP="00D34B75">
            <w:pPr>
              <w:jc w:val="center"/>
              <w:rPr>
                <w:rFonts w:cs="Times New Roman"/>
                <w:color w:val="000000"/>
                <w:sz w:val="20"/>
                <w:szCs w:val="20"/>
              </w:rPr>
            </w:pPr>
            <w:r w:rsidRPr="0097227C">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hideMark/>
          </w:tcPr>
          <w:p w14:paraId="2C380E86" w14:textId="77777777" w:rsidR="00E7034E" w:rsidRPr="00D72CE4" w:rsidRDefault="00E7034E" w:rsidP="00D34B75">
            <w:pPr>
              <w:jc w:val="center"/>
              <w:rPr>
                <w:rFonts w:cs="Times New Roman"/>
                <w:color w:val="000000"/>
                <w:sz w:val="20"/>
                <w:szCs w:val="20"/>
              </w:rPr>
            </w:pPr>
            <w:r w:rsidRPr="00FA7C43">
              <w:rPr>
                <w:rFonts w:cs="Times New Roman"/>
                <w:color w:val="000000"/>
                <w:sz w:val="20"/>
                <w:szCs w:val="20"/>
              </w:rPr>
              <w:t>0.222</w:t>
            </w:r>
          </w:p>
        </w:tc>
        <w:tc>
          <w:tcPr>
            <w:tcW w:w="884" w:type="dxa"/>
            <w:tcBorders>
              <w:top w:val="nil"/>
              <w:left w:val="nil"/>
              <w:bottom w:val="single" w:sz="4" w:space="0" w:color="auto"/>
              <w:right w:val="double" w:sz="4" w:space="0" w:color="auto"/>
            </w:tcBorders>
            <w:shd w:val="clear" w:color="auto" w:fill="auto"/>
            <w:noWrap/>
            <w:vAlign w:val="center"/>
            <w:hideMark/>
          </w:tcPr>
          <w:p w14:paraId="7D91FEF8" w14:textId="77777777" w:rsidR="00E7034E" w:rsidRPr="00D72CE4" w:rsidRDefault="00E7034E" w:rsidP="00D34B75">
            <w:pPr>
              <w:jc w:val="center"/>
              <w:rPr>
                <w:rFonts w:cs="Times New Roman"/>
                <w:color w:val="000000"/>
                <w:sz w:val="20"/>
                <w:szCs w:val="20"/>
              </w:rPr>
            </w:pPr>
            <w:r w:rsidRPr="00FA7C43">
              <w:rPr>
                <w:rFonts w:cs="Times New Roman"/>
                <w:color w:val="000000"/>
                <w:sz w:val="20"/>
                <w:szCs w:val="20"/>
              </w:rPr>
              <w:t>14.898</w:t>
            </w:r>
          </w:p>
        </w:tc>
      </w:tr>
      <w:tr w:rsidR="00E7034E" w:rsidRPr="00E75453" w14:paraId="2E5A8638" w14:textId="77777777" w:rsidTr="00D34B75">
        <w:trPr>
          <w:trHeight w:val="300"/>
        </w:trPr>
        <w:tc>
          <w:tcPr>
            <w:tcW w:w="1965" w:type="dxa"/>
            <w:tcBorders>
              <w:top w:val="single" w:sz="4" w:space="0" w:color="auto"/>
              <w:left w:val="double" w:sz="4" w:space="0" w:color="auto"/>
              <w:bottom w:val="double" w:sz="4" w:space="0" w:color="auto"/>
              <w:right w:val="single" w:sz="4" w:space="0" w:color="auto"/>
            </w:tcBorders>
            <w:shd w:val="clear" w:color="auto" w:fill="auto"/>
            <w:noWrap/>
            <w:vAlign w:val="center"/>
            <w:hideMark/>
          </w:tcPr>
          <w:p w14:paraId="52B0AE64" w14:textId="77777777" w:rsidR="00E7034E" w:rsidRPr="00BC49D9" w:rsidRDefault="00E7034E" w:rsidP="00D34B75">
            <w:pPr>
              <w:rPr>
                <w:rFonts w:eastAsia="Times New Roman" w:cs="Times New Roman"/>
                <w:b/>
                <w:color w:val="000000"/>
                <w:sz w:val="20"/>
                <w:szCs w:val="20"/>
              </w:rPr>
            </w:pPr>
            <w:r w:rsidRPr="00BC49D9">
              <w:rPr>
                <w:rFonts w:eastAsia="Times New Roman" w:cs="Times New Roman"/>
                <w:b/>
                <w:color w:val="000000"/>
                <w:sz w:val="20"/>
                <w:szCs w:val="20"/>
              </w:rPr>
              <w:t>Over dispersion</w:t>
            </w:r>
            <w:r>
              <w:rPr>
                <w:rFonts w:eastAsia="Times New Roman" w:cs="Times New Roman"/>
                <w:b/>
                <w:color w:val="000000"/>
                <w:sz w:val="20"/>
                <w:szCs w:val="20"/>
              </w:rPr>
              <w:t xml:space="preserve"> </w:t>
            </w:r>
            <w:r w:rsidRPr="00C71057">
              <w:rPr>
                <w:rFonts w:eastAsia="Times New Roman" w:cs="Times New Roman"/>
                <w:bCs/>
                <w:color w:val="000000"/>
                <w:sz w:val="20"/>
                <w:szCs w:val="20"/>
              </w:rPr>
              <w:t>(6)</w:t>
            </w:r>
          </w:p>
        </w:tc>
        <w:tc>
          <w:tcPr>
            <w:tcW w:w="916" w:type="dxa"/>
            <w:tcBorders>
              <w:top w:val="single" w:sz="4" w:space="0" w:color="auto"/>
              <w:left w:val="nil"/>
              <w:bottom w:val="double" w:sz="4" w:space="0" w:color="auto"/>
              <w:right w:val="single" w:sz="4" w:space="0" w:color="auto"/>
            </w:tcBorders>
            <w:shd w:val="clear" w:color="auto" w:fill="auto"/>
            <w:noWrap/>
            <w:vAlign w:val="center"/>
            <w:hideMark/>
          </w:tcPr>
          <w:p w14:paraId="5F1F0B31" w14:textId="77777777" w:rsidR="00E7034E" w:rsidRPr="00D72CE4" w:rsidRDefault="00E7034E" w:rsidP="00D34B75">
            <w:pPr>
              <w:jc w:val="center"/>
              <w:rPr>
                <w:rFonts w:cs="Times New Roman"/>
                <w:color w:val="000000"/>
                <w:sz w:val="20"/>
                <w:szCs w:val="20"/>
              </w:rPr>
            </w:pPr>
            <w:r w:rsidRPr="00FA7C43">
              <w:rPr>
                <w:rFonts w:cs="Times New Roman"/>
                <w:color w:val="000000"/>
                <w:sz w:val="20"/>
                <w:szCs w:val="20"/>
              </w:rPr>
              <w:t>0.992</w:t>
            </w:r>
          </w:p>
        </w:tc>
        <w:tc>
          <w:tcPr>
            <w:tcW w:w="879" w:type="dxa"/>
            <w:tcBorders>
              <w:top w:val="single" w:sz="4" w:space="0" w:color="auto"/>
              <w:left w:val="nil"/>
              <w:bottom w:val="double" w:sz="4" w:space="0" w:color="auto"/>
              <w:right w:val="single" w:sz="4" w:space="0" w:color="auto"/>
            </w:tcBorders>
            <w:shd w:val="clear" w:color="auto" w:fill="auto"/>
            <w:noWrap/>
            <w:vAlign w:val="center"/>
            <w:hideMark/>
          </w:tcPr>
          <w:p w14:paraId="44FD40F9" w14:textId="77777777" w:rsidR="00E7034E" w:rsidRPr="00D72CE4" w:rsidRDefault="00E7034E" w:rsidP="00D34B75">
            <w:pPr>
              <w:jc w:val="center"/>
              <w:rPr>
                <w:rFonts w:cs="Times New Roman"/>
                <w:color w:val="000000"/>
                <w:sz w:val="20"/>
                <w:szCs w:val="20"/>
              </w:rPr>
            </w:pPr>
            <w:r w:rsidRPr="00FA7C43">
              <w:rPr>
                <w:rFonts w:cs="Times New Roman"/>
                <w:color w:val="000000"/>
                <w:sz w:val="20"/>
                <w:szCs w:val="20"/>
              </w:rPr>
              <w:t>30.183</w:t>
            </w:r>
          </w:p>
        </w:tc>
        <w:tc>
          <w:tcPr>
            <w:tcW w:w="916" w:type="dxa"/>
            <w:gridSpan w:val="2"/>
            <w:tcBorders>
              <w:top w:val="single" w:sz="4" w:space="0" w:color="auto"/>
              <w:left w:val="nil"/>
              <w:bottom w:val="double" w:sz="4" w:space="0" w:color="auto"/>
              <w:right w:val="single" w:sz="4" w:space="0" w:color="auto"/>
            </w:tcBorders>
            <w:shd w:val="clear" w:color="auto" w:fill="auto"/>
            <w:noWrap/>
            <w:vAlign w:val="center"/>
            <w:hideMark/>
          </w:tcPr>
          <w:p w14:paraId="42B2790F" w14:textId="77777777" w:rsidR="00E7034E" w:rsidRPr="00D72CE4" w:rsidRDefault="00E7034E" w:rsidP="00D34B75">
            <w:pPr>
              <w:jc w:val="center"/>
              <w:rPr>
                <w:rFonts w:cs="Times New Roman"/>
                <w:color w:val="000000"/>
                <w:sz w:val="20"/>
                <w:szCs w:val="20"/>
              </w:rPr>
            </w:pPr>
            <w:r w:rsidRPr="00FA7C43">
              <w:rPr>
                <w:rFonts w:cs="Times New Roman"/>
                <w:color w:val="000000"/>
                <w:sz w:val="20"/>
                <w:szCs w:val="20"/>
              </w:rPr>
              <w:t>1.176</w:t>
            </w:r>
          </w:p>
        </w:tc>
        <w:tc>
          <w:tcPr>
            <w:tcW w:w="900" w:type="dxa"/>
            <w:tcBorders>
              <w:top w:val="single" w:sz="4" w:space="0" w:color="auto"/>
              <w:left w:val="nil"/>
              <w:bottom w:val="double" w:sz="4" w:space="0" w:color="auto"/>
              <w:right w:val="single" w:sz="4" w:space="0" w:color="auto"/>
            </w:tcBorders>
            <w:shd w:val="clear" w:color="auto" w:fill="auto"/>
            <w:noWrap/>
            <w:vAlign w:val="center"/>
            <w:hideMark/>
          </w:tcPr>
          <w:p w14:paraId="53DAFDCE" w14:textId="77777777" w:rsidR="00E7034E" w:rsidRPr="00D72CE4" w:rsidRDefault="00E7034E" w:rsidP="00D34B75">
            <w:pPr>
              <w:jc w:val="center"/>
              <w:rPr>
                <w:rFonts w:cs="Times New Roman"/>
                <w:color w:val="000000"/>
                <w:sz w:val="20"/>
                <w:szCs w:val="20"/>
              </w:rPr>
            </w:pPr>
            <w:r w:rsidRPr="00FA7C43">
              <w:rPr>
                <w:rFonts w:cs="Times New Roman"/>
                <w:color w:val="000000"/>
                <w:sz w:val="20"/>
                <w:szCs w:val="20"/>
              </w:rPr>
              <w:t>25.054</w:t>
            </w:r>
          </w:p>
        </w:tc>
        <w:tc>
          <w:tcPr>
            <w:tcW w:w="916" w:type="dxa"/>
            <w:tcBorders>
              <w:top w:val="single" w:sz="4" w:space="0" w:color="auto"/>
              <w:left w:val="nil"/>
              <w:bottom w:val="double" w:sz="4" w:space="0" w:color="auto"/>
              <w:right w:val="single" w:sz="4" w:space="0" w:color="auto"/>
            </w:tcBorders>
            <w:shd w:val="clear" w:color="auto" w:fill="auto"/>
            <w:noWrap/>
            <w:vAlign w:val="center"/>
            <w:hideMark/>
          </w:tcPr>
          <w:p w14:paraId="13479B02" w14:textId="77777777" w:rsidR="00E7034E" w:rsidRPr="00D72CE4" w:rsidRDefault="00E7034E" w:rsidP="00D34B75">
            <w:pPr>
              <w:jc w:val="center"/>
              <w:rPr>
                <w:rFonts w:cs="Times New Roman"/>
                <w:color w:val="000000"/>
                <w:sz w:val="20"/>
                <w:szCs w:val="20"/>
              </w:rPr>
            </w:pPr>
            <w:r w:rsidRPr="00FA7C43">
              <w:rPr>
                <w:rFonts w:cs="Times New Roman"/>
                <w:color w:val="000000"/>
                <w:sz w:val="20"/>
                <w:szCs w:val="20"/>
              </w:rPr>
              <w:t>1.024</w:t>
            </w:r>
          </w:p>
        </w:tc>
        <w:tc>
          <w:tcPr>
            <w:tcW w:w="900" w:type="dxa"/>
            <w:tcBorders>
              <w:top w:val="single" w:sz="4" w:space="0" w:color="auto"/>
              <w:left w:val="nil"/>
              <w:bottom w:val="double" w:sz="4" w:space="0" w:color="auto"/>
              <w:right w:val="single" w:sz="4" w:space="0" w:color="auto"/>
            </w:tcBorders>
            <w:shd w:val="clear" w:color="auto" w:fill="auto"/>
            <w:noWrap/>
            <w:vAlign w:val="center"/>
            <w:hideMark/>
          </w:tcPr>
          <w:p w14:paraId="3D126708" w14:textId="77777777" w:rsidR="00E7034E" w:rsidRPr="00D72CE4" w:rsidRDefault="00E7034E" w:rsidP="00D34B75">
            <w:pPr>
              <w:jc w:val="center"/>
              <w:rPr>
                <w:rFonts w:cs="Times New Roman"/>
                <w:color w:val="000000"/>
                <w:sz w:val="20"/>
                <w:szCs w:val="20"/>
              </w:rPr>
            </w:pPr>
            <w:r w:rsidRPr="00FA7C43">
              <w:rPr>
                <w:rFonts w:cs="Times New Roman"/>
                <w:color w:val="000000"/>
                <w:sz w:val="20"/>
                <w:szCs w:val="20"/>
              </w:rPr>
              <w:t>21.268</w:t>
            </w:r>
          </w:p>
        </w:tc>
        <w:tc>
          <w:tcPr>
            <w:tcW w:w="916" w:type="dxa"/>
            <w:tcBorders>
              <w:top w:val="single" w:sz="4" w:space="0" w:color="auto"/>
              <w:left w:val="nil"/>
              <w:bottom w:val="double" w:sz="4" w:space="0" w:color="auto"/>
              <w:right w:val="single" w:sz="4" w:space="0" w:color="auto"/>
            </w:tcBorders>
            <w:shd w:val="clear" w:color="auto" w:fill="auto"/>
            <w:noWrap/>
            <w:vAlign w:val="center"/>
            <w:hideMark/>
          </w:tcPr>
          <w:p w14:paraId="06076671" w14:textId="77777777" w:rsidR="00E7034E" w:rsidRPr="00D72CE4" w:rsidRDefault="00E7034E" w:rsidP="00D34B75">
            <w:pPr>
              <w:jc w:val="center"/>
              <w:rPr>
                <w:rFonts w:cs="Times New Roman"/>
                <w:color w:val="000000"/>
                <w:sz w:val="20"/>
                <w:szCs w:val="20"/>
              </w:rPr>
            </w:pPr>
            <w:r w:rsidRPr="00FA7C43">
              <w:rPr>
                <w:rFonts w:cs="Times New Roman"/>
                <w:color w:val="000000"/>
                <w:sz w:val="20"/>
                <w:szCs w:val="20"/>
              </w:rPr>
              <w:t>1.995</w:t>
            </w:r>
          </w:p>
        </w:tc>
        <w:tc>
          <w:tcPr>
            <w:tcW w:w="900" w:type="dxa"/>
            <w:tcBorders>
              <w:top w:val="single" w:sz="4" w:space="0" w:color="auto"/>
              <w:left w:val="nil"/>
              <w:bottom w:val="double" w:sz="4" w:space="0" w:color="auto"/>
              <w:right w:val="single" w:sz="4" w:space="0" w:color="auto"/>
            </w:tcBorders>
            <w:shd w:val="clear" w:color="auto" w:fill="auto"/>
            <w:noWrap/>
            <w:vAlign w:val="center"/>
            <w:hideMark/>
          </w:tcPr>
          <w:p w14:paraId="64F1A9EE" w14:textId="77777777" w:rsidR="00E7034E" w:rsidRPr="00D72CE4" w:rsidRDefault="00E7034E" w:rsidP="00D34B75">
            <w:pPr>
              <w:jc w:val="center"/>
              <w:rPr>
                <w:rFonts w:cs="Times New Roman"/>
                <w:color w:val="000000"/>
                <w:sz w:val="20"/>
                <w:szCs w:val="20"/>
              </w:rPr>
            </w:pPr>
            <w:r w:rsidRPr="00FA7C43">
              <w:rPr>
                <w:rFonts w:cs="Times New Roman"/>
                <w:color w:val="000000"/>
                <w:sz w:val="20"/>
                <w:szCs w:val="20"/>
              </w:rPr>
              <w:t>8.123</w:t>
            </w:r>
          </w:p>
        </w:tc>
        <w:tc>
          <w:tcPr>
            <w:tcW w:w="916" w:type="dxa"/>
            <w:tcBorders>
              <w:top w:val="single" w:sz="4" w:space="0" w:color="auto"/>
              <w:left w:val="nil"/>
              <w:bottom w:val="double" w:sz="4" w:space="0" w:color="auto"/>
              <w:right w:val="single" w:sz="4" w:space="0" w:color="auto"/>
            </w:tcBorders>
            <w:shd w:val="clear" w:color="auto" w:fill="auto"/>
            <w:noWrap/>
            <w:vAlign w:val="center"/>
            <w:hideMark/>
          </w:tcPr>
          <w:p w14:paraId="26110819" w14:textId="77777777" w:rsidR="00E7034E" w:rsidRPr="00D72CE4" w:rsidRDefault="00E7034E" w:rsidP="00D34B75">
            <w:pPr>
              <w:jc w:val="center"/>
              <w:rPr>
                <w:rFonts w:cs="Times New Roman"/>
                <w:color w:val="000000"/>
                <w:sz w:val="20"/>
                <w:szCs w:val="20"/>
              </w:rPr>
            </w:pPr>
            <w:r w:rsidRPr="00FA7C43">
              <w:rPr>
                <w:rFonts w:cs="Times New Roman"/>
                <w:color w:val="000000"/>
                <w:sz w:val="20"/>
                <w:szCs w:val="20"/>
              </w:rPr>
              <w:t>0.713</w:t>
            </w:r>
          </w:p>
        </w:tc>
        <w:tc>
          <w:tcPr>
            <w:tcW w:w="931" w:type="dxa"/>
            <w:tcBorders>
              <w:top w:val="single" w:sz="4" w:space="0" w:color="auto"/>
              <w:left w:val="nil"/>
              <w:bottom w:val="double" w:sz="4" w:space="0" w:color="auto"/>
              <w:right w:val="single" w:sz="4" w:space="0" w:color="auto"/>
            </w:tcBorders>
            <w:shd w:val="clear" w:color="auto" w:fill="auto"/>
            <w:noWrap/>
            <w:vAlign w:val="center"/>
            <w:hideMark/>
          </w:tcPr>
          <w:p w14:paraId="76706B7D" w14:textId="77777777" w:rsidR="00E7034E" w:rsidRPr="00D72CE4" w:rsidRDefault="00E7034E" w:rsidP="00D34B75">
            <w:pPr>
              <w:jc w:val="center"/>
              <w:rPr>
                <w:rFonts w:cs="Times New Roman"/>
                <w:color w:val="000000"/>
                <w:sz w:val="20"/>
                <w:szCs w:val="20"/>
              </w:rPr>
            </w:pPr>
            <w:r w:rsidRPr="00FA7C43">
              <w:rPr>
                <w:rFonts w:cs="Times New Roman"/>
                <w:color w:val="000000"/>
                <w:sz w:val="20"/>
                <w:szCs w:val="20"/>
              </w:rPr>
              <w:t>19.272</w:t>
            </w:r>
          </w:p>
        </w:tc>
        <w:tc>
          <w:tcPr>
            <w:tcW w:w="916" w:type="dxa"/>
            <w:gridSpan w:val="2"/>
            <w:tcBorders>
              <w:top w:val="single" w:sz="4" w:space="0" w:color="auto"/>
              <w:left w:val="nil"/>
              <w:bottom w:val="double" w:sz="4" w:space="0" w:color="auto"/>
              <w:right w:val="single" w:sz="4" w:space="0" w:color="auto"/>
            </w:tcBorders>
            <w:shd w:val="clear" w:color="auto" w:fill="auto"/>
            <w:noWrap/>
            <w:vAlign w:val="center"/>
            <w:hideMark/>
          </w:tcPr>
          <w:p w14:paraId="51D89465" w14:textId="77777777" w:rsidR="00E7034E" w:rsidRPr="00D72CE4" w:rsidRDefault="00E7034E" w:rsidP="00D34B75">
            <w:pPr>
              <w:jc w:val="center"/>
              <w:rPr>
                <w:rFonts w:cs="Times New Roman"/>
                <w:color w:val="000000"/>
                <w:sz w:val="20"/>
                <w:szCs w:val="20"/>
              </w:rPr>
            </w:pPr>
            <w:r w:rsidRPr="00FA7C43">
              <w:rPr>
                <w:rFonts w:cs="Times New Roman"/>
                <w:color w:val="000000"/>
                <w:sz w:val="20"/>
                <w:szCs w:val="20"/>
              </w:rPr>
              <w:t>0.455</w:t>
            </w:r>
          </w:p>
        </w:tc>
        <w:tc>
          <w:tcPr>
            <w:tcW w:w="884" w:type="dxa"/>
            <w:tcBorders>
              <w:top w:val="single" w:sz="4" w:space="0" w:color="auto"/>
              <w:left w:val="nil"/>
              <w:bottom w:val="double" w:sz="4" w:space="0" w:color="auto"/>
              <w:right w:val="double" w:sz="4" w:space="0" w:color="auto"/>
            </w:tcBorders>
            <w:shd w:val="clear" w:color="auto" w:fill="auto"/>
            <w:noWrap/>
            <w:vAlign w:val="center"/>
            <w:hideMark/>
          </w:tcPr>
          <w:p w14:paraId="7CC1B570" w14:textId="77777777" w:rsidR="00E7034E" w:rsidRPr="00D72CE4" w:rsidRDefault="00E7034E" w:rsidP="00D34B75">
            <w:pPr>
              <w:jc w:val="center"/>
              <w:rPr>
                <w:rFonts w:cs="Times New Roman"/>
                <w:color w:val="000000"/>
                <w:sz w:val="20"/>
                <w:szCs w:val="20"/>
              </w:rPr>
            </w:pPr>
            <w:r w:rsidRPr="00FA7C43">
              <w:rPr>
                <w:rFonts w:cs="Times New Roman"/>
                <w:color w:val="000000"/>
                <w:sz w:val="20"/>
                <w:szCs w:val="20"/>
              </w:rPr>
              <w:t>8.840</w:t>
            </w:r>
          </w:p>
        </w:tc>
      </w:tr>
      <w:tr w:rsidR="00E7034E" w:rsidRPr="00E75453" w14:paraId="0B8986E7" w14:textId="77777777" w:rsidTr="00D34B75">
        <w:trPr>
          <w:trHeight w:val="300"/>
        </w:trPr>
        <w:tc>
          <w:tcPr>
            <w:tcW w:w="1965" w:type="dxa"/>
            <w:tcBorders>
              <w:top w:val="single" w:sz="4" w:space="0" w:color="auto"/>
              <w:left w:val="double" w:sz="4" w:space="0" w:color="auto"/>
              <w:bottom w:val="double" w:sz="4" w:space="0" w:color="auto"/>
              <w:right w:val="single" w:sz="4" w:space="0" w:color="auto"/>
            </w:tcBorders>
            <w:shd w:val="clear" w:color="auto" w:fill="auto"/>
            <w:noWrap/>
            <w:vAlign w:val="center"/>
          </w:tcPr>
          <w:p w14:paraId="61DBE7FC" w14:textId="77777777" w:rsidR="00E7034E" w:rsidRPr="00EC79A3" w:rsidRDefault="00E7034E" w:rsidP="00D34B75">
            <w:pPr>
              <w:rPr>
                <w:rFonts w:eastAsia="Times New Roman" w:cs="Times New Roman"/>
                <w:b/>
                <w:color w:val="000000"/>
                <w:sz w:val="20"/>
                <w:szCs w:val="20"/>
                <w:vertAlign w:val="superscript"/>
              </w:rPr>
            </w:pPr>
            <w:r>
              <w:rPr>
                <w:rFonts w:eastAsia="Times New Roman" w:cs="Times New Roman"/>
                <w:b/>
                <w:color w:val="000000"/>
                <w:sz w:val="20"/>
                <w:szCs w:val="20"/>
              </w:rPr>
              <w:t>Log-Likelihood (np)</w:t>
            </w:r>
          </w:p>
        </w:tc>
        <w:tc>
          <w:tcPr>
            <w:tcW w:w="10890" w:type="dxa"/>
            <w:gridSpan w:val="14"/>
            <w:tcBorders>
              <w:top w:val="single" w:sz="4" w:space="0" w:color="auto"/>
              <w:left w:val="nil"/>
              <w:bottom w:val="double" w:sz="4" w:space="0" w:color="auto"/>
              <w:right w:val="double" w:sz="4" w:space="0" w:color="auto"/>
            </w:tcBorders>
            <w:shd w:val="clear" w:color="auto" w:fill="auto"/>
            <w:noWrap/>
            <w:vAlign w:val="center"/>
          </w:tcPr>
          <w:p w14:paraId="4C5F9FFD" w14:textId="77777777" w:rsidR="00E7034E" w:rsidRPr="00D72CE4" w:rsidRDefault="00E7034E" w:rsidP="00D34B75">
            <w:pPr>
              <w:jc w:val="center"/>
              <w:rPr>
                <w:rFonts w:cs="Times New Roman"/>
                <w:color w:val="000000"/>
                <w:sz w:val="20"/>
                <w:szCs w:val="20"/>
              </w:rPr>
            </w:pPr>
            <w:r>
              <w:rPr>
                <w:rFonts w:cs="Times New Roman"/>
                <w:color w:val="000000"/>
                <w:sz w:val="20"/>
                <w:szCs w:val="20"/>
              </w:rPr>
              <w:t>-39954.27 (53)</w:t>
            </w:r>
          </w:p>
        </w:tc>
      </w:tr>
    </w:tbl>
    <w:p w14:paraId="4A2CD948" w14:textId="77777777" w:rsidR="00DB6F41" w:rsidRPr="00F56EC8" w:rsidRDefault="00DB6F41" w:rsidP="00DB6F41">
      <w:pPr>
        <w:rPr>
          <w:sz w:val="20"/>
          <w:szCs w:val="18"/>
          <w:lang w:val="en-US"/>
        </w:rPr>
      </w:pPr>
      <w:r w:rsidRPr="00EC79A3">
        <w:rPr>
          <w:sz w:val="20"/>
          <w:szCs w:val="20"/>
        </w:rPr>
        <w:t>*np=</w:t>
      </w:r>
      <w:r w:rsidRPr="00F56EC8">
        <w:rPr>
          <w:szCs w:val="24"/>
        </w:rPr>
        <w:t xml:space="preserve"> </w:t>
      </w:r>
      <w:r w:rsidRPr="00F56EC8">
        <w:rPr>
          <w:sz w:val="20"/>
          <w:szCs w:val="18"/>
          <w:lang w:val="en-US"/>
        </w:rPr>
        <w:t>number of parameters estimated for each variable from a possible set of six</w:t>
      </w:r>
      <w:r>
        <w:rPr>
          <w:sz w:val="20"/>
          <w:szCs w:val="18"/>
          <w:lang w:val="en-US"/>
        </w:rPr>
        <w:t xml:space="preserve"> (six crash types)</w:t>
      </w:r>
    </w:p>
    <w:p w14:paraId="1317ED69" w14:textId="77777777" w:rsidR="00E7034E" w:rsidRDefault="00E7034E" w:rsidP="00E7034E">
      <w:pPr>
        <w:rPr>
          <w:b/>
        </w:rPr>
      </w:pPr>
    </w:p>
    <w:p w14:paraId="6D0B0F73" w14:textId="5D4B116A" w:rsidR="00E7034E" w:rsidRDefault="00E7034E" w:rsidP="00E7034E">
      <w:pPr>
        <w:rPr>
          <w:b/>
        </w:rPr>
      </w:pPr>
    </w:p>
    <w:p w14:paraId="23E7F749" w14:textId="0D086E5A" w:rsidR="00E7034E" w:rsidRDefault="00E7034E" w:rsidP="00E7034E">
      <w:pPr>
        <w:rPr>
          <w:b/>
        </w:rPr>
      </w:pPr>
    </w:p>
    <w:p w14:paraId="177E3C5A" w14:textId="4B5D217E" w:rsidR="00E7034E" w:rsidRDefault="00E7034E" w:rsidP="00E7034E">
      <w:pPr>
        <w:rPr>
          <w:b/>
        </w:rPr>
      </w:pPr>
    </w:p>
    <w:p w14:paraId="4EDABA2F" w14:textId="596086E8" w:rsidR="00E7034E" w:rsidRDefault="00E7034E" w:rsidP="00E7034E">
      <w:pPr>
        <w:rPr>
          <w:b/>
        </w:rPr>
      </w:pPr>
    </w:p>
    <w:p w14:paraId="67245290" w14:textId="16EC50F0" w:rsidR="00E7034E" w:rsidRDefault="00E7034E" w:rsidP="00E7034E">
      <w:pPr>
        <w:rPr>
          <w:b/>
        </w:rPr>
      </w:pPr>
    </w:p>
    <w:p w14:paraId="02E9D20B" w14:textId="231A0FBB" w:rsidR="00E7034E" w:rsidRDefault="00E7034E" w:rsidP="00E7034E">
      <w:pPr>
        <w:rPr>
          <w:b/>
        </w:rPr>
      </w:pPr>
    </w:p>
    <w:p w14:paraId="39DA4C54" w14:textId="6B5468B4" w:rsidR="00E7034E" w:rsidRDefault="00E7034E" w:rsidP="00E7034E">
      <w:pPr>
        <w:rPr>
          <w:b/>
        </w:rPr>
      </w:pPr>
    </w:p>
    <w:p w14:paraId="2041A6EC" w14:textId="49BDC12B" w:rsidR="00E7034E" w:rsidRDefault="00E7034E" w:rsidP="00E7034E">
      <w:pPr>
        <w:rPr>
          <w:b/>
        </w:rPr>
      </w:pPr>
    </w:p>
    <w:p w14:paraId="0FA85B5A" w14:textId="716BF30E" w:rsidR="00E7034E" w:rsidRDefault="00E7034E" w:rsidP="00E7034E">
      <w:pPr>
        <w:rPr>
          <w:b/>
        </w:rPr>
      </w:pPr>
    </w:p>
    <w:p w14:paraId="5558601A" w14:textId="77777777" w:rsidR="00E7034E" w:rsidRPr="00EC79A3" w:rsidRDefault="00E7034E" w:rsidP="00E7034E">
      <w:pPr>
        <w:rPr>
          <w:b/>
        </w:rPr>
      </w:pPr>
    </w:p>
    <w:p w14:paraId="5C5CB02D" w14:textId="77777777" w:rsidR="00E7034E" w:rsidRDefault="00E7034E" w:rsidP="00E7034E">
      <w:pPr>
        <w:jc w:val="center"/>
        <w:rPr>
          <w:b/>
        </w:rPr>
      </w:pPr>
    </w:p>
    <w:p w14:paraId="6ADFA2DC" w14:textId="77777777" w:rsidR="00E7034E" w:rsidRDefault="00E7034E" w:rsidP="00E7034E">
      <w:pPr>
        <w:jc w:val="center"/>
        <w:rPr>
          <w:b/>
        </w:rPr>
      </w:pPr>
    </w:p>
    <w:p w14:paraId="2077BD12" w14:textId="77777777" w:rsidR="00E7034E" w:rsidRDefault="00E7034E" w:rsidP="00E7034E">
      <w:pPr>
        <w:jc w:val="center"/>
        <w:rPr>
          <w:b/>
        </w:rPr>
      </w:pPr>
    </w:p>
    <w:p w14:paraId="2C9D2BCA" w14:textId="77777777" w:rsidR="00E7034E" w:rsidRDefault="00E7034E" w:rsidP="00E7034E">
      <w:pPr>
        <w:jc w:val="center"/>
        <w:rPr>
          <w:b/>
        </w:rPr>
      </w:pPr>
    </w:p>
    <w:p w14:paraId="24A5AC77" w14:textId="77777777" w:rsidR="00E7034E" w:rsidRDefault="00E7034E" w:rsidP="00E7034E">
      <w:pPr>
        <w:jc w:val="center"/>
        <w:rPr>
          <w:b/>
        </w:rPr>
      </w:pPr>
    </w:p>
    <w:p w14:paraId="02D62108" w14:textId="77777777" w:rsidR="00E7034E" w:rsidRDefault="00E7034E" w:rsidP="00E7034E">
      <w:pPr>
        <w:jc w:val="center"/>
        <w:rPr>
          <w:b/>
        </w:rPr>
      </w:pPr>
    </w:p>
    <w:p w14:paraId="6BBDF48A" w14:textId="77777777" w:rsidR="00E7034E" w:rsidRDefault="00E7034E" w:rsidP="00E7034E">
      <w:pPr>
        <w:jc w:val="center"/>
        <w:rPr>
          <w:b/>
        </w:rPr>
      </w:pPr>
    </w:p>
    <w:p w14:paraId="715B3AA8" w14:textId="77777777" w:rsidR="00E7034E" w:rsidRDefault="00E7034E" w:rsidP="00E7034E">
      <w:pPr>
        <w:jc w:val="center"/>
        <w:rPr>
          <w:b/>
        </w:rPr>
      </w:pPr>
    </w:p>
    <w:p w14:paraId="53E63EC8" w14:textId="77777777" w:rsidR="00E7034E" w:rsidRDefault="00E7034E" w:rsidP="00E7034E">
      <w:pPr>
        <w:jc w:val="center"/>
        <w:rPr>
          <w:b/>
        </w:rPr>
      </w:pPr>
    </w:p>
    <w:p w14:paraId="43037352" w14:textId="77777777" w:rsidR="00E7034E" w:rsidRDefault="00E7034E" w:rsidP="00E7034E">
      <w:pPr>
        <w:jc w:val="center"/>
        <w:rPr>
          <w:b/>
        </w:rPr>
      </w:pPr>
    </w:p>
    <w:p w14:paraId="766BE382" w14:textId="77777777" w:rsidR="00E7034E" w:rsidRDefault="00E7034E" w:rsidP="00E7034E">
      <w:pPr>
        <w:jc w:val="center"/>
        <w:rPr>
          <w:b/>
        </w:rPr>
      </w:pPr>
    </w:p>
    <w:p w14:paraId="2403E073" w14:textId="77777777" w:rsidR="00E7034E" w:rsidRDefault="00E7034E" w:rsidP="00E7034E">
      <w:pPr>
        <w:jc w:val="center"/>
        <w:rPr>
          <w:b/>
        </w:rPr>
      </w:pPr>
    </w:p>
    <w:p w14:paraId="43C656BF" w14:textId="552F2BDC" w:rsidR="00E7034E" w:rsidRDefault="00E7034E" w:rsidP="00E7034E">
      <w:pPr>
        <w:jc w:val="center"/>
        <w:rPr>
          <w:b/>
        </w:rPr>
      </w:pPr>
    </w:p>
    <w:p w14:paraId="0DB26E71" w14:textId="11439E86" w:rsidR="007D1099" w:rsidRDefault="007D1099" w:rsidP="00E7034E">
      <w:pPr>
        <w:jc w:val="center"/>
        <w:rPr>
          <w:b/>
        </w:rPr>
      </w:pPr>
    </w:p>
    <w:p w14:paraId="76924AA9" w14:textId="147D5611" w:rsidR="00E7034E" w:rsidRPr="00CC0AC2" w:rsidRDefault="00244F8F" w:rsidP="00244F8F">
      <w:pPr>
        <w:jc w:val="center"/>
        <w:rPr>
          <w:b/>
        </w:rPr>
      </w:pPr>
      <w:r>
        <w:rPr>
          <w:b/>
        </w:rPr>
        <w:lastRenderedPageBreak/>
        <w:t>TABLE</w:t>
      </w:r>
      <w:r w:rsidR="00E7034E">
        <w:rPr>
          <w:b/>
        </w:rPr>
        <w:t xml:space="preserve"> </w:t>
      </w:r>
      <w:r w:rsidR="00767050">
        <w:rPr>
          <w:b/>
        </w:rPr>
        <w:t>A.2</w:t>
      </w:r>
      <w:r w:rsidR="00E7034E">
        <w:rPr>
          <w:b/>
        </w:rPr>
        <w:t xml:space="preserve"> Independent Panel GOPFS (Generalized Ordered </w:t>
      </w:r>
      <w:proofErr w:type="spellStart"/>
      <w:r w:rsidR="00E7034E">
        <w:rPr>
          <w:b/>
        </w:rPr>
        <w:t>Probit</w:t>
      </w:r>
      <w:proofErr w:type="spellEnd"/>
      <w:r w:rsidR="00E7034E">
        <w:rPr>
          <w:b/>
        </w:rPr>
        <w:t xml:space="preserve"> Fractional Split Model) Model Results</w:t>
      </w:r>
    </w:p>
    <w:tbl>
      <w:tblPr>
        <w:tblW w:w="12855" w:type="dxa"/>
        <w:tblLook w:val="04A0" w:firstRow="1" w:lastRow="0" w:firstColumn="1" w:lastColumn="0" w:noHBand="0" w:noVBand="1"/>
      </w:tblPr>
      <w:tblGrid>
        <w:gridCol w:w="1965"/>
        <w:gridCol w:w="916"/>
        <w:gridCol w:w="879"/>
        <w:gridCol w:w="17"/>
        <w:gridCol w:w="899"/>
        <w:gridCol w:w="900"/>
        <w:gridCol w:w="916"/>
        <w:gridCol w:w="900"/>
        <w:gridCol w:w="916"/>
        <w:gridCol w:w="900"/>
        <w:gridCol w:w="916"/>
        <w:gridCol w:w="931"/>
        <w:gridCol w:w="7"/>
        <w:gridCol w:w="909"/>
        <w:gridCol w:w="884"/>
      </w:tblGrid>
      <w:tr w:rsidR="00E7034E" w:rsidRPr="00350D02" w14:paraId="1D454B0E" w14:textId="77777777" w:rsidTr="00D34B75">
        <w:trPr>
          <w:trHeight w:val="300"/>
        </w:trPr>
        <w:tc>
          <w:tcPr>
            <w:tcW w:w="1965" w:type="dxa"/>
            <w:vMerge w:val="restart"/>
            <w:tcBorders>
              <w:top w:val="double" w:sz="4" w:space="0" w:color="auto"/>
              <w:left w:val="double" w:sz="4" w:space="0" w:color="auto"/>
              <w:right w:val="single" w:sz="4" w:space="0" w:color="auto"/>
            </w:tcBorders>
            <w:shd w:val="clear" w:color="auto" w:fill="auto"/>
            <w:noWrap/>
            <w:vAlign w:val="center"/>
            <w:hideMark/>
          </w:tcPr>
          <w:p w14:paraId="654732D3" w14:textId="62F2133E" w:rsidR="00E7034E" w:rsidRPr="00350D02" w:rsidRDefault="00E7034E" w:rsidP="00D34B75">
            <w:pPr>
              <w:jc w:val="center"/>
              <w:rPr>
                <w:rFonts w:eastAsia="Times New Roman" w:cs="Times New Roman"/>
                <w:color w:val="000000"/>
                <w:sz w:val="20"/>
                <w:szCs w:val="20"/>
              </w:rPr>
            </w:pPr>
            <w:r w:rsidRPr="00350D02">
              <w:rPr>
                <w:rFonts w:eastAsia="Times New Roman" w:cs="Times New Roman"/>
                <w:b/>
                <w:color w:val="000000"/>
                <w:sz w:val="20"/>
                <w:szCs w:val="20"/>
              </w:rPr>
              <w:t>Variables</w:t>
            </w:r>
            <w:r w:rsidR="00093FED">
              <w:rPr>
                <w:rFonts w:eastAsia="Times New Roman" w:cs="Times New Roman"/>
                <w:b/>
                <w:color w:val="000000"/>
                <w:sz w:val="20"/>
                <w:szCs w:val="20"/>
              </w:rPr>
              <w:t xml:space="preserve"> (np)</w:t>
            </w:r>
          </w:p>
        </w:tc>
        <w:tc>
          <w:tcPr>
            <w:tcW w:w="1812" w:type="dxa"/>
            <w:gridSpan w:val="3"/>
            <w:tcBorders>
              <w:top w:val="double" w:sz="4" w:space="0" w:color="auto"/>
              <w:left w:val="nil"/>
              <w:bottom w:val="single" w:sz="4" w:space="0" w:color="auto"/>
              <w:right w:val="single" w:sz="4" w:space="0" w:color="auto"/>
            </w:tcBorders>
            <w:shd w:val="clear" w:color="auto" w:fill="auto"/>
            <w:noWrap/>
            <w:vAlign w:val="center"/>
            <w:hideMark/>
          </w:tcPr>
          <w:p w14:paraId="7775A530" w14:textId="77777777" w:rsidR="00E7034E" w:rsidRPr="00350D02" w:rsidRDefault="00E7034E" w:rsidP="00D34B75">
            <w:pPr>
              <w:jc w:val="center"/>
              <w:rPr>
                <w:rFonts w:eastAsia="Times New Roman" w:cs="Times New Roman"/>
                <w:b/>
                <w:color w:val="000000"/>
                <w:sz w:val="20"/>
                <w:szCs w:val="20"/>
              </w:rPr>
            </w:pPr>
            <w:r w:rsidRPr="00350D02">
              <w:rPr>
                <w:rFonts w:eastAsia="Times New Roman" w:cs="Times New Roman"/>
                <w:b/>
                <w:color w:val="000000"/>
                <w:sz w:val="20"/>
                <w:szCs w:val="20"/>
              </w:rPr>
              <w:t>Rear End</w:t>
            </w:r>
          </w:p>
        </w:tc>
        <w:tc>
          <w:tcPr>
            <w:tcW w:w="1799" w:type="dxa"/>
            <w:gridSpan w:val="2"/>
            <w:tcBorders>
              <w:top w:val="double" w:sz="4" w:space="0" w:color="auto"/>
              <w:left w:val="nil"/>
              <w:bottom w:val="single" w:sz="4" w:space="0" w:color="auto"/>
              <w:right w:val="single" w:sz="4" w:space="0" w:color="auto"/>
            </w:tcBorders>
            <w:shd w:val="clear" w:color="auto" w:fill="auto"/>
            <w:noWrap/>
            <w:vAlign w:val="center"/>
            <w:hideMark/>
          </w:tcPr>
          <w:p w14:paraId="774F08C9" w14:textId="77777777" w:rsidR="00E7034E" w:rsidRPr="00350D02" w:rsidRDefault="00E7034E" w:rsidP="00D34B75">
            <w:pPr>
              <w:jc w:val="center"/>
              <w:rPr>
                <w:rFonts w:eastAsia="Times New Roman" w:cs="Times New Roman"/>
                <w:b/>
                <w:color w:val="000000"/>
                <w:sz w:val="20"/>
                <w:szCs w:val="20"/>
              </w:rPr>
            </w:pPr>
            <w:r w:rsidRPr="00350D02">
              <w:rPr>
                <w:rFonts w:eastAsia="Times New Roman" w:cs="Times New Roman"/>
                <w:b/>
                <w:color w:val="000000"/>
                <w:sz w:val="20"/>
                <w:szCs w:val="20"/>
              </w:rPr>
              <w:t>Angular</w:t>
            </w:r>
          </w:p>
        </w:tc>
        <w:tc>
          <w:tcPr>
            <w:tcW w:w="1816" w:type="dxa"/>
            <w:gridSpan w:val="2"/>
            <w:tcBorders>
              <w:top w:val="double" w:sz="4" w:space="0" w:color="auto"/>
              <w:left w:val="nil"/>
              <w:bottom w:val="single" w:sz="4" w:space="0" w:color="auto"/>
              <w:right w:val="single" w:sz="4" w:space="0" w:color="auto"/>
            </w:tcBorders>
            <w:shd w:val="clear" w:color="auto" w:fill="auto"/>
            <w:noWrap/>
            <w:vAlign w:val="center"/>
            <w:hideMark/>
          </w:tcPr>
          <w:p w14:paraId="2E110C05" w14:textId="77777777" w:rsidR="00E7034E" w:rsidRPr="00350D02" w:rsidRDefault="00E7034E" w:rsidP="00D34B75">
            <w:pPr>
              <w:jc w:val="center"/>
              <w:rPr>
                <w:rFonts w:eastAsia="Times New Roman" w:cs="Times New Roman"/>
                <w:b/>
                <w:color w:val="000000"/>
                <w:sz w:val="20"/>
                <w:szCs w:val="20"/>
              </w:rPr>
            </w:pPr>
            <w:r w:rsidRPr="00350D02">
              <w:rPr>
                <w:rFonts w:eastAsia="Times New Roman" w:cs="Times New Roman"/>
                <w:b/>
                <w:color w:val="000000"/>
                <w:sz w:val="20"/>
                <w:szCs w:val="20"/>
              </w:rPr>
              <w:t>Sideswipe</w:t>
            </w:r>
          </w:p>
        </w:tc>
        <w:tc>
          <w:tcPr>
            <w:tcW w:w="1816" w:type="dxa"/>
            <w:gridSpan w:val="2"/>
            <w:tcBorders>
              <w:top w:val="double" w:sz="4" w:space="0" w:color="auto"/>
              <w:left w:val="nil"/>
              <w:bottom w:val="single" w:sz="4" w:space="0" w:color="auto"/>
              <w:right w:val="single" w:sz="4" w:space="0" w:color="auto"/>
            </w:tcBorders>
            <w:shd w:val="clear" w:color="auto" w:fill="auto"/>
            <w:noWrap/>
            <w:vAlign w:val="center"/>
            <w:hideMark/>
          </w:tcPr>
          <w:p w14:paraId="5F06DF2D" w14:textId="77777777" w:rsidR="00E7034E" w:rsidRPr="00350D02" w:rsidRDefault="00E7034E" w:rsidP="00D34B75">
            <w:pPr>
              <w:jc w:val="center"/>
              <w:rPr>
                <w:rFonts w:eastAsia="Times New Roman" w:cs="Times New Roman"/>
                <w:b/>
                <w:color w:val="000000"/>
                <w:sz w:val="20"/>
                <w:szCs w:val="20"/>
              </w:rPr>
            </w:pPr>
            <w:r w:rsidRPr="00350D02">
              <w:rPr>
                <w:rFonts w:eastAsia="Times New Roman" w:cs="Times New Roman"/>
                <w:b/>
                <w:color w:val="000000"/>
                <w:sz w:val="20"/>
                <w:szCs w:val="20"/>
              </w:rPr>
              <w:t>Head-on</w:t>
            </w:r>
          </w:p>
        </w:tc>
        <w:tc>
          <w:tcPr>
            <w:tcW w:w="1854" w:type="dxa"/>
            <w:gridSpan w:val="3"/>
            <w:tcBorders>
              <w:top w:val="double" w:sz="4" w:space="0" w:color="auto"/>
              <w:left w:val="nil"/>
              <w:bottom w:val="single" w:sz="4" w:space="0" w:color="auto"/>
              <w:right w:val="single" w:sz="4" w:space="0" w:color="auto"/>
            </w:tcBorders>
            <w:shd w:val="clear" w:color="auto" w:fill="auto"/>
            <w:noWrap/>
            <w:vAlign w:val="center"/>
            <w:hideMark/>
          </w:tcPr>
          <w:p w14:paraId="25ACA681" w14:textId="77777777" w:rsidR="00E7034E" w:rsidRPr="00350D02" w:rsidRDefault="00E7034E" w:rsidP="00D34B75">
            <w:pPr>
              <w:jc w:val="center"/>
              <w:rPr>
                <w:rFonts w:eastAsia="Times New Roman" w:cs="Times New Roman"/>
                <w:b/>
                <w:color w:val="000000"/>
                <w:sz w:val="20"/>
                <w:szCs w:val="20"/>
              </w:rPr>
            </w:pPr>
            <w:r w:rsidRPr="00350D02">
              <w:rPr>
                <w:rFonts w:eastAsia="Times New Roman" w:cs="Times New Roman"/>
                <w:b/>
                <w:color w:val="000000"/>
                <w:sz w:val="20"/>
              </w:rPr>
              <w:t>Single vehicle</w:t>
            </w:r>
          </w:p>
        </w:tc>
        <w:tc>
          <w:tcPr>
            <w:tcW w:w="1793" w:type="dxa"/>
            <w:gridSpan w:val="2"/>
            <w:tcBorders>
              <w:top w:val="double" w:sz="4" w:space="0" w:color="auto"/>
              <w:left w:val="nil"/>
              <w:bottom w:val="single" w:sz="4" w:space="0" w:color="auto"/>
              <w:right w:val="double" w:sz="4" w:space="0" w:color="auto"/>
            </w:tcBorders>
            <w:shd w:val="clear" w:color="auto" w:fill="auto"/>
            <w:noWrap/>
            <w:vAlign w:val="center"/>
            <w:hideMark/>
          </w:tcPr>
          <w:p w14:paraId="6B7C5E94" w14:textId="77777777" w:rsidR="00E7034E" w:rsidRPr="00350D02" w:rsidRDefault="00E7034E" w:rsidP="00D34B75">
            <w:pPr>
              <w:jc w:val="center"/>
              <w:rPr>
                <w:rFonts w:eastAsia="Times New Roman" w:cs="Times New Roman"/>
                <w:b/>
                <w:color w:val="000000"/>
                <w:sz w:val="20"/>
                <w:szCs w:val="20"/>
              </w:rPr>
            </w:pPr>
            <w:r w:rsidRPr="00350D02">
              <w:rPr>
                <w:rFonts w:eastAsia="Times New Roman" w:cs="Times New Roman"/>
                <w:b/>
                <w:color w:val="000000"/>
                <w:sz w:val="20"/>
                <w:szCs w:val="20"/>
              </w:rPr>
              <w:t>Non-motorized</w:t>
            </w:r>
          </w:p>
        </w:tc>
      </w:tr>
      <w:tr w:rsidR="00E7034E" w:rsidRPr="00350D02" w14:paraId="58845E55" w14:textId="77777777" w:rsidTr="00D34B75">
        <w:trPr>
          <w:trHeight w:val="300"/>
        </w:trPr>
        <w:tc>
          <w:tcPr>
            <w:tcW w:w="1965" w:type="dxa"/>
            <w:vMerge/>
            <w:tcBorders>
              <w:left w:val="double" w:sz="4" w:space="0" w:color="auto"/>
              <w:bottom w:val="double" w:sz="4" w:space="0" w:color="auto"/>
              <w:right w:val="single" w:sz="4" w:space="0" w:color="auto"/>
            </w:tcBorders>
            <w:shd w:val="clear" w:color="auto" w:fill="auto"/>
            <w:noWrap/>
            <w:vAlign w:val="center"/>
          </w:tcPr>
          <w:p w14:paraId="065D1229" w14:textId="77777777" w:rsidR="00E7034E" w:rsidRPr="00350D02" w:rsidRDefault="00E7034E" w:rsidP="00D34B75">
            <w:pPr>
              <w:rPr>
                <w:rFonts w:eastAsia="Times New Roman" w:cs="Times New Roman"/>
                <w:color w:val="000000"/>
                <w:sz w:val="20"/>
                <w:szCs w:val="20"/>
              </w:rPr>
            </w:pPr>
          </w:p>
        </w:tc>
        <w:tc>
          <w:tcPr>
            <w:tcW w:w="916" w:type="dxa"/>
            <w:tcBorders>
              <w:top w:val="nil"/>
              <w:left w:val="nil"/>
              <w:bottom w:val="double" w:sz="4" w:space="0" w:color="auto"/>
              <w:right w:val="single" w:sz="4" w:space="0" w:color="auto"/>
            </w:tcBorders>
            <w:shd w:val="clear" w:color="auto" w:fill="auto"/>
            <w:noWrap/>
            <w:vAlign w:val="center"/>
          </w:tcPr>
          <w:p w14:paraId="3B8E599B" w14:textId="77777777" w:rsidR="00E7034E" w:rsidRPr="00350D02" w:rsidRDefault="00E7034E" w:rsidP="00D34B75">
            <w:pPr>
              <w:jc w:val="center"/>
              <w:rPr>
                <w:rFonts w:eastAsia="Times New Roman" w:cs="Times New Roman"/>
                <w:color w:val="000000"/>
                <w:sz w:val="20"/>
                <w:szCs w:val="20"/>
              </w:rPr>
            </w:pPr>
            <w:r w:rsidRPr="00350D02">
              <w:rPr>
                <w:rFonts w:eastAsia="Times New Roman" w:cs="Times New Roman"/>
                <w:color w:val="000000"/>
                <w:sz w:val="20"/>
                <w:szCs w:val="20"/>
              </w:rPr>
              <w:t>Estimate</w:t>
            </w:r>
          </w:p>
        </w:tc>
        <w:tc>
          <w:tcPr>
            <w:tcW w:w="879" w:type="dxa"/>
            <w:tcBorders>
              <w:top w:val="nil"/>
              <w:left w:val="nil"/>
              <w:bottom w:val="double" w:sz="4" w:space="0" w:color="auto"/>
              <w:right w:val="single" w:sz="4" w:space="0" w:color="auto"/>
            </w:tcBorders>
            <w:shd w:val="clear" w:color="auto" w:fill="auto"/>
            <w:noWrap/>
            <w:vAlign w:val="center"/>
          </w:tcPr>
          <w:p w14:paraId="5F105750" w14:textId="77777777" w:rsidR="00E7034E" w:rsidRPr="00350D02" w:rsidRDefault="00E7034E" w:rsidP="00D34B75">
            <w:pPr>
              <w:jc w:val="center"/>
              <w:rPr>
                <w:rFonts w:eastAsia="Times New Roman" w:cs="Times New Roman"/>
                <w:color w:val="000000"/>
                <w:sz w:val="20"/>
                <w:szCs w:val="20"/>
              </w:rPr>
            </w:pPr>
            <w:r w:rsidRPr="00350D02">
              <w:rPr>
                <w:rFonts w:eastAsia="Times New Roman" w:cs="Times New Roman"/>
                <w:color w:val="000000"/>
                <w:sz w:val="20"/>
                <w:szCs w:val="20"/>
              </w:rPr>
              <w:t>t-stat</w:t>
            </w:r>
          </w:p>
        </w:tc>
        <w:tc>
          <w:tcPr>
            <w:tcW w:w="916" w:type="dxa"/>
            <w:gridSpan w:val="2"/>
            <w:tcBorders>
              <w:top w:val="nil"/>
              <w:left w:val="nil"/>
              <w:bottom w:val="double" w:sz="4" w:space="0" w:color="auto"/>
              <w:right w:val="single" w:sz="4" w:space="0" w:color="auto"/>
            </w:tcBorders>
            <w:shd w:val="clear" w:color="auto" w:fill="auto"/>
            <w:noWrap/>
            <w:vAlign w:val="center"/>
          </w:tcPr>
          <w:p w14:paraId="10F28742" w14:textId="77777777" w:rsidR="00E7034E" w:rsidRPr="00350D02" w:rsidRDefault="00E7034E" w:rsidP="00D34B75">
            <w:pPr>
              <w:jc w:val="center"/>
              <w:rPr>
                <w:rFonts w:eastAsia="Times New Roman" w:cs="Times New Roman"/>
                <w:color w:val="000000"/>
                <w:sz w:val="20"/>
                <w:szCs w:val="20"/>
              </w:rPr>
            </w:pPr>
            <w:r w:rsidRPr="00350D02">
              <w:rPr>
                <w:rFonts w:eastAsia="Times New Roman" w:cs="Times New Roman"/>
                <w:color w:val="000000"/>
                <w:sz w:val="20"/>
                <w:szCs w:val="20"/>
              </w:rPr>
              <w:t>Estimate</w:t>
            </w:r>
          </w:p>
        </w:tc>
        <w:tc>
          <w:tcPr>
            <w:tcW w:w="900" w:type="dxa"/>
            <w:tcBorders>
              <w:top w:val="nil"/>
              <w:left w:val="nil"/>
              <w:bottom w:val="double" w:sz="4" w:space="0" w:color="auto"/>
              <w:right w:val="single" w:sz="4" w:space="0" w:color="auto"/>
            </w:tcBorders>
            <w:shd w:val="clear" w:color="auto" w:fill="auto"/>
            <w:noWrap/>
            <w:vAlign w:val="center"/>
          </w:tcPr>
          <w:p w14:paraId="433BB7BB" w14:textId="77777777" w:rsidR="00E7034E" w:rsidRPr="00350D02" w:rsidRDefault="00E7034E" w:rsidP="00D34B75">
            <w:pPr>
              <w:jc w:val="center"/>
              <w:rPr>
                <w:rFonts w:eastAsia="Times New Roman" w:cs="Times New Roman"/>
                <w:color w:val="000000"/>
                <w:sz w:val="20"/>
                <w:szCs w:val="20"/>
              </w:rPr>
            </w:pPr>
            <w:r w:rsidRPr="00350D02">
              <w:rPr>
                <w:rFonts w:eastAsia="Times New Roman" w:cs="Times New Roman"/>
                <w:color w:val="000000"/>
                <w:sz w:val="20"/>
                <w:szCs w:val="20"/>
              </w:rPr>
              <w:t>t-stat</w:t>
            </w:r>
          </w:p>
        </w:tc>
        <w:tc>
          <w:tcPr>
            <w:tcW w:w="916" w:type="dxa"/>
            <w:tcBorders>
              <w:top w:val="nil"/>
              <w:left w:val="nil"/>
              <w:bottom w:val="double" w:sz="4" w:space="0" w:color="auto"/>
              <w:right w:val="single" w:sz="4" w:space="0" w:color="auto"/>
            </w:tcBorders>
            <w:shd w:val="clear" w:color="auto" w:fill="auto"/>
            <w:noWrap/>
            <w:vAlign w:val="center"/>
          </w:tcPr>
          <w:p w14:paraId="65046915" w14:textId="77777777" w:rsidR="00E7034E" w:rsidRPr="00350D02" w:rsidRDefault="00E7034E" w:rsidP="00D34B75">
            <w:pPr>
              <w:jc w:val="center"/>
              <w:rPr>
                <w:rFonts w:eastAsia="Times New Roman" w:cs="Times New Roman"/>
                <w:color w:val="000000"/>
                <w:sz w:val="20"/>
                <w:szCs w:val="20"/>
              </w:rPr>
            </w:pPr>
            <w:r w:rsidRPr="00350D02">
              <w:rPr>
                <w:rFonts w:eastAsia="Times New Roman" w:cs="Times New Roman"/>
                <w:color w:val="000000"/>
                <w:sz w:val="20"/>
                <w:szCs w:val="20"/>
              </w:rPr>
              <w:t>Estimate</w:t>
            </w:r>
          </w:p>
        </w:tc>
        <w:tc>
          <w:tcPr>
            <w:tcW w:w="900" w:type="dxa"/>
            <w:tcBorders>
              <w:top w:val="nil"/>
              <w:left w:val="nil"/>
              <w:bottom w:val="double" w:sz="4" w:space="0" w:color="auto"/>
              <w:right w:val="single" w:sz="4" w:space="0" w:color="auto"/>
            </w:tcBorders>
            <w:shd w:val="clear" w:color="auto" w:fill="auto"/>
            <w:noWrap/>
            <w:vAlign w:val="center"/>
          </w:tcPr>
          <w:p w14:paraId="754036E6" w14:textId="77777777" w:rsidR="00E7034E" w:rsidRPr="00350D02" w:rsidRDefault="00E7034E" w:rsidP="00D34B75">
            <w:pPr>
              <w:jc w:val="center"/>
              <w:rPr>
                <w:rFonts w:eastAsia="Times New Roman" w:cs="Times New Roman"/>
                <w:color w:val="000000"/>
                <w:sz w:val="20"/>
                <w:szCs w:val="20"/>
              </w:rPr>
            </w:pPr>
            <w:r w:rsidRPr="00350D02">
              <w:rPr>
                <w:rFonts w:eastAsia="Times New Roman" w:cs="Times New Roman"/>
                <w:color w:val="000000"/>
                <w:sz w:val="20"/>
                <w:szCs w:val="20"/>
              </w:rPr>
              <w:t>t-stat</w:t>
            </w:r>
          </w:p>
        </w:tc>
        <w:tc>
          <w:tcPr>
            <w:tcW w:w="916" w:type="dxa"/>
            <w:tcBorders>
              <w:top w:val="nil"/>
              <w:left w:val="nil"/>
              <w:bottom w:val="double" w:sz="4" w:space="0" w:color="auto"/>
              <w:right w:val="single" w:sz="4" w:space="0" w:color="auto"/>
            </w:tcBorders>
            <w:shd w:val="clear" w:color="auto" w:fill="auto"/>
            <w:noWrap/>
            <w:vAlign w:val="center"/>
          </w:tcPr>
          <w:p w14:paraId="3B870174" w14:textId="77777777" w:rsidR="00E7034E" w:rsidRPr="00350D02" w:rsidRDefault="00E7034E" w:rsidP="00D34B75">
            <w:pPr>
              <w:jc w:val="center"/>
              <w:rPr>
                <w:rFonts w:eastAsia="Times New Roman" w:cs="Times New Roman"/>
                <w:color w:val="000000"/>
                <w:sz w:val="20"/>
                <w:szCs w:val="20"/>
              </w:rPr>
            </w:pPr>
            <w:r w:rsidRPr="00350D02">
              <w:rPr>
                <w:rFonts w:eastAsia="Times New Roman" w:cs="Times New Roman"/>
                <w:color w:val="000000"/>
                <w:sz w:val="20"/>
                <w:szCs w:val="20"/>
              </w:rPr>
              <w:t>Estimate</w:t>
            </w:r>
          </w:p>
        </w:tc>
        <w:tc>
          <w:tcPr>
            <w:tcW w:w="900" w:type="dxa"/>
            <w:tcBorders>
              <w:top w:val="nil"/>
              <w:left w:val="nil"/>
              <w:bottom w:val="double" w:sz="4" w:space="0" w:color="auto"/>
              <w:right w:val="single" w:sz="4" w:space="0" w:color="auto"/>
            </w:tcBorders>
            <w:shd w:val="clear" w:color="auto" w:fill="auto"/>
            <w:noWrap/>
            <w:vAlign w:val="center"/>
          </w:tcPr>
          <w:p w14:paraId="454F8832" w14:textId="77777777" w:rsidR="00E7034E" w:rsidRPr="00350D02" w:rsidRDefault="00E7034E" w:rsidP="00D34B75">
            <w:pPr>
              <w:jc w:val="center"/>
              <w:rPr>
                <w:rFonts w:eastAsia="Times New Roman" w:cs="Times New Roman"/>
                <w:color w:val="000000"/>
                <w:sz w:val="20"/>
                <w:szCs w:val="20"/>
              </w:rPr>
            </w:pPr>
            <w:r w:rsidRPr="00350D02">
              <w:rPr>
                <w:rFonts w:eastAsia="Times New Roman" w:cs="Times New Roman"/>
                <w:color w:val="000000"/>
                <w:sz w:val="20"/>
                <w:szCs w:val="20"/>
              </w:rPr>
              <w:t>t-stat</w:t>
            </w:r>
          </w:p>
        </w:tc>
        <w:tc>
          <w:tcPr>
            <w:tcW w:w="916" w:type="dxa"/>
            <w:tcBorders>
              <w:top w:val="nil"/>
              <w:left w:val="nil"/>
              <w:bottom w:val="double" w:sz="4" w:space="0" w:color="auto"/>
              <w:right w:val="single" w:sz="4" w:space="0" w:color="auto"/>
            </w:tcBorders>
            <w:shd w:val="clear" w:color="auto" w:fill="auto"/>
            <w:noWrap/>
            <w:vAlign w:val="center"/>
          </w:tcPr>
          <w:p w14:paraId="1728C3D4" w14:textId="77777777" w:rsidR="00E7034E" w:rsidRPr="00350D02" w:rsidRDefault="00E7034E" w:rsidP="00D34B75">
            <w:pPr>
              <w:jc w:val="center"/>
              <w:rPr>
                <w:rFonts w:eastAsia="Times New Roman" w:cs="Times New Roman"/>
                <w:color w:val="000000"/>
                <w:sz w:val="20"/>
                <w:szCs w:val="20"/>
              </w:rPr>
            </w:pPr>
            <w:r w:rsidRPr="00350D02">
              <w:rPr>
                <w:rFonts w:eastAsia="Times New Roman" w:cs="Times New Roman"/>
                <w:color w:val="000000"/>
                <w:sz w:val="20"/>
                <w:szCs w:val="20"/>
              </w:rPr>
              <w:t>Estimate</w:t>
            </w:r>
          </w:p>
        </w:tc>
        <w:tc>
          <w:tcPr>
            <w:tcW w:w="931" w:type="dxa"/>
            <w:tcBorders>
              <w:top w:val="nil"/>
              <w:left w:val="nil"/>
              <w:bottom w:val="double" w:sz="4" w:space="0" w:color="auto"/>
              <w:right w:val="single" w:sz="4" w:space="0" w:color="auto"/>
            </w:tcBorders>
            <w:shd w:val="clear" w:color="auto" w:fill="auto"/>
            <w:noWrap/>
            <w:vAlign w:val="center"/>
          </w:tcPr>
          <w:p w14:paraId="11ED5171" w14:textId="77777777" w:rsidR="00E7034E" w:rsidRPr="00350D02" w:rsidRDefault="00E7034E" w:rsidP="00D34B75">
            <w:pPr>
              <w:jc w:val="center"/>
              <w:rPr>
                <w:rFonts w:eastAsia="Times New Roman" w:cs="Times New Roman"/>
                <w:color w:val="000000"/>
                <w:sz w:val="20"/>
                <w:szCs w:val="20"/>
              </w:rPr>
            </w:pPr>
            <w:r w:rsidRPr="00350D02">
              <w:rPr>
                <w:rFonts w:eastAsia="Times New Roman" w:cs="Times New Roman"/>
                <w:color w:val="000000"/>
                <w:sz w:val="20"/>
                <w:szCs w:val="20"/>
              </w:rPr>
              <w:t>t-stat</w:t>
            </w:r>
          </w:p>
        </w:tc>
        <w:tc>
          <w:tcPr>
            <w:tcW w:w="916" w:type="dxa"/>
            <w:gridSpan w:val="2"/>
            <w:tcBorders>
              <w:top w:val="nil"/>
              <w:left w:val="nil"/>
              <w:bottom w:val="double" w:sz="4" w:space="0" w:color="auto"/>
              <w:right w:val="single" w:sz="4" w:space="0" w:color="auto"/>
            </w:tcBorders>
            <w:shd w:val="clear" w:color="auto" w:fill="auto"/>
            <w:noWrap/>
            <w:vAlign w:val="center"/>
          </w:tcPr>
          <w:p w14:paraId="585A2315" w14:textId="77777777" w:rsidR="00E7034E" w:rsidRPr="00350D02" w:rsidRDefault="00E7034E" w:rsidP="00D34B75">
            <w:pPr>
              <w:jc w:val="center"/>
              <w:rPr>
                <w:rFonts w:eastAsia="Times New Roman" w:cs="Times New Roman"/>
                <w:color w:val="000000"/>
                <w:sz w:val="20"/>
                <w:szCs w:val="20"/>
              </w:rPr>
            </w:pPr>
            <w:r w:rsidRPr="00350D02">
              <w:rPr>
                <w:rFonts w:eastAsia="Times New Roman" w:cs="Times New Roman"/>
                <w:color w:val="000000"/>
                <w:sz w:val="20"/>
                <w:szCs w:val="20"/>
              </w:rPr>
              <w:t>Estimate</w:t>
            </w:r>
          </w:p>
        </w:tc>
        <w:tc>
          <w:tcPr>
            <w:tcW w:w="884" w:type="dxa"/>
            <w:tcBorders>
              <w:top w:val="nil"/>
              <w:left w:val="nil"/>
              <w:bottom w:val="double" w:sz="4" w:space="0" w:color="auto"/>
              <w:right w:val="double" w:sz="4" w:space="0" w:color="auto"/>
            </w:tcBorders>
            <w:shd w:val="clear" w:color="auto" w:fill="auto"/>
            <w:noWrap/>
            <w:vAlign w:val="center"/>
          </w:tcPr>
          <w:p w14:paraId="1500BDF7" w14:textId="77777777" w:rsidR="00E7034E" w:rsidRPr="00350D02" w:rsidRDefault="00E7034E" w:rsidP="00D34B75">
            <w:pPr>
              <w:jc w:val="center"/>
              <w:rPr>
                <w:rFonts w:eastAsia="Times New Roman" w:cs="Times New Roman"/>
                <w:color w:val="000000"/>
                <w:sz w:val="20"/>
                <w:szCs w:val="20"/>
              </w:rPr>
            </w:pPr>
            <w:r w:rsidRPr="00350D02">
              <w:rPr>
                <w:rFonts w:eastAsia="Times New Roman" w:cs="Times New Roman"/>
                <w:color w:val="000000"/>
                <w:sz w:val="20"/>
                <w:szCs w:val="20"/>
              </w:rPr>
              <w:t>t-stat</w:t>
            </w:r>
          </w:p>
        </w:tc>
      </w:tr>
      <w:tr w:rsidR="00E7034E" w:rsidRPr="00350D02" w14:paraId="784087C6" w14:textId="77777777" w:rsidTr="00D34B75">
        <w:trPr>
          <w:trHeight w:val="300"/>
        </w:trPr>
        <w:tc>
          <w:tcPr>
            <w:tcW w:w="1965" w:type="dxa"/>
            <w:tcBorders>
              <w:top w:val="nil"/>
              <w:left w:val="double" w:sz="4" w:space="0" w:color="auto"/>
              <w:bottom w:val="double" w:sz="4" w:space="0" w:color="auto"/>
              <w:right w:val="single" w:sz="4" w:space="0" w:color="auto"/>
            </w:tcBorders>
            <w:shd w:val="clear" w:color="auto" w:fill="auto"/>
            <w:noWrap/>
            <w:vAlign w:val="center"/>
            <w:hideMark/>
          </w:tcPr>
          <w:p w14:paraId="6923C628" w14:textId="77777777" w:rsidR="00E7034E" w:rsidRPr="00350D02" w:rsidRDefault="00E7034E" w:rsidP="00D34B75">
            <w:pPr>
              <w:rPr>
                <w:rFonts w:eastAsia="Times New Roman" w:cs="Times New Roman"/>
                <w:b/>
                <w:color w:val="000000"/>
                <w:sz w:val="20"/>
                <w:szCs w:val="20"/>
              </w:rPr>
            </w:pPr>
            <w:r w:rsidRPr="00350D02">
              <w:rPr>
                <w:rFonts w:eastAsia="Times New Roman" w:cs="Times New Roman"/>
                <w:b/>
                <w:color w:val="000000"/>
                <w:sz w:val="20"/>
                <w:szCs w:val="20"/>
              </w:rPr>
              <w:t>Threshold 1</w:t>
            </w:r>
          </w:p>
        </w:tc>
        <w:tc>
          <w:tcPr>
            <w:tcW w:w="916" w:type="dxa"/>
            <w:tcBorders>
              <w:top w:val="nil"/>
              <w:left w:val="nil"/>
              <w:bottom w:val="double" w:sz="4" w:space="0" w:color="auto"/>
              <w:right w:val="single" w:sz="4" w:space="0" w:color="auto"/>
            </w:tcBorders>
            <w:shd w:val="clear" w:color="auto" w:fill="auto"/>
            <w:noWrap/>
            <w:vAlign w:val="center"/>
            <w:hideMark/>
          </w:tcPr>
          <w:p w14:paraId="1C75E039" w14:textId="77777777" w:rsidR="00E7034E" w:rsidRPr="00350D02" w:rsidRDefault="00E7034E" w:rsidP="00D34B75">
            <w:pPr>
              <w:jc w:val="center"/>
              <w:rPr>
                <w:rFonts w:cs="Times New Roman"/>
                <w:color w:val="000000"/>
                <w:sz w:val="20"/>
                <w:szCs w:val="20"/>
              </w:rPr>
            </w:pPr>
            <w:r w:rsidRPr="0004596C">
              <w:rPr>
                <w:rFonts w:cs="Times New Roman"/>
                <w:color w:val="000000"/>
                <w:sz w:val="20"/>
                <w:szCs w:val="20"/>
              </w:rPr>
              <w:t>0.564</w:t>
            </w:r>
          </w:p>
        </w:tc>
        <w:tc>
          <w:tcPr>
            <w:tcW w:w="879" w:type="dxa"/>
            <w:tcBorders>
              <w:top w:val="nil"/>
              <w:left w:val="nil"/>
              <w:bottom w:val="double" w:sz="4" w:space="0" w:color="auto"/>
              <w:right w:val="single" w:sz="4" w:space="0" w:color="auto"/>
            </w:tcBorders>
            <w:shd w:val="clear" w:color="auto" w:fill="auto"/>
            <w:noWrap/>
            <w:vAlign w:val="center"/>
            <w:hideMark/>
          </w:tcPr>
          <w:p w14:paraId="7127AF90" w14:textId="77777777" w:rsidR="00E7034E" w:rsidRPr="00350D02" w:rsidRDefault="00E7034E" w:rsidP="00D34B75">
            <w:pPr>
              <w:jc w:val="center"/>
              <w:rPr>
                <w:rFonts w:cs="Times New Roman"/>
                <w:color w:val="000000"/>
                <w:sz w:val="20"/>
                <w:szCs w:val="20"/>
              </w:rPr>
            </w:pPr>
            <w:r w:rsidRPr="0004596C">
              <w:rPr>
                <w:rFonts w:cs="Times New Roman"/>
                <w:color w:val="000000"/>
                <w:sz w:val="20"/>
                <w:szCs w:val="20"/>
              </w:rPr>
              <w:t>14.394</w:t>
            </w:r>
          </w:p>
        </w:tc>
        <w:tc>
          <w:tcPr>
            <w:tcW w:w="916" w:type="dxa"/>
            <w:gridSpan w:val="2"/>
            <w:tcBorders>
              <w:top w:val="nil"/>
              <w:left w:val="nil"/>
              <w:bottom w:val="double" w:sz="4" w:space="0" w:color="auto"/>
              <w:right w:val="single" w:sz="4" w:space="0" w:color="auto"/>
            </w:tcBorders>
            <w:shd w:val="clear" w:color="auto" w:fill="auto"/>
            <w:noWrap/>
            <w:vAlign w:val="center"/>
            <w:hideMark/>
          </w:tcPr>
          <w:p w14:paraId="1A8724BF" w14:textId="77777777" w:rsidR="00E7034E" w:rsidRPr="00350D02" w:rsidRDefault="00E7034E" w:rsidP="00D34B75">
            <w:pPr>
              <w:jc w:val="center"/>
              <w:rPr>
                <w:rFonts w:cs="Times New Roman"/>
                <w:color w:val="000000"/>
                <w:sz w:val="20"/>
                <w:szCs w:val="20"/>
              </w:rPr>
            </w:pPr>
            <w:r w:rsidRPr="0004596C">
              <w:rPr>
                <w:rFonts w:cs="Times New Roman"/>
                <w:color w:val="000000"/>
                <w:sz w:val="20"/>
                <w:szCs w:val="20"/>
              </w:rPr>
              <w:t>0.221</w:t>
            </w:r>
          </w:p>
        </w:tc>
        <w:tc>
          <w:tcPr>
            <w:tcW w:w="900" w:type="dxa"/>
            <w:tcBorders>
              <w:top w:val="nil"/>
              <w:left w:val="nil"/>
              <w:bottom w:val="double" w:sz="4" w:space="0" w:color="auto"/>
              <w:right w:val="single" w:sz="4" w:space="0" w:color="auto"/>
            </w:tcBorders>
            <w:shd w:val="clear" w:color="auto" w:fill="auto"/>
            <w:noWrap/>
            <w:vAlign w:val="center"/>
            <w:hideMark/>
          </w:tcPr>
          <w:p w14:paraId="4D99698F" w14:textId="77777777" w:rsidR="00E7034E" w:rsidRPr="00350D02" w:rsidRDefault="00E7034E" w:rsidP="00D34B75">
            <w:pPr>
              <w:jc w:val="center"/>
              <w:rPr>
                <w:rFonts w:cs="Times New Roman"/>
                <w:color w:val="000000"/>
                <w:sz w:val="20"/>
                <w:szCs w:val="20"/>
              </w:rPr>
            </w:pPr>
            <w:r w:rsidRPr="0004596C">
              <w:rPr>
                <w:rFonts w:cs="Times New Roman"/>
                <w:color w:val="000000"/>
                <w:sz w:val="20"/>
                <w:szCs w:val="20"/>
              </w:rPr>
              <w:t>6.458</w:t>
            </w:r>
          </w:p>
        </w:tc>
        <w:tc>
          <w:tcPr>
            <w:tcW w:w="916" w:type="dxa"/>
            <w:tcBorders>
              <w:top w:val="nil"/>
              <w:left w:val="nil"/>
              <w:bottom w:val="double" w:sz="4" w:space="0" w:color="auto"/>
              <w:right w:val="single" w:sz="4" w:space="0" w:color="auto"/>
            </w:tcBorders>
            <w:shd w:val="clear" w:color="auto" w:fill="auto"/>
            <w:noWrap/>
            <w:vAlign w:val="center"/>
            <w:hideMark/>
          </w:tcPr>
          <w:p w14:paraId="1173794E" w14:textId="77777777" w:rsidR="00E7034E" w:rsidRPr="00350D02" w:rsidRDefault="00E7034E" w:rsidP="00D34B75">
            <w:pPr>
              <w:jc w:val="center"/>
              <w:rPr>
                <w:rFonts w:cs="Times New Roman"/>
                <w:color w:val="000000"/>
                <w:sz w:val="20"/>
                <w:szCs w:val="20"/>
              </w:rPr>
            </w:pPr>
            <w:r w:rsidRPr="0004596C">
              <w:rPr>
                <w:rFonts w:cs="Times New Roman"/>
                <w:color w:val="000000"/>
                <w:sz w:val="20"/>
                <w:szCs w:val="20"/>
              </w:rPr>
              <w:t>0.948</w:t>
            </w:r>
          </w:p>
        </w:tc>
        <w:tc>
          <w:tcPr>
            <w:tcW w:w="900" w:type="dxa"/>
            <w:tcBorders>
              <w:top w:val="nil"/>
              <w:left w:val="nil"/>
              <w:bottom w:val="double" w:sz="4" w:space="0" w:color="auto"/>
              <w:right w:val="single" w:sz="4" w:space="0" w:color="auto"/>
            </w:tcBorders>
            <w:shd w:val="clear" w:color="auto" w:fill="auto"/>
            <w:noWrap/>
            <w:vAlign w:val="center"/>
            <w:hideMark/>
          </w:tcPr>
          <w:p w14:paraId="16015D76" w14:textId="77777777" w:rsidR="00E7034E" w:rsidRPr="00350D02" w:rsidRDefault="00E7034E" w:rsidP="00D34B75">
            <w:pPr>
              <w:jc w:val="center"/>
              <w:rPr>
                <w:rFonts w:cs="Times New Roman"/>
                <w:color w:val="000000"/>
                <w:sz w:val="20"/>
                <w:szCs w:val="20"/>
              </w:rPr>
            </w:pPr>
            <w:r w:rsidRPr="0004596C">
              <w:rPr>
                <w:rFonts w:cs="Times New Roman"/>
                <w:color w:val="000000"/>
                <w:sz w:val="20"/>
                <w:szCs w:val="20"/>
              </w:rPr>
              <w:t>9.321</w:t>
            </w:r>
          </w:p>
        </w:tc>
        <w:tc>
          <w:tcPr>
            <w:tcW w:w="916" w:type="dxa"/>
            <w:tcBorders>
              <w:top w:val="nil"/>
              <w:left w:val="nil"/>
              <w:bottom w:val="double" w:sz="4" w:space="0" w:color="auto"/>
              <w:right w:val="single" w:sz="4" w:space="0" w:color="auto"/>
            </w:tcBorders>
            <w:shd w:val="clear" w:color="auto" w:fill="auto"/>
            <w:noWrap/>
            <w:vAlign w:val="center"/>
            <w:hideMark/>
          </w:tcPr>
          <w:p w14:paraId="4D6B2D37" w14:textId="77777777" w:rsidR="00E7034E" w:rsidRPr="00350D02" w:rsidRDefault="00E7034E" w:rsidP="00D34B75">
            <w:pPr>
              <w:jc w:val="center"/>
              <w:rPr>
                <w:rFonts w:cs="Times New Roman"/>
                <w:color w:val="000000"/>
                <w:sz w:val="20"/>
                <w:szCs w:val="20"/>
              </w:rPr>
            </w:pPr>
            <w:r w:rsidRPr="0004596C">
              <w:rPr>
                <w:rFonts w:cs="Times New Roman"/>
                <w:color w:val="000000"/>
                <w:sz w:val="20"/>
                <w:szCs w:val="20"/>
              </w:rPr>
              <w:t>-0.039</w:t>
            </w:r>
          </w:p>
        </w:tc>
        <w:tc>
          <w:tcPr>
            <w:tcW w:w="900" w:type="dxa"/>
            <w:tcBorders>
              <w:top w:val="nil"/>
              <w:left w:val="nil"/>
              <w:bottom w:val="double" w:sz="4" w:space="0" w:color="auto"/>
              <w:right w:val="single" w:sz="4" w:space="0" w:color="auto"/>
            </w:tcBorders>
            <w:shd w:val="clear" w:color="auto" w:fill="auto"/>
            <w:noWrap/>
            <w:vAlign w:val="center"/>
            <w:hideMark/>
          </w:tcPr>
          <w:p w14:paraId="23B27D69" w14:textId="77777777" w:rsidR="00E7034E" w:rsidRPr="00350D02" w:rsidRDefault="00E7034E" w:rsidP="00D34B75">
            <w:pPr>
              <w:jc w:val="center"/>
              <w:rPr>
                <w:rFonts w:cs="Times New Roman"/>
                <w:color w:val="000000"/>
                <w:sz w:val="20"/>
                <w:szCs w:val="20"/>
              </w:rPr>
            </w:pPr>
            <w:r w:rsidRPr="0004596C">
              <w:rPr>
                <w:rFonts w:cs="Times New Roman"/>
                <w:color w:val="000000"/>
                <w:sz w:val="20"/>
                <w:szCs w:val="20"/>
              </w:rPr>
              <w:t>-0.344</w:t>
            </w:r>
          </w:p>
        </w:tc>
        <w:tc>
          <w:tcPr>
            <w:tcW w:w="916" w:type="dxa"/>
            <w:tcBorders>
              <w:top w:val="nil"/>
              <w:left w:val="nil"/>
              <w:bottom w:val="double" w:sz="4" w:space="0" w:color="auto"/>
              <w:right w:val="single" w:sz="4" w:space="0" w:color="auto"/>
            </w:tcBorders>
            <w:shd w:val="clear" w:color="auto" w:fill="auto"/>
            <w:noWrap/>
            <w:vAlign w:val="center"/>
            <w:hideMark/>
          </w:tcPr>
          <w:p w14:paraId="1181E43D" w14:textId="77777777" w:rsidR="00E7034E" w:rsidRPr="00350D02" w:rsidRDefault="00E7034E" w:rsidP="00D34B75">
            <w:pPr>
              <w:jc w:val="center"/>
              <w:rPr>
                <w:rFonts w:cs="Times New Roman"/>
                <w:color w:val="000000"/>
                <w:sz w:val="20"/>
                <w:szCs w:val="20"/>
              </w:rPr>
            </w:pPr>
            <w:r w:rsidRPr="0004596C">
              <w:rPr>
                <w:rFonts w:cs="Times New Roman"/>
                <w:color w:val="000000"/>
                <w:sz w:val="20"/>
                <w:szCs w:val="20"/>
              </w:rPr>
              <w:t>0.264</w:t>
            </w:r>
          </w:p>
        </w:tc>
        <w:tc>
          <w:tcPr>
            <w:tcW w:w="931" w:type="dxa"/>
            <w:tcBorders>
              <w:top w:val="nil"/>
              <w:left w:val="nil"/>
              <w:bottom w:val="double" w:sz="4" w:space="0" w:color="auto"/>
              <w:right w:val="single" w:sz="4" w:space="0" w:color="auto"/>
            </w:tcBorders>
            <w:shd w:val="clear" w:color="auto" w:fill="auto"/>
            <w:noWrap/>
            <w:vAlign w:val="center"/>
            <w:hideMark/>
          </w:tcPr>
          <w:p w14:paraId="3F1DA963" w14:textId="77777777" w:rsidR="00E7034E" w:rsidRPr="00350D02" w:rsidRDefault="00E7034E" w:rsidP="00D34B75">
            <w:pPr>
              <w:jc w:val="center"/>
              <w:rPr>
                <w:rFonts w:cs="Times New Roman"/>
                <w:color w:val="000000"/>
                <w:sz w:val="20"/>
                <w:szCs w:val="20"/>
              </w:rPr>
            </w:pPr>
            <w:r w:rsidRPr="0004596C">
              <w:rPr>
                <w:rFonts w:cs="Times New Roman"/>
                <w:color w:val="000000"/>
                <w:sz w:val="20"/>
                <w:szCs w:val="20"/>
              </w:rPr>
              <w:t>5.202</w:t>
            </w:r>
          </w:p>
        </w:tc>
        <w:tc>
          <w:tcPr>
            <w:tcW w:w="916" w:type="dxa"/>
            <w:gridSpan w:val="2"/>
            <w:tcBorders>
              <w:top w:val="nil"/>
              <w:left w:val="nil"/>
              <w:bottom w:val="double" w:sz="4" w:space="0" w:color="auto"/>
              <w:right w:val="single" w:sz="4" w:space="0" w:color="auto"/>
            </w:tcBorders>
            <w:shd w:val="clear" w:color="auto" w:fill="auto"/>
            <w:noWrap/>
            <w:vAlign w:val="center"/>
            <w:hideMark/>
          </w:tcPr>
          <w:p w14:paraId="6FF821C4" w14:textId="77777777" w:rsidR="00E7034E" w:rsidRPr="00350D02" w:rsidRDefault="00E7034E" w:rsidP="00D34B75">
            <w:pPr>
              <w:jc w:val="center"/>
              <w:rPr>
                <w:rFonts w:cs="Times New Roman"/>
                <w:color w:val="000000"/>
                <w:sz w:val="20"/>
                <w:szCs w:val="20"/>
              </w:rPr>
            </w:pPr>
            <w:r w:rsidRPr="0004596C">
              <w:rPr>
                <w:rFonts w:cs="Times New Roman"/>
                <w:color w:val="000000"/>
                <w:sz w:val="20"/>
                <w:szCs w:val="20"/>
              </w:rPr>
              <w:t>-0.665</w:t>
            </w:r>
          </w:p>
        </w:tc>
        <w:tc>
          <w:tcPr>
            <w:tcW w:w="884" w:type="dxa"/>
            <w:tcBorders>
              <w:top w:val="nil"/>
              <w:left w:val="nil"/>
              <w:bottom w:val="double" w:sz="4" w:space="0" w:color="auto"/>
              <w:right w:val="double" w:sz="4" w:space="0" w:color="auto"/>
            </w:tcBorders>
            <w:shd w:val="clear" w:color="auto" w:fill="auto"/>
            <w:noWrap/>
            <w:vAlign w:val="center"/>
            <w:hideMark/>
          </w:tcPr>
          <w:p w14:paraId="1D343E23" w14:textId="77777777" w:rsidR="00E7034E" w:rsidRPr="00350D02" w:rsidRDefault="00E7034E" w:rsidP="00D34B75">
            <w:pPr>
              <w:jc w:val="center"/>
              <w:rPr>
                <w:rFonts w:cs="Times New Roman"/>
                <w:color w:val="000000"/>
                <w:sz w:val="20"/>
                <w:szCs w:val="20"/>
              </w:rPr>
            </w:pPr>
            <w:r w:rsidRPr="0004596C">
              <w:rPr>
                <w:rFonts w:cs="Times New Roman"/>
                <w:color w:val="000000"/>
                <w:sz w:val="20"/>
                <w:szCs w:val="20"/>
              </w:rPr>
              <w:t>-7.978</w:t>
            </w:r>
          </w:p>
        </w:tc>
      </w:tr>
      <w:tr w:rsidR="00E7034E" w:rsidRPr="00350D02" w14:paraId="7FD36A65" w14:textId="77777777" w:rsidTr="00D34B75">
        <w:trPr>
          <w:trHeight w:val="300"/>
        </w:trPr>
        <w:tc>
          <w:tcPr>
            <w:tcW w:w="1965" w:type="dxa"/>
            <w:tcBorders>
              <w:top w:val="nil"/>
              <w:left w:val="double" w:sz="4" w:space="0" w:color="auto"/>
              <w:bottom w:val="double" w:sz="4" w:space="0" w:color="auto"/>
              <w:right w:val="single" w:sz="4" w:space="0" w:color="auto"/>
            </w:tcBorders>
            <w:shd w:val="clear" w:color="auto" w:fill="auto"/>
            <w:noWrap/>
            <w:vAlign w:val="center"/>
          </w:tcPr>
          <w:p w14:paraId="5EA5A692" w14:textId="77777777" w:rsidR="00E7034E" w:rsidRPr="00350D02" w:rsidRDefault="00E7034E" w:rsidP="00D34B75">
            <w:pPr>
              <w:rPr>
                <w:rFonts w:eastAsia="Times New Roman" w:cs="Times New Roman"/>
                <w:b/>
                <w:color w:val="000000"/>
                <w:sz w:val="20"/>
                <w:szCs w:val="20"/>
              </w:rPr>
            </w:pPr>
            <w:r w:rsidRPr="00350D02">
              <w:rPr>
                <w:rFonts w:eastAsia="Times New Roman" w:cs="Times New Roman"/>
                <w:b/>
                <w:color w:val="000000"/>
                <w:sz w:val="20"/>
                <w:szCs w:val="20"/>
              </w:rPr>
              <w:t>Threshold 2</w:t>
            </w:r>
          </w:p>
        </w:tc>
        <w:tc>
          <w:tcPr>
            <w:tcW w:w="916" w:type="dxa"/>
            <w:tcBorders>
              <w:top w:val="nil"/>
              <w:left w:val="nil"/>
              <w:bottom w:val="double" w:sz="4" w:space="0" w:color="auto"/>
              <w:right w:val="single" w:sz="4" w:space="0" w:color="auto"/>
            </w:tcBorders>
            <w:shd w:val="clear" w:color="auto" w:fill="auto"/>
            <w:noWrap/>
            <w:vAlign w:val="center"/>
          </w:tcPr>
          <w:p w14:paraId="13F421C2" w14:textId="77777777" w:rsidR="00E7034E" w:rsidRPr="00350D02" w:rsidRDefault="00E7034E" w:rsidP="00D34B75">
            <w:pPr>
              <w:jc w:val="center"/>
              <w:rPr>
                <w:rFonts w:cs="Times New Roman"/>
                <w:color w:val="000000"/>
                <w:sz w:val="20"/>
                <w:szCs w:val="20"/>
              </w:rPr>
            </w:pPr>
            <w:r w:rsidRPr="0004596C">
              <w:rPr>
                <w:rFonts w:cs="Times New Roman"/>
                <w:color w:val="000000"/>
                <w:sz w:val="20"/>
                <w:szCs w:val="20"/>
              </w:rPr>
              <w:t>-0.395</w:t>
            </w:r>
          </w:p>
        </w:tc>
        <w:tc>
          <w:tcPr>
            <w:tcW w:w="879" w:type="dxa"/>
            <w:tcBorders>
              <w:top w:val="nil"/>
              <w:left w:val="nil"/>
              <w:bottom w:val="double" w:sz="4" w:space="0" w:color="auto"/>
              <w:right w:val="single" w:sz="4" w:space="0" w:color="auto"/>
            </w:tcBorders>
            <w:shd w:val="clear" w:color="auto" w:fill="auto"/>
            <w:noWrap/>
            <w:vAlign w:val="center"/>
          </w:tcPr>
          <w:p w14:paraId="17BFC67A" w14:textId="77777777" w:rsidR="00E7034E" w:rsidRPr="00350D02" w:rsidRDefault="00E7034E" w:rsidP="00D34B75">
            <w:pPr>
              <w:jc w:val="center"/>
              <w:rPr>
                <w:rFonts w:cs="Times New Roman"/>
                <w:color w:val="000000"/>
                <w:sz w:val="20"/>
                <w:szCs w:val="20"/>
              </w:rPr>
            </w:pPr>
            <w:r w:rsidRPr="0004596C">
              <w:rPr>
                <w:rFonts w:cs="Times New Roman"/>
                <w:color w:val="000000"/>
                <w:sz w:val="20"/>
                <w:szCs w:val="20"/>
              </w:rPr>
              <w:t>-12.332</w:t>
            </w:r>
          </w:p>
        </w:tc>
        <w:tc>
          <w:tcPr>
            <w:tcW w:w="916" w:type="dxa"/>
            <w:gridSpan w:val="2"/>
            <w:tcBorders>
              <w:top w:val="nil"/>
              <w:left w:val="nil"/>
              <w:bottom w:val="double" w:sz="4" w:space="0" w:color="auto"/>
              <w:right w:val="single" w:sz="4" w:space="0" w:color="auto"/>
            </w:tcBorders>
            <w:shd w:val="clear" w:color="auto" w:fill="auto"/>
            <w:noWrap/>
            <w:vAlign w:val="center"/>
          </w:tcPr>
          <w:p w14:paraId="332DF63C" w14:textId="77777777" w:rsidR="00E7034E" w:rsidRPr="00350D02" w:rsidRDefault="00E7034E" w:rsidP="00D34B75">
            <w:pPr>
              <w:jc w:val="center"/>
              <w:rPr>
                <w:rFonts w:cs="Times New Roman"/>
                <w:color w:val="000000"/>
                <w:sz w:val="20"/>
                <w:szCs w:val="20"/>
              </w:rPr>
            </w:pPr>
            <w:r w:rsidRPr="0004596C">
              <w:rPr>
                <w:rFonts w:cs="Times New Roman"/>
                <w:color w:val="000000"/>
                <w:sz w:val="20"/>
                <w:szCs w:val="20"/>
              </w:rPr>
              <w:t>-0.492</w:t>
            </w:r>
          </w:p>
        </w:tc>
        <w:tc>
          <w:tcPr>
            <w:tcW w:w="900" w:type="dxa"/>
            <w:tcBorders>
              <w:top w:val="nil"/>
              <w:left w:val="nil"/>
              <w:bottom w:val="double" w:sz="4" w:space="0" w:color="auto"/>
              <w:right w:val="single" w:sz="4" w:space="0" w:color="auto"/>
            </w:tcBorders>
            <w:shd w:val="clear" w:color="auto" w:fill="auto"/>
            <w:noWrap/>
            <w:vAlign w:val="center"/>
          </w:tcPr>
          <w:p w14:paraId="054C3351" w14:textId="77777777" w:rsidR="00E7034E" w:rsidRPr="00350D02" w:rsidRDefault="00E7034E" w:rsidP="00D34B75">
            <w:pPr>
              <w:jc w:val="center"/>
              <w:rPr>
                <w:rFonts w:cs="Times New Roman"/>
                <w:color w:val="000000"/>
                <w:sz w:val="20"/>
                <w:szCs w:val="20"/>
              </w:rPr>
            </w:pPr>
            <w:r w:rsidRPr="0004596C">
              <w:rPr>
                <w:rFonts w:cs="Times New Roman"/>
                <w:color w:val="000000"/>
                <w:sz w:val="20"/>
                <w:szCs w:val="20"/>
              </w:rPr>
              <w:t>-19.891</w:t>
            </w:r>
          </w:p>
        </w:tc>
        <w:tc>
          <w:tcPr>
            <w:tcW w:w="916" w:type="dxa"/>
            <w:tcBorders>
              <w:top w:val="nil"/>
              <w:left w:val="nil"/>
              <w:bottom w:val="double" w:sz="4" w:space="0" w:color="auto"/>
              <w:right w:val="single" w:sz="4" w:space="0" w:color="auto"/>
            </w:tcBorders>
            <w:shd w:val="clear" w:color="auto" w:fill="auto"/>
            <w:noWrap/>
            <w:vAlign w:val="center"/>
          </w:tcPr>
          <w:p w14:paraId="575963E5" w14:textId="77777777" w:rsidR="00E7034E" w:rsidRPr="00350D02" w:rsidRDefault="00E7034E" w:rsidP="00D34B75">
            <w:pPr>
              <w:jc w:val="center"/>
              <w:rPr>
                <w:rFonts w:cs="Times New Roman"/>
                <w:color w:val="000000"/>
                <w:sz w:val="20"/>
                <w:szCs w:val="20"/>
              </w:rPr>
            </w:pPr>
            <w:r w:rsidRPr="0004596C">
              <w:rPr>
                <w:rFonts w:cs="Times New Roman"/>
                <w:color w:val="000000"/>
                <w:sz w:val="20"/>
                <w:szCs w:val="20"/>
              </w:rPr>
              <w:t>-0.678</w:t>
            </w:r>
          </w:p>
        </w:tc>
        <w:tc>
          <w:tcPr>
            <w:tcW w:w="900" w:type="dxa"/>
            <w:tcBorders>
              <w:top w:val="nil"/>
              <w:left w:val="nil"/>
              <w:bottom w:val="double" w:sz="4" w:space="0" w:color="auto"/>
              <w:right w:val="single" w:sz="4" w:space="0" w:color="auto"/>
            </w:tcBorders>
            <w:shd w:val="clear" w:color="auto" w:fill="auto"/>
            <w:noWrap/>
            <w:vAlign w:val="center"/>
          </w:tcPr>
          <w:p w14:paraId="1B5A2E3F" w14:textId="77777777" w:rsidR="00E7034E" w:rsidRPr="00350D02" w:rsidRDefault="00E7034E" w:rsidP="00D34B75">
            <w:pPr>
              <w:jc w:val="center"/>
              <w:rPr>
                <w:rFonts w:cs="Times New Roman"/>
                <w:color w:val="000000"/>
                <w:sz w:val="20"/>
                <w:szCs w:val="20"/>
              </w:rPr>
            </w:pPr>
            <w:r w:rsidRPr="0004596C">
              <w:rPr>
                <w:rFonts w:cs="Times New Roman"/>
                <w:color w:val="000000"/>
                <w:sz w:val="20"/>
                <w:szCs w:val="20"/>
              </w:rPr>
              <w:t>-13.289</w:t>
            </w:r>
          </w:p>
        </w:tc>
        <w:tc>
          <w:tcPr>
            <w:tcW w:w="916" w:type="dxa"/>
            <w:tcBorders>
              <w:top w:val="nil"/>
              <w:left w:val="nil"/>
              <w:bottom w:val="double" w:sz="4" w:space="0" w:color="auto"/>
              <w:right w:val="single" w:sz="4" w:space="0" w:color="auto"/>
            </w:tcBorders>
            <w:shd w:val="clear" w:color="auto" w:fill="auto"/>
            <w:noWrap/>
            <w:vAlign w:val="center"/>
          </w:tcPr>
          <w:p w14:paraId="6DACE97F" w14:textId="77777777" w:rsidR="00E7034E" w:rsidRPr="00350D02" w:rsidRDefault="00E7034E" w:rsidP="00D34B75">
            <w:pPr>
              <w:jc w:val="center"/>
              <w:rPr>
                <w:rFonts w:cs="Times New Roman"/>
                <w:color w:val="000000"/>
                <w:sz w:val="20"/>
                <w:szCs w:val="20"/>
              </w:rPr>
            </w:pPr>
            <w:r w:rsidRPr="0004596C">
              <w:rPr>
                <w:rFonts w:cs="Times New Roman"/>
                <w:color w:val="000000"/>
                <w:sz w:val="20"/>
                <w:szCs w:val="20"/>
              </w:rPr>
              <w:t>-0.688</w:t>
            </w:r>
          </w:p>
        </w:tc>
        <w:tc>
          <w:tcPr>
            <w:tcW w:w="900" w:type="dxa"/>
            <w:tcBorders>
              <w:top w:val="nil"/>
              <w:left w:val="nil"/>
              <w:bottom w:val="double" w:sz="4" w:space="0" w:color="auto"/>
              <w:right w:val="single" w:sz="4" w:space="0" w:color="auto"/>
            </w:tcBorders>
            <w:shd w:val="clear" w:color="auto" w:fill="auto"/>
            <w:noWrap/>
            <w:vAlign w:val="center"/>
          </w:tcPr>
          <w:p w14:paraId="1D869956" w14:textId="77777777" w:rsidR="00E7034E" w:rsidRPr="00350D02" w:rsidRDefault="00E7034E" w:rsidP="00D34B75">
            <w:pPr>
              <w:jc w:val="center"/>
              <w:rPr>
                <w:rFonts w:cs="Times New Roman"/>
                <w:color w:val="000000"/>
                <w:sz w:val="20"/>
                <w:szCs w:val="20"/>
              </w:rPr>
            </w:pPr>
            <w:r w:rsidRPr="0004596C">
              <w:rPr>
                <w:rFonts w:cs="Times New Roman"/>
                <w:color w:val="000000"/>
                <w:sz w:val="20"/>
                <w:szCs w:val="20"/>
              </w:rPr>
              <w:t>-9.480</w:t>
            </w:r>
          </w:p>
        </w:tc>
        <w:tc>
          <w:tcPr>
            <w:tcW w:w="916" w:type="dxa"/>
            <w:tcBorders>
              <w:top w:val="nil"/>
              <w:left w:val="nil"/>
              <w:bottom w:val="double" w:sz="4" w:space="0" w:color="auto"/>
              <w:right w:val="single" w:sz="4" w:space="0" w:color="auto"/>
            </w:tcBorders>
            <w:shd w:val="clear" w:color="auto" w:fill="auto"/>
            <w:noWrap/>
            <w:vAlign w:val="center"/>
          </w:tcPr>
          <w:p w14:paraId="4FB536CF" w14:textId="77777777" w:rsidR="00E7034E" w:rsidRPr="00350D02" w:rsidRDefault="00E7034E" w:rsidP="00D34B75">
            <w:pPr>
              <w:jc w:val="center"/>
              <w:rPr>
                <w:rFonts w:cs="Times New Roman"/>
                <w:color w:val="000000"/>
                <w:sz w:val="20"/>
                <w:szCs w:val="20"/>
              </w:rPr>
            </w:pPr>
            <w:r w:rsidRPr="0004596C">
              <w:rPr>
                <w:rFonts w:cs="Times New Roman"/>
                <w:color w:val="000000"/>
                <w:sz w:val="20"/>
                <w:szCs w:val="20"/>
              </w:rPr>
              <w:t>-0.808</w:t>
            </w:r>
          </w:p>
        </w:tc>
        <w:tc>
          <w:tcPr>
            <w:tcW w:w="931" w:type="dxa"/>
            <w:tcBorders>
              <w:top w:val="nil"/>
              <w:left w:val="nil"/>
              <w:bottom w:val="double" w:sz="4" w:space="0" w:color="auto"/>
              <w:right w:val="single" w:sz="4" w:space="0" w:color="auto"/>
            </w:tcBorders>
            <w:shd w:val="clear" w:color="auto" w:fill="auto"/>
            <w:noWrap/>
            <w:vAlign w:val="center"/>
          </w:tcPr>
          <w:p w14:paraId="7604705F" w14:textId="77777777" w:rsidR="00E7034E" w:rsidRPr="00350D02" w:rsidRDefault="00E7034E" w:rsidP="00D34B75">
            <w:pPr>
              <w:jc w:val="center"/>
              <w:rPr>
                <w:rFonts w:cs="Times New Roman"/>
                <w:color w:val="000000"/>
                <w:sz w:val="20"/>
                <w:szCs w:val="20"/>
              </w:rPr>
            </w:pPr>
            <w:r w:rsidRPr="0004596C">
              <w:rPr>
                <w:rFonts w:cs="Times New Roman"/>
                <w:color w:val="000000"/>
                <w:sz w:val="20"/>
                <w:szCs w:val="20"/>
              </w:rPr>
              <w:t>-23.019</w:t>
            </w:r>
          </w:p>
        </w:tc>
        <w:tc>
          <w:tcPr>
            <w:tcW w:w="916" w:type="dxa"/>
            <w:gridSpan w:val="2"/>
            <w:tcBorders>
              <w:top w:val="nil"/>
              <w:left w:val="nil"/>
              <w:bottom w:val="double" w:sz="4" w:space="0" w:color="auto"/>
              <w:right w:val="single" w:sz="4" w:space="0" w:color="auto"/>
            </w:tcBorders>
            <w:shd w:val="clear" w:color="auto" w:fill="auto"/>
            <w:noWrap/>
            <w:vAlign w:val="center"/>
          </w:tcPr>
          <w:p w14:paraId="2357F02A" w14:textId="77777777" w:rsidR="00E7034E" w:rsidRPr="00350D02" w:rsidRDefault="00E7034E" w:rsidP="00D34B75">
            <w:pPr>
              <w:jc w:val="center"/>
              <w:rPr>
                <w:rFonts w:cs="Times New Roman"/>
                <w:color w:val="000000"/>
                <w:sz w:val="20"/>
                <w:szCs w:val="20"/>
              </w:rPr>
            </w:pPr>
            <w:r w:rsidRPr="0004596C">
              <w:rPr>
                <w:rFonts w:cs="Times New Roman"/>
                <w:color w:val="000000"/>
                <w:sz w:val="20"/>
                <w:szCs w:val="20"/>
              </w:rPr>
              <w:t>-0.445</w:t>
            </w:r>
          </w:p>
        </w:tc>
        <w:tc>
          <w:tcPr>
            <w:tcW w:w="884" w:type="dxa"/>
            <w:tcBorders>
              <w:top w:val="nil"/>
              <w:left w:val="nil"/>
              <w:bottom w:val="double" w:sz="4" w:space="0" w:color="auto"/>
              <w:right w:val="double" w:sz="4" w:space="0" w:color="auto"/>
            </w:tcBorders>
            <w:shd w:val="clear" w:color="auto" w:fill="auto"/>
            <w:noWrap/>
            <w:vAlign w:val="center"/>
          </w:tcPr>
          <w:p w14:paraId="7FA53446" w14:textId="77777777" w:rsidR="00E7034E" w:rsidRPr="00350D02" w:rsidRDefault="00E7034E" w:rsidP="00D34B75">
            <w:pPr>
              <w:jc w:val="center"/>
              <w:rPr>
                <w:rFonts w:cs="Times New Roman"/>
                <w:color w:val="000000"/>
                <w:sz w:val="20"/>
                <w:szCs w:val="20"/>
              </w:rPr>
            </w:pPr>
            <w:r w:rsidRPr="0004596C">
              <w:rPr>
                <w:rFonts w:cs="Times New Roman"/>
                <w:color w:val="000000"/>
                <w:sz w:val="20"/>
                <w:szCs w:val="20"/>
              </w:rPr>
              <w:t>-10.656</w:t>
            </w:r>
          </w:p>
        </w:tc>
      </w:tr>
      <w:tr w:rsidR="00E7034E" w:rsidRPr="00350D02" w14:paraId="74963324" w14:textId="77777777" w:rsidTr="00D34B75">
        <w:trPr>
          <w:trHeight w:val="300"/>
        </w:trPr>
        <w:tc>
          <w:tcPr>
            <w:tcW w:w="1965" w:type="dxa"/>
            <w:tcBorders>
              <w:top w:val="nil"/>
              <w:left w:val="double" w:sz="4" w:space="0" w:color="auto"/>
              <w:bottom w:val="double" w:sz="4" w:space="0" w:color="auto"/>
              <w:right w:val="single" w:sz="4" w:space="0" w:color="auto"/>
            </w:tcBorders>
            <w:shd w:val="clear" w:color="auto" w:fill="auto"/>
            <w:noWrap/>
            <w:vAlign w:val="center"/>
          </w:tcPr>
          <w:p w14:paraId="6CA5A664" w14:textId="77777777" w:rsidR="00E7034E" w:rsidRPr="00350D02" w:rsidRDefault="00E7034E" w:rsidP="00D34B75">
            <w:pPr>
              <w:rPr>
                <w:rFonts w:eastAsia="Times New Roman" w:cs="Times New Roman"/>
                <w:b/>
                <w:color w:val="000000"/>
                <w:sz w:val="20"/>
                <w:szCs w:val="20"/>
              </w:rPr>
            </w:pPr>
            <w:r w:rsidRPr="00350D02">
              <w:rPr>
                <w:rFonts w:eastAsia="Times New Roman" w:cs="Times New Roman"/>
                <w:b/>
                <w:color w:val="000000"/>
                <w:sz w:val="20"/>
                <w:szCs w:val="20"/>
              </w:rPr>
              <w:t>Threshold 3</w:t>
            </w:r>
          </w:p>
        </w:tc>
        <w:tc>
          <w:tcPr>
            <w:tcW w:w="916" w:type="dxa"/>
            <w:tcBorders>
              <w:top w:val="nil"/>
              <w:left w:val="nil"/>
              <w:bottom w:val="double" w:sz="4" w:space="0" w:color="auto"/>
              <w:right w:val="single" w:sz="4" w:space="0" w:color="auto"/>
            </w:tcBorders>
            <w:shd w:val="clear" w:color="auto" w:fill="auto"/>
            <w:noWrap/>
            <w:vAlign w:val="center"/>
          </w:tcPr>
          <w:p w14:paraId="29ED345A" w14:textId="77777777" w:rsidR="00E7034E" w:rsidRPr="00350D02" w:rsidRDefault="00E7034E" w:rsidP="00D34B75">
            <w:pPr>
              <w:jc w:val="center"/>
              <w:rPr>
                <w:rFonts w:cs="Times New Roman"/>
                <w:color w:val="000000"/>
                <w:sz w:val="20"/>
                <w:szCs w:val="20"/>
              </w:rPr>
            </w:pPr>
            <w:r w:rsidRPr="0004596C">
              <w:rPr>
                <w:rFonts w:cs="Times New Roman"/>
                <w:color w:val="000000"/>
                <w:sz w:val="20"/>
                <w:szCs w:val="20"/>
              </w:rPr>
              <w:t>-0.262</w:t>
            </w:r>
          </w:p>
        </w:tc>
        <w:tc>
          <w:tcPr>
            <w:tcW w:w="879" w:type="dxa"/>
            <w:tcBorders>
              <w:top w:val="nil"/>
              <w:left w:val="nil"/>
              <w:bottom w:val="double" w:sz="4" w:space="0" w:color="auto"/>
              <w:right w:val="single" w:sz="4" w:space="0" w:color="auto"/>
            </w:tcBorders>
            <w:shd w:val="clear" w:color="auto" w:fill="auto"/>
            <w:noWrap/>
            <w:vAlign w:val="center"/>
          </w:tcPr>
          <w:p w14:paraId="0BFE3B70" w14:textId="77777777" w:rsidR="00E7034E" w:rsidRPr="00350D02" w:rsidRDefault="00E7034E" w:rsidP="00D34B75">
            <w:pPr>
              <w:jc w:val="center"/>
              <w:rPr>
                <w:rFonts w:cs="Times New Roman"/>
                <w:color w:val="000000"/>
                <w:sz w:val="20"/>
                <w:szCs w:val="20"/>
              </w:rPr>
            </w:pPr>
            <w:r w:rsidRPr="0004596C">
              <w:rPr>
                <w:rFonts w:cs="Times New Roman"/>
                <w:color w:val="000000"/>
                <w:sz w:val="20"/>
                <w:szCs w:val="20"/>
              </w:rPr>
              <w:t>-6.063</w:t>
            </w:r>
          </w:p>
        </w:tc>
        <w:tc>
          <w:tcPr>
            <w:tcW w:w="916" w:type="dxa"/>
            <w:gridSpan w:val="2"/>
            <w:tcBorders>
              <w:top w:val="nil"/>
              <w:left w:val="nil"/>
              <w:bottom w:val="double" w:sz="4" w:space="0" w:color="auto"/>
              <w:right w:val="single" w:sz="4" w:space="0" w:color="auto"/>
            </w:tcBorders>
            <w:shd w:val="clear" w:color="auto" w:fill="auto"/>
            <w:noWrap/>
            <w:vAlign w:val="center"/>
          </w:tcPr>
          <w:p w14:paraId="333AE9E4" w14:textId="77777777" w:rsidR="00E7034E" w:rsidRPr="00350D02" w:rsidRDefault="00E7034E" w:rsidP="00D34B75">
            <w:pPr>
              <w:jc w:val="center"/>
              <w:rPr>
                <w:rFonts w:cs="Times New Roman"/>
                <w:color w:val="000000"/>
                <w:sz w:val="20"/>
                <w:szCs w:val="20"/>
              </w:rPr>
            </w:pPr>
            <w:r w:rsidRPr="0004596C">
              <w:rPr>
                <w:rFonts w:cs="Times New Roman"/>
                <w:color w:val="000000"/>
                <w:sz w:val="20"/>
                <w:szCs w:val="20"/>
              </w:rPr>
              <w:t>-0.373</w:t>
            </w:r>
          </w:p>
        </w:tc>
        <w:tc>
          <w:tcPr>
            <w:tcW w:w="900" w:type="dxa"/>
            <w:tcBorders>
              <w:top w:val="nil"/>
              <w:left w:val="nil"/>
              <w:bottom w:val="double" w:sz="4" w:space="0" w:color="auto"/>
              <w:right w:val="single" w:sz="4" w:space="0" w:color="auto"/>
            </w:tcBorders>
            <w:shd w:val="clear" w:color="auto" w:fill="auto"/>
            <w:noWrap/>
            <w:vAlign w:val="center"/>
          </w:tcPr>
          <w:p w14:paraId="762B9E20" w14:textId="77777777" w:rsidR="00E7034E" w:rsidRPr="00350D02" w:rsidRDefault="00E7034E" w:rsidP="00D34B75">
            <w:pPr>
              <w:jc w:val="center"/>
              <w:rPr>
                <w:rFonts w:cs="Times New Roman"/>
                <w:color w:val="000000"/>
                <w:sz w:val="20"/>
                <w:szCs w:val="20"/>
              </w:rPr>
            </w:pPr>
            <w:r w:rsidRPr="0004596C">
              <w:rPr>
                <w:rFonts w:cs="Times New Roman"/>
                <w:color w:val="000000"/>
                <w:sz w:val="20"/>
                <w:szCs w:val="20"/>
              </w:rPr>
              <w:t>-10.521</w:t>
            </w:r>
          </w:p>
        </w:tc>
        <w:tc>
          <w:tcPr>
            <w:tcW w:w="916" w:type="dxa"/>
            <w:tcBorders>
              <w:top w:val="nil"/>
              <w:left w:val="nil"/>
              <w:bottom w:val="double" w:sz="4" w:space="0" w:color="auto"/>
              <w:right w:val="single" w:sz="4" w:space="0" w:color="auto"/>
            </w:tcBorders>
            <w:shd w:val="clear" w:color="auto" w:fill="auto"/>
            <w:noWrap/>
            <w:vAlign w:val="center"/>
          </w:tcPr>
          <w:p w14:paraId="025E2AB7" w14:textId="77777777" w:rsidR="00E7034E" w:rsidRPr="00350D02" w:rsidRDefault="00E7034E" w:rsidP="00D34B75">
            <w:pPr>
              <w:jc w:val="center"/>
              <w:rPr>
                <w:rFonts w:cs="Times New Roman"/>
                <w:color w:val="000000"/>
                <w:sz w:val="20"/>
                <w:szCs w:val="20"/>
              </w:rPr>
            </w:pPr>
            <w:r w:rsidRPr="0004596C">
              <w:rPr>
                <w:rFonts w:cs="Times New Roman"/>
                <w:color w:val="000000"/>
                <w:sz w:val="20"/>
                <w:szCs w:val="20"/>
              </w:rPr>
              <w:t>-0.439</w:t>
            </w:r>
          </w:p>
        </w:tc>
        <w:tc>
          <w:tcPr>
            <w:tcW w:w="900" w:type="dxa"/>
            <w:tcBorders>
              <w:top w:val="nil"/>
              <w:left w:val="nil"/>
              <w:bottom w:val="double" w:sz="4" w:space="0" w:color="auto"/>
              <w:right w:val="single" w:sz="4" w:space="0" w:color="auto"/>
            </w:tcBorders>
            <w:shd w:val="clear" w:color="auto" w:fill="auto"/>
            <w:noWrap/>
            <w:vAlign w:val="center"/>
          </w:tcPr>
          <w:p w14:paraId="71994FF9" w14:textId="77777777" w:rsidR="00E7034E" w:rsidRPr="00350D02" w:rsidRDefault="00E7034E" w:rsidP="00D34B75">
            <w:pPr>
              <w:jc w:val="center"/>
              <w:rPr>
                <w:rFonts w:cs="Times New Roman"/>
                <w:color w:val="000000"/>
                <w:sz w:val="20"/>
                <w:szCs w:val="20"/>
              </w:rPr>
            </w:pPr>
            <w:r w:rsidRPr="0004596C">
              <w:rPr>
                <w:rFonts w:cs="Times New Roman"/>
                <w:color w:val="000000"/>
                <w:sz w:val="20"/>
                <w:szCs w:val="20"/>
              </w:rPr>
              <w:t>-6.093</w:t>
            </w:r>
          </w:p>
        </w:tc>
        <w:tc>
          <w:tcPr>
            <w:tcW w:w="916" w:type="dxa"/>
            <w:tcBorders>
              <w:top w:val="nil"/>
              <w:left w:val="nil"/>
              <w:bottom w:val="double" w:sz="4" w:space="0" w:color="auto"/>
              <w:right w:val="single" w:sz="4" w:space="0" w:color="auto"/>
            </w:tcBorders>
            <w:shd w:val="clear" w:color="auto" w:fill="auto"/>
            <w:noWrap/>
            <w:vAlign w:val="center"/>
          </w:tcPr>
          <w:p w14:paraId="219DE4B8" w14:textId="77777777" w:rsidR="00E7034E" w:rsidRPr="00350D02" w:rsidRDefault="00E7034E" w:rsidP="00D34B75">
            <w:pPr>
              <w:jc w:val="center"/>
              <w:rPr>
                <w:rFonts w:cs="Times New Roman"/>
                <w:color w:val="000000"/>
                <w:sz w:val="20"/>
                <w:szCs w:val="20"/>
              </w:rPr>
            </w:pPr>
            <w:r w:rsidRPr="0004596C">
              <w:rPr>
                <w:rFonts w:cs="Times New Roman"/>
                <w:color w:val="000000"/>
                <w:sz w:val="20"/>
                <w:szCs w:val="20"/>
              </w:rPr>
              <w:t>-0.505</w:t>
            </w:r>
          </w:p>
        </w:tc>
        <w:tc>
          <w:tcPr>
            <w:tcW w:w="900" w:type="dxa"/>
            <w:tcBorders>
              <w:top w:val="nil"/>
              <w:left w:val="nil"/>
              <w:bottom w:val="double" w:sz="4" w:space="0" w:color="auto"/>
              <w:right w:val="single" w:sz="4" w:space="0" w:color="auto"/>
            </w:tcBorders>
            <w:shd w:val="clear" w:color="auto" w:fill="auto"/>
            <w:noWrap/>
            <w:vAlign w:val="center"/>
          </w:tcPr>
          <w:p w14:paraId="415C288E" w14:textId="77777777" w:rsidR="00E7034E" w:rsidRPr="00350D02" w:rsidRDefault="00E7034E" w:rsidP="00D34B75">
            <w:pPr>
              <w:jc w:val="center"/>
              <w:rPr>
                <w:rFonts w:cs="Times New Roman"/>
                <w:color w:val="000000"/>
                <w:sz w:val="20"/>
                <w:szCs w:val="20"/>
              </w:rPr>
            </w:pPr>
            <w:r w:rsidRPr="0004596C">
              <w:rPr>
                <w:rFonts w:cs="Times New Roman"/>
                <w:color w:val="000000"/>
                <w:sz w:val="20"/>
                <w:szCs w:val="20"/>
              </w:rPr>
              <w:t>-6.480</w:t>
            </w:r>
          </w:p>
        </w:tc>
        <w:tc>
          <w:tcPr>
            <w:tcW w:w="916" w:type="dxa"/>
            <w:tcBorders>
              <w:top w:val="nil"/>
              <w:left w:val="nil"/>
              <w:bottom w:val="double" w:sz="4" w:space="0" w:color="auto"/>
              <w:right w:val="single" w:sz="4" w:space="0" w:color="auto"/>
            </w:tcBorders>
            <w:shd w:val="clear" w:color="auto" w:fill="auto"/>
            <w:noWrap/>
            <w:vAlign w:val="center"/>
          </w:tcPr>
          <w:p w14:paraId="078CB4E5" w14:textId="77777777" w:rsidR="00E7034E" w:rsidRPr="00350D02" w:rsidRDefault="00E7034E" w:rsidP="00D34B75">
            <w:pPr>
              <w:jc w:val="center"/>
              <w:rPr>
                <w:rFonts w:cs="Times New Roman"/>
                <w:color w:val="000000"/>
                <w:sz w:val="20"/>
                <w:szCs w:val="20"/>
              </w:rPr>
            </w:pPr>
            <w:r w:rsidRPr="0004596C">
              <w:rPr>
                <w:rFonts w:cs="Times New Roman"/>
                <w:color w:val="000000"/>
                <w:sz w:val="20"/>
                <w:szCs w:val="20"/>
              </w:rPr>
              <w:t>-0.469</w:t>
            </w:r>
          </w:p>
        </w:tc>
        <w:tc>
          <w:tcPr>
            <w:tcW w:w="931" w:type="dxa"/>
            <w:tcBorders>
              <w:top w:val="nil"/>
              <w:left w:val="nil"/>
              <w:bottom w:val="double" w:sz="4" w:space="0" w:color="auto"/>
              <w:right w:val="single" w:sz="4" w:space="0" w:color="auto"/>
            </w:tcBorders>
            <w:shd w:val="clear" w:color="auto" w:fill="auto"/>
            <w:noWrap/>
            <w:vAlign w:val="center"/>
          </w:tcPr>
          <w:p w14:paraId="3C04587C" w14:textId="77777777" w:rsidR="00E7034E" w:rsidRPr="00350D02" w:rsidRDefault="00E7034E" w:rsidP="00D34B75">
            <w:pPr>
              <w:jc w:val="center"/>
              <w:rPr>
                <w:rFonts w:cs="Times New Roman"/>
                <w:color w:val="000000"/>
                <w:sz w:val="20"/>
                <w:szCs w:val="20"/>
              </w:rPr>
            </w:pPr>
            <w:r w:rsidRPr="0004596C">
              <w:rPr>
                <w:rFonts w:cs="Times New Roman"/>
                <w:color w:val="000000"/>
                <w:sz w:val="20"/>
                <w:szCs w:val="20"/>
              </w:rPr>
              <w:t>-12.778</w:t>
            </w:r>
          </w:p>
        </w:tc>
        <w:tc>
          <w:tcPr>
            <w:tcW w:w="916" w:type="dxa"/>
            <w:gridSpan w:val="2"/>
            <w:tcBorders>
              <w:top w:val="nil"/>
              <w:left w:val="nil"/>
              <w:bottom w:val="double" w:sz="4" w:space="0" w:color="auto"/>
              <w:right w:val="single" w:sz="4" w:space="0" w:color="auto"/>
            </w:tcBorders>
            <w:shd w:val="clear" w:color="auto" w:fill="auto"/>
            <w:noWrap/>
            <w:vAlign w:val="center"/>
          </w:tcPr>
          <w:p w14:paraId="0DC355BB" w14:textId="77777777" w:rsidR="00E7034E" w:rsidRPr="00350D02" w:rsidRDefault="00E7034E" w:rsidP="00D34B75">
            <w:pPr>
              <w:jc w:val="center"/>
              <w:rPr>
                <w:rFonts w:cs="Times New Roman"/>
                <w:color w:val="000000"/>
                <w:sz w:val="20"/>
                <w:szCs w:val="20"/>
              </w:rPr>
            </w:pPr>
            <w:r w:rsidRPr="0004596C">
              <w:rPr>
                <w:rFonts w:cs="Times New Roman"/>
                <w:color w:val="000000"/>
                <w:sz w:val="20"/>
                <w:szCs w:val="20"/>
              </w:rPr>
              <w:t>-0.062</w:t>
            </w:r>
          </w:p>
        </w:tc>
        <w:tc>
          <w:tcPr>
            <w:tcW w:w="884" w:type="dxa"/>
            <w:tcBorders>
              <w:top w:val="nil"/>
              <w:left w:val="nil"/>
              <w:bottom w:val="double" w:sz="4" w:space="0" w:color="auto"/>
              <w:right w:val="double" w:sz="4" w:space="0" w:color="auto"/>
            </w:tcBorders>
            <w:shd w:val="clear" w:color="auto" w:fill="auto"/>
            <w:noWrap/>
            <w:vAlign w:val="center"/>
          </w:tcPr>
          <w:p w14:paraId="19BCA1C1" w14:textId="77777777" w:rsidR="00E7034E" w:rsidRPr="00350D02" w:rsidRDefault="00E7034E" w:rsidP="00D34B75">
            <w:pPr>
              <w:jc w:val="center"/>
              <w:rPr>
                <w:rFonts w:cs="Times New Roman"/>
                <w:color w:val="000000"/>
                <w:sz w:val="20"/>
                <w:szCs w:val="20"/>
              </w:rPr>
            </w:pPr>
            <w:r w:rsidRPr="0004596C">
              <w:rPr>
                <w:rFonts w:cs="Times New Roman"/>
                <w:color w:val="000000"/>
                <w:sz w:val="20"/>
                <w:szCs w:val="20"/>
              </w:rPr>
              <w:t>-1.610</w:t>
            </w:r>
          </w:p>
        </w:tc>
      </w:tr>
      <w:tr w:rsidR="00E7034E" w:rsidRPr="00350D02" w14:paraId="233FFB99" w14:textId="77777777" w:rsidTr="00D34B75">
        <w:trPr>
          <w:trHeight w:val="300"/>
        </w:trPr>
        <w:tc>
          <w:tcPr>
            <w:tcW w:w="12855" w:type="dxa"/>
            <w:gridSpan w:val="15"/>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134D79A" w14:textId="77777777" w:rsidR="00E7034E" w:rsidRPr="00350D02" w:rsidRDefault="00E7034E" w:rsidP="00D34B75">
            <w:pPr>
              <w:rPr>
                <w:rFonts w:eastAsia="Times New Roman" w:cs="Times New Roman"/>
                <w:b/>
                <w:bCs/>
                <w:color w:val="000000"/>
                <w:sz w:val="20"/>
                <w:szCs w:val="20"/>
              </w:rPr>
            </w:pPr>
            <w:r w:rsidRPr="00350D02">
              <w:rPr>
                <w:rFonts w:eastAsia="Times New Roman" w:cs="Times New Roman"/>
                <w:b/>
                <w:bCs/>
                <w:color w:val="000000"/>
                <w:sz w:val="20"/>
                <w:szCs w:val="20"/>
              </w:rPr>
              <w:t>Roadway Characteristics</w:t>
            </w:r>
          </w:p>
        </w:tc>
      </w:tr>
      <w:tr w:rsidR="00E7034E" w:rsidRPr="00350D02" w14:paraId="4F8C39A6" w14:textId="77777777" w:rsidTr="00D34B75">
        <w:trPr>
          <w:trHeight w:val="300"/>
        </w:trPr>
        <w:tc>
          <w:tcPr>
            <w:tcW w:w="1965" w:type="dxa"/>
            <w:tcBorders>
              <w:top w:val="double" w:sz="4" w:space="0" w:color="auto"/>
              <w:left w:val="double" w:sz="4" w:space="0" w:color="auto"/>
              <w:bottom w:val="single" w:sz="4" w:space="0" w:color="auto"/>
              <w:right w:val="single" w:sz="4" w:space="0" w:color="auto"/>
            </w:tcBorders>
            <w:shd w:val="clear" w:color="auto" w:fill="auto"/>
            <w:noWrap/>
            <w:vAlign w:val="center"/>
            <w:hideMark/>
          </w:tcPr>
          <w:p w14:paraId="68A3EF73" w14:textId="77777777" w:rsidR="00E7034E" w:rsidRPr="00350D02" w:rsidRDefault="00E7034E" w:rsidP="006D1D87">
            <w:pPr>
              <w:ind w:left="150"/>
              <w:jc w:val="left"/>
              <w:rPr>
                <w:rFonts w:eastAsia="Times New Roman" w:cs="Times New Roman"/>
                <w:color w:val="000000"/>
                <w:sz w:val="20"/>
                <w:szCs w:val="20"/>
              </w:rPr>
            </w:pPr>
            <w:r w:rsidRPr="00350D02">
              <w:rPr>
                <w:rFonts w:eastAsia="Times New Roman" w:cs="Times New Roman"/>
                <w:color w:val="000000"/>
                <w:sz w:val="20"/>
                <w:szCs w:val="20"/>
              </w:rPr>
              <w:t>Arterial road</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74260AEE"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0.085</w:t>
            </w:r>
          </w:p>
        </w:tc>
        <w:tc>
          <w:tcPr>
            <w:tcW w:w="879" w:type="dxa"/>
            <w:tcBorders>
              <w:top w:val="double" w:sz="4" w:space="0" w:color="auto"/>
              <w:left w:val="nil"/>
              <w:bottom w:val="single" w:sz="4" w:space="0" w:color="auto"/>
              <w:right w:val="single" w:sz="4" w:space="0" w:color="auto"/>
            </w:tcBorders>
            <w:shd w:val="clear" w:color="auto" w:fill="auto"/>
            <w:noWrap/>
            <w:vAlign w:val="center"/>
            <w:hideMark/>
          </w:tcPr>
          <w:p w14:paraId="727E4BD6"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3.644</w:t>
            </w:r>
          </w:p>
        </w:tc>
        <w:tc>
          <w:tcPr>
            <w:tcW w:w="916" w:type="dxa"/>
            <w:gridSpan w:val="2"/>
            <w:tcBorders>
              <w:top w:val="double" w:sz="4" w:space="0" w:color="auto"/>
              <w:left w:val="nil"/>
              <w:bottom w:val="single" w:sz="4" w:space="0" w:color="auto"/>
              <w:right w:val="single" w:sz="4" w:space="0" w:color="auto"/>
            </w:tcBorders>
            <w:shd w:val="clear" w:color="auto" w:fill="auto"/>
            <w:noWrap/>
            <w:vAlign w:val="center"/>
            <w:hideMark/>
          </w:tcPr>
          <w:p w14:paraId="723048D9"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0.183</w:t>
            </w:r>
          </w:p>
        </w:tc>
        <w:tc>
          <w:tcPr>
            <w:tcW w:w="900" w:type="dxa"/>
            <w:tcBorders>
              <w:top w:val="double" w:sz="4" w:space="0" w:color="auto"/>
              <w:left w:val="nil"/>
              <w:bottom w:val="single" w:sz="4" w:space="0" w:color="auto"/>
              <w:right w:val="single" w:sz="4" w:space="0" w:color="auto"/>
            </w:tcBorders>
            <w:shd w:val="clear" w:color="auto" w:fill="auto"/>
            <w:noWrap/>
            <w:vAlign w:val="center"/>
            <w:hideMark/>
          </w:tcPr>
          <w:p w14:paraId="4167B3A1"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4.804</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4262F8A3"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double" w:sz="4" w:space="0" w:color="auto"/>
              <w:left w:val="nil"/>
              <w:bottom w:val="single" w:sz="4" w:space="0" w:color="auto"/>
              <w:right w:val="single" w:sz="4" w:space="0" w:color="auto"/>
            </w:tcBorders>
            <w:shd w:val="clear" w:color="auto" w:fill="auto"/>
            <w:noWrap/>
            <w:vAlign w:val="center"/>
            <w:hideMark/>
          </w:tcPr>
          <w:p w14:paraId="69E95430"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374FA083"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double" w:sz="4" w:space="0" w:color="auto"/>
              <w:left w:val="nil"/>
              <w:bottom w:val="single" w:sz="4" w:space="0" w:color="auto"/>
              <w:right w:val="single" w:sz="4" w:space="0" w:color="auto"/>
            </w:tcBorders>
            <w:shd w:val="clear" w:color="auto" w:fill="auto"/>
            <w:noWrap/>
            <w:vAlign w:val="center"/>
            <w:hideMark/>
          </w:tcPr>
          <w:p w14:paraId="04CD8AB9"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5C4F9979"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0.085</w:t>
            </w:r>
          </w:p>
        </w:tc>
        <w:tc>
          <w:tcPr>
            <w:tcW w:w="931" w:type="dxa"/>
            <w:tcBorders>
              <w:top w:val="double" w:sz="4" w:space="0" w:color="auto"/>
              <w:left w:val="nil"/>
              <w:bottom w:val="single" w:sz="4" w:space="0" w:color="auto"/>
              <w:right w:val="single" w:sz="4" w:space="0" w:color="auto"/>
            </w:tcBorders>
            <w:shd w:val="clear" w:color="auto" w:fill="auto"/>
            <w:noWrap/>
            <w:vAlign w:val="center"/>
            <w:hideMark/>
          </w:tcPr>
          <w:p w14:paraId="74BF8E9F"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3.644</w:t>
            </w:r>
          </w:p>
        </w:tc>
        <w:tc>
          <w:tcPr>
            <w:tcW w:w="916" w:type="dxa"/>
            <w:gridSpan w:val="2"/>
            <w:tcBorders>
              <w:top w:val="double" w:sz="4" w:space="0" w:color="auto"/>
              <w:left w:val="nil"/>
              <w:bottom w:val="single" w:sz="4" w:space="0" w:color="auto"/>
              <w:right w:val="single" w:sz="4" w:space="0" w:color="auto"/>
            </w:tcBorders>
            <w:shd w:val="clear" w:color="auto" w:fill="auto"/>
            <w:noWrap/>
            <w:vAlign w:val="center"/>
            <w:hideMark/>
          </w:tcPr>
          <w:p w14:paraId="73CF5787"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884" w:type="dxa"/>
            <w:tcBorders>
              <w:top w:val="double" w:sz="4" w:space="0" w:color="auto"/>
              <w:left w:val="nil"/>
              <w:bottom w:val="single" w:sz="4" w:space="0" w:color="auto"/>
              <w:right w:val="double" w:sz="4" w:space="0" w:color="auto"/>
            </w:tcBorders>
            <w:shd w:val="clear" w:color="auto" w:fill="auto"/>
            <w:noWrap/>
            <w:vAlign w:val="center"/>
            <w:hideMark/>
          </w:tcPr>
          <w:p w14:paraId="745DDA4A"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r>
      <w:tr w:rsidR="00E7034E" w:rsidRPr="00350D02" w14:paraId="5AE58840" w14:textId="77777777" w:rsidTr="00D34B75">
        <w:trPr>
          <w:trHeight w:val="300"/>
        </w:trPr>
        <w:tc>
          <w:tcPr>
            <w:tcW w:w="1965" w:type="dxa"/>
            <w:tcBorders>
              <w:top w:val="single" w:sz="4" w:space="0" w:color="auto"/>
              <w:left w:val="double" w:sz="4" w:space="0" w:color="auto"/>
              <w:bottom w:val="single" w:sz="4" w:space="0" w:color="auto"/>
              <w:right w:val="single" w:sz="4" w:space="0" w:color="auto"/>
            </w:tcBorders>
            <w:shd w:val="clear" w:color="auto" w:fill="auto"/>
            <w:noWrap/>
            <w:vAlign w:val="center"/>
          </w:tcPr>
          <w:p w14:paraId="518C7D61" w14:textId="77777777" w:rsidR="00E7034E" w:rsidRPr="00350D02" w:rsidRDefault="00E7034E" w:rsidP="006D1D87">
            <w:pPr>
              <w:ind w:left="240"/>
              <w:jc w:val="left"/>
              <w:rPr>
                <w:rFonts w:eastAsia="Times New Roman" w:cs="Times New Roman"/>
                <w:color w:val="000000"/>
                <w:sz w:val="20"/>
                <w:szCs w:val="20"/>
              </w:rPr>
            </w:pPr>
            <w:r w:rsidRPr="00350D02">
              <w:rPr>
                <w:rFonts w:eastAsia="Times New Roman" w:cs="Times New Roman"/>
                <w:color w:val="000000"/>
                <w:sz w:val="20"/>
                <w:szCs w:val="20"/>
              </w:rPr>
              <w:t>Possible and non-incapacitating injury</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15B2D78B"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-0.081</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903B927"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-1.710</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tcPr>
          <w:p w14:paraId="6EE2D5D9"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0F32C704"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2A09AE8F"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07A7013"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042A77BA"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C3FC07B"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64C82B70"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6E375228"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tcPr>
          <w:p w14:paraId="5B57CD01"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884" w:type="dxa"/>
            <w:tcBorders>
              <w:top w:val="single" w:sz="4" w:space="0" w:color="auto"/>
              <w:left w:val="nil"/>
              <w:bottom w:val="single" w:sz="4" w:space="0" w:color="auto"/>
              <w:right w:val="double" w:sz="4" w:space="0" w:color="auto"/>
            </w:tcBorders>
            <w:shd w:val="clear" w:color="auto" w:fill="auto"/>
            <w:noWrap/>
            <w:vAlign w:val="center"/>
          </w:tcPr>
          <w:p w14:paraId="52607E99"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r>
      <w:tr w:rsidR="00E7034E" w:rsidRPr="00350D02" w14:paraId="6ED2FB36" w14:textId="77777777" w:rsidTr="00D34B75">
        <w:trPr>
          <w:trHeight w:val="300"/>
        </w:trPr>
        <w:tc>
          <w:tcPr>
            <w:tcW w:w="1965" w:type="dxa"/>
            <w:tcBorders>
              <w:top w:val="single" w:sz="4" w:space="0" w:color="auto"/>
              <w:left w:val="double" w:sz="4" w:space="0" w:color="auto"/>
              <w:bottom w:val="single" w:sz="4" w:space="0" w:color="auto"/>
              <w:right w:val="single" w:sz="4" w:space="0" w:color="auto"/>
            </w:tcBorders>
            <w:shd w:val="clear" w:color="auto" w:fill="auto"/>
            <w:noWrap/>
            <w:vAlign w:val="center"/>
          </w:tcPr>
          <w:p w14:paraId="32A8E2D5" w14:textId="77777777" w:rsidR="00E7034E" w:rsidRPr="00350D02" w:rsidRDefault="00E7034E" w:rsidP="006D1D87">
            <w:pPr>
              <w:ind w:left="150"/>
              <w:jc w:val="left"/>
              <w:rPr>
                <w:rFonts w:eastAsia="Times New Roman" w:cs="Times New Roman"/>
                <w:color w:val="000000"/>
                <w:sz w:val="20"/>
                <w:szCs w:val="20"/>
              </w:rPr>
            </w:pPr>
            <w:r w:rsidRPr="00350D02">
              <w:rPr>
                <w:rFonts w:eastAsia="Times New Roman" w:cs="Times New Roman"/>
                <w:color w:val="000000"/>
                <w:sz w:val="20"/>
                <w:szCs w:val="20"/>
              </w:rPr>
              <w:t>Local road</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1412C838"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F97C0B8"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tcPr>
          <w:p w14:paraId="6BC92B68"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1F932972"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6BA9CD35"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C325F70"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63844F2F"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-0.334</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5DEB5E2"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-2.128</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2BF489F3"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5F5D09DD"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tcPr>
          <w:p w14:paraId="0F505448"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-0.334</w:t>
            </w:r>
          </w:p>
        </w:tc>
        <w:tc>
          <w:tcPr>
            <w:tcW w:w="884" w:type="dxa"/>
            <w:tcBorders>
              <w:top w:val="single" w:sz="4" w:space="0" w:color="auto"/>
              <w:left w:val="nil"/>
              <w:bottom w:val="single" w:sz="4" w:space="0" w:color="auto"/>
              <w:right w:val="double" w:sz="4" w:space="0" w:color="auto"/>
            </w:tcBorders>
            <w:shd w:val="clear" w:color="auto" w:fill="auto"/>
            <w:noWrap/>
            <w:vAlign w:val="center"/>
          </w:tcPr>
          <w:p w14:paraId="17BDFE57"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-2.128</w:t>
            </w:r>
          </w:p>
        </w:tc>
      </w:tr>
      <w:tr w:rsidR="00E7034E" w:rsidRPr="00350D02" w14:paraId="46BD5607" w14:textId="77777777" w:rsidTr="00D34B75">
        <w:trPr>
          <w:trHeight w:val="300"/>
        </w:trPr>
        <w:tc>
          <w:tcPr>
            <w:tcW w:w="1965" w:type="dxa"/>
            <w:tcBorders>
              <w:top w:val="single" w:sz="4" w:space="0" w:color="auto"/>
              <w:left w:val="double" w:sz="4" w:space="0" w:color="auto"/>
              <w:bottom w:val="single" w:sz="4" w:space="0" w:color="auto"/>
              <w:right w:val="single" w:sz="4" w:space="0" w:color="auto"/>
            </w:tcBorders>
            <w:shd w:val="clear" w:color="auto" w:fill="auto"/>
            <w:noWrap/>
            <w:vAlign w:val="center"/>
          </w:tcPr>
          <w:p w14:paraId="2EFC3BE2" w14:textId="77777777" w:rsidR="00E7034E" w:rsidRPr="00350D02" w:rsidRDefault="00E7034E" w:rsidP="006D1D87">
            <w:pPr>
              <w:ind w:left="150"/>
              <w:jc w:val="left"/>
              <w:rPr>
                <w:rFonts w:eastAsia="Times New Roman" w:cs="Times New Roman"/>
                <w:color w:val="000000"/>
                <w:sz w:val="20"/>
                <w:szCs w:val="20"/>
              </w:rPr>
            </w:pPr>
            <w:r w:rsidRPr="00350D02">
              <w:rPr>
                <w:rFonts w:eastAsia="Times New Roman" w:cs="Times New Roman"/>
                <w:color w:val="000000"/>
                <w:sz w:val="20"/>
                <w:szCs w:val="20"/>
              </w:rPr>
              <w:t>Number of intersections</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1D920AEB"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6B9AD98"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tcPr>
          <w:p w14:paraId="1C4559FE"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2B9A1A79"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51F66C72"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75AB3F1B"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45A0EC04"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-0.051</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98B1D02"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-3.564</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78E4C178"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-0.051</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7ADF206F"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-3.564</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tcPr>
          <w:p w14:paraId="5CEC4EAA"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884" w:type="dxa"/>
            <w:tcBorders>
              <w:top w:val="single" w:sz="4" w:space="0" w:color="auto"/>
              <w:left w:val="nil"/>
              <w:bottom w:val="single" w:sz="4" w:space="0" w:color="auto"/>
              <w:right w:val="double" w:sz="4" w:space="0" w:color="auto"/>
            </w:tcBorders>
            <w:shd w:val="clear" w:color="auto" w:fill="auto"/>
            <w:noWrap/>
            <w:vAlign w:val="center"/>
          </w:tcPr>
          <w:p w14:paraId="7092B1D6"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r>
      <w:tr w:rsidR="00E7034E" w:rsidRPr="00350D02" w14:paraId="54ECDEA6" w14:textId="77777777" w:rsidTr="00D34B75">
        <w:trPr>
          <w:trHeight w:val="300"/>
        </w:trPr>
        <w:tc>
          <w:tcPr>
            <w:tcW w:w="1965" w:type="dxa"/>
            <w:tcBorders>
              <w:top w:val="nil"/>
              <w:left w:val="double" w:sz="4" w:space="0" w:color="auto"/>
              <w:bottom w:val="single" w:sz="4" w:space="0" w:color="auto"/>
              <w:right w:val="single" w:sz="4" w:space="0" w:color="auto"/>
            </w:tcBorders>
            <w:shd w:val="clear" w:color="auto" w:fill="auto"/>
            <w:noWrap/>
            <w:vAlign w:val="center"/>
            <w:hideMark/>
          </w:tcPr>
          <w:p w14:paraId="689A2AF9" w14:textId="77777777" w:rsidR="00E7034E" w:rsidRPr="00350D02" w:rsidRDefault="00E7034E" w:rsidP="006D1D87">
            <w:pPr>
              <w:ind w:left="150"/>
              <w:jc w:val="left"/>
              <w:rPr>
                <w:rFonts w:eastAsia="Times New Roman" w:cs="Times New Roman"/>
                <w:color w:val="000000"/>
                <w:sz w:val="20"/>
                <w:szCs w:val="20"/>
              </w:rPr>
            </w:pPr>
            <w:r w:rsidRPr="00350D02">
              <w:rPr>
                <w:rFonts w:eastAsia="Times New Roman" w:cs="Times New Roman"/>
                <w:color w:val="000000"/>
                <w:sz w:val="20"/>
                <w:szCs w:val="20"/>
              </w:rPr>
              <w:t>Traffic signal</w:t>
            </w:r>
          </w:p>
        </w:tc>
        <w:tc>
          <w:tcPr>
            <w:tcW w:w="916" w:type="dxa"/>
            <w:tcBorders>
              <w:top w:val="nil"/>
              <w:left w:val="nil"/>
              <w:bottom w:val="single" w:sz="4" w:space="0" w:color="auto"/>
              <w:right w:val="single" w:sz="4" w:space="0" w:color="auto"/>
            </w:tcBorders>
            <w:shd w:val="clear" w:color="auto" w:fill="auto"/>
            <w:noWrap/>
            <w:vAlign w:val="center"/>
            <w:hideMark/>
          </w:tcPr>
          <w:p w14:paraId="7D6F89E4"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879" w:type="dxa"/>
            <w:tcBorders>
              <w:top w:val="nil"/>
              <w:left w:val="nil"/>
              <w:bottom w:val="single" w:sz="4" w:space="0" w:color="auto"/>
              <w:right w:val="single" w:sz="4" w:space="0" w:color="auto"/>
            </w:tcBorders>
            <w:shd w:val="clear" w:color="auto" w:fill="auto"/>
            <w:noWrap/>
            <w:vAlign w:val="center"/>
            <w:hideMark/>
          </w:tcPr>
          <w:p w14:paraId="3B09DE33"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hideMark/>
          </w:tcPr>
          <w:p w14:paraId="049E1370"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-0.040</w:t>
            </w:r>
          </w:p>
        </w:tc>
        <w:tc>
          <w:tcPr>
            <w:tcW w:w="900" w:type="dxa"/>
            <w:tcBorders>
              <w:top w:val="nil"/>
              <w:left w:val="nil"/>
              <w:bottom w:val="single" w:sz="4" w:space="0" w:color="auto"/>
              <w:right w:val="single" w:sz="4" w:space="0" w:color="auto"/>
            </w:tcBorders>
            <w:shd w:val="clear" w:color="auto" w:fill="auto"/>
            <w:noWrap/>
            <w:vAlign w:val="center"/>
            <w:hideMark/>
          </w:tcPr>
          <w:p w14:paraId="3F5C590C"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-4.192</w:t>
            </w:r>
          </w:p>
        </w:tc>
        <w:tc>
          <w:tcPr>
            <w:tcW w:w="916" w:type="dxa"/>
            <w:tcBorders>
              <w:top w:val="nil"/>
              <w:left w:val="nil"/>
              <w:bottom w:val="single" w:sz="4" w:space="0" w:color="auto"/>
              <w:right w:val="single" w:sz="4" w:space="0" w:color="auto"/>
            </w:tcBorders>
            <w:shd w:val="clear" w:color="auto" w:fill="auto"/>
            <w:noWrap/>
            <w:vAlign w:val="center"/>
            <w:hideMark/>
          </w:tcPr>
          <w:p w14:paraId="54D10563"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-0.040</w:t>
            </w:r>
          </w:p>
        </w:tc>
        <w:tc>
          <w:tcPr>
            <w:tcW w:w="900" w:type="dxa"/>
            <w:tcBorders>
              <w:top w:val="nil"/>
              <w:left w:val="nil"/>
              <w:bottom w:val="single" w:sz="4" w:space="0" w:color="auto"/>
              <w:right w:val="single" w:sz="4" w:space="0" w:color="auto"/>
            </w:tcBorders>
            <w:shd w:val="clear" w:color="auto" w:fill="auto"/>
            <w:noWrap/>
            <w:vAlign w:val="center"/>
            <w:hideMark/>
          </w:tcPr>
          <w:p w14:paraId="71C8939C"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-4.192</w:t>
            </w:r>
          </w:p>
        </w:tc>
        <w:tc>
          <w:tcPr>
            <w:tcW w:w="916" w:type="dxa"/>
            <w:tcBorders>
              <w:top w:val="nil"/>
              <w:left w:val="nil"/>
              <w:bottom w:val="single" w:sz="4" w:space="0" w:color="auto"/>
              <w:right w:val="single" w:sz="4" w:space="0" w:color="auto"/>
            </w:tcBorders>
            <w:shd w:val="clear" w:color="auto" w:fill="auto"/>
            <w:noWrap/>
            <w:vAlign w:val="center"/>
            <w:hideMark/>
          </w:tcPr>
          <w:p w14:paraId="36D3B00C"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-0.040</w:t>
            </w:r>
          </w:p>
        </w:tc>
        <w:tc>
          <w:tcPr>
            <w:tcW w:w="900" w:type="dxa"/>
            <w:tcBorders>
              <w:top w:val="nil"/>
              <w:left w:val="nil"/>
              <w:bottom w:val="single" w:sz="4" w:space="0" w:color="auto"/>
              <w:right w:val="single" w:sz="4" w:space="0" w:color="auto"/>
            </w:tcBorders>
            <w:shd w:val="clear" w:color="auto" w:fill="auto"/>
            <w:noWrap/>
            <w:vAlign w:val="center"/>
            <w:hideMark/>
          </w:tcPr>
          <w:p w14:paraId="7215973F"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-4.192</w:t>
            </w:r>
          </w:p>
        </w:tc>
        <w:tc>
          <w:tcPr>
            <w:tcW w:w="916" w:type="dxa"/>
            <w:tcBorders>
              <w:top w:val="nil"/>
              <w:left w:val="nil"/>
              <w:bottom w:val="single" w:sz="4" w:space="0" w:color="auto"/>
              <w:right w:val="single" w:sz="4" w:space="0" w:color="auto"/>
            </w:tcBorders>
            <w:shd w:val="clear" w:color="auto" w:fill="auto"/>
            <w:noWrap/>
            <w:vAlign w:val="center"/>
            <w:hideMark/>
          </w:tcPr>
          <w:p w14:paraId="41583264"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31" w:type="dxa"/>
            <w:tcBorders>
              <w:top w:val="nil"/>
              <w:left w:val="nil"/>
              <w:bottom w:val="single" w:sz="4" w:space="0" w:color="auto"/>
              <w:right w:val="single" w:sz="4" w:space="0" w:color="auto"/>
            </w:tcBorders>
            <w:shd w:val="clear" w:color="auto" w:fill="auto"/>
            <w:noWrap/>
            <w:vAlign w:val="center"/>
            <w:hideMark/>
          </w:tcPr>
          <w:p w14:paraId="6F91EC62"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hideMark/>
          </w:tcPr>
          <w:p w14:paraId="4C26656F"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884" w:type="dxa"/>
            <w:tcBorders>
              <w:top w:val="nil"/>
              <w:left w:val="nil"/>
              <w:bottom w:val="single" w:sz="4" w:space="0" w:color="auto"/>
              <w:right w:val="double" w:sz="4" w:space="0" w:color="auto"/>
            </w:tcBorders>
            <w:shd w:val="clear" w:color="auto" w:fill="auto"/>
            <w:noWrap/>
            <w:vAlign w:val="center"/>
            <w:hideMark/>
          </w:tcPr>
          <w:p w14:paraId="780E3AA6"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r>
      <w:tr w:rsidR="00E7034E" w:rsidRPr="00350D02" w14:paraId="316444BD" w14:textId="77777777" w:rsidTr="00D34B75">
        <w:trPr>
          <w:trHeight w:val="300"/>
        </w:trPr>
        <w:tc>
          <w:tcPr>
            <w:tcW w:w="1965" w:type="dxa"/>
            <w:tcBorders>
              <w:top w:val="nil"/>
              <w:left w:val="double" w:sz="4" w:space="0" w:color="auto"/>
              <w:bottom w:val="single" w:sz="4" w:space="0" w:color="auto"/>
              <w:right w:val="single" w:sz="4" w:space="0" w:color="auto"/>
            </w:tcBorders>
            <w:shd w:val="clear" w:color="auto" w:fill="auto"/>
            <w:noWrap/>
            <w:vAlign w:val="center"/>
          </w:tcPr>
          <w:p w14:paraId="1E267952" w14:textId="77777777" w:rsidR="00E7034E" w:rsidRPr="00350D02" w:rsidRDefault="00E7034E" w:rsidP="006D1D87">
            <w:pPr>
              <w:ind w:left="150"/>
              <w:jc w:val="left"/>
              <w:rPr>
                <w:rFonts w:eastAsia="Times New Roman" w:cs="Times New Roman"/>
                <w:color w:val="000000"/>
                <w:sz w:val="20"/>
                <w:szCs w:val="20"/>
              </w:rPr>
            </w:pPr>
            <w:r w:rsidRPr="00350D02">
              <w:rPr>
                <w:rFonts w:eastAsia="Times New Roman" w:cs="Times New Roman"/>
                <w:color w:val="000000"/>
                <w:sz w:val="20"/>
                <w:szCs w:val="20"/>
              </w:rPr>
              <w:t>Average inside shoulder width</w:t>
            </w:r>
          </w:p>
        </w:tc>
        <w:tc>
          <w:tcPr>
            <w:tcW w:w="916" w:type="dxa"/>
            <w:tcBorders>
              <w:top w:val="nil"/>
              <w:left w:val="nil"/>
              <w:bottom w:val="single" w:sz="4" w:space="0" w:color="auto"/>
              <w:right w:val="single" w:sz="4" w:space="0" w:color="auto"/>
            </w:tcBorders>
            <w:shd w:val="clear" w:color="auto" w:fill="auto"/>
            <w:noWrap/>
            <w:vAlign w:val="center"/>
          </w:tcPr>
          <w:p w14:paraId="450911A9"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879" w:type="dxa"/>
            <w:tcBorders>
              <w:top w:val="nil"/>
              <w:left w:val="nil"/>
              <w:bottom w:val="single" w:sz="4" w:space="0" w:color="auto"/>
              <w:right w:val="single" w:sz="4" w:space="0" w:color="auto"/>
            </w:tcBorders>
            <w:shd w:val="clear" w:color="auto" w:fill="auto"/>
            <w:noWrap/>
            <w:vAlign w:val="center"/>
          </w:tcPr>
          <w:p w14:paraId="07F75631"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tcPr>
          <w:p w14:paraId="36B24874"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70925BE2"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tcPr>
          <w:p w14:paraId="39DBF3D3"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-0.171</w:t>
            </w:r>
          </w:p>
        </w:tc>
        <w:tc>
          <w:tcPr>
            <w:tcW w:w="900" w:type="dxa"/>
            <w:tcBorders>
              <w:top w:val="nil"/>
              <w:left w:val="nil"/>
              <w:bottom w:val="single" w:sz="4" w:space="0" w:color="auto"/>
              <w:right w:val="single" w:sz="4" w:space="0" w:color="auto"/>
            </w:tcBorders>
            <w:shd w:val="clear" w:color="auto" w:fill="auto"/>
            <w:noWrap/>
            <w:vAlign w:val="center"/>
          </w:tcPr>
          <w:p w14:paraId="4625AFE8"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-3.479</w:t>
            </w:r>
          </w:p>
        </w:tc>
        <w:tc>
          <w:tcPr>
            <w:tcW w:w="916" w:type="dxa"/>
            <w:tcBorders>
              <w:top w:val="nil"/>
              <w:left w:val="nil"/>
              <w:bottom w:val="single" w:sz="4" w:space="0" w:color="auto"/>
              <w:right w:val="single" w:sz="4" w:space="0" w:color="auto"/>
            </w:tcBorders>
            <w:shd w:val="clear" w:color="auto" w:fill="auto"/>
            <w:noWrap/>
            <w:vAlign w:val="center"/>
          </w:tcPr>
          <w:p w14:paraId="2EDA3159"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03A3E38D"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tcPr>
          <w:p w14:paraId="415D3EE3"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31" w:type="dxa"/>
            <w:tcBorders>
              <w:top w:val="nil"/>
              <w:left w:val="nil"/>
              <w:bottom w:val="single" w:sz="4" w:space="0" w:color="auto"/>
              <w:right w:val="single" w:sz="4" w:space="0" w:color="auto"/>
            </w:tcBorders>
            <w:shd w:val="clear" w:color="auto" w:fill="auto"/>
            <w:noWrap/>
            <w:vAlign w:val="center"/>
          </w:tcPr>
          <w:p w14:paraId="314259D1"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tcPr>
          <w:p w14:paraId="597C681D"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884" w:type="dxa"/>
            <w:tcBorders>
              <w:top w:val="nil"/>
              <w:left w:val="nil"/>
              <w:bottom w:val="single" w:sz="4" w:space="0" w:color="auto"/>
              <w:right w:val="double" w:sz="4" w:space="0" w:color="auto"/>
            </w:tcBorders>
            <w:shd w:val="clear" w:color="auto" w:fill="auto"/>
            <w:noWrap/>
            <w:vAlign w:val="center"/>
          </w:tcPr>
          <w:p w14:paraId="14B2FB6D"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r>
      <w:tr w:rsidR="00E7034E" w:rsidRPr="00350D02" w14:paraId="55FDBB61" w14:textId="77777777" w:rsidTr="00D34B75">
        <w:trPr>
          <w:trHeight w:val="300"/>
        </w:trPr>
        <w:tc>
          <w:tcPr>
            <w:tcW w:w="1965" w:type="dxa"/>
            <w:tcBorders>
              <w:top w:val="nil"/>
              <w:left w:val="double" w:sz="4" w:space="0" w:color="auto"/>
              <w:bottom w:val="single" w:sz="4" w:space="0" w:color="auto"/>
              <w:right w:val="single" w:sz="4" w:space="0" w:color="auto"/>
            </w:tcBorders>
            <w:shd w:val="clear" w:color="auto" w:fill="auto"/>
            <w:noWrap/>
            <w:vAlign w:val="center"/>
          </w:tcPr>
          <w:p w14:paraId="6EADCCB7" w14:textId="77777777" w:rsidR="00E7034E" w:rsidRPr="00350D02" w:rsidRDefault="00E7034E" w:rsidP="006D1D87">
            <w:pPr>
              <w:ind w:left="150"/>
              <w:jc w:val="left"/>
              <w:rPr>
                <w:rFonts w:eastAsia="Times New Roman" w:cs="Times New Roman"/>
                <w:color w:val="000000"/>
                <w:sz w:val="20"/>
                <w:szCs w:val="20"/>
              </w:rPr>
            </w:pPr>
            <w:r w:rsidRPr="00350D02">
              <w:rPr>
                <w:rFonts w:eastAsia="Times New Roman" w:cs="Times New Roman"/>
                <w:color w:val="000000"/>
                <w:sz w:val="20"/>
                <w:szCs w:val="20"/>
              </w:rPr>
              <w:t>Average outside shoulder width</w:t>
            </w:r>
          </w:p>
        </w:tc>
        <w:tc>
          <w:tcPr>
            <w:tcW w:w="916" w:type="dxa"/>
            <w:tcBorders>
              <w:top w:val="nil"/>
              <w:left w:val="nil"/>
              <w:bottom w:val="single" w:sz="4" w:space="0" w:color="auto"/>
              <w:right w:val="single" w:sz="4" w:space="0" w:color="auto"/>
            </w:tcBorders>
            <w:shd w:val="clear" w:color="auto" w:fill="auto"/>
            <w:noWrap/>
            <w:vAlign w:val="center"/>
          </w:tcPr>
          <w:p w14:paraId="1C938251"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-0.046</w:t>
            </w:r>
          </w:p>
        </w:tc>
        <w:tc>
          <w:tcPr>
            <w:tcW w:w="879" w:type="dxa"/>
            <w:tcBorders>
              <w:top w:val="nil"/>
              <w:left w:val="nil"/>
              <w:bottom w:val="single" w:sz="4" w:space="0" w:color="auto"/>
              <w:right w:val="single" w:sz="4" w:space="0" w:color="auto"/>
            </w:tcBorders>
            <w:shd w:val="clear" w:color="auto" w:fill="auto"/>
            <w:noWrap/>
            <w:vAlign w:val="center"/>
          </w:tcPr>
          <w:p w14:paraId="61FB1E63"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-1.702</w:t>
            </w:r>
          </w:p>
        </w:tc>
        <w:tc>
          <w:tcPr>
            <w:tcW w:w="916" w:type="dxa"/>
            <w:gridSpan w:val="2"/>
            <w:tcBorders>
              <w:top w:val="nil"/>
              <w:left w:val="nil"/>
              <w:bottom w:val="single" w:sz="4" w:space="0" w:color="auto"/>
              <w:right w:val="single" w:sz="4" w:space="0" w:color="auto"/>
            </w:tcBorders>
            <w:shd w:val="clear" w:color="auto" w:fill="auto"/>
            <w:noWrap/>
            <w:vAlign w:val="center"/>
          </w:tcPr>
          <w:p w14:paraId="79C9A84F"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484AD190"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tcPr>
          <w:p w14:paraId="79566CAE"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03945A95"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tcPr>
          <w:p w14:paraId="6D63B3E8"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24F9CAD0"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tcPr>
          <w:p w14:paraId="1DE64709"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31" w:type="dxa"/>
            <w:tcBorders>
              <w:top w:val="nil"/>
              <w:left w:val="nil"/>
              <w:bottom w:val="single" w:sz="4" w:space="0" w:color="auto"/>
              <w:right w:val="single" w:sz="4" w:space="0" w:color="auto"/>
            </w:tcBorders>
            <w:shd w:val="clear" w:color="auto" w:fill="auto"/>
            <w:noWrap/>
            <w:vAlign w:val="center"/>
          </w:tcPr>
          <w:p w14:paraId="263FE3F6"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tcPr>
          <w:p w14:paraId="7C1916FA"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884" w:type="dxa"/>
            <w:tcBorders>
              <w:top w:val="nil"/>
              <w:left w:val="nil"/>
              <w:bottom w:val="single" w:sz="4" w:space="0" w:color="auto"/>
              <w:right w:val="double" w:sz="4" w:space="0" w:color="auto"/>
            </w:tcBorders>
            <w:shd w:val="clear" w:color="auto" w:fill="auto"/>
            <w:noWrap/>
            <w:vAlign w:val="center"/>
          </w:tcPr>
          <w:p w14:paraId="69936104"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r>
      <w:tr w:rsidR="00E7034E" w:rsidRPr="00350D02" w14:paraId="58A19752" w14:textId="77777777" w:rsidTr="00D34B75">
        <w:trPr>
          <w:trHeight w:val="300"/>
        </w:trPr>
        <w:tc>
          <w:tcPr>
            <w:tcW w:w="1965" w:type="dxa"/>
            <w:tcBorders>
              <w:top w:val="nil"/>
              <w:left w:val="double" w:sz="4" w:space="0" w:color="auto"/>
              <w:bottom w:val="single" w:sz="4" w:space="0" w:color="auto"/>
              <w:right w:val="single" w:sz="4" w:space="0" w:color="auto"/>
            </w:tcBorders>
            <w:shd w:val="clear" w:color="auto" w:fill="auto"/>
            <w:noWrap/>
            <w:vAlign w:val="center"/>
          </w:tcPr>
          <w:p w14:paraId="020A6BC8" w14:textId="77777777" w:rsidR="00E7034E" w:rsidRPr="00350D02" w:rsidRDefault="00E7034E" w:rsidP="006D1D87">
            <w:pPr>
              <w:ind w:left="150"/>
              <w:jc w:val="left"/>
              <w:rPr>
                <w:rFonts w:eastAsia="Times New Roman" w:cs="Times New Roman"/>
                <w:color w:val="000000"/>
                <w:sz w:val="20"/>
                <w:szCs w:val="20"/>
              </w:rPr>
            </w:pPr>
            <w:r w:rsidRPr="00350D02">
              <w:rPr>
                <w:rFonts w:eastAsia="Times New Roman" w:cs="Times New Roman"/>
                <w:color w:val="000000"/>
                <w:sz w:val="20"/>
                <w:szCs w:val="20"/>
              </w:rPr>
              <w:t>Proportion of road over 55mph speed</w:t>
            </w:r>
          </w:p>
        </w:tc>
        <w:tc>
          <w:tcPr>
            <w:tcW w:w="916" w:type="dxa"/>
            <w:tcBorders>
              <w:top w:val="nil"/>
              <w:left w:val="nil"/>
              <w:bottom w:val="single" w:sz="4" w:space="0" w:color="auto"/>
              <w:right w:val="single" w:sz="4" w:space="0" w:color="auto"/>
            </w:tcBorders>
            <w:shd w:val="clear" w:color="auto" w:fill="auto"/>
            <w:noWrap/>
            <w:vAlign w:val="center"/>
          </w:tcPr>
          <w:p w14:paraId="64D58E94"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0.330</w:t>
            </w:r>
          </w:p>
        </w:tc>
        <w:tc>
          <w:tcPr>
            <w:tcW w:w="879" w:type="dxa"/>
            <w:tcBorders>
              <w:top w:val="nil"/>
              <w:left w:val="nil"/>
              <w:bottom w:val="single" w:sz="4" w:space="0" w:color="auto"/>
              <w:right w:val="single" w:sz="4" w:space="0" w:color="auto"/>
            </w:tcBorders>
            <w:shd w:val="clear" w:color="auto" w:fill="auto"/>
            <w:noWrap/>
            <w:vAlign w:val="center"/>
          </w:tcPr>
          <w:p w14:paraId="6FCBA313"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5.101</w:t>
            </w:r>
          </w:p>
        </w:tc>
        <w:tc>
          <w:tcPr>
            <w:tcW w:w="916" w:type="dxa"/>
            <w:gridSpan w:val="2"/>
            <w:tcBorders>
              <w:top w:val="nil"/>
              <w:left w:val="nil"/>
              <w:bottom w:val="single" w:sz="4" w:space="0" w:color="auto"/>
              <w:right w:val="single" w:sz="4" w:space="0" w:color="auto"/>
            </w:tcBorders>
            <w:shd w:val="clear" w:color="auto" w:fill="auto"/>
            <w:noWrap/>
            <w:vAlign w:val="center"/>
          </w:tcPr>
          <w:p w14:paraId="723C028A"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0.330</w:t>
            </w:r>
          </w:p>
        </w:tc>
        <w:tc>
          <w:tcPr>
            <w:tcW w:w="900" w:type="dxa"/>
            <w:tcBorders>
              <w:top w:val="nil"/>
              <w:left w:val="nil"/>
              <w:bottom w:val="single" w:sz="4" w:space="0" w:color="auto"/>
              <w:right w:val="single" w:sz="4" w:space="0" w:color="auto"/>
            </w:tcBorders>
            <w:shd w:val="clear" w:color="auto" w:fill="auto"/>
            <w:noWrap/>
            <w:vAlign w:val="center"/>
          </w:tcPr>
          <w:p w14:paraId="033A650B"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5.101</w:t>
            </w:r>
          </w:p>
        </w:tc>
        <w:tc>
          <w:tcPr>
            <w:tcW w:w="916" w:type="dxa"/>
            <w:tcBorders>
              <w:top w:val="nil"/>
              <w:left w:val="nil"/>
              <w:bottom w:val="single" w:sz="4" w:space="0" w:color="auto"/>
              <w:right w:val="single" w:sz="4" w:space="0" w:color="auto"/>
            </w:tcBorders>
            <w:shd w:val="clear" w:color="auto" w:fill="auto"/>
            <w:noWrap/>
            <w:vAlign w:val="center"/>
          </w:tcPr>
          <w:p w14:paraId="724302AD"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0FCAA316"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tcPr>
          <w:p w14:paraId="6BDF2D53"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0.876</w:t>
            </w:r>
          </w:p>
        </w:tc>
        <w:tc>
          <w:tcPr>
            <w:tcW w:w="900" w:type="dxa"/>
            <w:tcBorders>
              <w:top w:val="nil"/>
              <w:left w:val="nil"/>
              <w:bottom w:val="single" w:sz="4" w:space="0" w:color="auto"/>
              <w:right w:val="single" w:sz="4" w:space="0" w:color="auto"/>
            </w:tcBorders>
            <w:shd w:val="clear" w:color="auto" w:fill="auto"/>
            <w:noWrap/>
            <w:vAlign w:val="center"/>
          </w:tcPr>
          <w:p w14:paraId="6BDABB0A"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3.026</w:t>
            </w:r>
          </w:p>
        </w:tc>
        <w:tc>
          <w:tcPr>
            <w:tcW w:w="916" w:type="dxa"/>
            <w:tcBorders>
              <w:top w:val="nil"/>
              <w:left w:val="nil"/>
              <w:bottom w:val="single" w:sz="4" w:space="0" w:color="auto"/>
              <w:right w:val="single" w:sz="4" w:space="0" w:color="auto"/>
            </w:tcBorders>
            <w:shd w:val="clear" w:color="auto" w:fill="auto"/>
            <w:noWrap/>
            <w:vAlign w:val="center"/>
          </w:tcPr>
          <w:p w14:paraId="4146726F"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0.330</w:t>
            </w:r>
          </w:p>
        </w:tc>
        <w:tc>
          <w:tcPr>
            <w:tcW w:w="931" w:type="dxa"/>
            <w:tcBorders>
              <w:top w:val="nil"/>
              <w:left w:val="nil"/>
              <w:bottom w:val="single" w:sz="4" w:space="0" w:color="auto"/>
              <w:right w:val="single" w:sz="4" w:space="0" w:color="auto"/>
            </w:tcBorders>
            <w:shd w:val="clear" w:color="auto" w:fill="auto"/>
            <w:noWrap/>
            <w:vAlign w:val="center"/>
          </w:tcPr>
          <w:p w14:paraId="46A0D348"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5.101</w:t>
            </w:r>
          </w:p>
        </w:tc>
        <w:tc>
          <w:tcPr>
            <w:tcW w:w="916" w:type="dxa"/>
            <w:gridSpan w:val="2"/>
            <w:tcBorders>
              <w:top w:val="nil"/>
              <w:left w:val="nil"/>
              <w:bottom w:val="single" w:sz="4" w:space="0" w:color="auto"/>
              <w:right w:val="single" w:sz="4" w:space="0" w:color="auto"/>
            </w:tcBorders>
            <w:shd w:val="clear" w:color="auto" w:fill="auto"/>
            <w:noWrap/>
            <w:vAlign w:val="center"/>
          </w:tcPr>
          <w:p w14:paraId="22D64B86"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0.330</w:t>
            </w:r>
          </w:p>
        </w:tc>
        <w:tc>
          <w:tcPr>
            <w:tcW w:w="884" w:type="dxa"/>
            <w:tcBorders>
              <w:top w:val="nil"/>
              <w:left w:val="nil"/>
              <w:bottom w:val="single" w:sz="4" w:space="0" w:color="auto"/>
              <w:right w:val="double" w:sz="4" w:space="0" w:color="auto"/>
            </w:tcBorders>
            <w:shd w:val="clear" w:color="auto" w:fill="auto"/>
            <w:noWrap/>
            <w:vAlign w:val="center"/>
          </w:tcPr>
          <w:p w14:paraId="121C0968"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5.101</w:t>
            </w:r>
          </w:p>
        </w:tc>
      </w:tr>
      <w:tr w:rsidR="00E7034E" w:rsidRPr="00350D02" w14:paraId="003931A8" w14:textId="77777777" w:rsidTr="00D34B75">
        <w:trPr>
          <w:trHeight w:val="300"/>
        </w:trPr>
        <w:tc>
          <w:tcPr>
            <w:tcW w:w="1965" w:type="dxa"/>
            <w:tcBorders>
              <w:top w:val="nil"/>
              <w:left w:val="double" w:sz="4" w:space="0" w:color="auto"/>
              <w:bottom w:val="single" w:sz="4" w:space="0" w:color="auto"/>
              <w:right w:val="single" w:sz="4" w:space="0" w:color="auto"/>
            </w:tcBorders>
            <w:shd w:val="clear" w:color="auto" w:fill="auto"/>
            <w:noWrap/>
            <w:vAlign w:val="center"/>
          </w:tcPr>
          <w:p w14:paraId="4A371C00" w14:textId="77777777" w:rsidR="00E7034E" w:rsidRPr="00350D02" w:rsidRDefault="00E7034E" w:rsidP="006D1D87">
            <w:pPr>
              <w:ind w:left="240"/>
              <w:jc w:val="left"/>
              <w:rPr>
                <w:rFonts w:eastAsia="Times New Roman" w:cs="Times New Roman"/>
                <w:color w:val="000000"/>
                <w:sz w:val="20"/>
                <w:szCs w:val="20"/>
              </w:rPr>
            </w:pPr>
            <w:r w:rsidRPr="00350D02">
              <w:rPr>
                <w:rFonts w:eastAsia="Times New Roman" w:cs="Times New Roman"/>
                <w:color w:val="000000"/>
                <w:sz w:val="20"/>
                <w:szCs w:val="20"/>
              </w:rPr>
              <w:t>Non-incapacitating and severe injury</w:t>
            </w:r>
          </w:p>
        </w:tc>
        <w:tc>
          <w:tcPr>
            <w:tcW w:w="916" w:type="dxa"/>
            <w:tcBorders>
              <w:top w:val="nil"/>
              <w:left w:val="nil"/>
              <w:bottom w:val="single" w:sz="4" w:space="0" w:color="auto"/>
              <w:right w:val="single" w:sz="4" w:space="0" w:color="auto"/>
            </w:tcBorders>
            <w:shd w:val="clear" w:color="auto" w:fill="auto"/>
            <w:noWrap/>
            <w:vAlign w:val="center"/>
          </w:tcPr>
          <w:p w14:paraId="3F3A0577"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-0.669</w:t>
            </w:r>
          </w:p>
        </w:tc>
        <w:tc>
          <w:tcPr>
            <w:tcW w:w="879" w:type="dxa"/>
            <w:tcBorders>
              <w:top w:val="nil"/>
              <w:left w:val="nil"/>
              <w:bottom w:val="single" w:sz="4" w:space="0" w:color="auto"/>
              <w:right w:val="single" w:sz="4" w:space="0" w:color="auto"/>
            </w:tcBorders>
            <w:shd w:val="clear" w:color="auto" w:fill="auto"/>
            <w:noWrap/>
            <w:vAlign w:val="center"/>
          </w:tcPr>
          <w:p w14:paraId="2FF07B6D"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-2.965</w:t>
            </w:r>
          </w:p>
        </w:tc>
        <w:tc>
          <w:tcPr>
            <w:tcW w:w="916" w:type="dxa"/>
            <w:gridSpan w:val="2"/>
            <w:tcBorders>
              <w:top w:val="nil"/>
              <w:left w:val="nil"/>
              <w:bottom w:val="single" w:sz="4" w:space="0" w:color="auto"/>
              <w:right w:val="single" w:sz="4" w:space="0" w:color="auto"/>
            </w:tcBorders>
            <w:shd w:val="clear" w:color="auto" w:fill="auto"/>
            <w:noWrap/>
            <w:vAlign w:val="center"/>
          </w:tcPr>
          <w:p w14:paraId="37BBCC3B"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3A96BFC9"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tcPr>
          <w:p w14:paraId="44485F61"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277FF284"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tcPr>
          <w:p w14:paraId="72878977"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54B1A06D"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tcPr>
          <w:p w14:paraId="3D645BBA"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31" w:type="dxa"/>
            <w:tcBorders>
              <w:top w:val="nil"/>
              <w:left w:val="nil"/>
              <w:bottom w:val="single" w:sz="4" w:space="0" w:color="auto"/>
              <w:right w:val="single" w:sz="4" w:space="0" w:color="auto"/>
            </w:tcBorders>
            <w:shd w:val="clear" w:color="auto" w:fill="auto"/>
            <w:noWrap/>
            <w:vAlign w:val="center"/>
          </w:tcPr>
          <w:p w14:paraId="4E1FB826"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tcPr>
          <w:p w14:paraId="31E871E2"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-1.338</w:t>
            </w:r>
          </w:p>
        </w:tc>
        <w:tc>
          <w:tcPr>
            <w:tcW w:w="884" w:type="dxa"/>
            <w:tcBorders>
              <w:top w:val="nil"/>
              <w:left w:val="nil"/>
              <w:bottom w:val="single" w:sz="4" w:space="0" w:color="auto"/>
              <w:right w:val="double" w:sz="4" w:space="0" w:color="auto"/>
            </w:tcBorders>
            <w:shd w:val="clear" w:color="auto" w:fill="auto"/>
            <w:noWrap/>
            <w:vAlign w:val="center"/>
          </w:tcPr>
          <w:p w14:paraId="3D65AA0B"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-3.725</w:t>
            </w:r>
          </w:p>
        </w:tc>
      </w:tr>
      <w:tr w:rsidR="00E7034E" w:rsidRPr="00350D02" w14:paraId="39F3CC42" w14:textId="77777777" w:rsidTr="00D34B75">
        <w:trPr>
          <w:trHeight w:val="300"/>
        </w:trPr>
        <w:tc>
          <w:tcPr>
            <w:tcW w:w="1965" w:type="dxa"/>
            <w:tcBorders>
              <w:top w:val="nil"/>
              <w:left w:val="double" w:sz="4" w:space="0" w:color="auto"/>
              <w:bottom w:val="single" w:sz="4" w:space="0" w:color="auto"/>
              <w:right w:val="single" w:sz="4" w:space="0" w:color="auto"/>
            </w:tcBorders>
            <w:shd w:val="clear" w:color="auto" w:fill="auto"/>
            <w:noWrap/>
            <w:vAlign w:val="center"/>
          </w:tcPr>
          <w:p w14:paraId="2D329C5A" w14:textId="77777777" w:rsidR="00E7034E" w:rsidRPr="00350D02" w:rsidRDefault="00E7034E" w:rsidP="006D1D87">
            <w:pPr>
              <w:ind w:left="150"/>
              <w:jc w:val="left"/>
              <w:rPr>
                <w:rFonts w:eastAsia="Times New Roman" w:cs="Times New Roman"/>
                <w:color w:val="000000"/>
                <w:sz w:val="20"/>
                <w:szCs w:val="20"/>
              </w:rPr>
            </w:pPr>
            <w:r w:rsidRPr="00350D02">
              <w:rPr>
                <w:rFonts w:eastAsia="Times New Roman" w:cs="Times New Roman"/>
                <w:color w:val="000000"/>
                <w:sz w:val="20"/>
                <w:szCs w:val="20"/>
              </w:rPr>
              <w:t>Poor pavement condition</w:t>
            </w:r>
          </w:p>
        </w:tc>
        <w:tc>
          <w:tcPr>
            <w:tcW w:w="916" w:type="dxa"/>
            <w:tcBorders>
              <w:top w:val="nil"/>
              <w:left w:val="nil"/>
              <w:bottom w:val="single" w:sz="4" w:space="0" w:color="auto"/>
              <w:right w:val="single" w:sz="4" w:space="0" w:color="auto"/>
            </w:tcBorders>
            <w:shd w:val="clear" w:color="auto" w:fill="auto"/>
            <w:noWrap/>
            <w:vAlign w:val="center"/>
          </w:tcPr>
          <w:p w14:paraId="09A4E385"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879" w:type="dxa"/>
            <w:tcBorders>
              <w:top w:val="nil"/>
              <w:left w:val="nil"/>
              <w:bottom w:val="single" w:sz="4" w:space="0" w:color="auto"/>
              <w:right w:val="single" w:sz="4" w:space="0" w:color="auto"/>
            </w:tcBorders>
            <w:shd w:val="clear" w:color="auto" w:fill="auto"/>
            <w:noWrap/>
            <w:vAlign w:val="center"/>
          </w:tcPr>
          <w:p w14:paraId="15B9175F"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tcPr>
          <w:p w14:paraId="78C257DF"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52B20756"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tcPr>
          <w:p w14:paraId="12D05BDE"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0.208</w:t>
            </w:r>
          </w:p>
        </w:tc>
        <w:tc>
          <w:tcPr>
            <w:tcW w:w="900" w:type="dxa"/>
            <w:tcBorders>
              <w:top w:val="nil"/>
              <w:left w:val="nil"/>
              <w:bottom w:val="single" w:sz="4" w:space="0" w:color="auto"/>
              <w:right w:val="single" w:sz="4" w:space="0" w:color="auto"/>
            </w:tcBorders>
            <w:shd w:val="clear" w:color="auto" w:fill="auto"/>
            <w:noWrap/>
            <w:vAlign w:val="center"/>
          </w:tcPr>
          <w:p w14:paraId="5E60FD28"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2.821</w:t>
            </w:r>
          </w:p>
        </w:tc>
        <w:tc>
          <w:tcPr>
            <w:tcW w:w="916" w:type="dxa"/>
            <w:tcBorders>
              <w:top w:val="nil"/>
              <w:left w:val="nil"/>
              <w:bottom w:val="single" w:sz="4" w:space="0" w:color="auto"/>
              <w:right w:val="single" w:sz="4" w:space="0" w:color="auto"/>
            </w:tcBorders>
            <w:shd w:val="clear" w:color="auto" w:fill="auto"/>
            <w:noWrap/>
            <w:vAlign w:val="center"/>
          </w:tcPr>
          <w:p w14:paraId="49DCD97F"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3890C18B"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tcPr>
          <w:p w14:paraId="245DB442"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31" w:type="dxa"/>
            <w:tcBorders>
              <w:top w:val="nil"/>
              <w:left w:val="nil"/>
              <w:bottom w:val="single" w:sz="4" w:space="0" w:color="auto"/>
              <w:right w:val="single" w:sz="4" w:space="0" w:color="auto"/>
            </w:tcBorders>
            <w:shd w:val="clear" w:color="auto" w:fill="auto"/>
            <w:noWrap/>
            <w:vAlign w:val="center"/>
          </w:tcPr>
          <w:p w14:paraId="39D91BBF"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tcPr>
          <w:p w14:paraId="590A4B12"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884" w:type="dxa"/>
            <w:tcBorders>
              <w:top w:val="nil"/>
              <w:left w:val="nil"/>
              <w:bottom w:val="single" w:sz="4" w:space="0" w:color="auto"/>
              <w:right w:val="double" w:sz="4" w:space="0" w:color="auto"/>
            </w:tcBorders>
            <w:shd w:val="clear" w:color="auto" w:fill="auto"/>
            <w:noWrap/>
            <w:vAlign w:val="center"/>
          </w:tcPr>
          <w:p w14:paraId="7AEEE5D3"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r>
      <w:tr w:rsidR="00E7034E" w:rsidRPr="00350D02" w14:paraId="04EB73F2" w14:textId="77777777" w:rsidTr="00D34B75">
        <w:trPr>
          <w:trHeight w:val="300"/>
        </w:trPr>
        <w:tc>
          <w:tcPr>
            <w:tcW w:w="12855" w:type="dxa"/>
            <w:gridSpan w:val="15"/>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58EFDC83" w14:textId="77777777" w:rsidR="00E7034E" w:rsidRPr="00350D02" w:rsidRDefault="00E7034E" w:rsidP="00D34B75">
            <w:pPr>
              <w:rPr>
                <w:rFonts w:eastAsia="Times New Roman" w:cs="Times New Roman"/>
                <w:b/>
                <w:bCs/>
                <w:color w:val="000000"/>
                <w:sz w:val="20"/>
                <w:szCs w:val="20"/>
              </w:rPr>
            </w:pPr>
            <w:r w:rsidRPr="00350D02">
              <w:rPr>
                <w:rFonts w:eastAsia="Times New Roman" w:cs="Times New Roman"/>
                <w:b/>
                <w:bCs/>
                <w:color w:val="000000"/>
                <w:sz w:val="20"/>
                <w:szCs w:val="20"/>
              </w:rPr>
              <w:t>Traffic Characteristic</w:t>
            </w:r>
          </w:p>
        </w:tc>
      </w:tr>
      <w:tr w:rsidR="00E7034E" w:rsidRPr="00350D02" w14:paraId="25A5BB69" w14:textId="77777777" w:rsidTr="00D34B75">
        <w:trPr>
          <w:trHeight w:val="300"/>
        </w:trPr>
        <w:tc>
          <w:tcPr>
            <w:tcW w:w="1965" w:type="dxa"/>
            <w:tcBorders>
              <w:top w:val="double" w:sz="4" w:space="0" w:color="auto"/>
              <w:left w:val="double" w:sz="4" w:space="0" w:color="auto"/>
              <w:bottom w:val="single" w:sz="4" w:space="0" w:color="auto"/>
              <w:right w:val="single" w:sz="4" w:space="0" w:color="auto"/>
            </w:tcBorders>
            <w:shd w:val="clear" w:color="auto" w:fill="auto"/>
            <w:noWrap/>
            <w:vAlign w:val="center"/>
          </w:tcPr>
          <w:p w14:paraId="57CBC309" w14:textId="77777777" w:rsidR="00E7034E" w:rsidRPr="00350D02" w:rsidRDefault="00E7034E" w:rsidP="006D1D87">
            <w:pPr>
              <w:ind w:left="150"/>
              <w:jc w:val="left"/>
              <w:rPr>
                <w:rFonts w:eastAsia="Times New Roman" w:cs="Times New Roman"/>
                <w:color w:val="000000"/>
                <w:sz w:val="20"/>
                <w:szCs w:val="20"/>
              </w:rPr>
            </w:pPr>
            <w:r w:rsidRPr="00350D02">
              <w:rPr>
                <w:rFonts w:eastAsia="Times New Roman" w:cs="Times New Roman"/>
                <w:color w:val="000000"/>
                <w:sz w:val="20"/>
                <w:szCs w:val="20"/>
              </w:rPr>
              <w:t>Traffic Intensity (Congested)</w:t>
            </w:r>
          </w:p>
        </w:tc>
        <w:tc>
          <w:tcPr>
            <w:tcW w:w="916" w:type="dxa"/>
            <w:tcBorders>
              <w:top w:val="double" w:sz="4" w:space="0" w:color="auto"/>
              <w:left w:val="nil"/>
              <w:bottom w:val="single" w:sz="4" w:space="0" w:color="auto"/>
              <w:right w:val="single" w:sz="4" w:space="0" w:color="auto"/>
            </w:tcBorders>
            <w:shd w:val="clear" w:color="auto" w:fill="auto"/>
            <w:noWrap/>
            <w:vAlign w:val="center"/>
          </w:tcPr>
          <w:p w14:paraId="3F060BFB"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-0.074</w:t>
            </w:r>
          </w:p>
        </w:tc>
        <w:tc>
          <w:tcPr>
            <w:tcW w:w="879" w:type="dxa"/>
            <w:tcBorders>
              <w:top w:val="double" w:sz="4" w:space="0" w:color="auto"/>
              <w:left w:val="nil"/>
              <w:bottom w:val="single" w:sz="4" w:space="0" w:color="auto"/>
              <w:right w:val="single" w:sz="4" w:space="0" w:color="auto"/>
            </w:tcBorders>
            <w:shd w:val="clear" w:color="auto" w:fill="auto"/>
            <w:noWrap/>
            <w:vAlign w:val="center"/>
          </w:tcPr>
          <w:p w14:paraId="6606829C"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-3.311</w:t>
            </w:r>
          </w:p>
        </w:tc>
        <w:tc>
          <w:tcPr>
            <w:tcW w:w="916" w:type="dxa"/>
            <w:gridSpan w:val="2"/>
            <w:tcBorders>
              <w:top w:val="double" w:sz="4" w:space="0" w:color="auto"/>
              <w:left w:val="nil"/>
              <w:bottom w:val="single" w:sz="4" w:space="0" w:color="auto"/>
              <w:right w:val="single" w:sz="4" w:space="0" w:color="auto"/>
            </w:tcBorders>
            <w:shd w:val="clear" w:color="auto" w:fill="auto"/>
            <w:noWrap/>
            <w:vAlign w:val="center"/>
          </w:tcPr>
          <w:p w14:paraId="22CD8020"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-0.074</w:t>
            </w:r>
          </w:p>
        </w:tc>
        <w:tc>
          <w:tcPr>
            <w:tcW w:w="900" w:type="dxa"/>
            <w:tcBorders>
              <w:top w:val="double" w:sz="4" w:space="0" w:color="auto"/>
              <w:left w:val="nil"/>
              <w:bottom w:val="single" w:sz="4" w:space="0" w:color="auto"/>
              <w:right w:val="single" w:sz="4" w:space="0" w:color="auto"/>
            </w:tcBorders>
            <w:shd w:val="clear" w:color="auto" w:fill="auto"/>
            <w:noWrap/>
            <w:vAlign w:val="center"/>
          </w:tcPr>
          <w:p w14:paraId="40B92337"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-3.311</w:t>
            </w:r>
          </w:p>
        </w:tc>
        <w:tc>
          <w:tcPr>
            <w:tcW w:w="916" w:type="dxa"/>
            <w:tcBorders>
              <w:top w:val="double" w:sz="4" w:space="0" w:color="auto"/>
              <w:left w:val="nil"/>
              <w:bottom w:val="single" w:sz="4" w:space="0" w:color="auto"/>
              <w:right w:val="single" w:sz="4" w:space="0" w:color="auto"/>
            </w:tcBorders>
            <w:shd w:val="clear" w:color="auto" w:fill="auto"/>
            <w:noWrap/>
            <w:vAlign w:val="center"/>
          </w:tcPr>
          <w:p w14:paraId="1988DBC9"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double" w:sz="4" w:space="0" w:color="auto"/>
              <w:left w:val="nil"/>
              <w:bottom w:val="single" w:sz="4" w:space="0" w:color="auto"/>
              <w:right w:val="single" w:sz="4" w:space="0" w:color="auto"/>
            </w:tcBorders>
            <w:shd w:val="clear" w:color="auto" w:fill="auto"/>
            <w:noWrap/>
            <w:vAlign w:val="center"/>
          </w:tcPr>
          <w:p w14:paraId="32646997"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double" w:sz="4" w:space="0" w:color="auto"/>
              <w:left w:val="nil"/>
              <w:bottom w:val="single" w:sz="4" w:space="0" w:color="auto"/>
              <w:right w:val="single" w:sz="4" w:space="0" w:color="auto"/>
            </w:tcBorders>
            <w:shd w:val="clear" w:color="auto" w:fill="auto"/>
            <w:noWrap/>
            <w:vAlign w:val="center"/>
          </w:tcPr>
          <w:p w14:paraId="513388D7"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double" w:sz="4" w:space="0" w:color="auto"/>
              <w:left w:val="nil"/>
              <w:bottom w:val="single" w:sz="4" w:space="0" w:color="auto"/>
              <w:right w:val="single" w:sz="4" w:space="0" w:color="auto"/>
            </w:tcBorders>
            <w:shd w:val="clear" w:color="auto" w:fill="auto"/>
            <w:noWrap/>
            <w:vAlign w:val="center"/>
          </w:tcPr>
          <w:p w14:paraId="411588C8"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double" w:sz="4" w:space="0" w:color="auto"/>
              <w:left w:val="nil"/>
              <w:bottom w:val="single" w:sz="4" w:space="0" w:color="auto"/>
              <w:right w:val="single" w:sz="4" w:space="0" w:color="auto"/>
            </w:tcBorders>
            <w:shd w:val="clear" w:color="auto" w:fill="auto"/>
            <w:noWrap/>
            <w:vAlign w:val="center"/>
          </w:tcPr>
          <w:p w14:paraId="722D30FA"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31" w:type="dxa"/>
            <w:tcBorders>
              <w:top w:val="double" w:sz="4" w:space="0" w:color="auto"/>
              <w:left w:val="nil"/>
              <w:bottom w:val="single" w:sz="4" w:space="0" w:color="auto"/>
              <w:right w:val="single" w:sz="4" w:space="0" w:color="auto"/>
            </w:tcBorders>
            <w:shd w:val="clear" w:color="auto" w:fill="auto"/>
            <w:noWrap/>
            <w:vAlign w:val="center"/>
          </w:tcPr>
          <w:p w14:paraId="4ABCDC3C"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double" w:sz="4" w:space="0" w:color="auto"/>
              <w:left w:val="nil"/>
              <w:bottom w:val="single" w:sz="4" w:space="0" w:color="auto"/>
              <w:right w:val="single" w:sz="4" w:space="0" w:color="auto"/>
            </w:tcBorders>
            <w:shd w:val="clear" w:color="auto" w:fill="auto"/>
            <w:noWrap/>
            <w:vAlign w:val="center"/>
          </w:tcPr>
          <w:p w14:paraId="4A59B58D"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884" w:type="dxa"/>
            <w:tcBorders>
              <w:top w:val="double" w:sz="4" w:space="0" w:color="auto"/>
              <w:left w:val="nil"/>
              <w:bottom w:val="single" w:sz="4" w:space="0" w:color="auto"/>
              <w:right w:val="double" w:sz="4" w:space="0" w:color="auto"/>
            </w:tcBorders>
            <w:shd w:val="clear" w:color="auto" w:fill="auto"/>
            <w:noWrap/>
            <w:vAlign w:val="center"/>
          </w:tcPr>
          <w:p w14:paraId="6E96AE33"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r>
      <w:tr w:rsidR="00E7034E" w:rsidRPr="00350D02" w14:paraId="5565251D" w14:textId="77777777" w:rsidTr="00D34B75">
        <w:trPr>
          <w:trHeight w:val="300"/>
        </w:trPr>
        <w:tc>
          <w:tcPr>
            <w:tcW w:w="1965" w:type="dxa"/>
            <w:tcBorders>
              <w:top w:val="single" w:sz="4" w:space="0" w:color="auto"/>
              <w:left w:val="double" w:sz="4" w:space="0" w:color="auto"/>
              <w:bottom w:val="single" w:sz="4" w:space="0" w:color="auto"/>
              <w:right w:val="single" w:sz="4" w:space="0" w:color="auto"/>
            </w:tcBorders>
            <w:shd w:val="clear" w:color="auto" w:fill="auto"/>
            <w:noWrap/>
            <w:vAlign w:val="center"/>
          </w:tcPr>
          <w:p w14:paraId="62137FBD" w14:textId="77777777" w:rsidR="00E7034E" w:rsidRPr="00350D02" w:rsidRDefault="00E7034E" w:rsidP="006D1D87">
            <w:pPr>
              <w:ind w:left="240"/>
              <w:jc w:val="left"/>
              <w:rPr>
                <w:rFonts w:eastAsia="Times New Roman" w:cs="Times New Roman"/>
                <w:color w:val="000000"/>
                <w:sz w:val="20"/>
                <w:szCs w:val="20"/>
              </w:rPr>
            </w:pPr>
            <w:r w:rsidRPr="00350D02">
              <w:rPr>
                <w:rFonts w:eastAsia="Times New Roman" w:cs="Times New Roman"/>
                <w:color w:val="000000"/>
                <w:sz w:val="20"/>
                <w:szCs w:val="20"/>
              </w:rPr>
              <w:t>Non-incapacitating and severe injury</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21185246"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D190E63"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tcPr>
          <w:p w14:paraId="0549C655"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0.122</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7A4A6099"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1.965</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1268D6DB"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B073A0B"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3F4A9176"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2ABB3110"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6A55FA71"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7F75B3C3"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tcPr>
          <w:p w14:paraId="617E4390"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884" w:type="dxa"/>
            <w:tcBorders>
              <w:top w:val="single" w:sz="4" w:space="0" w:color="auto"/>
              <w:left w:val="nil"/>
              <w:bottom w:val="single" w:sz="4" w:space="0" w:color="auto"/>
              <w:right w:val="double" w:sz="4" w:space="0" w:color="auto"/>
            </w:tcBorders>
            <w:shd w:val="clear" w:color="auto" w:fill="auto"/>
            <w:noWrap/>
            <w:vAlign w:val="center"/>
          </w:tcPr>
          <w:p w14:paraId="43F2D1BD"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r>
      <w:tr w:rsidR="00E7034E" w:rsidRPr="00350D02" w14:paraId="27D0AEC7" w14:textId="77777777" w:rsidTr="00D34B75">
        <w:trPr>
          <w:trHeight w:val="300"/>
        </w:trPr>
        <w:tc>
          <w:tcPr>
            <w:tcW w:w="1965" w:type="dxa"/>
            <w:tcBorders>
              <w:top w:val="single" w:sz="4" w:space="0" w:color="auto"/>
              <w:left w:val="double" w:sz="4" w:space="0" w:color="auto"/>
              <w:bottom w:val="single" w:sz="4" w:space="0" w:color="auto"/>
              <w:right w:val="single" w:sz="4" w:space="0" w:color="auto"/>
            </w:tcBorders>
            <w:shd w:val="clear" w:color="auto" w:fill="auto"/>
            <w:noWrap/>
            <w:vAlign w:val="center"/>
          </w:tcPr>
          <w:p w14:paraId="244DA121" w14:textId="77777777" w:rsidR="00E7034E" w:rsidRPr="00350D02" w:rsidRDefault="00E7034E" w:rsidP="006D1D87">
            <w:pPr>
              <w:ind w:left="150"/>
              <w:jc w:val="left"/>
              <w:rPr>
                <w:rFonts w:eastAsia="Times New Roman" w:cs="Times New Roman"/>
                <w:color w:val="000000"/>
                <w:sz w:val="20"/>
                <w:szCs w:val="20"/>
              </w:rPr>
            </w:pPr>
            <w:r w:rsidRPr="00350D02">
              <w:rPr>
                <w:rFonts w:eastAsia="Times New Roman" w:cs="Times New Roman"/>
                <w:color w:val="000000"/>
                <w:sz w:val="20"/>
                <w:szCs w:val="20"/>
              </w:rPr>
              <w:t>Truck VMT</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512B2F6D"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0C74A88"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tcPr>
          <w:p w14:paraId="78830664"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5991301"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6C7AE94C"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0.046</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25503F1"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4.640</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52850DCA"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0.046</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56EE509"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4.640</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1A555E44"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580E21EE"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tcPr>
          <w:p w14:paraId="31388F63"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884" w:type="dxa"/>
            <w:tcBorders>
              <w:top w:val="single" w:sz="4" w:space="0" w:color="auto"/>
              <w:left w:val="nil"/>
              <w:bottom w:val="single" w:sz="4" w:space="0" w:color="auto"/>
              <w:right w:val="double" w:sz="4" w:space="0" w:color="auto"/>
            </w:tcBorders>
            <w:shd w:val="clear" w:color="auto" w:fill="auto"/>
            <w:noWrap/>
            <w:vAlign w:val="center"/>
          </w:tcPr>
          <w:p w14:paraId="61E1A054"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r>
      <w:tr w:rsidR="00E7034E" w:rsidRPr="00350D02" w14:paraId="71BA02EE" w14:textId="77777777" w:rsidTr="00D34B75">
        <w:trPr>
          <w:trHeight w:val="300"/>
        </w:trPr>
        <w:tc>
          <w:tcPr>
            <w:tcW w:w="12855" w:type="dxa"/>
            <w:gridSpan w:val="15"/>
            <w:tcBorders>
              <w:top w:val="double" w:sz="4" w:space="0" w:color="auto"/>
              <w:left w:val="double" w:sz="4" w:space="0" w:color="auto"/>
              <w:bottom w:val="double" w:sz="4" w:space="0" w:color="auto"/>
              <w:right w:val="double" w:sz="4" w:space="0" w:color="auto"/>
            </w:tcBorders>
            <w:shd w:val="clear" w:color="auto" w:fill="auto"/>
            <w:noWrap/>
            <w:vAlign w:val="center"/>
          </w:tcPr>
          <w:p w14:paraId="0BCDD03A" w14:textId="77777777" w:rsidR="00E7034E" w:rsidRPr="00350D02" w:rsidRDefault="00E7034E" w:rsidP="00D34B75">
            <w:pPr>
              <w:rPr>
                <w:rFonts w:cs="Times New Roman"/>
                <w:color w:val="000000"/>
                <w:sz w:val="20"/>
                <w:szCs w:val="20"/>
              </w:rPr>
            </w:pPr>
            <w:r w:rsidRPr="00350D02">
              <w:rPr>
                <w:rFonts w:eastAsia="Times New Roman" w:cs="Times New Roman"/>
                <w:b/>
                <w:bCs/>
                <w:color w:val="000000"/>
                <w:sz w:val="20"/>
                <w:szCs w:val="20"/>
              </w:rPr>
              <w:t>Land Use Characteristic</w:t>
            </w:r>
          </w:p>
        </w:tc>
      </w:tr>
      <w:tr w:rsidR="00E7034E" w:rsidRPr="00350D02" w14:paraId="28043E23" w14:textId="77777777" w:rsidTr="00D34B75">
        <w:trPr>
          <w:trHeight w:val="300"/>
        </w:trPr>
        <w:tc>
          <w:tcPr>
            <w:tcW w:w="1965" w:type="dxa"/>
            <w:tcBorders>
              <w:top w:val="double" w:sz="4" w:space="0" w:color="auto"/>
              <w:left w:val="double" w:sz="4" w:space="0" w:color="auto"/>
              <w:bottom w:val="single" w:sz="4" w:space="0" w:color="auto"/>
              <w:right w:val="single" w:sz="4" w:space="0" w:color="auto"/>
            </w:tcBorders>
            <w:shd w:val="clear" w:color="auto" w:fill="auto"/>
            <w:noWrap/>
            <w:vAlign w:val="center"/>
          </w:tcPr>
          <w:p w14:paraId="080F57B4" w14:textId="77777777" w:rsidR="00E7034E" w:rsidRPr="00350D02" w:rsidRDefault="00E7034E" w:rsidP="00D34B75">
            <w:pPr>
              <w:ind w:left="150"/>
              <w:rPr>
                <w:rFonts w:eastAsia="Times New Roman" w:cs="Times New Roman"/>
                <w:color w:val="000000"/>
                <w:sz w:val="20"/>
                <w:szCs w:val="20"/>
              </w:rPr>
            </w:pPr>
            <w:r w:rsidRPr="00350D02">
              <w:rPr>
                <w:rFonts w:eastAsia="Times New Roman" w:cs="Times New Roman"/>
                <w:color w:val="000000"/>
                <w:sz w:val="20"/>
                <w:szCs w:val="20"/>
              </w:rPr>
              <w:lastRenderedPageBreak/>
              <w:t>Urban area</w:t>
            </w:r>
          </w:p>
        </w:tc>
        <w:tc>
          <w:tcPr>
            <w:tcW w:w="916" w:type="dxa"/>
            <w:tcBorders>
              <w:top w:val="double" w:sz="4" w:space="0" w:color="auto"/>
              <w:left w:val="nil"/>
              <w:bottom w:val="single" w:sz="4" w:space="0" w:color="auto"/>
              <w:right w:val="single" w:sz="4" w:space="0" w:color="auto"/>
            </w:tcBorders>
            <w:shd w:val="clear" w:color="auto" w:fill="auto"/>
            <w:noWrap/>
            <w:vAlign w:val="center"/>
          </w:tcPr>
          <w:p w14:paraId="4FA455F4"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879" w:type="dxa"/>
            <w:tcBorders>
              <w:top w:val="double" w:sz="4" w:space="0" w:color="auto"/>
              <w:left w:val="nil"/>
              <w:bottom w:val="single" w:sz="4" w:space="0" w:color="auto"/>
              <w:right w:val="single" w:sz="4" w:space="0" w:color="auto"/>
            </w:tcBorders>
            <w:shd w:val="clear" w:color="auto" w:fill="auto"/>
            <w:noWrap/>
            <w:vAlign w:val="center"/>
          </w:tcPr>
          <w:p w14:paraId="6E824901"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double" w:sz="4" w:space="0" w:color="auto"/>
              <w:left w:val="nil"/>
              <w:bottom w:val="single" w:sz="4" w:space="0" w:color="auto"/>
              <w:right w:val="single" w:sz="4" w:space="0" w:color="auto"/>
            </w:tcBorders>
            <w:shd w:val="clear" w:color="auto" w:fill="auto"/>
            <w:noWrap/>
            <w:vAlign w:val="center"/>
          </w:tcPr>
          <w:p w14:paraId="1737A3A0"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double" w:sz="4" w:space="0" w:color="auto"/>
              <w:left w:val="nil"/>
              <w:bottom w:val="single" w:sz="4" w:space="0" w:color="auto"/>
              <w:right w:val="single" w:sz="4" w:space="0" w:color="auto"/>
            </w:tcBorders>
            <w:shd w:val="clear" w:color="auto" w:fill="auto"/>
            <w:noWrap/>
            <w:vAlign w:val="center"/>
          </w:tcPr>
          <w:p w14:paraId="4C8CF921"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double" w:sz="4" w:space="0" w:color="auto"/>
              <w:left w:val="nil"/>
              <w:bottom w:val="single" w:sz="4" w:space="0" w:color="auto"/>
              <w:right w:val="single" w:sz="4" w:space="0" w:color="auto"/>
            </w:tcBorders>
            <w:shd w:val="clear" w:color="auto" w:fill="auto"/>
            <w:noWrap/>
            <w:vAlign w:val="center"/>
          </w:tcPr>
          <w:p w14:paraId="573E562E"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-0.402</w:t>
            </w:r>
          </w:p>
        </w:tc>
        <w:tc>
          <w:tcPr>
            <w:tcW w:w="900" w:type="dxa"/>
            <w:tcBorders>
              <w:top w:val="double" w:sz="4" w:space="0" w:color="auto"/>
              <w:left w:val="nil"/>
              <w:bottom w:val="single" w:sz="4" w:space="0" w:color="auto"/>
              <w:right w:val="single" w:sz="4" w:space="0" w:color="auto"/>
            </w:tcBorders>
            <w:shd w:val="clear" w:color="auto" w:fill="auto"/>
            <w:noWrap/>
            <w:vAlign w:val="center"/>
          </w:tcPr>
          <w:p w14:paraId="0D7D11D5"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-5.912</w:t>
            </w:r>
          </w:p>
        </w:tc>
        <w:tc>
          <w:tcPr>
            <w:tcW w:w="916" w:type="dxa"/>
            <w:tcBorders>
              <w:top w:val="double" w:sz="4" w:space="0" w:color="auto"/>
              <w:left w:val="nil"/>
              <w:bottom w:val="single" w:sz="4" w:space="0" w:color="auto"/>
              <w:right w:val="single" w:sz="4" w:space="0" w:color="auto"/>
            </w:tcBorders>
            <w:shd w:val="clear" w:color="auto" w:fill="auto"/>
            <w:noWrap/>
            <w:vAlign w:val="center"/>
          </w:tcPr>
          <w:p w14:paraId="1221DA2B"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-0.402</w:t>
            </w:r>
          </w:p>
        </w:tc>
        <w:tc>
          <w:tcPr>
            <w:tcW w:w="900" w:type="dxa"/>
            <w:tcBorders>
              <w:top w:val="double" w:sz="4" w:space="0" w:color="auto"/>
              <w:left w:val="nil"/>
              <w:bottom w:val="single" w:sz="4" w:space="0" w:color="auto"/>
              <w:right w:val="single" w:sz="4" w:space="0" w:color="auto"/>
            </w:tcBorders>
            <w:shd w:val="clear" w:color="auto" w:fill="auto"/>
            <w:noWrap/>
            <w:vAlign w:val="center"/>
          </w:tcPr>
          <w:p w14:paraId="37BB6988"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-5.912</w:t>
            </w:r>
          </w:p>
        </w:tc>
        <w:tc>
          <w:tcPr>
            <w:tcW w:w="916" w:type="dxa"/>
            <w:tcBorders>
              <w:top w:val="double" w:sz="4" w:space="0" w:color="auto"/>
              <w:left w:val="nil"/>
              <w:bottom w:val="single" w:sz="4" w:space="0" w:color="auto"/>
              <w:right w:val="single" w:sz="4" w:space="0" w:color="auto"/>
            </w:tcBorders>
            <w:shd w:val="clear" w:color="auto" w:fill="auto"/>
            <w:noWrap/>
            <w:vAlign w:val="center"/>
          </w:tcPr>
          <w:p w14:paraId="2BCC4BF1"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-0.058</w:t>
            </w:r>
          </w:p>
        </w:tc>
        <w:tc>
          <w:tcPr>
            <w:tcW w:w="931" w:type="dxa"/>
            <w:tcBorders>
              <w:top w:val="double" w:sz="4" w:space="0" w:color="auto"/>
              <w:left w:val="nil"/>
              <w:bottom w:val="single" w:sz="4" w:space="0" w:color="auto"/>
              <w:right w:val="single" w:sz="4" w:space="0" w:color="auto"/>
            </w:tcBorders>
            <w:shd w:val="clear" w:color="auto" w:fill="auto"/>
            <w:noWrap/>
            <w:vAlign w:val="center"/>
          </w:tcPr>
          <w:p w14:paraId="578A259B"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-1.027</w:t>
            </w:r>
          </w:p>
        </w:tc>
        <w:tc>
          <w:tcPr>
            <w:tcW w:w="916" w:type="dxa"/>
            <w:gridSpan w:val="2"/>
            <w:tcBorders>
              <w:top w:val="double" w:sz="4" w:space="0" w:color="auto"/>
              <w:left w:val="nil"/>
              <w:bottom w:val="single" w:sz="4" w:space="0" w:color="auto"/>
              <w:right w:val="single" w:sz="4" w:space="0" w:color="auto"/>
            </w:tcBorders>
            <w:shd w:val="clear" w:color="auto" w:fill="auto"/>
            <w:noWrap/>
            <w:vAlign w:val="center"/>
          </w:tcPr>
          <w:p w14:paraId="69D188F7"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884" w:type="dxa"/>
            <w:tcBorders>
              <w:top w:val="double" w:sz="4" w:space="0" w:color="auto"/>
              <w:left w:val="nil"/>
              <w:bottom w:val="single" w:sz="4" w:space="0" w:color="auto"/>
              <w:right w:val="double" w:sz="4" w:space="0" w:color="auto"/>
            </w:tcBorders>
            <w:shd w:val="clear" w:color="auto" w:fill="auto"/>
            <w:noWrap/>
            <w:vAlign w:val="center"/>
          </w:tcPr>
          <w:p w14:paraId="26806DE2"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r>
      <w:tr w:rsidR="00E7034E" w:rsidRPr="00350D02" w14:paraId="6D09FEE7" w14:textId="77777777" w:rsidTr="00D34B75">
        <w:trPr>
          <w:trHeight w:val="300"/>
        </w:trPr>
        <w:tc>
          <w:tcPr>
            <w:tcW w:w="1965" w:type="dxa"/>
            <w:tcBorders>
              <w:top w:val="single" w:sz="4" w:space="0" w:color="auto"/>
              <w:left w:val="double" w:sz="4" w:space="0" w:color="auto"/>
              <w:bottom w:val="single" w:sz="4" w:space="0" w:color="auto"/>
              <w:right w:val="single" w:sz="4" w:space="0" w:color="auto"/>
            </w:tcBorders>
            <w:shd w:val="clear" w:color="auto" w:fill="auto"/>
            <w:noWrap/>
            <w:vAlign w:val="center"/>
          </w:tcPr>
          <w:p w14:paraId="45D07FAF" w14:textId="77777777" w:rsidR="00E7034E" w:rsidRPr="00350D02" w:rsidRDefault="00E7034E" w:rsidP="00D34B75">
            <w:pPr>
              <w:ind w:left="150"/>
              <w:rPr>
                <w:rFonts w:eastAsia="Times New Roman" w:cs="Times New Roman"/>
                <w:color w:val="000000"/>
                <w:sz w:val="20"/>
                <w:szCs w:val="20"/>
              </w:rPr>
            </w:pPr>
            <w:r w:rsidRPr="00350D02">
              <w:rPr>
                <w:rFonts w:eastAsia="Times New Roman" w:cs="Times New Roman"/>
                <w:color w:val="000000"/>
                <w:sz w:val="20"/>
                <w:szCs w:val="20"/>
              </w:rPr>
              <w:t>Land use mix</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6ABF348A"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-0.117</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44F756A"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-2.245</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tcPr>
          <w:p w14:paraId="375830D6"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-0.117</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D56469A"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-2.245</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01DF5904"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7066A479"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2CC0B4BD"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77E28E19"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4972544F"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42194506"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tcPr>
          <w:p w14:paraId="5E79C75A"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884" w:type="dxa"/>
            <w:tcBorders>
              <w:top w:val="single" w:sz="4" w:space="0" w:color="auto"/>
              <w:left w:val="nil"/>
              <w:bottom w:val="single" w:sz="4" w:space="0" w:color="auto"/>
              <w:right w:val="double" w:sz="4" w:space="0" w:color="auto"/>
            </w:tcBorders>
            <w:shd w:val="clear" w:color="auto" w:fill="auto"/>
            <w:noWrap/>
            <w:vAlign w:val="center"/>
          </w:tcPr>
          <w:p w14:paraId="00E1AF2D"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r>
      <w:tr w:rsidR="00E7034E" w:rsidRPr="00350D02" w14:paraId="08F47BCC" w14:textId="77777777" w:rsidTr="00D34B75">
        <w:trPr>
          <w:trHeight w:val="300"/>
        </w:trPr>
        <w:tc>
          <w:tcPr>
            <w:tcW w:w="12855" w:type="dxa"/>
            <w:gridSpan w:val="15"/>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3384CE8B" w14:textId="77777777" w:rsidR="00E7034E" w:rsidRPr="00350D02" w:rsidRDefault="00E7034E" w:rsidP="00D34B75">
            <w:pPr>
              <w:rPr>
                <w:rFonts w:eastAsia="Times New Roman" w:cs="Times New Roman"/>
                <w:b/>
                <w:bCs/>
                <w:color w:val="000000"/>
                <w:sz w:val="20"/>
                <w:szCs w:val="20"/>
              </w:rPr>
            </w:pPr>
            <w:r w:rsidRPr="00350D02">
              <w:rPr>
                <w:rFonts w:eastAsia="Times New Roman" w:cs="Times New Roman"/>
                <w:b/>
                <w:bCs/>
                <w:color w:val="000000"/>
                <w:sz w:val="20"/>
                <w:szCs w:val="20"/>
              </w:rPr>
              <w:t>Built environment characteristic</w:t>
            </w:r>
          </w:p>
        </w:tc>
      </w:tr>
      <w:tr w:rsidR="00E7034E" w:rsidRPr="00350D02" w14:paraId="674D5165" w14:textId="77777777" w:rsidTr="00D34B75">
        <w:trPr>
          <w:trHeight w:val="300"/>
        </w:trPr>
        <w:tc>
          <w:tcPr>
            <w:tcW w:w="1965" w:type="dxa"/>
            <w:tcBorders>
              <w:top w:val="double" w:sz="4" w:space="0" w:color="auto"/>
              <w:left w:val="double" w:sz="4" w:space="0" w:color="auto"/>
              <w:bottom w:val="single" w:sz="4" w:space="0" w:color="auto"/>
              <w:right w:val="single" w:sz="4" w:space="0" w:color="auto"/>
            </w:tcBorders>
            <w:shd w:val="clear" w:color="auto" w:fill="auto"/>
            <w:noWrap/>
            <w:vAlign w:val="center"/>
            <w:hideMark/>
          </w:tcPr>
          <w:p w14:paraId="263DF7A9" w14:textId="77777777" w:rsidR="00E7034E" w:rsidRPr="00350D02" w:rsidRDefault="00E7034E" w:rsidP="006D1D87">
            <w:pPr>
              <w:ind w:left="150"/>
              <w:jc w:val="left"/>
              <w:rPr>
                <w:rFonts w:eastAsia="Times New Roman" w:cs="Times New Roman"/>
                <w:color w:val="000000"/>
                <w:sz w:val="20"/>
                <w:szCs w:val="20"/>
              </w:rPr>
            </w:pPr>
            <w:r w:rsidRPr="00350D02">
              <w:rPr>
                <w:rFonts w:eastAsia="Times New Roman" w:cs="Times New Roman"/>
                <w:color w:val="000000"/>
                <w:sz w:val="20"/>
                <w:szCs w:val="20"/>
              </w:rPr>
              <w:t>No. of commercial centers</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3252CADD"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879" w:type="dxa"/>
            <w:tcBorders>
              <w:top w:val="double" w:sz="4" w:space="0" w:color="auto"/>
              <w:left w:val="nil"/>
              <w:bottom w:val="single" w:sz="4" w:space="0" w:color="auto"/>
              <w:right w:val="single" w:sz="4" w:space="0" w:color="auto"/>
            </w:tcBorders>
            <w:shd w:val="clear" w:color="auto" w:fill="auto"/>
            <w:noWrap/>
            <w:vAlign w:val="center"/>
            <w:hideMark/>
          </w:tcPr>
          <w:p w14:paraId="2D3D4A2A"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double" w:sz="4" w:space="0" w:color="auto"/>
              <w:left w:val="nil"/>
              <w:bottom w:val="single" w:sz="4" w:space="0" w:color="auto"/>
              <w:right w:val="single" w:sz="4" w:space="0" w:color="auto"/>
            </w:tcBorders>
            <w:shd w:val="clear" w:color="auto" w:fill="auto"/>
            <w:noWrap/>
            <w:vAlign w:val="center"/>
            <w:hideMark/>
          </w:tcPr>
          <w:p w14:paraId="23530AD8"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double" w:sz="4" w:space="0" w:color="auto"/>
              <w:left w:val="nil"/>
              <w:bottom w:val="single" w:sz="4" w:space="0" w:color="auto"/>
              <w:right w:val="single" w:sz="4" w:space="0" w:color="auto"/>
            </w:tcBorders>
            <w:shd w:val="clear" w:color="auto" w:fill="auto"/>
            <w:noWrap/>
            <w:vAlign w:val="center"/>
            <w:hideMark/>
          </w:tcPr>
          <w:p w14:paraId="43D3D54A"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30AA430A"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double" w:sz="4" w:space="0" w:color="auto"/>
              <w:left w:val="nil"/>
              <w:bottom w:val="single" w:sz="4" w:space="0" w:color="auto"/>
              <w:right w:val="single" w:sz="4" w:space="0" w:color="auto"/>
            </w:tcBorders>
            <w:shd w:val="clear" w:color="auto" w:fill="auto"/>
            <w:noWrap/>
            <w:vAlign w:val="center"/>
            <w:hideMark/>
          </w:tcPr>
          <w:p w14:paraId="0EDA913B"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7202398E"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double" w:sz="4" w:space="0" w:color="auto"/>
              <w:left w:val="nil"/>
              <w:bottom w:val="single" w:sz="4" w:space="0" w:color="auto"/>
              <w:right w:val="single" w:sz="4" w:space="0" w:color="auto"/>
            </w:tcBorders>
            <w:shd w:val="clear" w:color="auto" w:fill="auto"/>
            <w:noWrap/>
            <w:vAlign w:val="center"/>
            <w:hideMark/>
          </w:tcPr>
          <w:p w14:paraId="5A66F478"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double" w:sz="4" w:space="0" w:color="auto"/>
              <w:left w:val="nil"/>
              <w:bottom w:val="single" w:sz="4" w:space="0" w:color="auto"/>
              <w:right w:val="single" w:sz="4" w:space="0" w:color="auto"/>
            </w:tcBorders>
            <w:shd w:val="clear" w:color="auto" w:fill="auto"/>
            <w:noWrap/>
            <w:vAlign w:val="center"/>
            <w:hideMark/>
          </w:tcPr>
          <w:p w14:paraId="3ABD9169"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31" w:type="dxa"/>
            <w:tcBorders>
              <w:top w:val="double" w:sz="4" w:space="0" w:color="auto"/>
              <w:left w:val="nil"/>
              <w:bottom w:val="single" w:sz="4" w:space="0" w:color="auto"/>
              <w:right w:val="single" w:sz="4" w:space="0" w:color="auto"/>
            </w:tcBorders>
            <w:shd w:val="clear" w:color="auto" w:fill="auto"/>
            <w:noWrap/>
            <w:vAlign w:val="center"/>
            <w:hideMark/>
          </w:tcPr>
          <w:p w14:paraId="15803F9D"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double" w:sz="4" w:space="0" w:color="auto"/>
              <w:left w:val="nil"/>
              <w:bottom w:val="single" w:sz="4" w:space="0" w:color="auto"/>
              <w:right w:val="single" w:sz="4" w:space="0" w:color="auto"/>
            </w:tcBorders>
            <w:shd w:val="clear" w:color="auto" w:fill="auto"/>
            <w:noWrap/>
            <w:vAlign w:val="center"/>
            <w:hideMark/>
          </w:tcPr>
          <w:p w14:paraId="74153509"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-0.049</w:t>
            </w:r>
          </w:p>
        </w:tc>
        <w:tc>
          <w:tcPr>
            <w:tcW w:w="884" w:type="dxa"/>
            <w:tcBorders>
              <w:top w:val="double" w:sz="4" w:space="0" w:color="auto"/>
              <w:left w:val="nil"/>
              <w:bottom w:val="single" w:sz="4" w:space="0" w:color="auto"/>
              <w:right w:val="double" w:sz="4" w:space="0" w:color="auto"/>
            </w:tcBorders>
            <w:shd w:val="clear" w:color="auto" w:fill="auto"/>
            <w:noWrap/>
            <w:vAlign w:val="center"/>
            <w:hideMark/>
          </w:tcPr>
          <w:p w14:paraId="6CA093A7"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-2.140</w:t>
            </w:r>
          </w:p>
        </w:tc>
      </w:tr>
      <w:tr w:rsidR="00E7034E" w:rsidRPr="00350D02" w14:paraId="23512704" w14:textId="77777777" w:rsidTr="00D34B75">
        <w:trPr>
          <w:trHeight w:val="300"/>
        </w:trPr>
        <w:tc>
          <w:tcPr>
            <w:tcW w:w="1965"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1C3886E8" w14:textId="77777777" w:rsidR="00E7034E" w:rsidRPr="00350D02" w:rsidRDefault="00E7034E" w:rsidP="006D1D87">
            <w:pPr>
              <w:ind w:left="150"/>
              <w:jc w:val="left"/>
              <w:rPr>
                <w:rFonts w:eastAsia="Times New Roman" w:cs="Times New Roman"/>
                <w:color w:val="000000"/>
                <w:sz w:val="20"/>
                <w:szCs w:val="20"/>
              </w:rPr>
            </w:pPr>
            <w:r w:rsidRPr="00350D02">
              <w:rPr>
                <w:rFonts w:eastAsia="Times New Roman" w:cs="Times New Roman"/>
                <w:color w:val="000000"/>
                <w:sz w:val="20"/>
                <w:szCs w:val="20"/>
              </w:rPr>
              <w:t>No. of recreational centers</w:t>
            </w:r>
          </w:p>
        </w:tc>
        <w:tc>
          <w:tcPr>
            <w:tcW w:w="916" w:type="dxa"/>
            <w:tcBorders>
              <w:top w:val="single" w:sz="4" w:space="0" w:color="auto"/>
              <w:left w:val="nil"/>
              <w:bottom w:val="single" w:sz="4" w:space="0" w:color="auto"/>
              <w:right w:val="single" w:sz="4" w:space="0" w:color="auto"/>
            </w:tcBorders>
            <w:shd w:val="clear" w:color="auto" w:fill="auto"/>
            <w:noWrap/>
            <w:vAlign w:val="center"/>
            <w:hideMark/>
          </w:tcPr>
          <w:p w14:paraId="3F9C2562"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-0.028</w:t>
            </w:r>
          </w:p>
        </w:tc>
        <w:tc>
          <w:tcPr>
            <w:tcW w:w="879" w:type="dxa"/>
            <w:tcBorders>
              <w:top w:val="single" w:sz="4" w:space="0" w:color="auto"/>
              <w:left w:val="nil"/>
              <w:bottom w:val="single" w:sz="4" w:space="0" w:color="auto"/>
              <w:right w:val="single" w:sz="4" w:space="0" w:color="auto"/>
            </w:tcBorders>
            <w:shd w:val="clear" w:color="auto" w:fill="auto"/>
            <w:noWrap/>
            <w:vAlign w:val="center"/>
            <w:hideMark/>
          </w:tcPr>
          <w:p w14:paraId="6452F5CB"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-2.270</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DAC5ABD"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3821F760"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hideMark/>
          </w:tcPr>
          <w:p w14:paraId="0A1BFB3D"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6E821312"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hideMark/>
          </w:tcPr>
          <w:p w14:paraId="0F22976C"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3D17C3B4"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hideMark/>
          </w:tcPr>
          <w:p w14:paraId="53BBB671"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14:paraId="6352F606"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B53061"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884" w:type="dxa"/>
            <w:tcBorders>
              <w:top w:val="single" w:sz="4" w:space="0" w:color="auto"/>
              <w:left w:val="nil"/>
              <w:bottom w:val="single" w:sz="4" w:space="0" w:color="auto"/>
              <w:right w:val="double" w:sz="4" w:space="0" w:color="auto"/>
            </w:tcBorders>
            <w:shd w:val="clear" w:color="auto" w:fill="auto"/>
            <w:noWrap/>
            <w:vAlign w:val="center"/>
            <w:hideMark/>
          </w:tcPr>
          <w:p w14:paraId="420DB7CE"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r>
      <w:tr w:rsidR="00E7034E" w:rsidRPr="00350D02" w14:paraId="40D113E2" w14:textId="77777777" w:rsidTr="00D34B75">
        <w:trPr>
          <w:trHeight w:val="300"/>
        </w:trPr>
        <w:tc>
          <w:tcPr>
            <w:tcW w:w="1965" w:type="dxa"/>
            <w:tcBorders>
              <w:top w:val="single" w:sz="4" w:space="0" w:color="auto"/>
              <w:left w:val="double" w:sz="4" w:space="0" w:color="auto"/>
              <w:bottom w:val="single" w:sz="4" w:space="0" w:color="auto"/>
              <w:right w:val="single" w:sz="4" w:space="0" w:color="auto"/>
            </w:tcBorders>
            <w:shd w:val="clear" w:color="auto" w:fill="auto"/>
            <w:noWrap/>
            <w:vAlign w:val="center"/>
          </w:tcPr>
          <w:p w14:paraId="7B5286D6" w14:textId="77777777" w:rsidR="00E7034E" w:rsidRPr="00350D02" w:rsidRDefault="00E7034E" w:rsidP="006D1D87">
            <w:pPr>
              <w:ind w:left="150"/>
              <w:jc w:val="left"/>
              <w:rPr>
                <w:rFonts w:eastAsia="Times New Roman" w:cs="Times New Roman"/>
                <w:color w:val="000000"/>
                <w:sz w:val="20"/>
                <w:szCs w:val="20"/>
              </w:rPr>
            </w:pPr>
            <w:r w:rsidRPr="00350D02">
              <w:rPr>
                <w:rFonts w:eastAsia="Times New Roman" w:cs="Times New Roman"/>
                <w:color w:val="000000"/>
                <w:sz w:val="20"/>
                <w:szCs w:val="20"/>
              </w:rPr>
              <w:t>No. of restaurants</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280BBD66"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56DBD0E"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tcPr>
          <w:p w14:paraId="3DFABB78"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6F6CE52"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555616ED"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2BA5498"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214C2489"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01226308"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1F3DD36B"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-0.046</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21E47B7A"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-3.011</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tcPr>
          <w:p w14:paraId="5561C0DD"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884" w:type="dxa"/>
            <w:tcBorders>
              <w:top w:val="single" w:sz="4" w:space="0" w:color="auto"/>
              <w:left w:val="nil"/>
              <w:bottom w:val="single" w:sz="4" w:space="0" w:color="auto"/>
              <w:right w:val="double" w:sz="4" w:space="0" w:color="auto"/>
            </w:tcBorders>
            <w:shd w:val="clear" w:color="auto" w:fill="auto"/>
            <w:noWrap/>
            <w:vAlign w:val="center"/>
          </w:tcPr>
          <w:p w14:paraId="2230AFB2"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r>
      <w:tr w:rsidR="00E7034E" w:rsidRPr="00350D02" w14:paraId="271D4EE6" w14:textId="77777777" w:rsidTr="00D34B75">
        <w:trPr>
          <w:trHeight w:val="300"/>
        </w:trPr>
        <w:tc>
          <w:tcPr>
            <w:tcW w:w="1965" w:type="dxa"/>
            <w:tcBorders>
              <w:top w:val="single" w:sz="4" w:space="0" w:color="auto"/>
              <w:left w:val="double" w:sz="4" w:space="0" w:color="auto"/>
              <w:bottom w:val="single" w:sz="4" w:space="0" w:color="auto"/>
              <w:right w:val="single" w:sz="4" w:space="0" w:color="auto"/>
            </w:tcBorders>
            <w:shd w:val="clear" w:color="auto" w:fill="auto"/>
            <w:noWrap/>
            <w:vAlign w:val="center"/>
          </w:tcPr>
          <w:p w14:paraId="2FF4A53C" w14:textId="77777777" w:rsidR="00E7034E" w:rsidRPr="00350D02" w:rsidRDefault="00E7034E" w:rsidP="006D1D87">
            <w:pPr>
              <w:ind w:left="240"/>
              <w:jc w:val="left"/>
              <w:rPr>
                <w:rFonts w:eastAsia="Times New Roman" w:cs="Times New Roman"/>
                <w:color w:val="000000"/>
                <w:sz w:val="20"/>
                <w:szCs w:val="20"/>
              </w:rPr>
            </w:pPr>
            <w:r w:rsidRPr="00350D02">
              <w:rPr>
                <w:rFonts w:eastAsia="Times New Roman" w:cs="Times New Roman"/>
                <w:color w:val="000000"/>
                <w:sz w:val="20"/>
                <w:szCs w:val="20"/>
              </w:rPr>
              <w:t>Non-incapacitating and severe injury</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5773CA5C"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02703EA"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tcPr>
          <w:p w14:paraId="43CDEF57"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E63B372"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61E80A42"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1DDE6AC2"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78B253B7"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C427902"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4D29205C"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0.049</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3DCB5325"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1.660</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tcPr>
          <w:p w14:paraId="3C419798"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884" w:type="dxa"/>
            <w:tcBorders>
              <w:top w:val="single" w:sz="4" w:space="0" w:color="auto"/>
              <w:left w:val="nil"/>
              <w:bottom w:val="single" w:sz="4" w:space="0" w:color="auto"/>
              <w:right w:val="double" w:sz="4" w:space="0" w:color="auto"/>
            </w:tcBorders>
            <w:shd w:val="clear" w:color="auto" w:fill="auto"/>
            <w:noWrap/>
            <w:vAlign w:val="center"/>
          </w:tcPr>
          <w:p w14:paraId="3B61844D"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r>
      <w:tr w:rsidR="00E7034E" w:rsidRPr="00350D02" w14:paraId="45E6EA55" w14:textId="77777777" w:rsidTr="00D34B75">
        <w:trPr>
          <w:trHeight w:val="300"/>
        </w:trPr>
        <w:tc>
          <w:tcPr>
            <w:tcW w:w="1965" w:type="dxa"/>
            <w:tcBorders>
              <w:top w:val="single" w:sz="4" w:space="0" w:color="auto"/>
              <w:left w:val="double" w:sz="4" w:space="0" w:color="auto"/>
              <w:bottom w:val="single" w:sz="4" w:space="0" w:color="auto"/>
              <w:right w:val="single" w:sz="4" w:space="0" w:color="auto"/>
            </w:tcBorders>
            <w:shd w:val="clear" w:color="auto" w:fill="auto"/>
            <w:noWrap/>
            <w:vAlign w:val="center"/>
          </w:tcPr>
          <w:p w14:paraId="2A6887A0" w14:textId="77777777" w:rsidR="00E7034E" w:rsidRPr="00350D02" w:rsidRDefault="00E7034E" w:rsidP="006D1D87">
            <w:pPr>
              <w:ind w:left="150"/>
              <w:jc w:val="left"/>
              <w:rPr>
                <w:rFonts w:eastAsia="Times New Roman" w:cs="Times New Roman"/>
                <w:color w:val="000000"/>
                <w:sz w:val="20"/>
                <w:szCs w:val="20"/>
              </w:rPr>
            </w:pPr>
            <w:r w:rsidRPr="00350D02">
              <w:rPr>
                <w:rFonts w:eastAsia="Times New Roman" w:cs="Times New Roman"/>
                <w:color w:val="000000"/>
                <w:sz w:val="20"/>
                <w:szCs w:val="20"/>
              </w:rPr>
              <w:t>No. of shopping centers</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0727D634"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E512A89"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tcPr>
          <w:p w14:paraId="2AD9929A"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-0.047</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77D9E6B3"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-4.862</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7D74492D"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-0.047</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71282FC4"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-4.862</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2DBD6C1D"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-0.047</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6E95C64"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-4.862</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518A4996"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4135D07D"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tcPr>
          <w:p w14:paraId="488C32D0"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884" w:type="dxa"/>
            <w:tcBorders>
              <w:top w:val="single" w:sz="4" w:space="0" w:color="auto"/>
              <w:left w:val="nil"/>
              <w:bottom w:val="single" w:sz="4" w:space="0" w:color="auto"/>
              <w:right w:val="double" w:sz="4" w:space="0" w:color="auto"/>
            </w:tcBorders>
            <w:shd w:val="clear" w:color="auto" w:fill="auto"/>
            <w:noWrap/>
            <w:vAlign w:val="center"/>
          </w:tcPr>
          <w:p w14:paraId="45862284"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r>
      <w:tr w:rsidR="00E7034E" w:rsidRPr="00350D02" w14:paraId="4BE0BBBC" w14:textId="77777777" w:rsidTr="00D34B75">
        <w:trPr>
          <w:trHeight w:val="300"/>
        </w:trPr>
        <w:tc>
          <w:tcPr>
            <w:tcW w:w="1965" w:type="dxa"/>
            <w:tcBorders>
              <w:top w:val="single" w:sz="4" w:space="0" w:color="auto"/>
              <w:left w:val="double" w:sz="4" w:space="0" w:color="auto"/>
              <w:bottom w:val="double" w:sz="4" w:space="0" w:color="auto"/>
              <w:right w:val="single" w:sz="4" w:space="0" w:color="auto"/>
            </w:tcBorders>
            <w:shd w:val="clear" w:color="auto" w:fill="auto"/>
            <w:noWrap/>
            <w:vAlign w:val="center"/>
          </w:tcPr>
          <w:p w14:paraId="46B8AA8D" w14:textId="77777777" w:rsidR="00E7034E" w:rsidRPr="00350D02" w:rsidRDefault="00E7034E" w:rsidP="006D1D87">
            <w:pPr>
              <w:ind w:left="240"/>
              <w:jc w:val="left"/>
              <w:rPr>
                <w:rFonts w:eastAsia="Times New Roman" w:cs="Times New Roman"/>
                <w:color w:val="000000"/>
                <w:sz w:val="20"/>
                <w:szCs w:val="20"/>
              </w:rPr>
            </w:pPr>
            <w:r w:rsidRPr="00350D02">
              <w:rPr>
                <w:rFonts w:eastAsia="Times New Roman" w:cs="Times New Roman"/>
                <w:color w:val="000000"/>
                <w:sz w:val="20"/>
                <w:szCs w:val="20"/>
              </w:rPr>
              <w:t>Possible and non-incapacitating injury</w:t>
            </w:r>
          </w:p>
        </w:tc>
        <w:tc>
          <w:tcPr>
            <w:tcW w:w="916" w:type="dxa"/>
            <w:tcBorders>
              <w:top w:val="single" w:sz="4" w:space="0" w:color="auto"/>
              <w:left w:val="nil"/>
              <w:bottom w:val="double" w:sz="4" w:space="0" w:color="auto"/>
              <w:right w:val="single" w:sz="4" w:space="0" w:color="auto"/>
            </w:tcBorders>
            <w:shd w:val="clear" w:color="auto" w:fill="auto"/>
            <w:noWrap/>
            <w:vAlign w:val="center"/>
          </w:tcPr>
          <w:p w14:paraId="3573BDBD"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3442BF52"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single" w:sz="4" w:space="0" w:color="auto"/>
              <w:left w:val="nil"/>
              <w:bottom w:val="double" w:sz="4" w:space="0" w:color="auto"/>
              <w:right w:val="single" w:sz="4" w:space="0" w:color="auto"/>
            </w:tcBorders>
            <w:shd w:val="clear" w:color="auto" w:fill="auto"/>
            <w:noWrap/>
            <w:vAlign w:val="center"/>
          </w:tcPr>
          <w:p w14:paraId="7FB28773"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single" w:sz="4" w:space="0" w:color="auto"/>
              <w:left w:val="nil"/>
              <w:bottom w:val="double" w:sz="4" w:space="0" w:color="auto"/>
              <w:right w:val="single" w:sz="4" w:space="0" w:color="auto"/>
            </w:tcBorders>
            <w:shd w:val="clear" w:color="auto" w:fill="auto"/>
            <w:noWrap/>
            <w:vAlign w:val="center"/>
          </w:tcPr>
          <w:p w14:paraId="7F033EBC"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single" w:sz="4" w:space="0" w:color="auto"/>
              <w:left w:val="nil"/>
              <w:bottom w:val="double" w:sz="4" w:space="0" w:color="auto"/>
              <w:right w:val="single" w:sz="4" w:space="0" w:color="auto"/>
            </w:tcBorders>
            <w:shd w:val="clear" w:color="auto" w:fill="auto"/>
            <w:noWrap/>
            <w:vAlign w:val="center"/>
          </w:tcPr>
          <w:p w14:paraId="3A8AAB28"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0.051</w:t>
            </w:r>
          </w:p>
        </w:tc>
        <w:tc>
          <w:tcPr>
            <w:tcW w:w="900" w:type="dxa"/>
            <w:tcBorders>
              <w:top w:val="single" w:sz="4" w:space="0" w:color="auto"/>
              <w:left w:val="nil"/>
              <w:bottom w:val="double" w:sz="4" w:space="0" w:color="auto"/>
              <w:right w:val="single" w:sz="4" w:space="0" w:color="auto"/>
            </w:tcBorders>
            <w:shd w:val="clear" w:color="auto" w:fill="auto"/>
            <w:noWrap/>
            <w:vAlign w:val="center"/>
          </w:tcPr>
          <w:p w14:paraId="74D4F6EB"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1.918</w:t>
            </w:r>
          </w:p>
        </w:tc>
        <w:tc>
          <w:tcPr>
            <w:tcW w:w="916" w:type="dxa"/>
            <w:tcBorders>
              <w:top w:val="single" w:sz="4" w:space="0" w:color="auto"/>
              <w:left w:val="nil"/>
              <w:bottom w:val="double" w:sz="4" w:space="0" w:color="auto"/>
              <w:right w:val="single" w:sz="4" w:space="0" w:color="auto"/>
            </w:tcBorders>
            <w:shd w:val="clear" w:color="auto" w:fill="auto"/>
            <w:noWrap/>
            <w:vAlign w:val="center"/>
          </w:tcPr>
          <w:p w14:paraId="291189F6"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single" w:sz="4" w:space="0" w:color="auto"/>
              <w:left w:val="nil"/>
              <w:bottom w:val="double" w:sz="4" w:space="0" w:color="auto"/>
              <w:right w:val="single" w:sz="4" w:space="0" w:color="auto"/>
            </w:tcBorders>
            <w:shd w:val="clear" w:color="auto" w:fill="auto"/>
            <w:noWrap/>
            <w:vAlign w:val="center"/>
          </w:tcPr>
          <w:p w14:paraId="20E66E1F"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single" w:sz="4" w:space="0" w:color="auto"/>
              <w:left w:val="nil"/>
              <w:bottom w:val="double" w:sz="4" w:space="0" w:color="auto"/>
              <w:right w:val="single" w:sz="4" w:space="0" w:color="auto"/>
            </w:tcBorders>
            <w:shd w:val="clear" w:color="auto" w:fill="auto"/>
            <w:noWrap/>
            <w:vAlign w:val="center"/>
          </w:tcPr>
          <w:p w14:paraId="431B673D"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31" w:type="dxa"/>
            <w:tcBorders>
              <w:top w:val="single" w:sz="4" w:space="0" w:color="auto"/>
              <w:left w:val="nil"/>
              <w:bottom w:val="double" w:sz="4" w:space="0" w:color="auto"/>
              <w:right w:val="single" w:sz="4" w:space="0" w:color="auto"/>
            </w:tcBorders>
            <w:shd w:val="clear" w:color="auto" w:fill="auto"/>
            <w:noWrap/>
            <w:vAlign w:val="center"/>
          </w:tcPr>
          <w:p w14:paraId="0D54700C"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single" w:sz="4" w:space="0" w:color="auto"/>
              <w:left w:val="nil"/>
              <w:bottom w:val="double" w:sz="4" w:space="0" w:color="auto"/>
              <w:right w:val="single" w:sz="4" w:space="0" w:color="auto"/>
            </w:tcBorders>
            <w:shd w:val="clear" w:color="auto" w:fill="auto"/>
            <w:noWrap/>
            <w:vAlign w:val="center"/>
          </w:tcPr>
          <w:p w14:paraId="7B5B2A83"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884" w:type="dxa"/>
            <w:tcBorders>
              <w:top w:val="single" w:sz="4" w:space="0" w:color="auto"/>
              <w:left w:val="nil"/>
              <w:bottom w:val="double" w:sz="4" w:space="0" w:color="auto"/>
              <w:right w:val="double" w:sz="4" w:space="0" w:color="auto"/>
            </w:tcBorders>
            <w:shd w:val="clear" w:color="auto" w:fill="auto"/>
            <w:noWrap/>
            <w:vAlign w:val="center"/>
          </w:tcPr>
          <w:p w14:paraId="737ADF98"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r>
      <w:tr w:rsidR="00E7034E" w:rsidRPr="00350D02" w14:paraId="137304F9" w14:textId="77777777" w:rsidTr="00D34B75">
        <w:trPr>
          <w:trHeight w:val="300"/>
        </w:trPr>
        <w:tc>
          <w:tcPr>
            <w:tcW w:w="12855" w:type="dxa"/>
            <w:gridSpan w:val="15"/>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078EFC55" w14:textId="77777777" w:rsidR="00E7034E" w:rsidRPr="00350D02" w:rsidRDefault="00E7034E" w:rsidP="00D34B75">
            <w:pPr>
              <w:rPr>
                <w:rFonts w:eastAsia="Times New Roman" w:cs="Times New Roman"/>
                <w:b/>
                <w:bCs/>
                <w:color w:val="000000"/>
                <w:sz w:val="20"/>
                <w:szCs w:val="20"/>
              </w:rPr>
            </w:pPr>
            <w:r w:rsidRPr="00350D02">
              <w:rPr>
                <w:rFonts w:eastAsia="Times New Roman" w:cs="Times New Roman"/>
                <w:b/>
                <w:bCs/>
                <w:color w:val="000000"/>
                <w:sz w:val="20"/>
                <w:szCs w:val="20"/>
              </w:rPr>
              <w:t>Socio-demographic characteristics</w:t>
            </w:r>
          </w:p>
        </w:tc>
      </w:tr>
      <w:tr w:rsidR="00E7034E" w:rsidRPr="00350D02" w14:paraId="6B0B72B4" w14:textId="77777777" w:rsidTr="00D34B75">
        <w:trPr>
          <w:trHeight w:val="300"/>
        </w:trPr>
        <w:tc>
          <w:tcPr>
            <w:tcW w:w="1965" w:type="dxa"/>
            <w:tcBorders>
              <w:top w:val="nil"/>
              <w:left w:val="double" w:sz="4" w:space="0" w:color="auto"/>
              <w:bottom w:val="single" w:sz="4" w:space="0" w:color="auto"/>
              <w:right w:val="single" w:sz="4" w:space="0" w:color="auto"/>
            </w:tcBorders>
            <w:shd w:val="clear" w:color="auto" w:fill="auto"/>
            <w:noWrap/>
            <w:vAlign w:val="center"/>
          </w:tcPr>
          <w:p w14:paraId="3E9291DC" w14:textId="77777777" w:rsidR="00E7034E" w:rsidRPr="00350D02" w:rsidRDefault="00E7034E" w:rsidP="006D1D87">
            <w:pPr>
              <w:ind w:left="150"/>
              <w:jc w:val="left"/>
              <w:rPr>
                <w:rFonts w:eastAsia="Times New Roman" w:cs="Times New Roman"/>
                <w:color w:val="000000"/>
                <w:sz w:val="20"/>
                <w:szCs w:val="20"/>
              </w:rPr>
            </w:pPr>
            <w:r w:rsidRPr="00350D02">
              <w:rPr>
                <w:rFonts w:eastAsia="Times New Roman" w:cs="Times New Roman"/>
                <w:color w:val="000000"/>
                <w:sz w:val="20"/>
                <w:szCs w:val="20"/>
              </w:rPr>
              <w:t>Employee</w:t>
            </w:r>
          </w:p>
        </w:tc>
        <w:tc>
          <w:tcPr>
            <w:tcW w:w="916" w:type="dxa"/>
            <w:tcBorders>
              <w:top w:val="nil"/>
              <w:left w:val="nil"/>
              <w:bottom w:val="single" w:sz="4" w:space="0" w:color="auto"/>
              <w:right w:val="single" w:sz="4" w:space="0" w:color="auto"/>
            </w:tcBorders>
            <w:shd w:val="clear" w:color="auto" w:fill="auto"/>
            <w:noWrap/>
            <w:vAlign w:val="center"/>
          </w:tcPr>
          <w:p w14:paraId="17F270C1"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879" w:type="dxa"/>
            <w:tcBorders>
              <w:top w:val="nil"/>
              <w:left w:val="nil"/>
              <w:bottom w:val="single" w:sz="4" w:space="0" w:color="auto"/>
              <w:right w:val="single" w:sz="4" w:space="0" w:color="auto"/>
            </w:tcBorders>
            <w:shd w:val="clear" w:color="auto" w:fill="auto"/>
            <w:noWrap/>
            <w:vAlign w:val="center"/>
          </w:tcPr>
          <w:p w14:paraId="4ADC48B2"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tcPr>
          <w:p w14:paraId="7FDDB16C"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76EC777D"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tcPr>
          <w:p w14:paraId="68B0EEF8"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66CC83F9"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tcPr>
          <w:p w14:paraId="4EEFC62A"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5F9229E0"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tcPr>
          <w:p w14:paraId="055D5071"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31" w:type="dxa"/>
            <w:tcBorders>
              <w:top w:val="nil"/>
              <w:left w:val="nil"/>
              <w:bottom w:val="single" w:sz="4" w:space="0" w:color="auto"/>
              <w:right w:val="single" w:sz="4" w:space="0" w:color="auto"/>
            </w:tcBorders>
            <w:shd w:val="clear" w:color="auto" w:fill="auto"/>
            <w:noWrap/>
            <w:vAlign w:val="center"/>
          </w:tcPr>
          <w:p w14:paraId="67E3BF43"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tcPr>
          <w:p w14:paraId="272D60BB"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-0.083</w:t>
            </w:r>
          </w:p>
        </w:tc>
        <w:tc>
          <w:tcPr>
            <w:tcW w:w="884" w:type="dxa"/>
            <w:tcBorders>
              <w:top w:val="nil"/>
              <w:left w:val="nil"/>
              <w:bottom w:val="single" w:sz="4" w:space="0" w:color="auto"/>
              <w:right w:val="double" w:sz="4" w:space="0" w:color="auto"/>
            </w:tcBorders>
            <w:shd w:val="clear" w:color="auto" w:fill="auto"/>
            <w:noWrap/>
            <w:vAlign w:val="center"/>
          </w:tcPr>
          <w:p w14:paraId="12E4B549"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-2.381</w:t>
            </w:r>
          </w:p>
        </w:tc>
      </w:tr>
      <w:tr w:rsidR="00E7034E" w:rsidRPr="00350D02" w14:paraId="1B10A9EC" w14:textId="77777777" w:rsidTr="00D34B75">
        <w:trPr>
          <w:trHeight w:val="300"/>
        </w:trPr>
        <w:tc>
          <w:tcPr>
            <w:tcW w:w="1965" w:type="dxa"/>
            <w:tcBorders>
              <w:top w:val="nil"/>
              <w:left w:val="double" w:sz="4" w:space="0" w:color="auto"/>
              <w:bottom w:val="single" w:sz="4" w:space="0" w:color="auto"/>
              <w:right w:val="single" w:sz="4" w:space="0" w:color="auto"/>
            </w:tcBorders>
            <w:shd w:val="clear" w:color="auto" w:fill="auto"/>
            <w:noWrap/>
            <w:vAlign w:val="center"/>
            <w:hideMark/>
          </w:tcPr>
          <w:p w14:paraId="313C64A5" w14:textId="77777777" w:rsidR="00E7034E" w:rsidRPr="00350D02" w:rsidRDefault="00E7034E" w:rsidP="006D1D87">
            <w:pPr>
              <w:ind w:left="150"/>
              <w:jc w:val="left"/>
              <w:rPr>
                <w:rFonts w:eastAsia="Times New Roman" w:cs="Times New Roman"/>
                <w:color w:val="000000"/>
                <w:sz w:val="20"/>
                <w:szCs w:val="20"/>
              </w:rPr>
            </w:pPr>
            <w:r w:rsidRPr="00350D02">
              <w:rPr>
                <w:rFonts w:eastAsia="Times New Roman" w:cs="Times New Roman"/>
                <w:color w:val="000000"/>
                <w:sz w:val="20"/>
                <w:szCs w:val="20"/>
              </w:rPr>
              <w:t>Motorcycle user</w:t>
            </w:r>
          </w:p>
        </w:tc>
        <w:tc>
          <w:tcPr>
            <w:tcW w:w="916" w:type="dxa"/>
            <w:tcBorders>
              <w:top w:val="nil"/>
              <w:left w:val="nil"/>
              <w:bottom w:val="single" w:sz="4" w:space="0" w:color="auto"/>
              <w:right w:val="single" w:sz="4" w:space="0" w:color="auto"/>
            </w:tcBorders>
            <w:shd w:val="clear" w:color="auto" w:fill="auto"/>
            <w:noWrap/>
            <w:vAlign w:val="center"/>
            <w:hideMark/>
          </w:tcPr>
          <w:p w14:paraId="74EDCE27"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879" w:type="dxa"/>
            <w:tcBorders>
              <w:top w:val="nil"/>
              <w:left w:val="nil"/>
              <w:bottom w:val="single" w:sz="4" w:space="0" w:color="auto"/>
              <w:right w:val="single" w:sz="4" w:space="0" w:color="auto"/>
            </w:tcBorders>
            <w:shd w:val="clear" w:color="auto" w:fill="auto"/>
            <w:noWrap/>
            <w:vAlign w:val="center"/>
            <w:hideMark/>
          </w:tcPr>
          <w:p w14:paraId="620AA18E"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hideMark/>
          </w:tcPr>
          <w:p w14:paraId="4CE4BA4C"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0.134</w:t>
            </w:r>
          </w:p>
        </w:tc>
        <w:tc>
          <w:tcPr>
            <w:tcW w:w="900" w:type="dxa"/>
            <w:tcBorders>
              <w:top w:val="nil"/>
              <w:left w:val="nil"/>
              <w:bottom w:val="single" w:sz="4" w:space="0" w:color="auto"/>
              <w:right w:val="single" w:sz="4" w:space="0" w:color="auto"/>
            </w:tcBorders>
            <w:shd w:val="clear" w:color="auto" w:fill="auto"/>
            <w:noWrap/>
            <w:vAlign w:val="center"/>
            <w:hideMark/>
          </w:tcPr>
          <w:p w14:paraId="7DCBDD28"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2.351</w:t>
            </w:r>
          </w:p>
        </w:tc>
        <w:tc>
          <w:tcPr>
            <w:tcW w:w="916" w:type="dxa"/>
            <w:tcBorders>
              <w:top w:val="nil"/>
              <w:left w:val="nil"/>
              <w:bottom w:val="single" w:sz="4" w:space="0" w:color="auto"/>
              <w:right w:val="single" w:sz="4" w:space="0" w:color="auto"/>
            </w:tcBorders>
            <w:shd w:val="clear" w:color="auto" w:fill="auto"/>
            <w:noWrap/>
            <w:vAlign w:val="center"/>
            <w:hideMark/>
          </w:tcPr>
          <w:p w14:paraId="10F048C9"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6D25073B"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hideMark/>
          </w:tcPr>
          <w:p w14:paraId="409355D3"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6F504F00"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hideMark/>
          </w:tcPr>
          <w:p w14:paraId="76F39A8C"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31" w:type="dxa"/>
            <w:tcBorders>
              <w:top w:val="nil"/>
              <w:left w:val="nil"/>
              <w:bottom w:val="single" w:sz="4" w:space="0" w:color="auto"/>
              <w:right w:val="single" w:sz="4" w:space="0" w:color="auto"/>
            </w:tcBorders>
            <w:shd w:val="clear" w:color="auto" w:fill="auto"/>
            <w:noWrap/>
            <w:vAlign w:val="center"/>
            <w:hideMark/>
          </w:tcPr>
          <w:p w14:paraId="7A7CEE42"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hideMark/>
          </w:tcPr>
          <w:p w14:paraId="25CD4E7E"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884" w:type="dxa"/>
            <w:tcBorders>
              <w:top w:val="nil"/>
              <w:left w:val="nil"/>
              <w:bottom w:val="single" w:sz="4" w:space="0" w:color="auto"/>
              <w:right w:val="double" w:sz="4" w:space="0" w:color="auto"/>
            </w:tcBorders>
            <w:shd w:val="clear" w:color="auto" w:fill="auto"/>
            <w:noWrap/>
            <w:vAlign w:val="center"/>
            <w:hideMark/>
          </w:tcPr>
          <w:p w14:paraId="5048FCA2"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r>
      <w:tr w:rsidR="00E7034E" w:rsidRPr="00350D02" w14:paraId="4DCABBA3" w14:textId="77777777" w:rsidTr="00D34B75">
        <w:trPr>
          <w:trHeight w:val="300"/>
        </w:trPr>
        <w:tc>
          <w:tcPr>
            <w:tcW w:w="1965" w:type="dxa"/>
            <w:tcBorders>
              <w:top w:val="nil"/>
              <w:left w:val="double" w:sz="4" w:space="0" w:color="auto"/>
              <w:bottom w:val="single" w:sz="4" w:space="0" w:color="auto"/>
              <w:right w:val="single" w:sz="4" w:space="0" w:color="auto"/>
            </w:tcBorders>
            <w:shd w:val="clear" w:color="auto" w:fill="auto"/>
            <w:noWrap/>
            <w:vAlign w:val="center"/>
          </w:tcPr>
          <w:p w14:paraId="695378C1" w14:textId="77777777" w:rsidR="00E7034E" w:rsidRPr="00350D02" w:rsidRDefault="00E7034E" w:rsidP="006D1D87">
            <w:pPr>
              <w:ind w:left="150"/>
              <w:jc w:val="left"/>
              <w:rPr>
                <w:rFonts w:eastAsia="Times New Roman" w:cs="Times New Roman"/>
                <w:color w:val="000000"/>
                <w:sz w:val="20"/>
                <w:szCs w:val="20"/>
              </w:rPr>
            </w:pPr>
            <w:r w:rsidRPr="00350D02">
              <w:rPr>
                <w:rFonts w:eastAsia="Times New Roman" w:cs="Times New Roman"/>
                <w:color w:val="000000"/>
                <w:sz w:val="20"/>
                <w:szCs w:val="20"/>
              </w:rPr>
              <w:t>Proportion of older people (65+)</w:t>
            </w:r>
          </w:p>
        </w:tc>
        <w:tc>
          <w:tcPr>
            <w:tcW w:w="916" w:type="dxa"/>
            <w:tcBorders>
              <w:top w:val="nil"/>
              <w:left w:val="nil"/>
              <w:bottom w:val="single" w:sz="4" w:space="0" w:color="auto"/>
              <w:right w:val="single" w:sz="4" w:space="0" w:color="auto"/>
            </w:tcBorders>
            <w:shd w:val="clear" w:color="auto" w:fill="auto"/>
            <w:noWrap/>
            <w:vAlign w:val="center"/>
          </w:tcPr>
          <w:p w14:paraId="424C82E4"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879" w:type="dxa"/>
            <w:tcBorders>
              <w:top w:val="nil"/>
              <w:left w:val="nil"/>
              <w:bottom w:val="single" w:sz="4" w:space="0" w:color="auto"/>
              <w:right w:val="single" w:sz="4" w:space="0" w:color="auto"/>
            </w:tcBorders>
            <w:shd w:val="clear" w:color="auto" w:fill="auto"/>
            <w:noWrap/>
            <w:vAlign w:val="center"/>
          </w:tcPr>
          <w:p w14:paraId="0C464B8F"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tcPr>
          <w:p w14:paraId="7FCD618C"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05242555"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tcPr>
          <w:p w14:paraId="56B8EFE4"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0FD7D8A5"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tcPr>
          <w:p w14:paraId="669EEB1C"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79AE81B6"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nil"/>
              <w:left w:val="nil"/>
              <w:bottom w:val="single" w:sz="4" w:space="0" w:color="auto"/>
              <w:right w:val="single" w:sz="4" w:space="0" w:color="auto"/>
            </w:tcBorders>
            <w:shd w:val="clear" w:color="auto" w:fill="auto"/>
            <w:noWrap/>
            <w:vAlign w:val="center"/>
          </w:tcPr>
          <w:p w14:paraId="36B31C94"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31" w:type="dxa"/>
            <w:tcBorders>
              <w:top w:val="nil"/>
              <w:left w:val="nil"/>
              <w:bottom w:val="single" w:sz="4" w:space="0" w:color="auto"/>
              <w:right w:val="single" w:sz="4" w:space="0" w:color="auto"/>
            </w:tcBorders>
            <w:shd w:val="clear" w:color="auto" w:fill="auto"/>
            <w:noWrap/>
            <w:vAlign w:val="center"/>
          </w:tcPr>
          <w:p w14:paraId="105C1E2E"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nil"/>
              <w:left w:val="nil"/>
              <w:bottom w:val="single" w:sz="4" w:space="0" w:color="auto"/>
              <w:right w:val="single" w:sz="4" w:space="0" w:color="auto"/>
            </w:tcBorders>
            <w:shd w:val="clear" w:color="auto" w:fill="auto"/>
            <w:noWrap/>
            <w:vAlign w:val="center"/>
          </w:tcPr>
          <w:p w14:paraId="38FE77F8"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-0.443</w:t>
            </w:r>
          </w:p>
        </w:tc>
        <w:tc>
          <w:tcPr>
            <w:tcW w:w="884" w:type="dxa"/>
            <w:tcBorders>
              <w:top w:val="nil"/>
              <w:left w:val="nil"/>
              <w:bottom w:val="single" w:sz="4" w:space="0" w:color="auto"/>
              <w:right w:val="double" w:sz="4" w:space="0" w:color="auto"/>
            </w:tcBorders>
            <w:shd w:val="clear" w:color="auto" w:fill="auto"/>
            <w:noWrap/>
            <w:vAlign w:val="center"/>
          </w:tcPr>
          <w:p w14:paraId="154D33D9"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-1.968</w:t>
            </w:r>
          </w:p>
        </w:tc>
      </w:tr>
      <w:tr w:rsidR="00E7034E" w:rsidRPr="00350D02" w14:paraId="11214979" w14:textId="77777777" w:rsidTr="00D34B75">
        <w:trPr>
          <w:trHeight w:val="300"/>
        </w:trPr>
        <w:tc>
          <w:tcPr>
            <w:tcW w:w="1965" w:type="dxa"/>
            <w:tcBorders>
              <w:top w:val="nil"/>
              <w:left w:val="double" w:sz="4" w:space="0" w:color="auto"/>
              <w:bottom w:val="double" w:sz="4" w:space="0" w:color="auto"/>
              <w:right w:val="single" w:sz="4" w:space="0" w:color="auto"/>
            </w:tcBorders>
            <w:shd w:val="clear" w:color="auto" w:fill="auto"/>
            <w:noWrap/>
            <w:vAlign w:val="center"/>
          </w:tcPr>
          <w:p w14:paraId="758D31B5" w14:textId="77777777" w:rsidR="00E7034E" w:rsidRPr="00350D02" w:rsidRDefault="00E7034E" w:rsidP="006D1D87">
            <w:pPr>
              <w:ind w:left="150"/>
              <w:jc w:val="left"/>
              <w:rPr>
                <w:rFonts w:eastAsia="Times New Roman" w:cs="Times New Roman"/>
                <w:color w:val="000000"/>
                <w:sz w:val="20"/>
                <w:szCs w:val="20"/>
              </w:rPr>
            </w:pPr>
            <w:r w:rsidRPr="00350D02">
              <w:rPr>
                <w:rFonts w:eastAsia="Times New Roman" w:cs="Times New Roman"/>
                <w:color w:val="000000"/>
                <w:sz w:val="20"/>
                <w:szCs w:val="20"/>
              </w:rPr>
              <w:t>Household with no cars</w:t>
            </w:r>
          </w:p>
        </w:tc>
        <w:tc>
          <w:tcPr>
            <w:tcW w:w="916" w:type="dxa"/>
            <w:tcBorders>
              <w:top w:val="nil"/>
              <w:left w:val="nil"/>
              <w:bottom w:val="double" w:sz="4" w:space="0" w:color="auto"/>
              <w:right w:val="single" w:sz="4" w:space="0" w:color="auto"/>
            </w:tcBorders>
            <w:shd w:val="clear" w:color="auto" w:fill="auto"/>
            <w:noWrap/>
            <w:vAlign w:val="center"/>
          </w:tcPr>
          <w:p w14:paraId="44B8D042"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879" w:type="dxa"/>
            <w:tcBorders>
              <w:top w:val="nil"/>
              <w:left w:val="nil"/>
              <w:bottom w:val="double" w:sz="4" w:space="0" w:color="auto"/>
              <w:right w:val="single" w:sz="4" w:space="0" w:color="auto"/>
            </w:tcBorders>
            <w:shd w:val="clear" w:color="auto" w:fill="auto"/>
            <w:noWrap/>
            <w:vAlign w:val="center"/>
          </w:tcPr>
          <w:p w14:paraId="011A5636"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nil"/>
              <w:left w:val="nil"/>
              <w:bottom w:val="double" w:sz="4" w:space="0" w:color="auto"/>
              <w:right w:val="single" w:sz="4" w:space="0" w:color="auto"/>
            </w:tcBorders>
            <w:shd w:val="clear" w:color="auto" w:fill="auto"/>
            <w:noWrap/>
            <w:vAlign w:val="center"/>
          </w:tcPr>
          <w:p w14:paraId="6A6A0E1C"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nil"/>
              <w:left w:val="nil"/>
              <w:bottom w:val="double" w:sz="4" w:space="0" w:color="auto"/>
              <w:right w:val="single" w:sz="4" w:space="0" w:color="auto"/>
            </w:tcBorders>
            <w:shd w:val="clear" w:color="auto" w:fill="auto"/>
            <w:noWrap/>
            <w:vAlign w:val="center"/>
          </w:tcPr>
          <w:p w14:paraId="01AC46BB"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nil"/>
              <w:left w:val="nil"/>
              <w:bottom w:val="double" w:sz="4" w:space="0" w:color="auto"/>
              <w:right w:val="single" w:sz="4" w:space="0" w:color="auto"/>
            </w:tcBorders>
            <w:shd w:val="clear" w:color="auto" w:fill="auto"/>
            <w:noWrap/>
            <w:vAlign w:val="center"/>
          </w:tcPr>
          <w:p w14:paraId="49222ADB"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nil"/>
              <w:left w:val="nil"/>
              <w:bottom w:val="double" w:sz="4" w:space="0" w:color="auto"/>
              <w:right w:val="single" w:sz="4" w:space="0" w:color="auto"/>
            </w:tcBorders>
            <w:shd w:val="clear" w:color="auto" w:fill="auto"/>
            <w:noWrap/>
            <w:vAlign w:val="center"/>
          </w:tcPr>
          <w:p w14:paraId="3ED2F2DF"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nil"/>
              <w:left w:val="nil"/>
              <w:bottom w:val="double" w:sz="4" w:space="0" w:color="auto"/>
              <w:right w:val="single" w:sz="4" w:space="0" w:color="auto"/>
            </w:tcBorders>
            <w:shd w:val="clear" w:color="auto" w:fill="auto"/>
            <w:noWrap/>
            <w:vAlign w:val="center"/>
          </w:tcPr>
          <w:p w14:paraId="3DBC214A"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00" w:type="dxa"/>
            <w:tcBorders>
              <w:top w:val="nil"/>
              <w:left w:val="nil"/>
              <w:bottom w:val="double" w:sz="4" w:space="0" w:color="auto"/>
              <w:right w:val="single" w:sz="4" w:space="0" w:color="auto"/>
            </w:tcBorders>
            <w:shd w:val="clear" w:color="auto" w:fill="auto"/>
            <w:noWrap/>
            <w:vAlign w:val="center"/>
          </w:tcPr>
          <w:p w14:paraId="7555EA46"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tcBorders>
              <w:top w:val="nil"/>
              <w:left w:val="nil"/>
              <w:bottom w:val="double" w:sz="4" w:space="0" w:color="auto"/>
              <w:right w:val="single" w:sz="4" w:space="0" w:color="auto"/>
            </w:tcBorders>
            <w:shd w:val="clear" w:color="auto" w:fill="auto"/>
            <w:noWrap/>
            <w:vAlign w:val="center"/>
          </w:tcPr>
          <w:p w14:paraId="7C0969D3"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31" w:type="dxa"/>
            <w:tcBorders>
              <w:top w:val="nil"/>
              <w:left w:val="nil"/>
              <w:bottom w:val="double" w:sz="4" w:space="0" w:color="auto"/>
              <w:right w:val="single" w:sz="4" w:space="0" w:color="auto"/>
            </w:tcBorders>
            <w:shd w:val="clear" w:color="auto" w:fill="auto"/>
            <w:noWrap/>
            <w:vAlign w:val="center"/>
          </w:tcPr>
          <w:p w14:paraId="102DC129" w14:textId="77777777" w:rsidR="00E7034E" w:rsidRPr="00350D02" w:rsidRDefault="00E7034E" w:rsidP="00D34B75">
            <w:pPr>
              <w:jc w:val="center"/>
              <w:rPr>
                <w:rFonts w:cs="Times New Roman"/>
                <w:color w:val="000000"/>
                <w:sz w:val="20"/>
                <w:szCs w:val="20"/>
              </w:rPr>
            </w:pPr>
            <w:r w:rsidRPr="00350D02">
              <w:rPr>
                <w:rFonts w:cs="Times New Roman"/>
                <w:color w:val="000000"/>
                <w:sz w:val="20"/>
                <w:szCs w:val="20"/>
              </w:rPr>
              <w:t>--</w:t>
            </w:r>
          </w:p>
        </w:tc>
        <w:tc>
          <w:tcPr>
            <w:tcW w:w="916" w:type="dxa"/>
            <w:gridSpan w:val="2"/>
            <w:tcBorders>
              <w:top w:val="nil"/>
              <w:left w:val="nil"/>
              <w:bottom w:val="double" w:sz="4" w:space="0" w:color="auto"/>
              <w:right w:val="single" w:sz="4" w:space="0" w:color="auto"/>
            </w:tcBorders>
            <w:shd w:val="clear" w:color="auto" w:fill="auto"/>
            <w:noWrap/>
            <w:vAlign w:val="center"/>
          </w:tcPr>
          <w:p w14:paraId="4657FEF6"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0.060</w:t>
            </w:r>
          </w:p>
        </w:tc>
        <w:tc>
          <w:tcPr>
            <w:tcW w:w="884" w:type="dxa"/>
            <w:tcBorders>
              <w:top w:val="nil"/>
              <w:left w:val="nil"/>
              <w:bottom w:val="double" w:sz="4" w:space="0" w:color="auto"/>
              <w:right w:val="double" w:sz="4" w:space="0" w:color="auto"/>
            </w:tcBorders>
            <w:shd w:val="clear" w:color="auto" w:fill="auto"/>
            <w:noWrap/>
            <w:vAlign w:val="center"/>
          </w:tcPr>
          <w:p w14:paraId="38DCFEA1" w14:textId="77777777" w:rsidR="00E7034E" w:rsidRPr="00350D02" w:rsidRDefault="00E7034E" w:rsidP="00D34B75">
            <w:pPr>
              <w:jc w:val="center"/>
              <w:rPr>
                <w:rFonts w:cs="Times New Roman"/>
                <w:color w:val="000000"/>
                <w:sz w:val="20"/>
                <w:szCs w:val="20"/>
              </w:rPr>
            </w:pPr>
            <w:r w:rsidRPr="007831A7">
              <w:rPr>
                <w:rFonts w:cs="Times New Roman"/>
                <w:color w:val="000000"/>
                <w:sz w:val="20"/>
                <w:szCs w:val="20"/>
              </w:rPr>
              <w:t>2.384</w:t>
            </w:r>
          </w:p>
        </w:tc>
      </w:tr>
      <w:tr w:rsidR="00E7034E" w:rsidRPr="00E75453" w14:paraId="67B49C96" w14:textId="77777777" w:rsidTr="00D34B75">
        <w:trPr>
          <w:trHeight w:val="300"/>
        </w:trPr>
        <w:tc>
          <w:tcPr>
            <w:tcW w:w="1965" w:type="dxa"/>
            <w:tcBorders>
              <w:top w:val="double" w:sz="4" w:space="0" w:color="auto"/>
              <w:left w:val="double" w:sz="4" w:space="0" w:color="auto"/>
              <w:bottom w:val="double" w:sz="4" w:space="0" w:color="auto"/>
              <w:right w:val="single" w:sz="4" w:space="0" w:color="auto"/>
            </w:tcBorders>
            <w:shd w:val="clear" w:color="auto" w:fill="auto"/>
            <w:noWrap/>
            <w:vAlign w:val="center"/>
          </w:tcPr>
          <w:p w14:paraId="450C5869" w14:textId="77777777" w:rsidR="00E7034E" w:rsidRPr="00350D02" w:rsidRDefault="00E7034E" w:rsidP="00D34B75">
            <w:pPr>
              <w:ind w:left="150"/>
              <w:rPr>
                <w:rFonts w:eastAsia="Times New Roman" w:cs="Times New Roman"/>
                <w:b/>
                <w:color w:val="000000"/>
                <w:sz w:val="20"/>
                <w:szCs w:val="20"/>
              </w:rPr>
            </w:pPr>
            <w:r w:rsidRPr="00350D02">
              <w:rPr>
                <w:rFonts w:eastAsia="Times New Roman" w:cs="Times New Roman"/>
                <w:b/>
                <w:color w:val="000000"/>
                <w:sz w:val="20"/>
                <w:szCs w:val="20"/>
              </w:rPr>
              <w:t>Sample Size</w:t>
            </w:r>
          </w:p>
        </w:tc>
        <w:tc>
          <w:tcPr>
            <w:tcW w:w="1795" w:type="dxa"/>
            <w:gridSpan w:val="2"/>
            <w:tcBorders>
              <w:top w:val="double" w:sz="4" w:space="0" w:color="auto"/>
              <w:left w:val="nil"/>
              <w:bottom w:val="double" w:sz="4" w:space="0" w:color="auto"/>
              <w:right w:val="single" w:sz="4" w:space="0" w:color="auto"/>
            </w:tcBorders>
            <w:shd w:val="clear" w:color="auto" w:fill="auto"/>
            <w:noWrap/>
            <w:vAlign w:val="center"/>
          </w:tcPr>
          <w:p w14:paraId="05A8897E" w14:textId="77777777" w:rsidR="00E7034E" w:rsidRPr="00350D02" w:rsidRDefault="00E7034E" w:rsidP="00D34B75">
            <w:pPr>
              <w:jc w:val="center"/>
              <w:rPr>
                <w:rFonts w:cs="Times New Roman"/>
                <w:b/>
                <w:color w:val="000000"/>
                <w:sz w:val="20"/>
                <w:szCs w:val="20"/>
              </w:rPr>
            </w:pPr>
            <w:r w:rsidRPr="00350D02">
              <w:rPr>
                <w:rFonts w:cs="Times New Roman"/>
                <w:b/>
                <w:color w:val="000000"/>
                <w:sz w:val="20"/>
                <w:szCs w:val="20"/>
              </w:rPr>
              <w:t>2992</w:t>
            </w:r>
          </w:p>
        </w:tc>
        <w:tc>
          <w:tcPr>
            <w:tcW w:w="1816" w:type="dxa"/>
            <w:gridSpan w:val="3"/>
            <w:tcBorders>
              <w:top w:val="double" w:sz="4" w:space="0" w:color="auto"/>
              <w:left w:val="nil"/>
              <w:bottom w:val="double" w:sz="4" w:space="0" w:color="auto"/>
              <w:right w:val="single" w:sz="4" w:space="0" w:color="auto"/>
            </w:tcBorders>
            <w:shd w:val="clear" w:color="auto" w:fill="auto"/>
            <w:noWrap/>
            <w:vAlign w:val="center"/>
          </w:tcPr>
          <w:p w14:paraId="2DAF55FB" w14:textId="77777777" w:rsidR="00E7034E" w:rsidRPr="00350D02" w:rsidRDefault="00E7034E" w:rsidP="00D34B75">
            <w:pPr>
              <w:jc w:val="center"/>
              <w:rPr>
                <w:rFonts w:cs="Times New Roman"/>
                <w:b/>
                <w:color w:val="000000"/>
                <w:sz w:val="20"/>
                <w:szCs w:val="20"/>
              </w:rPr>
            </w:pPr>
            <w:r w:rsidRPr="00350D02">
              <w:rPr>
                <w:rFonts w:cs="Times New Roman"/>
                <w:b/>
                <w:color w:val="000000"/>
                <w:sz w:val="20"/>
                <w:szCs w:val="20"/>
              </w:rPr>
              <w:t>2585</w:t>
            </w:r>
          </w:p>
        </w:tc>
        <w:tc>
          <w:tcPr>
            <w:tcW w:w="1816" w:type="dxa"/>
            <w:gridSpan w:val="2"/>
            <w:tcBorders>
              <w:top w:val="double" w:sz="4" w:space="0" w:color="auto"/>
              <w:left w:val="nil"/>
              <w:bottom w:val="double" w:sz="4" w:space="0" w:color="auto"/>
              <w:right w:val="single" w:sz="4" w:space="0" w:color="auto"/>
            </w:tcBorders>
            <w:shd w:val="clear" w:color="auto" w:fill="auto"/>
            <w:noWrap/>
            <w:vAlign w:val="center"/>
          </w:tcPr>
          <w:p w14:paraId="3A82424B" w14:textId="77777777" w:rsidR="00E7034E" w:rsidRPr="00350D02" w:rsidRDefault="00E7034E" w:rsidP="00D34B75">
            <w:pPr>
              <w:jc w:val="center"/>
              <w:rPr>
                <w:rFonts w:cs="Times New Roman"/>
                <w:b/>
                <w:color w:val="000000"/>
                <w:sz w:val="20"/>
                <w:szCs w:val="20"/>
              </w:rPr>
            </w:pPr>
            <w:r w:rsidRPr="00350D02">
              <w:rPr>
                <w:rFonts w:cs="Times New Roman"/>
                <w:b/>
                <w:color w:val="000000"/>
                <w:sz w:val="20"/>
                <w:szCs w:val="20"/>
              </w:rPr>
              <w:t>2116</w:t>
            </w:r>
          </w:p>
        </w:tc>
        <w:tc>
          <w:tcPr>
            <w:tcW w:w="1816" w:type="dxa"/>
            <w:gridSpan w:val="2"/>
            <w:tcBorders>
              <w:top w:val="double" w:sz="4" w:space="0" w:color="auto"/>
              <w:left w:val="nil"/>
              <w:bottom w:val="double" w:sz="4" w:space="0" w:color="auto"/>
              <w:right w:val="single" w:sz="4" w:space="0" w:color="auto"/>
            </w:tcBorders>
            <w:shd w:val="clear" w:color="auto" w:fill="auto"/>
            <w:noWrap/>
            <w:vAlign w:val="center"/>
          </w:tcPr>
          <w:p w14:paraId="3236155B" w14:textId="77777777" w:rsidR="00E7034E" w:rsidRPr="00350D02" w:rsidRDefault="00E7034E" w:rsidP="00D34B75">
            <w:pPr>
              <w:jc w:val="center"/>
              <w:rPr>
                <w:rFonts w:cs="Times New Roman"/>
                <w:b/>
                <w:color w:val="000000"/>
                <w:sz w:val="20"/>
                <w:szCs w:val="20"/>
              </w:rPr>
            </w:pPr>
            <w:r w:rsidRPr="00350D02">
              <w:rPr>
                <w:rFonts w:cs="Times New Roman"/>
                <w:b/>
                <w:color w:val="000000"/>
                <w:sz w:val="20"/>
                <w:szCs w:val="20"/>
              </w:rPr>
              <w:t>806</w:t>
            </w:r>
          </w:p>
        </w:tc>
        <w:tc>
          <w:tcPr>
            <w:tcW w:w="1847" w:type="dxa"/>
            <w:gridSpan w:val="2"/>
            <w:tcBorders>
              <w:top w:val="double" w:sz="4" w:space="0" w:color="auto"/>
              <w:left w:val="nil"/>
              <w:bottom w:val="double" w:sz="4" w:space="0" w:color="auto"/>
              <w:right w:val="single" w:sz="4" w:space="0" w:color="auto"/>
            </w:tcBorders>
            <w:shd w:val="clear" w:color="auto" w:fill="auto"/>
            <w:noWrap/>
            <w:vAlign w:val="center"/>
          </w:tcPr>
          <w:p w14:paraId="5FDE234A" w14:textId="77777777" w:rsidR="00E7034E" w:rsidRPr="00350D02" w:rsidRDefault="00E7034E" w:rsidP="00D34B75">
            <w:pPr>
              <w:jc w:val="center"/>
              <w:rPr>
                <w:rFonts w:cs="Times New Roman"/>
                <w:b/>
                <w:color w:val="000000"/>
                <w:sz w:val="20"/>
                <w:szCs w:val="20"/>
              </w:rPr>
            </w:pPr>
            <w:r w:rsidRPr="00350D02">
              <w:rPr>
                <w:rFonts w:cs="Times New Roman"/>
                <w:b/>
                <w:color w:val="000000"/>
                <w:sz w:val="20"/>
                <w:szCs w:val="20"/>
              </w:rPr>
              <w:t>2510</w:t>
            </w:r>
          </w:p>
        </w:tc>
        <w:tc>
          <w:tcPr>
            <w:tcW w:w="1800" w:type="dxa"/>
            <w:gridSpan w:val="3"/>
            <w:tcBorders>
              <w:top w:val="double" w:sz="4" w:space="0" w:color="auto"/>
              <w:left w:val="nil"/>
              <w:bottom w:val="double" w:sz="4" w:space="0" w:color="auto"/>
              <w:right w:val="double" w:sz="4" w:space="0" w:color="auto"/>
            </w:tcBorders>
            <w:shd w:val="clear" w:color="auto" w:fill="auto"/>
            <w:noWrap/>
            <w:vAlign w:val="center"/>
          </w:tcPr>
          <w:p w14:paraId="67FCC8EA" w14:textId="77777777" w:rsidR="00E7034E" w:rsidRPr="004C0F83" w:rsidRDefault="00E7034E" w:rsidP="00D34B75">
            <w:pPr>
              <w:jc w:val="center"/>
              <w:rPr>
                <w:rFonts w:cs="Times New Roman"/>
                <w:b/>
                <w:color w:val="000000"/>
                <w:sz w:val="20"/>
                <w:szCs w:val="20"/>
              </w:rPr>
            </w:pPr>
            <w:r w:rsidRPr="00350D02">
              <w:rPr>
                <w:rFonts w:cs="Times New Roman"/>
                <w:b/>
                <w:color w:val="000000"/>
                <w:sz w:val="20"/>
                <w:szCs w:val="20"/>
              </w:rPr>
              <w:t>1417</w:t>
            </w:r>
          </w:p>
        </w:tc>
      </w:tr>
    </w:tbl>
    <w:p w14:paraId="47AAB1D4" w14:textId="77777777" w:rsidR="0034194B" w:rsidRPr="00F56EC8" w:rsidRDefault="0034194B" w:rsidP="0034194B">
      <w:pPr>
        <w:rPr>
          <w:sz w:val="20"/>
          <w:szCs w:val="18"/>
          <w:lang w:val="en-US"/>
        </w:rPr>
      </w:pPr>
      <w:r w:rsidRPr="00EC79A3">
        <w:rPr>
          <w:sz w:val="20"/>
          <w:szCs w:val="20"/>
        </w:rPr>
        <w:t>*np=</w:t>
      </w:r>
      <w:r w:rsidRPr="00F56EC8">
        <w:rPr>
          <w:szCs w:val="24"/>
        </w:rPr>
        <w:t xml:space="preserve"> </w:t>
      </w:r>
      <w:r w:rsidRPr="00F56EC8">
        <w:rPr>
          <w:sz w:val="20"/>
          <w:szCs w:val="18"/>
          <w:lang w:val="en-US"/>
        </w:rPr>
        <w:t>number of parameters estimated for each variable from a possible set of six</w:t>
      </w:r>
      <w:r>
        <w:rPr>
          <w:sz w:val="20"/>
          <w:szCs w:val="18"/>
          <w:lang w:val="en-US"/>
        </w:rPr>
        <w:t xml:space="preserve"> (six crash types)</w:t>
      </w:r>
    </w:p>
    <w:p w14:paraId="74FCF8DB" w14:textId="77777777" w:rsidR="00596687" w:rsidRDefault="00596687" w:rsidP="00596687">
      <w:pPr>
        <w:ind w:firstLine="720"/>
      </w:pPr>
    </w:p>
    <w:p w14:paraId="6DEA8B3E" w14:textId="77777777" w:rsidR="00596687" w:rsidRDefault="00596687" w:rsidP="00596687">
      <w:pPr>
        <w:ind w:firstLine="720"/>
      </w:pPr>
    </w:p>
    <w:p w14:paraId="68D07B3F" w14:textId="77777777" w:rsidR="00596687" w:rsidRDefault="00596687" w:rsidP="00596687">
      <w:pPr>
        <w:ind w:firstLine="720"/>
      </w:pPr>
    </w:p>
    <w:p w14:paraId="424C063A" w14:textId="77777777" w:rsidR="00596687" w:rsidRDefault="00596687" w:rsidP="00596687">
      <w:pPr>
        <w:ind w:firstLine="720"/>
      </w:pPr>
    </w:p>
    <w:p w14:paraId="4B8C809A" w14:textId="77777777" w:rsidR="00596687" w:rsidRDefault="00596687" w:rsidP="00596687">
      <w:pPr>
        <w:ind w:firstLine="720"/>
      </w:pPr>
    </w:p>
    <w:p w14:paraId="4C2C635A" w14:textId="77777777" w:rsidR="00596687" w:rsidRDefault="00596687" w:rsidP="00596687"/>
    <w:p w14:paraId="496DC95A" w14:textId="77777777" w:rsidR="00FE3A31" w:rsidRDefault="00FE3A31" w:rsidP="00596687">
      <w:pPr>
        <w:sectPr w:rsidR="00FE3A31" w:rsidSect="00D921E8">
          <w:pgSz w:w="15840" w:h="12240" w:orient="landscape" w:code="1"/>
          <w:pgMar w:top="1469" w:right="1440" w:bottom="1440" w:left="1440" w:header="720" w:footer="720" w:gutter="0"/>
          <w:cols w:space="708"/>
          <w:titlePg/>
          <w:docGrid w:linePitch="360"/>
        </w:sectPr>
      </w:pPr>
    </w:p>
    <w:p w14:paraId="5F798E3B" w14:textId="611345BE" w:rsidR="00BD77C1" w:rsidRDefault="00BD77C1" w:rsidP="00BD77C1">
      <w:pPr>
        <w:pStyle w:val="Heading1"/>
        <w:numPr>
          <w:ilvl w:val="0"/>
          <w:numId w:val="0"/>
        </w:numPr>
        <w:ind w:left="431"/>
        <w:jc w:val="center"/>
      </w:pPr>
      <w:r w:rsidRPr="00C50EB7">
        <w:lastRenderedPageBreak/>
        <w:t>A</w:t>
      </w:r>
      <w:r>
        <w:t>PPENDIX B</w:t>
      </w:r>
    </w:p>
    <w:p w14:paraId="3B676FDA" w14:textId="77777777" w:rsidR="00557710" w:rsidRPr="00557710" w:rsidRDefault="00557710" w:rsidP="00557710"/>
    <w:p w14:paraId="0CA4C458" w14:textId="31933B13" w:rsidR="00966D7B" w:rsidRPr="00966D7B" w:rsidRDefault="00966D7B" w:rsidP="00596687">
      <w:pPr>
        <w:rPr>
          <w:b/>
          <w:bCs/>
        </w:rPr>
      </w:pPr>
      <w:r w:rsidRPr="00966D7B">
        <w:rPr>
          <w:b/>
          <w:bCs/>
        </w:rPr>
        <w:t>Validation Analysis</w:t>
      </w:r>
    </w:p>
    <w:p w14:paraId="2BE34099" w14:textId="3AEF628E" w:rsidR="00596687" w:rsidRPr="004E02F9" w:rsidRDefault="00966D7B" w:rsidP="00596687">
      <w:r>
        <w:t xml:space="preserve">For the validation analysis, </w:t>
      </w:r>
      <w:r w:rsidR="00596687">
        <w:t xml:space="preserve">we compute MAD at a disaggregate level </w:t>
      </w:r>
      <w:r w:rsidR="00596687" w:rsidRPr="00B35752">
        <w:t>by generating measures at the study unit level (TAZ) and compute the average measures across all units</w:t>
      </w:r>
      <w:r w:rsidR="00596687">
        <w:t xml:space="preserve"> (total crash, crash type and severity). Other than total crash counts and crash count by crash type, we </w:t>
      </w:r>
      <w:r w:rsidR="00596687">
        <w:rPr>
          <w:szCs w:val="24"/>
        </w:rPr>
        <w:t xml:space="preserve">generate crash counts by severity levels for different crash types using the following equation: </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6"/>
        <w:gridCol w:w="1215"/>
      </w:tblGrid>
      <w:tr w:rsidR="00596687" w:rsidRPr="0010387C" w14:paraId="618DE989" w14:textId="77777777" w:rsidTr="00B952F9">
        <w:tc>
          <w:tcPr>
            <w:tcW w:w="4349" w:type="pct"/>
            <w:vAlign w:val="center"/>
          </w:tcPr>
          <w:p w14:paraId="4831F3A4" w14:textId="77777777" w:rsidR="00596687" w:rsidRPr="0010387C" w:rsidRDefault="00596687" w:rsidP="00B952F9">
            <w:pPr>
              <w:spacing w:before="360" w:after="360" w:line="276" w:lineRule="auto"/>
              <w:rPr>
                <w:rFonts w:eastAsia="Calibri" w:cs="Times New Roman"/>
                <w:lang w:val="en-US"/>
              </w:rPr>
            </w:pPr>
            <m:oMathPara>
              <m:oMathParaPr>
                <m:jc m:val="left"/>
              </m:oMathParaPr>
              <m:oMath>
                <m:r>
                  <w:rPr>
                    <w:rFonts w:ascii="Cambria Math" w:eastAsia="Times New Roman" w:hAnsi="Cambria Math" w:cs="Times New Roman"/>
                    <w:szCs w:val="24"/>
                    <w:lang w:val="en-US"/>
                  </w:rPr>
                  <m:t>E</m:t>
                </m:r>
                <m:d>
                  <m:dPr>
                    <m:ctrlPr>
                      <w:rPr>
                        <w:rFonts w:ascii="Cambria Math" w:eastAsia="Times New Roman" w:hAnsi="Cambria Math" w:cs="Times New Roman"/>
                        <w:i/>
                        <w:szCs w:val="24"/>
                        <w:lang w:val="en-US"/>
                      </w:rPr>
                    </m:ctrlPr>
                  </m:dPr>
                  <m:e>
                    <m:sSub>
                      <m:sSubPr>
                        <m:ctrlPr>
                          <w:rPr>
                            <w:rFonts w:ascii="Cambria Math" w:eastAsia="Times New Roman" w:hAnsi="Cambria Math" w:cs="Times New Roman"/>
                            <w:i/>
                            <w:szCs w:val="24"/>
                            <w:lang w:val="en-US"/>
                          </w:rPr>
                        </m:ctrlPr>
                      </m:sSubPr>
                      <m:e>
                        <m:r>
                          <m:rPr>
                            <m:sty m:val="bi"/>
                          </m:rPr>
                          <w:rPr>
                            <w:rFonts w:ascii="Cambria Math" w:eastAsia="Times New Roman" w:hAnsi="Cambria Math" w:cs="Times New Roman"/>
                            <w:szCs w:val="24"/>
                            <w:lang w:val="en-US"/>
                          </w:rPr>
                          <m:t>P</m:t>
                        </m:r>
                      </m:e>
                      <m:sub>
                        <m:r>
                          <w:rPr>
                            <w:rFonts w:ascii="Cambria Math" w:eastAsia="Times New Roman" w:hAnsi="Cambria Math" w:cs="Times New Roman"/>
                            <w:szCs w:val="24"/>
                            <w:lang w:val="en-US"/>
                          </w:rPr>
                          <m:t>irk</m:t>
                        </m:r>
                      </m:sub>
                    </m:sSub>
                  </m:e>
                </m:d>
                <m:r>
                  <w:rPr>
                    <w:rFonts w:ascii="Cambria Math" w:eastAsia="Times New Roman" w:hAnsi="Cambria Math" w:cs="Times New Roman"/>
                    <w:szCs w:val="24"/>
                    <w:lang w:val="en-US"/>
                  </w:rPr>
                  <m:t>=</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μ</m:t>
                    </m:r>
                  </m:e>
                  <m:sub>
                    <m:r>
                      <w:rPr>
                        <w:rFonts w:ascii="Cambria Math" w:eastAsia="Times New Roman" w:hAnsi="Cambria Math" w:cs="Times New Roman"/>
                        <w:szCs w:val="24"/>
                        <w:lang w:val="en-US"/>
                      </w:rPr>
                      <m:t>ir</m:t>
                    </m:r>
                  </m:sub>
                </m:sSub>
                <m:r>
                  <w:rPr>
                    <w:rFonts w:ascii="Cambria Math" w:eastAsia="Times New Roman" w:hAnsi="Cambria Math" w:cs="Times New Roman"/>
                    <w:szCs w:val="24"/>
                    <w:lang w:val="en-US"/>
                  </w:rPr>
                  <m:t>*</m:t>
                </m:r>
                <m:r>
                  <m:rPr>
                    <m:sty m:val="p"/>
                  </m:rPr>
                  <w:rPr>
                    <w:rFonts w:ascii="Cambria Math" w:eastAsia="Times New Roman" w:hAnsi="Cambria Math" w:cs="Times New Roman"/>
                    <w:szCs w:val="24"/>
                    <w:lang w:val="en-US"/>
                  </w:rPr>
                  <m:t>Λ</m:t>
                </m:r>
                <m:d>
                  <m:dPr>
                    <m:ctrlPr>
                      <w:rPr>
                        <w:rFonts w:ascii="Cambria Math" w:eastAsia="Times New Roman" w:hAnsi="Cambria Math" w:cs="Times New Roman"/>
                        <w:i/>
                        <w:szCs w:val="24"/>
                        <w:lang w:val="en-US"/>
                      </w:rPr>
                    </m:ctrlPr>
                  </m:d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y</m:t>
                        </m:r>
                      </m:e>
                      <m:sub>
                        <m:r>
                          <w:rPr>
                            <w:rFonts w:ascii="Cambria Math" w:eastAsia="Times New Roman" w:hAnsi="Cambria Math" w:cs="Times New Roman"/>
                            <w:szCs w:val="24"/>
                            <w:lang w:val="en-US"/>
                          </w:rPr>
                          <m:t>irk</m:t>
                        </m:r>
                      </m:sub>
                    </m:sSub>
                    <m:r>
                      <w:rPr>
                        <w:rFonts w:ascii="Cambria Math" w:eastAsia="Times New Roman" w:hAnsi="Cambria Math" w:cs="Times New Roman"/>
                        <w:szCs w:val="24"/>
                        <w:lang w:val="en-US"/>
                      </w:rPr>
                      <m:t>=k</m:t>
                    </m:r>
                  </m:e>
                </m:d>
              </m:oMath>
            </m:oMathPara>
          </w:p>
        </w:tc>
        <w:tc>
          <w:tcPr>
            <w:tcW w:w="651" w:type="pct"/>
            <w:vAlign w:val="center"/>
          </w:tcPr>
          <w:p w14:paraId="3F5CAE0C" w14:textId="77777777" w:rsidR="00596687" w:rsidRPr="0010387C" w:rsidRDefault="00596687" w:rsidP="00B952F9">
            <w:pPr>
              <w:numPr>
                <w:ilvl w:val="0"/>
                <w:numId w:val="11"/>
              </w:numPr>
              <w:spacing w:before="360" w:after="360" w:line="276" w:lineRule="auto"/>
              <w:contextualSpacing/>
              <w:jc w:val="right"/>
              <w:rPr>
                <w:rFonts w:ascii="Calibri" w:eastAsia="Calibri" w:hAnsi="Calibri" w:cs="Times New Roman"/>
                <w:lang w:val="en-US"/>
              </w:rPr>
            </w:pPr>
          </w:p>
        </w:tc>
      </w:tr>
    </w:tbl>
    <w:p w14:paraId="1C450B2F" w14:textId="77777777" w:rsidR="00596687" w:rsidRDefault="00596687" w:rsidP="00596687">
      <w:pPr>
        <w:ind w:firstLine="720"/>
        <w:rPr>
          <w:rFonts w:eastAsiaTheme="minorEastAsia"/>
          <w:szCs w:val="24"/>
          <w:lang w:val="en-US"/>
        </w:rPr>
      </w:pPr>
      <w:r>
        <w:rPr>
          <w:szCs w:val="24"/>
        </w:rPr>
        <w:t>where,</w:t>
      </w:r>
      <m:oMath>
        <m:r>
          <w:rPr>
            <w:rFonts w:ascii="Cambria Math" w:eastAsia="Times New Roman" w:hAnsi="Cambria Math" w:cs="Times New Roman"/>
            <w:szCs w:val="24"/>
            <w:lang w:val="en-US"/>
          </w:rPr>
          <m:t xml:space="preserve"> </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μ</m:t>
            </m:r>
          </m:e>
          <m:sub>
            <m:r>
              <w:rPr>
                <w:rFonts w:ascii="Cambria Math" w:eastAsia="Times New Roman" w:hAnsi="Cambria Math" w:cs="Times New Roman"/>
                <w:szCs w:val="24"/>
                <w:lang w:val="en-US"/>
              </w:rPr>
              <m:t>ir</m:t>
            </m:r>
          </m:sub>
        </m:sSub>
      </m:oMath>
      <w:r>
        <w:rPr>
          <w:rFonts w:eastAsiaTheme="minorEastAsia"/>
          <w:szCs w:val="24"/>
          <w:lang w:val="en-US"/>
        </w:rPr>
        <w:t xml:space="preserve"> is the expected number of crashes for crash type r in TAZ </w:t>
      </w:r>
      <m:oMath>
        <m:r>
          <w:rPr>
            <w:rFonts w:ascii="Cambria Math" w:eastAsia="Times New Roman" w:hAnsi="Cambria Math" w:cs="Times New Roman"/>
            <w:szCs w:val="24"/>
            <w:lang w:val="en-US"/>
          </w:rPr>
          <m:t>i</m:t>
        </m:r>
      </m:oMath>
      <w:r>
        <w:rPr>
          <w:rFonts w:eastAsiaTheme="minorEastAsia"/>
          <w:szCs w:val="24"/>
          <w:lang w:val="en-US"/>
        </w:rPr>
        <w:t xml:space="preserve">;  </w:t>
      </w:r>
      <m:oMath>
        <m:r>
          <m:rPr>
            <m:sty m:val="p"/>
          </m:rPr>
          <w:rPr>
            <w:rFonts w:ascii="Cambria Math" w:eastAsia="Times New Roman" w:hAnsi="Cambria Math" w:cs="Times New Roman"/>
            <w:szCs w:val="24"/>
            <w:lang w:val="en-US"/>
          </w:rPr>
          <m:t>Λ</m:t>
        </m:r>
        <m:d>
          <m:dPr>
            <m:ctrlPr>
              <w:rPr>
                <w:rFonts w:ascii="Cambria Math" w:eastAsia="Times New Roman" w:hAnsi="Cambria Math" w:cs="Times New Roman"/>
                <w:i/>
                <w:szCs w:val="24"/>
                <w:lang w:val="en-US"/>
              </w:rPr>
            </m:ctrlPr>
          </m:d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y</m:t>
                </m:r>
              </m:e>
              <m:sub>
                <m:r>
                  <w:rPr>
                    <w:rFonts w:ascii="Cambria Math" w:eastAsia="Times New Roman" w:hAnsi="Cambria Math" w:cs="Times New Roman"/>
                    <w:szCs w:val="24"/>
                    <w:lang w:val="en-US"/>
                  </w:rPr>
                  <m:t>irk</m:t>
                </m:r>
              </m:sub>
            </m:sSub>
            <m:r>
              <w:rPr>
                <w:rFonts w:ascii="Cambria Math" w:eastAsia="Times New Roman" w:hAnsi="Cambria Math" w:cs="Times New Roman"/>
                <w:szCs w:val="24"/>
                <w:lang w:val="en-US"/>
              </w:rPr>
              <m:t>=k</m:t>
            </m:r>
          </m:e>
        </m:d>
      </m:oMath>
      <w:r>
        <w:rPr>
          <w:rFonts w:eastAsiaTheme="minorEastAsia"/>
          <w:szCs w:val="24"/>
          <w:lang w:val="en-US"/>
        </w:rPr>
        <w:t xml:space="preserve"> is the predicted proportion of severity corresponding to crash type r and TAZ </w:t>
      </w:r>
      <m:oMath>
        <m:r>
          <w:rPr>
            <w:rFonts w:ascii="Cambria Math" w:eastAsia="Times New Roman" w:hAnsi="Cambria Math" w:cs="Times New Roman"/>
            <w:szCs w:val="24"/>
            <w:lang w:val="en-US"/>
          </w:rPr>
          <m:t>i</m:t>
        </m:r>
      </m:oMath>
      <w:r>
        <w:rPr>
          <w:rFonts w:eastAsiaTheme="minorEastAsia"/>
          <w:szCs w:val="24"/>
          <w:lang w:val="en-US"/>
        </w:rPr>
        <w:t xml:space="preserve">; and </w:t>
      </w:r>
      <w:r>
        <w:rPr>
          <w:szCs w:val="24"/>
        </w:rPr>
        <w:t xml:space="preserve"> </w:t>
      </w:r>
      <m:oMath>
        <m:r>
          <w:rPr>
            <w:rFonts w:ascii="Cambria Math" w:eastAsia="Times New Roman" w:hAnsi="Cambria Math" w:cs="Times New Roman"/>
            <w:szCs w:val="24"/>
            <w:lang w:val="en-US"/>
          </w:rPr>
          <m:t>E</m:t>
        </m:r>
        <m:d>
          <m:dPr>
            <m:ctrlPr>
              <w:rPr>
                <w:rFonts w:ascii="Cambria Math" w:eastAsia="Times New Roman" w:hAnsi="Cambria Math" w:cs="Times New Roman"/>
                <w:i/>
                <w:szCs w:val="24"/>
                <w:lang w:val="en-US"/>
              </w:rPr>
            </m:ctrlPr>
          </m:dPr>
          <m:e>
            <m:sSub>
              <m:sSubPr>
                <m:ctrlPr>
                  <w:rPr>
                    <w:rFonts w:ascii="Cambria Math" w:eastAsia="Times New Roman" w:hAnsi="Cambria Math" w:cs="Times New Roman"/>
                    <w:i/>
                    <w:szCs w:val="24"/>
                    <w:lang w:val="en-US"/>
                  </w:rPr>
                </m:ctrlPr>
              </m:sSubPr>
              <m:e>
                <m:r>
                  <m:rPr>
                    <m:sty m:val="bi"/>
                  </m:rPr>
                  <w:rPr>
                    <w:rFonts w:ascii="Cambria Math" w:eastAsia="Times New Roman" w:hAnsi="Cambria Math" w:cs="Times New Roman"/>
                    <w:szCs w:val="24"/>
                    <w:lang w:val="en-US"/>
                  </w:rPr>
                  <m:t>P</m:t>
                </m:r>
              </m:e>
              <m:sub>
                <m:r>
                  <w:rPr>
                    <w:rFonts w:ascii="Cambria Math" w:eastAsia="Times New Roman" w:hAnsi="Cambria Math" w:cs="Times New Roman"/>
                    <w:szCs w:val="24"/>
                    <w:lang w:val="en-US"/>
                  </w:rPr>
                  <m:t>irk</m:t>
                </m:r>
              </m:sub>
            </m:sSub>
          </m:e>
        </m:d>
      </m:oMath>
      <w:r>
        <w:rPr>
          <w:rFonts w:eastAsiaTheme="minorEastAsia"/>
          <w:szCs w:val="24"/>
          <w:lang w:val="en-US"/>
        </w:rPr>
        <w:t xml:space="preserve"> is the expected number of crashes by injury severity </w:t>
      </w:r>
      <m:oMath>
        <m:r>
          <w:rPr>
            <w:rFonts w:ascii="Cambria Math" w:eastAsia="Times New Roman" w:hAnsi="Cambria Math" w:cs="Times New Roman"/>
            <w:szCs w:val="24"/>
            <w:lang w:val="en-US"/>
          </w:rPr>
          <m:t>k</m:t>
        </m:r>
      </m:oMath>
      <w:r>
        <w:rPr>
          <w:rFonts w:eastAsiaTheme="minorEastAsia"/>
          <w:szCs w:val="24"/>
          <w:lang w:val="en-US"/>
        </w:rPr>
        <w:t xml:space="preserve">  for crash type r in TAZ </w:t>
      </w:r>
      <m:oMath>
        <m:r>
          <w:rPr>
            <w:rFonts w:ascii="Cambria Math" w:eastAsia="Times New Roman" w:hAnsi="Cambria Math" w:cs="Times New Roman"/>
            <w:szCs w:val="24"/>
            <w:lang w:val="en-US"/>
          </w:rPr>
          <m:t>i</m:t>
        </m:r>
      </m:oMath>
      <w:r>
        <w:rPr>
          <w:rFonts w:eastAsiaTheme="minorEastAsia"/>
          <w:szCs w:val="24"/>
          <w:lang w:val="en-US"/>
        </w:rPr>
        <w:t>. Finally, we compute MAD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5"/>
        <w:gridCol w:w="1166"/>
      </w:tblGrid>
      <w:tr w:rsidR="00596687" w:rsidRPr="0032028E" w14:paraId="5C735904" w14:textId="77777777" w:rsidTr="00B952F9">
        <w:tc>
          <w:tcPr>
            <w:tcW w:w="4375" w:type="pct"/>
            <w:vAlign w:val="center"/>
            <w:hideMark/>
          </w:tcPr>
          <w:p w14:paraId="1FCAB875" w14:textId="77777777" w:rsidR="00596687" w:rsidRPr="0032028E" w:rsidRDefault="00596687" w:rsidP="00B952F9">
            <w:pPr>
              <w:spacing w:before="360" w:after="360"/>
              <w:jc w:val="left"/>
              <w:rPr>
                <w:i/>
                <w:szCs w:val="20"/>
                <w:lang w:eastAsia="en-CA"/>
              </w:rPr>
            </w:pPr>
            <m:oMathPara>
              <m:oMathParaPr>
                <m:jc m:val="left"/>
              </m:oMathParaPr>
              <m:oMath>
                <m:r>
                  <m:rPr>
                    <m:sty m:val="p"/>
                  </m:rPr>
                  <w:rPr>
                    <w:rFonts w:ascii="Cambria Math" w:eastAsiaTheme="minorEastAsia" w:hAnsi="Cambria Math"/>
                    <w:szCs w:val="24"/>
                    <w:vertAlign w:val="subscript"/>
                  </w:rPr>
                  <m:t>MAD</m:t>
                </m:r>
                <m:r>
                  <w:rPr>
                    <w:rFonts w:ascii="Cambria Math" w:hAnsi="Cambria Math"/>
                    <w:szCs w:val="20"/>
                  </w:rPr>
                  <m:t>=  mean |</m:t>
                </m:r>
                <m:sSub>
                  <m:sSubPr>
                    <m:ctrlPr>
                      <w:rPr>
                        <w:rFonts w:ascii="Cambria Math" w:hAnsi="Cambria Math"/>
                        <w:i/>
                        <w:szCs w:val="20"/>
                      </w:rPr>
                    </m:ctrlPr>
                  </m:sSubPr>
                  <m:e>
                    <m:acc>
                      <m:accPr>
                        <m:ctrlPr>
                          <w:rPr>
                            <w:rFonts w:ascii="Cambria Math" w:hAnsi="Cambria Math"/>
                            <w:i/>
                            <w:szCs w:val="20"/>
                          </w:rPr>
                        </m:ctrlPr>
                      </m:accPr>
                      <m:e>
                        <m:r>
                          <w:rPr>
                            <w:rFonts w:ascii="Cambria Math" w:hAnsi="Cambria Math"/>
                            <w:szCs w:val="20"/>
                          </w:rPr>
                          <m:t>y</m:t>
                        </m:r>
                      </m:e>
                    </m:acc>
                  </m:e>
                  <m:sub>
                    <m:r>
                      <w:rPr>
                        <w:rFonts w:ascii="Cambria Math" w:hAnsi="Cambria Math"/>
                        <w:szCs w:val="20"/>
                      </w:rPr>
                      <m:t>i</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y</m:t>
                    </m:r>
                  </m:e>
                  <m:sub>
                    <m:r>
                      <w:rPr>
                        <w:rFonts w:ascii="Cambria Math" w:hAnsi="Cambria Math"/>
                        <w:szCs w:val="20"/>
                      </w:rPr>
                      <m:t>i</m:t>
                    </m:r>
                  </m:sub>
                </m:sSub>
                <m:r>
                  <w:rPr>
                    <w:rFonts w:ascii="Cambria Math" w:hAnsi="Cambria Math"/>
                    <w:szCs w:val="20"/>
                  </w:rPr>
                  <m:t>|</m:t>
                </m:r>
                <m:r>
                  <w:rPr>
                    <w:rFonts w:ascii="Cambria Math" w:eastAsia="Calibri" w:hAnsi="Cambria Math"/>
                    <w:color w:val="000000"/>
                    <w:szCs w:val="24"/>
                  </w:rPr>
                  <m:t xml:space="preserve"> </m:t>
                </m:r>
              </m:oMath>
            </m:oMathPara>
          </w:p>
        </w:tc>
        <w:tc>
          <w:tcPr>
            <w:tcW w:w="625" w:type="pct"/>
            <w:vAlign w:val="center"/>
          </w:tcPr>
          <w:p w14:paraId="3F1324B0" w14:textId="77777777" w:rsidR="00596687" w:rsidRPr="0032028E" w:rsidRDefault="00596687" w:rsidP="00B952F9">
            <w:pPr>
              <w:pStyle w:val="ListParagraph"/>
              <w:numPr>
                <w:ilvl w:val="0"/>
                <w:numId w:val="11"/>
              </w:numPr>
              <w:spacing w:before="360" w:after="360"/>
              <w:jc w:val="center"/>
              <w:rPr>
                <w:szCs w:val="20"/>
              </w:rPr>
            </w:pPr>
          </w:p>
        </w:tc>
      </w:tr>
    </w:tbl>
    <w:p w14:paraId="502AC991" w14:textId="3576DE8E" w:rsidR="00596687" w:rsidRDefault="00596687" w:rsidP="00596687">
      <w:r w:rsidRPr="00EE42E2">
        <w:rPr>
          <w:rFonts w:eastAsiaTheme="minorEastAsia"/>
          <w:szCs w:val="24"/>
        </w:rPr>
        <w:t xml:space="preserve">where, </w:t>
      </w:r>
      <m:oMath>
        <m:sSub>
          <m:sSubPr>
            <m:ctrlPr>
              <w:rPr>
                <w:rFonts w:ascii="Cambria Math" w:hAnsi="Cambria Math"/>
                <w:i/>
                <w:szCs w:val="24"/>
              </w:rPr>
            </m:ctrlPr>
          </m:sSubPr>
          <m:e>
            <m:acc>
              <m:accPr>
                <m:ctrlPr>
                  <w:rPr>
                    <w:rFonts w:ascii="Cambria Math" w:hAnsi="Cambria Math"/>
                    <w:i/>
                    <w:szCs w:val="24"/>
                  </w:rPr>
                </m:ctrlPr>
              </m:accPr>
              <m:e>
                <m:r>
                  <w:rPr>
                    <w:rFonts w:ascii="Cambria Math" w:hAnsi="Cambria Math"/>
                    <w:szCs w:val="24"/>
                  </w:rPr>
                  <m:t>y</m:t>
                </m:r>
              </m:e>
            </m:acc>
          </m:e>
          <m:sub>
            <m:r>
              <w:rPr>
                <w:rFonts w:ascii="Cambria Math" w:hAnsi="Cambria Math"/>
                <w:szCs w:val="24"/>
              </w:rPr>
              <m:t>i</m:t>
            </m:r>
          </m:sub>
        </m:sSub>
      </m:oMath>
      <w:r w:rsidRPr="00EE42E2">
        <w:rPr>
          <w:rFonts w:eastAsiaTheme="minorEastAsia"/>
          <w:szCs w:val="24"/>
        </w:rPr>
        <w:t xml:space="preserve"> and </w:t>
      </w: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i</m:t>
            </m:r>
          </m:sub>
        </m:sSub>
      </m:oMath>
      <w:r w:rsidRPr="00EE42E2">
        <w:rPr>
          <w:rFonts w:eastAsiaTheme="minorEastAsia"/>
          <w:szCs w:val="24"/>
        </w:rPr>
        <w:t xml:space="preserve"> are the predicted and observed, number of crashes occurring over a period of time in a TAZ </w:t>
      </w:r>
      <m:oMath>
        <m:r>
          <w:rPr>
            <w:rFonts w:ascii="Cambria Math" w:hAnsi="Cambria Math"/>
            <w:szCs w:val="24"/>
          </w:rPr>
          <m:t>i</m:t>
        </m:r>
      </m:oMath>
      <w:r>
        <w:rPr>
          <w:rFonts w:eastAsiaTheme="minorEastAsia"/>
          <w:szCs w:val="24"/>
        </w:rPr>
        <w:t xml:space="preserve"> (corresponds to different dimension: total crash, crash type, severity etc). </w:t>
      </w:r>
      <w:r>
        <w:t xml:space="preserve">Figure </w:t>
      </w:r>
      <w:r w:rsidR="00A05518">
        <w:t xml:space="preserve">B.1 and B.2 </w:t>
      </w:r>
      <w:r>
        <w:t xml:space="preserve">presents the value of MAD for estimation and validation sample, respectively. </w:t>
      </w:r>
    </w:p>
    <w:p w14:paraId="148394B9" w14:textId="77777777" w:rsidR="00596687" w:rsidRDefault="00596687" w:rsidP="00596687">
      <w:pPr>
        <w:ind w:firstLine="720"/>
      </w:pPr>
      <w:r>
        <w:t>On the other hand, we employ MAPE measures at an aggregate level where we estimate the number and proportion of crashes for corresponding dimension and predict the TAZ shares for different count and proportion alternatives and compared it with the observed shares. For example, let us consider the crash counts by crash type where we predict the number of crashes for each crash type at an individual level (observation) and then we estimate how many TAZs have 0,1….250 crashes. Finally, we compute the MAPE as:</w:t>
      </w:r>
    </w:p>
    <w:tbl>
      <w:tblPr>
        <w:tblStyle w:val="TableGrid"/>
        <w:tblW w:w="501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1"/>
        <w:gridCol w:w="1170"/>
      </w:tblGrid>
      <w:tr w:rsidR="00596687" w:rsidRPr="0032028E" w14:paraId="71664E33" w14:textId="77777777" w:rsidTr="00B952F9">
        <w:tc>
          <w:tcPr>
            <w:tcW w:w="4375" w:type="pct"/>
            <w:vAlign w:val="center"/>
            <w:hideMark/>
          </w:tcPr>
          <w:p w14:paraId="16ED36E8" w14:textId="77777777" w:rsidR="00596687" w:rsidRPr="0032028E" w:rsidRDefault="00596687" w:rsidP="00B952F9">
            <w:pPr>
              <w:spacing w:before="360" w:after="360"/>
              <w:jc w:val="left"/>
              <w:rPr>
                <w:i/>
                <w:szCs w:val="20"/>
                <w:lang w:eastAsia="en-CA"/>
              </w:rPr>
            </w:pPr>
            <m:oMath>
              <m:r>
                <m:rPr>
                  <m:sty m:val="p"/>
                </m:rPr>
                <w:rPr>
                  <w:rFonts w:ascii="Cambria Math" w:eastAsiaTheme="minorEastAsia" w:hAnsi="Cambria Math"/>
                  <w:sz w:val="22"/>
                  <w:vertAlign w:val="subscript"/>
                </w:rPr>
                <m:t>MAPE</m:t>
              </m:r>
              <m:r>
                <w:rPr>
                  <w:rFonts w:ascii="Cambria Math" w:hAnsi="Cambria Math"/>
                  <w:sz w:val="22"/>
                  <w:szCs w:val="18"/>
                </w:rPr>
                <m:t>=</m:t>
              </m:r>
              <m:f>
                <m:fPr>
                  <m:ctrlPr>
                    <w:rPr>
                      <w:rFonts w:ascii="Cambria Math" w:hAnsi="Cambria Math"/>
                      <w:i/>
                      <w:sz w:val="22"/>
                      <w:szCs w:val="18"/>
                    </w:rPr>
                  </m:ctrlPr>
                </m:fPr>
                <m:num>
                  <m:r>
                    <w:rPr>
                      <w:rFonts w:ascii="Cambria Math" w:hAnsi="Cambria Math"/>
                      <w:sz w:val="22"/>
                      <w:szCs w:val="18"/>
                    </w:rPr>
                    <m:t>1</m:t>
                  </m:r>
                </m:num>
                <m:den>
                  <m:r>
                    <w:rPr>
                      <w:rFonts w:ascii="Cambria Math" w:hAnsi="Cambria Math"/>
                      <w:sz w:val="22"/>
                      <w:szCs w:val="18"/>
                    </w:rPr>
                    <m:t>n</m:t>
                  </m:r>
                </m:den>
              </m:f>
              <m:nary>
                <m:naryPr>
                  <m:chr m:val="∑"/>
                  <m:limLoc m:val="undOvr"/>
                  <m:ctrlPr>
                    <w:rPr>
                      <w:rFonts w:ascii="Cambria Math" w:hAnsi="Cambria Math"/>
                      <w:i/>
                      <w:sz w:val="22"/>
                      <w:szCs w:val="20"/>
                    </w:rPr>
                  </m:ctrlPr>
                </m:naryPr>
                <m:sub>
                  <m:r>
                    <w:rPr>
                      <w:rFonts w:ascii="Cambria Math" w:hAnsi="Cambria Math"/>
                      <w:sz w:val="22"/>
                      <w:szCs w:val="20"/>
                    </w:rPr>
                    <m:t>n=1</m:t>
                  </m:r>
                </m:sub>
                <m:sup>
                  <m:r>
                    <w:rPr>
                      <w:rFonts w:ascii="Cambria Math" w:hAnsi="Cambria Math"/>
                      <w:sz w:val="22"/>
                      <w:szCs w:val="20"/>
                    </w:rPr>
                    <m:t>N</m:t>
                  </m:r>
                </m:sup>
                <m:e>
                  <m:d>
                    <m:dPr>
                      <m:begChr m:val="|"/>
                      <m:endChr m:val="|"/>
                      <m:ctrlPr>
                        <w:rPr>
                          <w:rFonts w:ascii="Cambria Math" w:hAnsi="Cambria Math"/>
                          <w:i/>
                          <w:sz w:val="22"/>
                          <w:szCs w:val="20"/>
                        </w:rPr>
                      </m:ctrlPr>
                    </m:dPr>
                    <m:e>
                      <m:f>
                        <m:fPr>
                          <m:ctrlPr>
                            <w:rPr>
                              <w:rFonts w:ascii="Cambria Math" w:hAnsi="Cambria Math"/>
                              <w:i/>
                              <w:sz w:val="22"/>
                              <w:szCs w:val="20"/>
                            </w:rPr>
                          </m:ctrlPr>
                        </m:fPr>
                        <m:num>
                          <m:sSub>
                            <m:sSubPr>
                              <m:ctrlPr>
                                <w:rPr>
                                  <w:rFonts w:ascii="Cambria Math" w:hAnsi="Cambria Math"/>
                                  <w:i/>
                                  <w:sz w:val="22"/>
                                  <w:szCs w:val="20"/>
                                </w:rPr>
                              </m:ctrlPr>
                            </m:sSubPr>
                            <m:e>
                              <m:acc>
                                <m:accPr>
                                  <m:ctrlPr>
                                    <w:rPr>
                                      <w:rFonts w:ascii="Cambria Math" w:hAnsi="Cambria Math"/>
                                      <w:i/>
                                      <w:sz w:val="22"/>
                                      <w:szCs w:val="20"/>
                                    </w:rPr>
                                  </m:ctrlPr>
                                </m:accPr>
                                <m:e>
                                  <m:r>
                                    <w:rPr>
                                      <w:rFonts w:ascii="Cambria Math" w:hAnsi="Cambria Math"/>
                                      <w:sz w:val="22"/>
                                      <w:szCs w:val="20"/>
                                    </w:rPr>
                                    <m:t>y</m:t>
                                  </m:r>
                                </m:e>
                              </m:acc>
                            </m:e>
                            <m:sub>
                              <m:r>
                                <w:rPr>
                                  <w:rFonts w:ascii="Cambria Math" w:hAnsi="Cambria Math"/>
                                  <w:sz w:val="22"/>
                                  <w:szCs w:val="20"/>
                                </w:rPr>
                                <m:t>n</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y</m:t>
                              </m:r>
                            </m:e>
                            <m:sub>
                              <m:r>
                                <w:rPr>
                                  <w:rFonts w:ascii="Cambria Math" w:hAnsi="Cambria Math"/>
                                  <w:sz w:val="22"/>
                                  <w:szCs w:val="20"/>
                                </w:rPr>
                                <m:t>n</m:t>
                              </m:r>
                            </m:sub>
                          </m:sSub>
                        </m:num>
                        <m:den>
                          <m:sSub>
                            <m:sSubPr>
                              <m:ctrlPr>
                                <w:rPr>
                                  <w:rFonts w:ascii="Cambria Math" w:hAnsi="Cambria Math"/>
                                  <w:i/>
                                  <w:sz w:val="22"/>
                                  <w:szCs w:val="20"/>
                                </w:rPr>
                              </m:ctrlPr>
                            </m:sSubPr>
                            <m:e>
                              <m:r>
                                <w:rPr>
                                  <w:rFonts w:ascii="Cambria Math" w:hAnsi="Cambria Math"/>
                                  <w:sz w:val="22"/>
                                  <w:szCs w:val="20"/>
                                </w:rPr>
                                <m:t>y</m:t>
                              </m:r>
                            </m:e>
                            <m:sub>
                              <m:r>
                                <w:rPr>
                                  <w:rFonts w:ascii="Cambria Math" w:hAnsi="Cambria Math"/>
                                  <w:sz w:val="22"/>
                                  <w:szCs w:val="20"/>
                                </w:rPr>
                                <m:t>n</m:t>
                              </m:r>
                            </m:sub>
                          </m:sSub>
                        </m:den>
                      </m:f>
                    </m:e>
                  </m:d>
                </m:e>
              </m:nary>
            </m:oMath>
            <w:r>
              <w:rPr>
                <w:rFonts w:eastAsiaTheme="minorEastAsia"/>
                <w:i/>
              </w:rPr>
              <w:t xml:space="preserve">      </w:t>
            </w:r>
          </w:p>
        </w:tc>
        <w:tc>
          <w:tcPr>
            <w:tcW w:w="625" w:type="pct"/>
            <w:vAlign w:val="center"/>
          </w:tcPr>
          <w:p w14:paraId="25601084" w14:textId="77777777" w:rsidR="00596687" w:rsidRPr="0032028E" w:rsidRDefault="00596687" w:rsidP="00B952F9">
            <w:pPr>
              <w:pStyle w:val="ListParagraph"/>
              <w:numPr>
                <w:ilvl w:val="0"/>
                <w:numId w:val="53"/>
              </w:numPr>
              <w:spacing w:before="360" w:after="360"/>
              <w:rPr>
                <w:szCs w:val="20"/>
              </w:rPr>
            </w:pPr>
          </w:p>
        </w:tc>
      </w:tr>
    </w:tbl>
    <w:p w14:paraId="7CD2E7D8" w14:textId="30A75E71" w:rsidR="00596687" w:rsidRDefault="00596687" w:rsidP="00596687">
      <w:r w:rsidRPr="00EE42E2">
        <w:rPr>
          <w:rFonts w:eastAsiaTheme="minorEastAsia"/>
          <w:szCs w:val="24"/>
        </w:rPr>
        <w:t xml:space="preserve">where, </w:t>
      </w:r>
      <m:oMath>
        <m:sSub>
          <m:sSubPr>
            <m:ctrlPr>
              <w:rPr>
                <w:rFonts w:ascii="Cambria Math" w:hAnsi="Cambria Math"/>
                <w:i/>
                <w:szCs w:val="24"/>
              </w:rPr>
            </m:ctrlPr>
          </m:sSubPr>
          <m:e>
            <m:acc>
              <m:accPr>
                <m:ctrlPr>
                  <w:rPr>
                    <w:rFonts w:ascii="Cambria Math" w:hAnsi="Cambria Math"/>
                    <w:i/>
                    <w:szCs w:val="24"/>
                  </w:rPr>
                </m:ctrlPr>
              </m:accPr>
              <m:e>
                <m:r>
                  <w:rPr>
                    <w:rFonts w:ascii="Cambria Math" w:hAnsi="Cambria Math"/>
                    <w:szCs w:val="24"/>
                  </w:rPr>
                  <m:t>y</m:t>
                </m:r>
              </m:e>
            </m:acc>
          </m:e>
          <m:sub>
            <m:r>
              <w:rPr>
                <w:rFonts w:ascii="Cambria Math" w:hAnsi="Cambria Math"/>
                <w:szCs w:val="24"/>
              </w:rPr>
              <m:t>n</m:t>
            </m:r>
          </m:sub>
        </m:sSub>
      </m:oMath>
      <w:r w:rsidRPr="00EE42E2">
        <w:rPr>
          <w:rFonts w:eastAsiaTheme="minorEastAsia"/>
          <w:szCs w:val="24"/>
        </w:rPr>
        <w:t xml:space="preserve"> and </w:t>
      </w: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n</m:t>
            </m:r>
          </m:sub>
        </m:sSub>
      </m:oMath>
      <w:r w:rsidRPr="00EE42E2">
        <w:rPr>
          <w:rFonts w:eastAsiaTheme="minorEastAsia"/>
          <w:szCs w:val="24"/>
        </w:rPr>
        <w:t xml:space="preserve"> are the predicted and observed, number of </w:t>
      </w:r>
      <w:r>
        <w:rPr>
          <w:rFonts w:eastAsiaTheme="minorEastAsia"/>
          <w:szCs w:val="24"/>
        </w:rPr>
        <w:t>TAZs (corresponds to different dimension)</w:t>
      </w:r>
      <w:r w:rsidRPr="00EE42E2">
        <w:rPr>
          <w:rFonts w:eastAsiaTheme="minorEastAsia"/>
          <w:szCs w:val="24"/>
        </w:rPr>
        <w:t xml:space="preserve"> </w:t>
      </w:r>
      <w:r>
        <w:rPr>
          <w:rFonts w:eastAsiaTheme="minorEastAsia"/>
          <w:szCs w:val="24"/>
        </w:rPr>
        <w:t>for different count alternative n</w:t>
      </w:r>
      <w:r>
        <w:t xml:space="preserve">. Figure </w:t>
      </w:r>
      <w:r w:rsidR="00360349">
        <w:t>B.1</w:t>
      </w:r>
      <w:r>
        <w:t xml:space="preserve"> and </w:t>
      </w:r>
      <w:r w:rsidR="00360349">
        <w:t>B.2</w:t>
      </w:r>
      <w:r>
        <w:t xml:space="preserve"> presents the value of MAPE for estimation and validation sample, respectively. </w:t>
      </w:r>
    </w:p>
    <w:p w14:paraId="42154A45" w14:textId="400ECDF5" w:rsidR="00596687" w:rsidRDefault="00596687" w:rsidP="00596687">
      <w:pPr>
        <w:ind w:firstLine="720"/>
      </w:pPr>
      <w:r>
        <w:t xml:space="preserve">In terms of MAD, we found that both datasets (from </w:t>
      </w:r>
      <w:r w:rsidR="00495AA4">
        <w:t>F</w:t>
      </w:r>
      <w:r>
        <w:t xml:space="preserve">igure </w:t>
      </w:r>
      <w:r w:rsidR="008F1E69">
        <w:t>B.3</w:t>
      </w:r>
      <w:r>
        <w:t xml:space="preserve"> and </w:t>
      </w:r>
      <w:r w:rsidR="008F1E69">
        <w:t>B.4</w:t>
      </w:r>
      <w:r>
        <w:t>) offer similar predictive performance which highlights the applicability of the proposed joint framework by eliminating the overfitting issue. Further, out of all crash alternatives, the prediction accuracy is quite poor for no injury crashes followed by rear-end crashes relative to other crash types, crash severities and total crash counts. With respect to MAPE measures, t</w:t>
      </w:r>
      <w:r w:rsidRPr="00ED08E2">
        <w:t>he following observations can be made from the values presented in Figures</w:t>
      </w:r>
      <w:r>
        <w:t xml:space="preserve"> </w:t>
      </w:r>
      <w:r w:rsidR="00495AA4">
        <w:t>B.3 and B.4</w:t>
      </w:r>
      <w:r w:rsidRPr="00ED08E2">
        <w:t xml:space="preserve">. </w:t>
      </w:r>
      <w:r w:rsidRPr="004E6A56">
        <w:rPr>
          <w:u w:val="single"/>
        </w:rPr>
        <w:t>First</w:t>
      </w:r>
      <w:r w:rsidRPr="00ED08E2">
        <w:t xml:space="preserve">, the predictive performance of the two datasets (estimation and validation sample) are quite similar. </w:t>
      </w:r>
      <w:r w:rsidRPr="00B6624D">
        <w:rPr>
          <w:u w:val="single"/>
        </w:rPr>
        <w:t>Second</w:t>
      </w:r>
      <w:r w:rsidRPr="00ED08E2">
        <w:t xml:space="preserve">, in terms of the total crash counts, the predicted share of TAZs for different count alternatives are reasonably close to the observed share for both dataset with an error of </w:t>
      </w:r>
      <w:r>
        <w:t>0.9% (both dataset)</w:t>
      </w:r>
      <w:r w:rsidRPr="00ED08E2">
        <w:t xml:space="preserve"> respectively.</w:t>
      </w:r>
      <w:r>
        <w:t xml:space="preserve"> </w:t>
      </w:r>
      <w:r w:rsidRPr="00ED08E2">
        <w:t>The reader would note we converted the numbers in the figures to percentage for discussion.</w:t>
      </w:r>
      <w:r>
        <w:t xml:space="preserve"> </w:t>
      </w:r>
      <w:r>
        <w:rPr>
          <w:u w:val="single"/>
        </w:rPr>
        <w:t>Third</w:t>
      </w:r>
      <w:r>
        <w:t xml:space="preserve">, with respect to different severity levels, the model performs better for the lower categories (up to possible injury) while a slightly higher error rate (about 3%) is observed in the upper classes </w:t>
      </w:r>
      <w:r>
        <w:lastRenderedPageBreak/>
        <w:t xml:space="preserve">(category 3 and 4). </w:t>
      </w:r>
      <w:r w:rsidRPr="00BE3278">
        <w:rPr>
          <w:u w:val="single"/>
        </w:rPr>
        <w:t>Fourth</w:t>
      </w:r>
      <w:r>
        <w:t xml:space="preserve">, the MAPE values corresponds to crash types offer interesting insights. While we observe a lower accuracy for rear-end crashes in both datasets (12.4 % and 11.4 % respectively), the model performs adequately for other crash types with a maximum of 6.4% error rate for angular crash in the estimation sample. </w:t>
      </w:r>
      <w:r w:rsidRPr="001532BB">
        <w:rPr>
          <w:u w:val="single"/>
        </w:rPr>
        <w:t>Finally</w:t>
      </w:r>
      <w:r>
        <w:t xml:space="preserve">, within each crash type, the MAPE values for each severity fractions are quite reasonable without any significant trend highlighting the appropriateness of the proposed model. </w:t>
      </w:r>
    </w:p>
    <w:p w14:paraId="08000917" w14:textId="77777777" w:rsidR="00FE3A31" w:rsidRDefault="00FE3A31" w:rsidP="00B61606">
      <w:pPr>
        <w:jc w:val="left"/>
        <w:rPr>
          <w:b/>
        </w:rPr>
        <w:sectPr w:rsidR="00FE3A31" w:rsidSect="00FE3A31">
          <w:pgSz w:w="12240" w:h="15840" w:code="1"/>
          <w:pgMar w:top="1440" w:right="1440" w:bottom="1440" w:left="1469" w:header="720" w:footer="720" w:gutter="0"/>
          <w:cols w:space="708"/>
          <w:titlePg/>
          <w:docGrid w:linePitch="360"/>
        </w:sectPr>
      </w:pPr>
    </w:p>
    <w:p w14:paraId="167E9648" w14:textId="13D25B2A" w:rsidR="00B61606" w:rsidRDefault="00B61606" w:rsidP="00B61606">
      <w:pPr>
        <w:jc w:val="left"/>
        <w:rPr>
          <w:b/>
        </w:rPr>
      </w:pPr>
    </w:p>
    <w:p w14:paraId="11580C32" w14:textId="77777777" w:rsidR="00B61606" w:rsidRDefault="00B61606" w:rsidP="00B61606">
      <w:pPr>
        <w:rPr>
          <w:rFonts w:cs="Times New Roman"/>
          <w:b/>
          <w:bCs/>
          <w:sz w:val="28"/>
          <w:szCs w:val="28"/>
        </w:rPr>
      </w:pPr>
      <w:r>
        <w:rPr>
          <w:rFonts w:cs="Times New Roman"/>
          <w:b/>
          <w:bCs/>
          <w:noProof/>
          <w:sz w:val="28"/>
          <w:szCs w:val="28"/>
          <w:lang w:val="en-US"/>
        </w:rPr>
        <w:drawing>
          <wp:inline distT="0" distB="0" distL="0" distR="0" wp14:anchorId="289DB718" wp14:editId="4585CE03">
            <wp:extent cx="8178439" cy="51846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178439" cy="5184648"/>
                    </a:xfrm>
                    <a:prstGeom prst="rect">
                      <a:avLst/>
                    </a:prstGeom>
                    <a:noFill/>
                  </pic:spPr>
                </pic:pic>
              </a:graphicData>
            </a:graphic>
          </wp:inline>
        </w:drawing>
      </w:r>
    </w:p>
    <w:p w14:paraId="79D88AF0" w14:textId="6FAEA81F" w:rsidR="00B61606" w:rsidRPr="00B24D4E" w:rsidRDefault="00B61606" w:rsidP="00B61606">
      <w:pPr>
        <w:rPr>
          <w:rFonts w:cs="Times New Roman"/>
          <w:b/>
          <w:bCs/>
          <w:szCs w:val="24"/>
        </w:rPr>
      </w:pPr>
      <w:r w:rsidRPr="00B24D4E">
        <w:rPr>
          <w:rFonts w:cs="Times New Roman"/>
          <w:b/>
          <w:bCs/>
          <w:szCs w:val="24"/>
        </w:rPr>
        <w:t xml:space="preserve">Figure </w:t>
      </w:r>
      <w:r w:rsidR="004C1FFD">
        <w:rPr>
          <w:rFonts w:cs="Times New Roman"/>
          <w:b/>
          <w:bCs/>
          <w:szCs w:val="24"/>
        </w:rPr>
        <w:t>B.1</w:t>
      </w:r>
      <w:r w:rsidRPr="00B24D4E">
        <w:rPr>
          <w:rFonts w:cs="Times New Roman"/>
          <w:b/>
          <w:bCs/>
          <w:szCs w:val="24"/>
        </w:rPr>
        <w:t xml:space="preserve"> MA</w:t>
      </w:r>
      <w:r>
        <w:rPr>
          <w:rFonts w:cs="Times New Roman"/>
          <w:b/>
          <w:bCs/>
          <w:szCs w:val="24"/>
        </w:rPr>
        <w:t>D</w:t>
      </w:r>
      <w:r w:rsidRPr="00B24D4E">
        <w:rPr>
          <w:rFonts w:cs="Times New Roman"/>
          <w:b/>
          <w:bCs/>
          <w:szCs w:val="24"/>
        </w:rPr>
        <w:t xml:space="preserve"> Tree for Estimation Sample</w:t>
      </w:r>
      <w:r>
        <w:rPr>
          <w:rFonts w:cs="Times New Roman"/>
          <w:b/>
          <w:bCs/>
          <w:szCs w:val="24"/>
        </w:rPr>
        <w:t xml:space="preserve"> (3,815 TAZs)</w:t>
      </w:r>
    </w:p>
    <w:p w14:paraId="035722E9" w14:textId="77777777" w:rsidR="00B61606" w:rsidRDefault="00B61606" w:rsidP="00B61606">
      <w:pPr>
        <w:rPr>
          <w:sz w:val="20"/>
          <w:szCs w:val="18"/>
        </w:rPr>
      </w:pPr>
      <w:r w:rsidRPr="00E87C8C">
        <w:rPr>
          <w:sz w:val="20"/>
          <w:szCs w:val="18"/>
        </w:rPr>
        <w:t>*</w:t>
      </w:r>
      <w:r>
        <w:rPr>
          <w:sz w:val="20"/>
          <w:szCs w:val="18"/>
        </w:rPr>
        <w:t>Cat 1</w:t>
      </w:r>
      <w:r w:rsidRPr="00E87C8C">
        <w:rPr>
          <w:sz w:val="20"/>
          <w:szCs w:val="18"/>
        </w:rPr>
        <w:t xml:space="preserve"> = </w:t>
      </w:r>
      <w:r>
        <w:rPr>
          <w:sz w:val="20"/>
          <w:szCs w:val="18"/>
        </w:rPr>
        <w:t>proportion of no injury</w:t>
      </w:r>
      <w:r w:rsidRPr="00E87C8C">
        <w:rPr>
          <w:sz w:val="20"/>
          <w:szCs w:val="18"/>
        </w:rPr>
        <w:t>; **</w:t>
      </w:r>
      <w:r>
        <w:rPr>
          <w:sz w:val="20"/>
          <w:szCs w:val="18"/>
        </w:rPr>
        <w:t>Cat 2</w:t>
      </w:r>
      <w:r w:rsidRPr="00E87C8C">
        <w:rPr>
          <w:sz w:val="20"/>
          <w:szCs w:val="18"/>
        </w:rPr>
        <w:t xml:space="preserve">= </w:t>
      </w:r>
      <w:r>
        <w:rPr>
          <w:sz w:val="20"/>
          <w:szCs w:val="18"/>
        </w:rPr>
        <w:t>proportion of possible injury</w:t>
      </w:r>
      <w:r w:rsidRPr="00E87C8C">
        <w:rPr>
          <w:sz w:val="20"/>
          <w:szCs w:val="18"/>
        </w:rPr>
        <w:t>;</w:t>
      </w:r>
      <w:r>
        <w:rPr>
          <w:sz w:val="20"/>
          <w:szCs w:val="18"/>
        </w:rPr>
        <w:t xml:space="preserve"> </w:t>
      </w:r>
      <w:r w:rsidRPr="00E87C8C">
        <w:rPr>
          <w:sz w:val="20"/>
          <w:szCs w:val="18"/>
        </w:rPr>
        <w:t>**</w:t>
      </w:r>
      <w:r>
        <w:rPr>
          <w:sz w:val="20"/>
          <w:szCs w:val="18"/>
        </w:rPr>
        <w:t>*Cat 3</w:t>
      </w:r>
      <w:r w:rsidRPr="00E87C8C">
        <w:rPr>
          <w:sz w:val="20"/>
          <w:szCs w:val="18"/>
        </w:rPr>
        <w:t xml:space="preserve">= </w:t>
      </w:r>
      <w:r>
        <w:rPr>
          <w:sz w:val="20"/>
          <w:szCs w:val="18"/>
        </w:rPr>
        <w:t>proportion of non-incapacitating injury</w:t>
      </w:r>
      <w:r w:rsidRPr="00E87C8C">
        <w:rPr>
          <w:sz w:val="20"/>
          <w:szCs w:val="18"/>
        </w:rPr>
        <w:t>, **</w:t>
      </w:r>
      <w:r>
        <w:rPr>
          <w:sz w:val="20"/>
          <w:szCs w:val="18"/>
        </w:rPr>
        <w:t>**Cat 4</w:t>
      </w:r>
      <w:r w:rsidRPr="00E87C8C">
        <w:rPr>
          <w:sz w:val="20"/>
          <w:szCs w:val="18"/>
        </w:rPr>
        <w:t xml:space="preserve">= </w:t>
      </w:r>
      <w:r>
        <w:rPr>
          <w:sz w:val="20"/>
          <w:szCs w:val="18"/>
        </w:rPr>
        <w:t>proportion of severe injury</w:t>
      </w:r>
    </w:p>
    <w:p w14:paraId="40E2F2BA" w14:textId="77777777" w:rsidR="00B61606" w:rsidRDefault="00B61606" w:rsidP="00B61606">
      <w:pPr>
        <w:rPr>
          <w:sz w:val="20"/>
          <w:szCs w:val="18"/>
        </w:rPr>
      </w:pPr>
    </w:p>
    <w:p w14:paraId="5D86983E" w14:textId="77777777" w:rsidR="00B61606" w:rsidRDefault="00B61606" w:rsidP="00B61606">
      <w:pPr>
        <w:rPr>
          <w:rFonts w:cs="Times New Roman"/>
          <w:b/>
          <w:bCs/>
          <w:noProof/>
          <w:sz w:val="28"/>
          <w:szCs w:val="28"/>
        </w:rPr>
      </w:pPr>
      <w:r>
        <w:rPr>
          <w:rFonts w:cs="Times New Roman"/>
          <w:b/>
          <w:bCs/>
          <w:noProof/>
          <w:sz w:val="28"/>
          <w:szCs w:val="28"/>
          <w:lang w:val="en-US"/>
        </w:rPr>
        <w:lastRenderedPageBreak/>
        <w:drawing>
          <wp:inline distT="0" distB="0" distL="0" distR="0" wp14:anchorId="393D2F11" wp14:editId="7B43812E">
            <wp:extent cx="8178439" cy="51846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178439" cy="5184648"/>
                    </a:xfrm>
                    <a:prstGeom prst="rect">
                      <a:avLst/>
                    </a:prstGeom>
                    <a:noFill/>
                  </pic:spPr>
                </pic:pic>
              </a:graphicData>
            </a:graphic>
          </wp:inline>
        </w:drawing>
      </w:r>
    </w:p>
    <w:p w14:paraId="0F8B7817" w14:textId="10929DBD" w:rsidR="00B61606" w:rsidRPr="00B24D4E" w:rsidRDefault="00B61606" w:rsidP="00B61606">
      <w:pPr>
        <w:rPr>
          <w:rFonts w:cs="Times New Roman"/>
          <w:b/>
          <w:bCs/>
          <w:sz w:val="28"/>
          <w:szCs w:val="28"/>
        </w:rPr>
      </w:pPr>
      <w:r w:rsidRPr="00B24D4E">
        <w:rPr>
          <w:rFonts w:cs="Times New Roman"/>
          <w:b/>
          <w:bCs/>
          <w:szCs w:val="28"/>
        </w:rPr>
        <w:t xml:space="preserve">Figure </w:t>
      </w:r>
      <w:r w:rsidR="00617ED8">
        <w:rPr>
          <w:rFonts w:cs="Times New Roman"/>
          <w:b/>
          <w:bCs/>
          <w:szCs w:val="24"/>
        </w:rPr>
        <w:t>B.2</w:t>
      </w:r>
      <w:r w:rsidR="00617ED8" w:rsidRPr="00B24D4E">
        <w:rPr>
          <w:rFonts w:cs="Times New Roman"/>
          <w:b/>
          <w:bCs/>
          <w:szCs w:val="24"/>
        </w:rPr>
        <w:t xml:space="preserve"> </w:t>
      </w:r>
      <w:r w:rsidRPr="00B24D4E">
        <w:rPr>
          <w:rFonts w:cs="Times New Roman"/>
          <w:b/>
          <w:bCs/>
          <w:szCs w:val="28"/>
        </w:rPr>
        <w:t>MA</w:t>
      </w:r>
      <w:r>
        <w:rPr>
          <w:rFonts w:cs="Times New Roman"/>
          <w:b/>
          <w:bCs/>
          <w:szCs w:val="28"/>
        </w:rPr>
        <w:t>D</w:t>
      </w:r>
      <w:r w:rsidRPr="00B24D4E">
        <w:rPr>
          <w:rFonts w:cs="Times New Roman"/>
          <w:b/>
          <w:bCs/>
          <w:szCs w:val="28"/>
        </w:rPr>
        <w:t xml:space="preserve"> Tree for Validation Sample</w:t>
      </w:r>
      <w:r>
        <w:rPr>
          <w:rFonts w:cs="Times New Roman"/>
          <w:b/>
          <w:bCs/>
          <w:szCs w:val="28"/>
        </w:rPr>
        <w:t xml:space="preserve"> (932 TAZs)</w:t>
      </w:r>
    </w:p>
    <w:p w14:paraId="748ABD9B" w14:textId="77777777" w:rsidR="00B61606" w:rsidRDefault="00B61606" w:rsidP="00B61606">
      <w:pPr>
        <w:rPr>
          <w:rFonts w:cs="Times New Roman"/>
          <w:b/>
          <w:bCs/>
          <w:sz w:val="28"/>
          <w:szCs w:val="28"/>
        </w:rPr>
      </w:pPr>
      <w:r w:rsidRPr="00E87C8C">
        <w:rPr>
          <w:sz w:val="20"/>
          <w:szCs w:val="18"/>
        </w:rPr>
        <w:t>*</w:t>
      </w:r>
      <w:r>
        <w:rPr>
          <w:sz w:val="20"/>
          <w:szCs w:val="18"/>
        </w:rPr>
        <w:t>Cat 1</w:t>
      </w:r>
      <w:r w:rsidRPr="00E87C8C">
        <w:rPr>
          <w:sz w:val="20"/>
          <w:szCs w:val="18"/>
        </w:rPr>
        <w:t xml:space="preserve"> = </w:t>
      </w:r>
      <w:r>
        <w:rPr>
          <w:sz w:val="20"/>
          <w:szCs w:val="18"/>
        </w:rPr>
        <w:t>proportion of no injury</w:t>
      </w:r>
      <w:r w:rsidRPr="00E87C8C">
        <w:rPr>
          <w:sz w:val="20"/>
          <w:szCs w:val="18"/>
        </w:rPr>
        <w:t>; **</w:t>
      </w:r>
      <w:r>
        <w:rPr>
          <w:sz w:val="20"/>
          <w:szCs w:val="18"/>
        </w:rPr>
        <w:t>Cat 2</w:t>
      </w:r>
      <w:r w:rsidRPr="00E87C8C">
        <w:rPr>
          <w:sz w:val="20"/>
          <w:szCs w:val="18"/>
        </w:rPr>
        <w:t xml:space="preserve">= </w:t>
      </w:r>
      <w:r>
        <w:rPr>
          <w:sz w:val="20"/>
          <w:szCs w:val="18"/>
        </w:rPr>
        <w:t>proportion of possible injury</w:t>
      </w:r>
      <w:r w:rsidRPr="00E87C8C">
        <w:rPr>
          <w:sz w:val="20"/>
          <w:szCs w:val="18"/>
        </w:rPr>
        <w:t>;</w:t>
      </w:r>
      <w:r>
        <w:rPr>
          <w:sz w:val="20"/>
          <w:szCs w:val="18"/>
        </w:rPr>
        <w:t xml:space="preserve"> </w:t>
      </w:r>
      <w:r w:rsidRPr="00E87C8C">
        <w:rPr>
          <w:sz w:val="20"/>
          <w:szCs w:val="18"/>
        </w:rPr>
        <w:t>**</w:t>
      </w:r>
      <w:r>
        <w:rPr>
          <w:sz w:val="20"/>
          <w:szCs w:val="18"/>
        </w:rPr>
        <w:t>*Cat 3</w:t>
      </w:r>
      <w:r w:rsidRPr="00E87C8C">
        <w:rPr>
          <w:sz w:val="20"/>
          <w:szCs w:val="18"/>
        </w:rPr>
        <w:t xml:space="preserve">= </w:t>
      </w:r>
      <w:r>
        <w:rPr>
          <w:sz w:val="20"/>
          <w:szCs w:val="18"/>
        </w:rPr>
        <w:t>proportion of non-incapacitating injury</w:t>
      </w:r>
      <w:r w:rsidRPr="00E87C8C">
        <w:rPr>
          <w:sz w:val="20"/>
          <w:szCs w:val="18"/>
        </w:rPr>
        <w:t>, **</w:t>
      </w:r>
      <w:r>
        <w:rPr>
          <w:sz w:val="20"/>
          <w:szCs w:val="18"/>
        </w:rPr>
        <w:t>**Cat 4</w:t>
      </w:r>
      <w:r w:rsidRPr="00E87C8C">
        <w:rPr>
          <w:sz w:val="20"/>
          <w:szCs w:val="18"/>
        </w:rPr>
        <w:t xml:space="preserve">= </w:t>
      </w:r>
      <w:r>
        <w:rPr>
          <w:sz w:val="20"/>
          <w:szCs w:val="18"/>
        </w:rPr>
        <w:t>proportion of severe injury</w:t>
      </w:r>
    </w:p>
    <w:p w14:paraId="0998C671" w14:textId="77777777" w:rsidR="00B61606" w:rsidRDefault="00B61606" w:rsidP="00B61606">
      <w:pPr>
        <w:rPr>
          <w:rFonts w:cs="Times New Roman"/>
          <w:b/>
          <w:bCs/>
          <w:sz w:val="28"/>
          <w:szCs w:val="28"/>
        </w:rPr>
      </w:pPr>
      <w:r>
        <w:rPr>
          <w:rFonts w:cs="Times New Roman"/>
          <w:b/>
          <w:bCs/>
          <w:noProof/>
          <w:sz w:val="28"/>
          <w:szCs w:val="28"/>
          <w:lang w:val="en-US"/>
        </w:rPr>
        <w:lastRenderedPageBreak/>
        <w:drawing>
          <wp:inline distT="0" distB="0" distL="0" distR="0" wp14:anchorId="67BFB207" wp14:editId="401D9B2C">
            <wp:extent cx="8204554" cy="5184648"/>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204554" cy="5184648"/>
                    </a:xfrm>
                    <a:prstGeom prst="rect">
                      <a:avLst/>
                    </a:prstGeom>
                    <a:noFill/>
                  </pic:spPr>
                </pic:pic>
              </a:graphicData>
            </a:graphic>
          </wp:inline>
        </w:drawing>
      </w:r>
    </w:p>
    <w:p w14:paraId="45019C84" w14:textId="52D355E2" w:rsidR="00B61606" w:rsidRPr="00B24D4E" w:rsidRDefault="00B61606" w:rsidP="00B61606">
      <w:pPr>
        <w:rPr>
          <w:rFonts w:cs="Times New Roman"/>
          <w:b/>
          <w:bCs/>
          <w:szCs w:val="24"/>
        </w:rPr>
      </w:pPr>
      <w:r w:rsidRPr="00B24D4E">
        <w:rPr>
          <w:rFonts w:cs="Times New Roman"/>
          <w:b/>
          <w:bCs/>
          <w:szCs w:val="24"/>
        </w:rPr>
        <w:t xml:space="preserve">Figure </w:t>
      </w:r>
      <w:r w:rsidR="00617ED8">
        <w:rPr>
          <w:rFonts w:cs="Times New Roman"/>
          <w:b/>
          <w:bCs/>
          <w:szCs w:val="24"/>
        </w:rPr>
        <w:t>B.3</w:t>
      </w:r>
      <w:r w:rsidRPr="00B24D4E">
        <w:rPr>
          <w:rFonts w:cs="Times New Roman"/>
          <w:b/>
          <w:bCs/>
          <w:szCs w:val="24"/>
        </w:rPr>
        <w:t xml:space="preserve"> MAPE Tree for Estimation Sample</w:t>
      </w:r>
      <w:r>
        <w:rPr>
          <w:rFonts w:cs="Times New Roman"/>
          <w:b/>
          <w:bCs/>
          <w:szCs w:val="24"/>
        </w:rPr>
        <w:t xml:space="preserve"> (3,815 TAZs)</w:t>
      </w:r>
    </w:p>
    <w:p w14:paraId="69DE4805" w14:textId="77777777" w:rsidR="00B61606" w:rsidRDefault="00B61606" w:rsidP="00B61606">
      <w:pPr>
        <w:rPr>
          <w:sz w:val="20"/>
          <w:szCs w:val="18"/>
        </w:rPr>
      </w:pPr>
      <w:r w:rsidRPr="00E87C8C">
        <w:rPr>
          <w:sz w:val="20"/>
          <w:szCs w:val="18"/>
        </w:rPr>
        <w:t>*</w:t>
      </w:r>
      <w:r>
        <w:rPr>
          <w:sz w:val="20"/>
          <w:szCs w:val="18"/>
        </w:rPr>
        <w:t>Cat 1</w:t>
      </w:r>
      <w:r w:rsidRPr="00E87C8C">
        <w:rPr>
          <w:sz w:val="20"/>
          <w:szCs w:val="18"/>
        </w:rPr>
        <w:t xml:space="preserve"> = </w:t>
      </w:r>
      <w:r>
        <w:rPr>
          <w:sz w:val="20"/>
          <w:szCs w:val="18"/>
        </w:rPr>
        <w:t>proportion of no injury</w:t>
      </w:r>
      <w:r w:rsidRPr="00E87C8C">
        <w:rPr>
          <w:sz w:val="20"/>
          <w:szCs w:val="18"/>
        </w:rPr>
        <w:t>; **</w:t>
      </w:r>
      <w:r>
        <w:rPr>
          <w:sz w:val="20"/>
          <w:szCs w:val="18"/>
        </w:rPr>
        <w:t>Cat 2</w:t>
      </w:r>
      <w:r w:rsidRPr="00E87C8C">
        <w:rPr>
          <w:sz w:val="20"/>
          <w:szCs w:val="18"/>
        </w:rPr>
        <w:t xml:space="preserve">= </w:t>
      </w:r>
      <w:r>
        <w:rPr>
          <w:sz w:val="20"/>
          <w:szCs w:val="18"/>
        </w:rPr>
        <w:t>proportion of possible injury</w:t>
      </w:r>
      <w:r w:rsidRPr="00E87C8C">
        <w:rPr>
          <w:sz w:val="20"/>
          <w:szCs w:val="18"/>
        </w:rPr>
        <w:t>;</w:t>
      </w:r>
      <w:r>
        <w:rPr>
          <w:sz w:val="20"/>
          <w:szCs w:val="18"/>
        </w:rPr>
        <w:t xml:space="preserve"> </w:t>
      </w:r>
      <w:r w:rsidRPr="00E87C8C">
        <w:rPr>
          <w:sz w:val="20"/>
          <w:szCs w:val="18"/>
        </w:rPr>
        <w:t>**</w:t>
      </w:r>
      <w:r>
        <w:rPr>
          <w:sz w:val="20"/>
          <w:szCs w:val="18"/>
        </w:rPr>
        <w:t>*Cat 3</w:t>
      </w:r>
      <w:r w:rsidRPr="00E87C8C">
        <w:rPr>
          <w:sz w:val="20"/>
          <w:szCs w:val="18"/>
        </w:rPr>
        <w:t xml:space="preserve">= </w:t>
      </w:r>
      <w:r>
        <w:rPr>
          <w:sz w:val="20"/>
          <w:szCs w:val="18"/>
        </w:rPr>
        <w:t>proportion of non-incapacitating injury</w:t>
      </w:r>
      <w:r w:rsidRPr="00E87C8C">
        <w:rPr>
          <w:sz w:val="20"/>
          <w:szCs w:val="18"/>
        </w:rPr>
        <w:t>, **</w:t>
      </w:r>
      <w:r>
        <w:rPr>
          <w:sz w:val="20"/>
          <w:szCs w:val="18"/>
        </w:rPr>
        <w:t>**Cat 4</w:t>
      </w:r>
      <w:r w:rsidRPr="00E87C8C">
        <w:rPr>
          <w:sz w:val="20"/>
          <w:szCs w:val="18"/>
        </w:rPr>
        <w:t xml:space="preserve">= </w:t>
      </w:r>
      <w:r>
        <w:rPr>
          <w:sz w:val="20"/>
          <w:szCs w:val="18"/>
        </w:rPr>
        <w:t>proportion of severe injury</w:t>
      </w:r>
    </w:p>
    <w:p w14:paraId="0F7DE061" w14:textId="77777777" w:rsidR="00B61606" w:rsidRDefault="00B61606" w:rsidP="00B61606">
      <w:pPr>
        <w:rPr>
          <w:rFonts w:cs="Times New Roman"/>
          <w:b/>
          <w:bCs/>
          <w:noProof/>
          <w:sz w:val="28"/>
          <w:szCs w:val="28"/>
        </w:rPr>
      </w:pPr>
      <w:r>
        <w:rPr>
          <w:rFonts w:cs="Times New Roman"/>
          <w:b/>
          <w:bCs/>
          <w:noProof/>
          <w:sz w:val="28"/>
          <w:szCs w:val="28"/>
          <w:lang w:val="en-US"/>
        </w:rPr>
        <w:lastRenderedPageBreak/>
        <w:drawing>
          <wp:inline distT="0" distB="0" distL="0" distR="0" wp14:anchorId="4AD6BEA6" wp14:editId="2B5CD414">
            <wp:extent cx="8206105" cy="518223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206105" cy="5182235"/>
                    </a:xfrm>
                    <a:prstGeom prst="rect">
                      <a:avLst/>
                    </a:prstGeom>
                    <a:noFill/>
                  </pic:spPr>
                </pic:pic>
              </a:graphicData>
            </a:graphic>
          </wp:inline>
        </w:drawing>
      </w:r>
    </w:p>
    <w:p w14:paraId="6B15A6AD" w14:textId="70E31617" w:rsidR="00B61606" w:rsidRPr="00B24D4E" w:rsidRDefault="00B61606" w:rsidP="00B61606">
      <w:pPr>
        <w:rPr>
          <w:rFonts w:cs="Times New Roman"/>
          <w:b/>
          <w:bCs/>
          <w:sz w:val="28"/>
          <w:szCs w:val="28"/>
        </w:rPr>
      </w:pPr>
      <w:r w:rsidRPr="00B24D4E">
        <w:rPr>
          <w:rFonts w:cs="Times New Roman"/>
          <w:b/>
          <w:bCs/>
          <w:szCs w:val="28"/>
        </w:rPr>
        <w:t xml:space="preserve">Figure </w:t>
      </w:r>
      <w:r w:rsidR="00617ED8">
        <w:rPr>
          <w:rFonts w:cs="Times New Roman"/>
          <w:b/>
          <w:bCs/>
          <w:szCs w:val="24"/>
        </w:rPr>
        <w:t>B.4</w:t>
      </w:r>
      <w:r w:rsidRPr="00B24D4E">
        <w:rPr>
          <w:rFonts w:cs="Times New Roman"/>
          <w:b/>
          <w:bCs/>
          <w:szCs w:val="28"/>
        </w:rPr>
        <w:t xml:space="preserve"> MAPE Tree for Validation Sample</w:t>
      </w:r>
      <w:r>
        <w:rPr>
          <w:rFonts w:cs="Times New Roman"/>
          <w:b/>
          <w:bCs/>
          <w:szCs w:val="28"/>
        </w:rPr>
        <w:t xml:space="preserve"> (932 TAZs)</w:t>
      </w:r>
    </w:p>
    <w:p w14:paraId="38A838F4" w14:textId="77777777" w:rsidR="00B61606" w:rsidRDefault="00B61606" w:rsidP="00B61606">
      <w:pPr>
        <w:rPr>
          <w:sz w:val="20"/>
          <w:szCs w:val="18"/>
        </w:rPr>
      </w:pPr>
      <w:r w:rsidRPr="00E87C8C">
        <w:rPr>
          <w:sz w:val="20"/>
          <w:szCs w:val="18"/>
        </w:rPr>
        <w:t>*</w:t>
      </w:r>
      <w:r>
        <w:rPr>
          <w:sz w:val="20"/>
          <w:szCs w:val="18"/>
        </w:rPr>
        <w:t>Cat 1</w:t>
      </w:r>
      <w:r w:rsidRPr="00E87C8C">
        <w:rPr>
          <w:sz w:val="20"/>
          <w:szCs w:val="18"/>
        </w:rPr>
        <w:t xml:space="preserve"> = </w:t>
      </w:r>
      <w:r>
        <w:rPr>
          <w:sz w:val="20"/>
          <w:szCs w:val="18"/>
        </w:rPr>
        <w:t>proportion of no injury</w:t>
      </w:r>
      <w:r w:rsidRPr="00E87C8C">
        <w:rPr>
          <w:sz w:val="20"/>
          <w:szCs w:val="18"/>
        </w:rPr>
        <w:t>; **</w:t>
      </w:r>
      <w:r>
        <w:rPr>
          <w:sz w:val="20"/>
          <w:szCs w:val="18"/>
        </w:rPr>
        <w:t>Cat 2</w:t>
      </w:r>
      <w:r w:rsidRPr="00E87C8C">
        <w:rPr>
          <w:sz w:val="20"/>
          <w:szCs w:val="18"/>
        </w:rPr>
        <w:t xml:space="preserve">= </w:t>
      </w:r>
      <w:r>
        <w:rPr>
          <w:sz w:val="20"/>
          <w:szCs w:val="18"/>
        </w:rPr>
        <w:t>proportion of possible injury</w:t>
      </w:r>
      <w:r w:rsidRPr="00E87C8C">
        <w:rPr>
          <w:sz w:val="20"/>
          <w:szCs w:val="18"/>
        </w:rPr>
        <w:t>;</w:t>
      </w:r>
      <w:r>
        <w:rPr>
          <w:sz w:val="20"/>
          <w:szCs w:val="18"/>
        </w:rPr>
        <w:t xml:space="preserve"> </w:t>
      </w:r>
      <w:r w:rsidRPr="00E87C8C">
        <w:rPr>
          <w:sz w:val="20"/>
          <w:szCs w:val="18"/>
        </w:rPr>
        <w:t>**</w:t>
      </w:r>
      <w:r>
        <w:rPr>
          <w:sz w:val="20"/>
          <w:szCs w:val="18"/>
        </w:rPr>
        <w:t>*Cat 3</w:t>
      </w:r>
      <w:r w:rsidRPr="00E87C8C">
        <w:rPr>
          <w:sz w:val="20"/>
          <w:szCs w:val="18"/>
        </w:rPr>
        <w:t xml:space="preserve">= </w:t>
      </w:r>
      <w:r>
        <w:rPr>
          <w:sz w:val="20"/>
          <w:szCs w:val="18"/>
        </w:rPr>
        <w:t>proportion of non-incapacitating injury</w:t>
      </w:r>
      <w:r w:rsidRPr="00E87C8C">
        <w:rPr>
          <w:sz w:val="20"/>
          <w:szCs w:val="18"/>
        </w:rPr>
        <w:t>, **</w:t>
      </w:r>
      <w:r>
        <w:rPr>
          <w:sz w:val="20"/>
          <w:szCs w:val="18"/>
        </w:rPr>
        <w:t>**Cat 4</w:t>
      </w:r>
      <w:r w:rsidRPr="00E87C8C">
        <w:rPr>
          <w:sz w:val="20"/>
          <w:szCs w:val="18"/>
        </w:rPr>
        <w:t xml:space="preserve">= </w:t>
      </w:r>
      <w:r>
        <w:rPr>
          <w:sz w:val="20"/>
          <w:szCs w:val="18"/>
        </w:rPr>
        <w:t>proportion of severe injury</w:t>
      </w:r>
    </w:p>
    <w:p w14:paraId="4724908B" w14:textId="63E0F1D7" w:rsidR="00E7034E" w:rsidRPr="007071EF" w:rsidRDefault="00E7034E" w:rsidP="0034194B">
      <w:pPr>
        <w:rPr>
          <w:sz w:val="20"/>
          <w:szCs w:val="20"/>
        </w:rPr>
      </w:pPr>
    </w:p>
    <w:sectPr w:rsidR="00E7034E" w:rsidRPr="007071EF" w:rsidSect="00FE3A31">
      <w:pgSz w:w="15840" w:h="12240" w:orient="landscape" w:code="1"/>
      <w:pgMar w:top="1469" w:right="1440" w:bottom="1440" w:left="1440"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65BFF9" w14:textId="77777777" w:rsidR="00044F0A" w:rsidRDefault="00044F0A" w:rsidP="00A13DAE">
      <w:r>
        <w:separator/>
      </w:r>
    </w:p>
  </w:endnote>
  <w:endnote w:type="continuationSeparator" w:id="0">
    <w:p w14:paraId="52BDD3E6" w14:textId="77777777" w:rsidR="00044F0A" w:rsidRDefault="00044F0A" w:rsidP="00A13DAE">
      <w:r>
        <w:continuationSeparator/>
      </w:r>
    </w:p>
  </w:endnote>
  <w:endnote w:type="continuationNotice" w:id="1">
    <w:p w14:paraId="0A914774" w14:textId="77777777" w:rsidR="00044F0A" w:rsidRDefault="00044F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subsetted="1" w:fontKey="{DC7B59B5-CA8F-4D55-BAF9-FFDE25DD1D1E}"/>
    <w:embedItalic r:id="rId2" w:subsetted="1" w:fontKey="{4D43E7C0-3CBC-4C84-BD77-03060A483018}"/>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3" w:fontKey="{6AD1E9FE-97CE-4117-9C20-393C86A97616}"/>
    <w:embedItalic r:id="rId4" w:fontKey="{A8238408-CF46-4017-9353-2467B3800347}"/>
    <w:embedBoldItalic r:id="rId5" w:fontKey="{4595D721-F2CB-48BA-8308-B877FF2C6F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9043927"/>
      <w:docPartObj>
        <w:docPartGallery w:val="Page Numbers (Bottom of Page)"/>
        <w:docPartUnique/>
      </w:docPartObj>
    </w:sdtPr>
    <w:sdtEndPr>
      <w:rPr>
        <w:noProof/>
      </w:rPr>
    </w:sdtEndPr>
    <w:sdtContent>
      <w:p w14:paraId="355ABFDD" w14:textId="4F521031" w:rsidR="00B952F9" w:rsidRDefault="00B952F9">
        <w:pPr>
          <w:pStyle w:val="Footer"/>
          <w:jc w:val="center"/>
        </w:pPr>
        <w:r>
          <w:fldChar w:fldCharType="begin"/>
        </w:r>
        <w:r>
          <w:instrText xml:space="preserve"> PAGE   \* MERGEFORMAT </w:instrText>
        </w:r>
        <w:r>
          <w:fldChar w:fldCharType="separate"/>
        </w:r>
        <w:r w:rsidR="00FD162A">
          <w:rPr>
            <w:noProof/>
          </w:rPr>
          <w:t>9</w:t>
        </w:r>
        <w:r>
          <w:rPr>
            <w:noProof/>
          </w:rPr>
          <w:fldChar w:fldCharType="end"/>
        </w:r>
      </w:p>
    </w:sdtContent>
  </w:sdt>
  <w:p w14:paraId="30219484" w14:textId="77777777" w:rsidR="00B952F9" w:rsidRDefault="00B952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6032126"/>
      <w:docPartObj>
        <w:docPartGallery w:val="Page Numbers (Bottom of Page)"/>
        <w:docPartUnique/>
      </w:docPartObj>
    </w:sdtPr>
    <w:sdtEndPr>
      <w:rPr>
        <w:noProof/>
      </w:rPr>
    </w:sdtEndPr>
    <w:sdtContent>
      <w:p w14:paraId="148381EF" w14:textId="1D054E4D" w:rsidR="00B952F9" w:rsidRDefault="00B952F9">
        <w:pPr>
          <w:pStyle w:val="Footer"/>
          <w:jc w:val="center"/>
        </w:pPr>
        <w:r>
          <w:fldChar w:fldCharType="begin"/>
        </w:r>
        <w:r>
          <w:instrText xml:space="preserve"> PAGE   \* MERGEFORMAT </w:instrText>
        </w:r>
        <w:r>
          <w:fldChar w:fldCharType="separate"/>
        </w:r>
        <w:r w:rsidR="00FD162A">
          <w:rPr>
            <w:noProof/>
          </w:rPr>
          <w:t>5</w:t>
        </w:r>
        <w:r>
          <w:rPr>
            <w:noProof/>
          </w:rPr>
          <w:fldChar w:fldCharType="end"/>
        </w:r>
      </w:p>
    </w:sdtContent>
  </w:sdt>
  <w:p w14:paraId="2365D405" w14:textId="77777777" w:rsidR="00B952F9" w:rsidRDefault="00B952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7202383"/>
      <w:docPartObj>
        <w:docPartGallery w:val="Page Numbers (Bottom of Page)"/>
        <w:docPartUnique/>
      </w:docPartObj>
    </w:sdtPr>
    <w:sdtEndPr>
      <w:rPr>
        <w:noProof/>
      </w:rPr>
    </w:sdtEndPr>
    <w:sdtContent>
      <w:p w14:paraId="150FC42E" w14:textId="12D5F07C" w:rsidR="00B952F9" w:rsidRDefault="00B952F9">
        <w:pPr>
          <w:pStyle w:val="Footer"/>
          <w:jc w:val="center"/>
        </w:pPr>
        <w:r>
          <w:fldChar w:fldCharType="begin"/>
        </w:r>
        <w:r>
          <w:instrText xml:space="preserve"> PAGE   \* MERGEFORMAT </w:instrText>
        </w:r>
        <w:r>
          <w:fldChar w:fldCharType="separate"/>
        </w:r>
        <w:r w:rsidR="00FD162A">
          <w:rPr>
            <w:noProof/>
          </w:rPr>
          <w:t>14</w:t>
        </w:r>
        <w:r>
          <w:rPr>
            <w:noProof/>
          </w:rPr>
          <w:fldChar w:fldCharType="end"/>
        </w:r>
      </w:p>
    </w:sdtContent>
  </w:sdt>
  <w:p w14:paraId="18E5D734" w14:textId="77777777" w:rsidR="00B952F9" w:rsidRDefault="00B952F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6754106"/>
      <w:docPartObj>
        <w:docPartGallery w:val="Page Numbers (Bottom of Page)"/>
        <w:docPartUnique/>
      </w:docPartObj>
    </w:sdtPr>
    <w:sdtEndPr>
      <w:rPr>
        <w:noProof/>
      </w:rPr>
    </w:sdtEndPr>
    <w:sdtContent>
      <w:p w14:paraId="5572FD20" w14:textId="3C7BB3B6" w:rsidR="00B952F9" w:rsidRDefault="00B952F9">
        <w:pPr>
          <w:pStyle w:val="Footer"/>
          <w:jc w:val="center"/>
        </w:pPr>
        <w:r>
          <w:fldChar w:fldCharType="begin"/>
        </w:r>
        <w:r>
          <w:instrText xml:space="preserve"> PAGE   \* MERGEFORMAT </w:instrText>
        </w:r>
        <w:r>
          <w:fldChar w:fldCharType="separate"/>
        </w:r>
        <w:r w:rsidR="00FD162A">
          <w:rPr>
            <w:noProof/>
          </w:rPr>
          <w:t>10</w:t>
        </w:r>
        <w:r>
          <w:rPr>
            <w:noProof/>
          </w:rPr>
          <w:fldChar w:fldCharType="end"/>
        </w:r>
      </w:p>
    </w:sdtContent>
  </w:sdt>
  <w:p w14:paraId="3765A8B1" w14:textId="77777777" w:rsidR="00B952F9" w:rsidRDefault="00B952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1DA611" w14:textId="77777777" w:rsidR="00044F0A" w:rsidRDefault="00044F0A" w:rsidP="00A13DAE">
      <w:r>
        <w:separator/>
      </w:r>
    </w:p>
  </w:footnote>
  <w:footnote w:type="continuationSeparator" w:id="0">
    <w:p w14:paraId="4C44D995" w14:textId="77777777" w:rsidR="00044F0A" w:rsidRDefault="00044F0A" w:rsidP="00A13DAE">
      <w:r>
        <w:continuationSeparator/>
      </w:r>
    </w:p>
  </w:footnote>
  <w:footnote w:type="continuationNotice" w:id="1">
    <w:p w14:paraId="4FE1939F" w14:textId="77777777" w:rsidR="00044F0A" w:rsidRDefault="00044F0A"/>
  </w:footnote>
  <w:footnote w:id="2">
    <w:p w14:paraId="50A17D17" w14:textId="1F6E2C5D" w:rsidR="00B952F9" w:rsidRPr="00904DA5" w:rsidRDefault="00B952F9" w:rsidP="009421F7">
      <w:pPr>
        <w:pStyle w:val="FootnoteText"/>
        <w:rPr>
          <w:lang w:val="en-US"/>
        </w:rPr>
      </w:pPr>
      <w:r>
        <w:rPr>
          <w:rStyle w:val="FootnoteReference"/>
        </w:rPr>
        <w:footnoteRef/>
      </w:r>
      <w:r>
        <w:t xml:space="preserve"> </w:t>
      </w:r>
      <w:r>
        <w:rPr>
          <w:lang w:val="en-US"/>
        </w:rPr>
        <w:t xml:space="preserve">One study </w:t>
      </w:r>
      <w:r w:rsidRPr="00D40F8D">
        <w:rPr>
          <w:rFonts w:cs="Times New Roman"/>
        </w:rPr>
        <w:fldChar w:fldCharType="begin" w:fldLock="1"/>
      </w:r>
      <w:r>
        <w:rPr>
          <w:rFonts w:cs="Times New Roman"/>
        </w:rPr>
        <w:instrText>ADDIN CSL_CITATION {"citationItems":[{"id":"ITEM-1","itemData":{"DOI":"10.3141/2583-15","ISSN":"03611981","abstract":"In crash frequency models, frequency by severity level is examined with multivariate count models. In these multivariate approaches the impact of exogenous variables is quantified through the propensity component of count models. The main interaction between variables across severity levels is sought through unobserved effects; that is, there is no interaction of observed effects across the multiple count models. Although this is not necessarily a limitation, it could be beneficial to evaluate the impact of exogenous variables in a framework that directly relates a single exogenous variable to all severity count variables simultaneously. An alternative approach to examining crash frequency by severity is proposed. Specifically, instead of modeling the number of crashes, a fractional split modeling approach is used to study the fraction of crashes by each severity level on a road segment. Given the ordered nature of injury severity, an ordered probit fractional split model is used to study crash proportion by severity levels. The model is estimated for roadway segment data for single-vehicle and multivehicle crashes in Florida for 2009 through 2011. The model estimation results highlight the effect of traffic volume, lane width, shoulder width, proportion of divided segments, and speed limit on crash proportion by severity. The model results are used to predict hot spots for various crash types. The results highlight how the ordered probit fractional split models can be used for highway safety screening.","author":[{"dropping-particle":"","family":"Yasmin","given":"Shamsunnahar","non-dropping-particle":"","parse-names":false,"suffix":""},{"dropping-particle":"","family":"Eluru","given":"Naveen","non-dropping-particle":"","parse-names":false,"suffix":""},{"dropping-particle":"","family":"Lee","given":"Jaeyoung","non-dropping-particle":"","parse-names":false,"suffix":""},{"dropping-particle":"","family":"Abdel-Aty","given":"Mohamed","non-dropping-particle":"","parse-names":false,"suffix":""}],"container-title":"Transportation Research Record","id":"ITEM-1","issue":"1","issued":{"date-parts":[["2016"]]},"page":"119-126","title":"Ordered fractional split approach for aggregate injury severity modeling","type":"article-journal","volume":"2583"},"uris":["http://www.mendeley.com/documents/?uuid=1bd8802b-8053-4b1c-8cc5-aafae396313e"]}],"mendeley":{"formattedCitation":"(Yasmin et al., 2016)","plainTextFormattedCitation":"(Yasmin et al., 2016)","previouslyFormattedCitation":"(Yasmin et al., 2016)"},"properties":{"noteIndex":0},"schema":"https://github.com/citation-style-language/schema/raw/master/csl-citation.json"}</w:instrText>
      </w:r>
      <w:r w:rsidRPr="00D40F8D">
        <w:rPr>
          <w:rFonts w:cs="Times New Roman"/>
        </w:rPr>
        <w:fldChar w:fldCharType="separate"/>
      </w:r>
      <w:r w:rsidRPr="00097239">
        <w:rPr>
          <w:rFonts w:cs="Times New Roman"/>
          <w:noProof/>
        </w:rPr>
        <w:t>(Yasmin et al., 2016)</w:t>
      </w:r>
      <w:r w:rsidRPr="00D40F8D">
        <w:rPr>
          <w:rFonts w:cs="Times New Roman"/>
        </w:rPr>
        <w:fldChar w:fldCharType="end"/>
      </w:r>
      <w:r>
        <w:rPr>
          <w:rFonts w:cs="Times New Roman"/>
        </w:rPr>
        <w:t xml:space="preserve"> investigated the crash severity proportions considering different crash types, while developing separate models for different crash types. However, the study did not model the crash frequencies by crash type in the joint modeling approach. </w:t>
      </w:r>
    </w:p>
  </w:footnote>
  <w:footnote w:id="3">
    <w:p w14:paraId="147D1029" w14:textId="318C0A00" w:rsidR="00B952F9" w:rsidRPr="00B030BC" w:rsidRDefault="00B952F9">
      <w:pPr>
        <w:pStyle w:val="FootnoteText"/>
        <w:rPr>
          <w:lang w:val="en-US"/>
        </w:rPr>
      </w:pPr>
      <w:r w:rsidRPr="00BC5710">
        <w:rPr>
          <w:rStyle w:val="FootnoteReference"/>
        </w:rPr>
        <w:footnoteRef/>
      </w:r>
      <w:r w:rsidRPr="00BC5710">
        <w:t xml:space="preserve"> </w:t>
      </w:r>
      <w:r w:rsidRPr="00BC5710">
        <w:rPr>
          <w:szCs w:val="24"/>
        </w:rPr>
        <w:t>For our analysis, non-motorized crashes refer to the crashes where at least one non-motorist was involved</w:t>
      </w:r>
    </w:p>
  </w:footnote>
  <w:footnote w:id="4">
    <w:p w14:paraId="007236CD" w14:textId="6F586A36" w:rsidR="00B952F9" w:rsidRPr="002273DA" w:rsidRDefault="00B952F9" w:rsidP="00C72699">
      <w:pPr>
        <w:pStyle w:val="FootnoteText"/>
        <w:rPr>
          <w:lang w:val="en-US"/>
        </w:rPr>
      </w:pPr>
      <w:r>
        <w:rPr>
          <w:rStyle w:val="FootnoteReference"/>
        </w:rPr>
        <w:footnoteRef/>
      </w:r>
      <w:r>
        <w:t xml:space="preserve"> We can consider all six crash types. However, running RPMNB model with unobserved effects for all crash types will be time consuming. So, to reduce the computational burden. </w:t>
      </w:r>
      <w:r>
        <w:rPr>
          <w:lang w:val="en-US"/>
        </w:rPr>
        <w:t>we selected three crash types.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A3A04" w14:textId="77777777" w:rsidR="00B952F9" w:rsidRPr="00F417A0" w:rsidRDefault="00B952F9" w:rsidP="00F417A0">
    <w:pPr>
      <w:pStyle w:val="Header"/>
      <w:jc w:val="center"/>
      <w:rPr>
        <w:b/>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78874289"/>
      <w:docPartObj>
        <w:docPartGallery w:val="Page Numbers (Top of Page)"/>
        <w:docPartUnique/>
      </w:docPartObj>
    </w:sdtPr>
    <w:sdtEndPr>
      <w:rPr>
        <w:noProof/>
      </w:rPr>
    </w:sdtEndPr>
    <w:sdtContent>
      <w:p w14:paraId="6A690032" w14:textId="77777777" w:rsidR="00B952F9" w:rsidRPr="002A26C2" w:rsidRDefault="00DA4C35" w:rsidP="008B5977">
        <w:pPr>
          <w:pStyle w:val="Header"/>
        </w:pP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B1875" w14:textId="77777777" w:rsidR="00B952F9" w:rsidRDefault="00B952F9" w:rsidP="0078421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86F38" w14:textId="7E4C6527" w:rsidR="00B952F9" w:rsidRPr="00105619" w:rsidRDefault="00B952F9" w:rsidP="001056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49002" w14:textId="77777777" w:rsidR="00B952F9" w:rsidRDefault="00B952F9" w:rsidP="008B59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D56C0" w14:textId="56F9F79E" w:rsidR="00B952F9" w:rsidRPr="002A26C2" w:rsidRDefault="00B952F9" w:rsidP="008B59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01C7E" w14:textId="77777777" w:rsidR="00B952F9" w:rsidRPr="00F417A0" w:rsidRDefault="00B952F9" w:rsidP="00F417A0">
    <w:pPr>
      <w:pStyle w:val="Header"/>
      <w:jc w:val="center"/>
      <w:rPr>
        <w: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F631C" w14:textId="77777777" w:rsidR="00B952F9" w:rsidRDefault="00B952F9" w:rsidP="00784212">
    <w:pPr>
      <w:pStyle w:val="Header"/>
    </w:pPr>
  </w:p>
  <w:p w14:paraId="36DA039C" w14:textId="77777777" w:rsidR="00B952F9" w:rsidRDefault="00B952F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52447" w14:textId="77777777" w:rsidR="00B952F9" w:rsidRPr="00A82F1D" w:rsidRDefault="00B952F9" w:rsidP="00A82F1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4550795"/>
      <w:docPartObj>
        <w:docPartGallery w:val="Page Numbers (Top of Page)"/>
        <w:docPartUnique/>
      </w:docPartObj>
    </w:sdtPr>
    <w:sdtEndPr>
      <w:rPr>
        <w:noProof/>
      </w:rPr>
    </w:sdtEndPr>
    <w:sdtContent>
      <w:p w14:paraId="66E0A40F" w14:textId="77777777" w:rsidR="00B952F9" w:rsidRDefault="00DA4C35" w:rsidP="008B5977">
        <w:pPr>
          <w:pStyle w:val="Header"/>
        </w:pP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2236882"/>
      <w:docPartObj>
        <w:docPartGallery w:val="Page Numbers (Top of Page)"/>
        <w:docPartUnique/>
      </w:docPartObj>
    </w:sdtPr>
    <w:sdtEndPr>
      <w:rPr>
        <w:noProof/>
      </w:rPr>
    </w:sdtEndPr>
    <w:sdtContent>
      <w:p w14:paraId="29A1D757" w14:textId="77777777" w:rsidR="00B952F9" w:rsidRPr="002A26C2" w:rsidRDefault="00DA4C35" w:rsidP="008B5977">
        <w:pPr>
          <w:pStyle w:val="Header"/>
        </w:pP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76618"/>
      <w:docPartObj>
        <w:docPartGallery w:val="Page Numbers (Top of Page)"/>
        <w:docPartUnique/>
      </w:docPartObj>
    </w:sdtPr>
    <w:sdtEndPr>
      <w:rPr>
        <w:noProof/>
      </w:rPr>
    </w:sdtEndPr>
    <w:sdtContent>
      <w:p w14:paraId="74E8DD2B" w14:textId="77777777" w:rsidR="00B952F9" w:rsidRDefault="00DA4C35" w:rsidP="008B5977">
        <w:pPr>
          <w:pStyle w:val="Heade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B28B6"/>
    <w:multiLevelType w:val="hybridMultilevel"/>
    <w:tmpl w:val="5DA4E424"/>
    <w:lvl w:ilvl="0" w:tplc="EB14F498">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 w15:restartNumberingAfterBreak="0">
    <w:nsid w:val="09D55B85"/>
    <w:multiLevelType w:val="hybridMultilevel"/>
    <w:tmpl w:val="FE349C30"/>
    <w:lvl w:ilvl="0" w:tplc="EB14F498">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 w15:restartNumberingAfterBreak="0">
    <w:nsid w:val="0AF515EE"/>
    <w:multiLevelType w:val="hybridMultilevel"/>
    <w:tmpl w:val="8C480734"/>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 w15:restartNumberingAfterBreak="0">
    <w:nsid w:val="118958B2"/>
    <w:multiLevelType w:val="hybridMultilevel"/>
    <w:tmpl w:val="028E4418"/>
    <w:lvl w:ilvl="0" w:tplc="EB14F498">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 w15:restartNumberingAfterBreak="0">
    <w:nsid w:val="133B6A7A"/>
    <w:multiLevelType w:val="hybridMultilevel"/>
    <w:tmpl w:val="4E48A956"/>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 w15:restartNumberingAfterBreak="0">
    <w:nsid w:val="13B94762"/>
    <w:multiLevelType w:val="hybridMultilevel"/>
    <w:tmpl w:val="37E845B0"/>
    <w:lvl w:ilvl="0" w:tplc="EB14F498">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 w15:restartNumberingAfterBreak="0">
    <w:nsid w:val="14693035"/>
    <w:multiLevelType w:val="hybridMultilevel"/>
    <w:tmpl w:val="37E845B0"/>
    <w:lvl w:ilvl="0" w:tplc="EB14F498">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7" w15:restartNumberingAfterBreak="0">
    <w:nsid w:val="14826308"/>
    <w:multiLevelType w:val="hybridMultilevel"/>
    <w:tmpl w:val="F9FE2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C34371"/>
    <w:multiLevelType w:val="multilevel"/>
    <w:tmpl w:val="5EA6898A"/>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67F2891"/>
    <w:multiLevelType w:val="hybridMultilevel"/>
    <w:tmpl w:val="0284F736"/>
    <w:lvl w:ilvl="0" w:tplc="EB14F498">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0" w15:restartNumberingAfterBreak="0">
    <w:nsid w:val="175D7BA2"/>
    <w:multiLevelType w:val="hybridMultilevel"/>
    <w:tmpl w:val="AAA4CE1C"/>
    <w:lvl w:ilvl="0" w:tplc="EB14F498">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1" w15:restartNumberingAfterBreak="0">
    <w:nsid w:val="176A612B"/>
    <w:multiLevelType w:val="hybridMultilevel"/>
    <w:tmpl w:val="536E018E"/>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2" w15:restartNumberingAfterBreak="0">
    <w:nsid w:val="18470D16"/>
    <w:multiLevelType w:val="hybridMultilevel"/>
    <w:tmpl w:val="2E20D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D42EA4"/>
    <w:multiLevelType w:val="hybridMultilevel"/>
    <w:tmpl w:val="023401F0"/>
    <w:lvl w:ilvl="0" w:tplc="EB14F498">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4" w15:restartNumberingAfterBreak="0">
    <w:nsid w:val="18EA7219"/>
    <w:multiLevelType w:val="hybridMultilevel"/>
    <w:tmpl w:val="DF5EA97C"/>
    <w:lvl w:ilvl="0" w:tplc="D1C4FB5A">
      <w:start w:val="10"/>
      <w:numFmt w:val="decimal"/>
      <w:lvlText w:val="(%1)"/>
      <w:lvlJc w:val="right"/>
      <w:pPr>
        <w:ind w:left="121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6A3FDB"/>
    <w:multiLevelType w:val="hybridMultilevel"/>
    <w:tmpl w:val="C2AA6994"/>
    <w:lvl w:ilvl="0" w:tplc="EB14F498">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6" w15:restartNumberingAfterBreak="0">
    <w:nsid w:val="19796BF9"/>
    <w:multiLevelType w:val="hybridMultilevel"/>
    <w:tmpl w:val="44F27B58"/>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7" w15:restartNumberingAfterBreak="0">
    <w:nsid w:val="1B55427A"/>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1B8A454E"/>
    <w:multiLevelType w:val="hybridMultilevel"/>
    <w:tmpl w:val="AAA4CE1C"/>
    <w:lvl w:ilvl="0" w:tplc="EB14F498">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9" w15:restartNumberingAfterBreak="0">
    <w:nsid w:val="1C301136"/>
    <w:multiLevelType w:val="hybridMultilevel"/>
    <w:tmpl w:val="91CA5F68"/>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0" w15:restartNumberingAfterBreak="0">
    <w:nsid w:val="23680E32"/>
    <w:multiLevelType w:val="hybridMultilevel"/>
    <w:tmpl w:val="8572E8E4"/>
    <w:lvl w:ilvl="0" w:tplc="EB14F498">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1" w15:restartNumberingAfterBreak="0">
    <w:nsid w:val="24A51A0B"/>
    <w:multiLevelType w:val="hybridMultilevel"/>
    <w:tmpl w:val="11CE87A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2D6C36AD"/>
    <w:multiLevelType w:val="hybridMultilevel"/>
    <w:tmpl w:val="454CF95C"/>
    <w:lvl w:ilvl="0" w:tplc="EB14F498">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3" w15:restartNumberingAfterBreak="0">
    <w:nsid w:val="2E774C0B"/>
    <w:multiLevelType w:val="hybridMultilevel"/>
    <w:tmpl w:val="37E845B0"/>
    <w:lvl w:ilvl="0" w:tplc="EB14F498">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4" w15:restartNumberingAfterBreak="0">
    <w:nsid w:val="32BB6AC8"/>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3FA3D7D"/>
    <w:multiLevelType w:val="hybridMultilevel"/>
    <w:tmpl w:val="37B6A5A6"/>
    <w:lvl w:ilvl="0" w:tplc="D0222016">
      <w:start w:val="5"/>
      <w:numFmt w:val="decimal"/>
      <w:lvlText w:val="(%1)"/>
      <w:lvlJc w:val="righ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5455157"/>
    <w:multiLevelType w:val="hybridMultilevel"/>
    <w:tmpl w:val="62327C7C"/>
    <w:lvl w:ilvl="0" w:tplc="8BA80C4E">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37DF1940"/>
    <w:multiLevelType w:val="hybridMultilevel"/>
    <w:tmpl w:val="0106BC84"/>
    <w:lvl w:ilvl="0" w:tplc="EB14F498">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8" w15:restartNumberingAfterBreak="0">
    <w:nsid w:val="39400307"/>
    <w:multiLevelType w:val="hybridMultilevel"/>
    <w:tmpl w:val="4D2292E2"/>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9" w15:restartNumberingAfterBreak="0">
    <w:nsid w:val="3A307659"/>
    <w:multiLevelType w:val="hybridMultilevel"/>
    <w:tmpl w:val="AB36C8B2"/>
    <w:lvl w:ilvl="0" w:tplc="1B32A606">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0" w15:restartNumberingAfterBreak="0">
    <w:nsid w:val="3A8534D5"/>
    <w:multiLevelType w:val="hybridMultilevel"/>
    <w:tmpl w:val="62723A60"/>
    <w:lvl w:ilvl="0" w:tplc="EB14F498">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1" w15:restartNumberingAfterBreak="0">
    <w:nsid w:val="3D301113"/>
    <w:multiLevelType w:val="hybridMultilevel"/>
    <w:tmpl w:val="3E1E80C4"/>
    <w:lvl w:ilvl="0" w:tplc="EB14F498">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2" w15:restartNumberingAfterBreak="0">
    <w:nsid w:val="3F9C08BF"/>
    <w:multiLevelType w:val="hybridMultilevel"/>
    <w:tmpl w:val="0284F736"/>
    <w:lvl w:ilvl="0" w:tplc="EB14F498">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3" w15:restartNumberingAfterBreak="0">
    <w:nsid w:val="43D92E04"/>
    <w:multiLevelType w:val="hybridMultilevel"/>
    <w:tmpl w:val="F9B8C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3F2625A"/>
    <w:multiLevelType w:val="hybridMultilevel"/>
    <w:tmpl w:val="37E845B0"/>
    <w:lvl w:ilvl="0" w:tplc="EB14F498">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5" w15:restartNumberingAfterBreak="0">
    <w:nsid w:val="4B9C7311"/>
    <w:multiLevelType w:val="multilevel"/>
    <w:tmpl w:val="10090025"/>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4BEE217D"/>
    <w:multiLevelType w:val="hybridMultilevel"/>
    <w:tmpl w:val="37E845B0"/>
    <w:lvl w:ilvl="0" w:tplc="EB14F498">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7" w15:restartNumberingAfterBreak="0">
    <w:nsid w:val="520B3F49"/>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21667E1"/>
    <w:multiLevelType w:val="hybridMultilevel"/>
    <w:tmpl w:val="E3469B82"/>
    <w:lvl w:ilvl="0" w:tplc="3120051E">
      <w:start w:val="14"/>
      <w:numFmt w:val="decimal"/>
      <w:lvlText w:val="(%1)"/>
      <w:lvlJc w:val="right"/>
      <w:pPr>
        <w:ind w:left="121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6B05490"/>
    <w:multiLevelType w:val="hybridMultilevel"/>
    <w:tmpl w:val="D4322D7C"/>
    <w:lvl w:ilvl="0" w:tplc="EB14F498">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0" w15:restartNumberingAfterBreak="0">
    <w:nsid w:val="5B4B18D8"/>
    <w:multiLevelType w:val="hybridMultilevel"/>
    <w:tmpl w:val="7FDCB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FE929F8"/>
    <w:multiLevelType w:val="hybridMultilevel"/>
    <w:tmpl w:val="91CA5F68"/>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2" w15:restartNumberingAfterBreak="0">
    <w:nsid w:val="5FEC3151"/>
    <w:multiLevelType w:val="hybridMultilevel"/>
    <w:tmpl w:val="81CCFE2A"/>
    <w:lvl w:ilvl="0" w:tplc="52CAA91E">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3" w15:restartNumberingAfterBreak="0">
    <w:nsid w:val="60F26237"/>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12C12F5"/>
    <w:multiLevelType w:val="hybridMultilevel"/>
    <w:tmpl w:val="4CA8602E"/>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5" w15:restartNumberingAfterBreak="0">
    <w:nsid w:val="614B5787"/>
    <w:multiLevelType w:val="hybridMultilevel"/>
    <w:tmpl w:val="ABCE9D6A"/>
    <w:lvl w:ilvl="0" w:tplc="EB14F498">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6" w15:restartNumberingAfterBreak="0">
    <w:nsid w:val="648E7264"/>
    <w:multiLevelType w:val="hybridMultilevel"/>
    <w:tmpl w:val="5DA4E424"/>
    <w:lvl w:ilvl="0" w:tplc="EB14F498">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7" w15:restartNumberingAfterBreak="0">
    <w:nsid w:val="667443FB"/>
    <w:multiLevelType w:val="hybridMultilevel"/>
    <w:tmpl w:val="58040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8CB713D"/>
    <w:multiLevelType w:val="hybridMultilevel"/>
    <w:tmpl w:val="378A110A"/>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9" w15:restartNumberingAfterBreak="0">
    <w:nsid w:val="6FEA343D"/>
    <w:multiLevelType w:val="hybridMultilevel"/>
    <w:tmpl w:val="D4322D7C"/>
    <w:lvl w:ilvl="0" w:tplc="EB14F498">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0" w15:restartNumberingAfterBreak="0">
    <w:nsid w:val="72632259"/>
    <w:multiLevelType w:val="hybridMultilevel"/>
    <w:tmpl w:val="8024467C"/>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1" w15:restartNumberingAfterBreak="0">
    <w:nsid w:val="79E35CB8"/>
    <w:multiLevelType w:val="hybridMultilevel"/>
    <w:tmpl w:val="0284F736"/>
    <w:lvl w:ilvl="0" w:tplc="EB14F498">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2" w15:restartNumberingAfterBreak="0">
    <w:nsid w:val="7D7F4ACE"/>
    <w:multiLevelType w:val="hybridMultilevel"/>
    <w:tmpl w:val="F7FE6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E303EB9"/>
    <w:multiLevelType w:val="hybridMultilevel"/>
    <w:tmpl w:val="F76A4638"/>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num w:numId="1">
    <w:abstractNumId w:val="8"/>
  </w:num>
  <w:num w:numId="2">
    <w:abstractNumId w:val="21"/>
  </w:num>
  <w:num w:numId="3">
    <w:abstractNumId w:val="26"/>
  </w:num>
  <w:num w:numId="4">
    <w:abstractNumId w:val="35"/>
  </w:num>
  <w:num w:numId="5">
    <w:abstractNumId w:val="43"/>
  </w:num>
  <w:num w:numId="6">
    <w:abstractNumId w:val="37"/>
  </w:num>
  <w:num w:numId="7">
    <w:abstractNumId w:val="24"/>
  </w:num>
  <w:num w:numId="8">
    <w:abstractNumId w:val="7"/>
  </w:num>
  <w:num w:numId="9">
    <w:abstractNumId w:val="47"/>
  </w:num>
  <w:num w:numId="10">
    <w:abstractNumId w:val="33"/>
  </w:num>
  <w:num w:numId="11">
    <w:abstractNumId w:val="30"/>
  </w:num>
  <w:num w:numId="12">
    <w:abstractNumId w:val="53"/>
  </w:num>
  <w:num w:numId="13">
    <w:abstractNumId w:val="16"/>
  </w:num>
  <w:num w:numId="14">
    <w:abstractNumId w:val="4"/>
  </w:num>
  <w:num w:numId="15">
    <w:abstractNumId w:val="48"/>
  </w:num>
  <w:num w:numId="16">
    <w:abstractNumId w:val="44"/>
  </w:num>
  <w:num w:numId="17">
    <w:abstractNumId w:val="2"/>
  </w:num>
  <w:num w:numId="18">
    <w:abstractNumId w:val="28"/>
  </w:num>
  <w:num w:numId="19">
    <w:abstractNumId w:val="11"/>
  </w:num>
  <w:num w:numId="20">
    <w:abstractNumId w:val="19"/>
  </w:num>
  <w:num w:numId="21">
    <w:abstractNumId w:val="41"/>
  </w:num>
  <w:num w:numId="22">
    <w:abstractNumId w:val="50"/>
  </w:num>
  <w:num w:numId="23">
    <w:abstractNumId w:val="42"/>
  </w:num>
  <w:num w:numId="24">
    <w:abstractNumId w:val="29"/>
  </w:num>
  <w:num w:numId="25">
    <w:abstractNumId w:val="38"/>
  </w:num>
  <w:num w:numId="26">
    <w:abstractNumId w:val="14"/>
  </w:num>
  <w:num w:numId="27">
    <w:abstractNumId w:val="35"/>
  </w:num>
  <w:num w:numId="28">
    <w:abstractNumId w:val="0"/>
  </w:num>
  <w:num w:numId="29">
    <w:abstractNumId w:val="35"/>
  </w:num>
  <w:num w:numId="30">
    <w:abstractNumId w:val="27"/>
  </w:num>
  <w:num w:numId="31">
    <w:abstractNumId w:val="46"/>
  </w:num>
  <w:num w:numId="32">
    <w:abstractNumId w:val="39"/>
  </w:num>
  <w:num w:numId="33">
    <w:abstractNumId w:val="49"/>
  </w:num>
  <w:num w:numId="34">
    <w:abstractNumId w:val="51"/>
  </w:num>
  <w:num w:numId="35">
    <w:abstractNumId w:val="32"/>
  </w:num>
  <w:num w:numId="36">
    <w:abstractNumId w:val="9"/>
  </w:num>
  <w:num w:numId="37">
    <w:abstractNumId w:val="1"/>
  </w:num>
  <w:num w:numId="38">
    <w:abstractNumId w:val="22"/>
  </w:num>
  <w:num w:numId="39">
    <w:abstractNumId w:val="52"/>
  </w:num>
  <w:num w:numId="40">
    <w:abstractNumId w:val="13"/>
  </w:num>
  <w:num w:numId="41">
    <w:abstractNumId w:val="45"/>
  </w:num>
  <w:num w:numId="42">
    <w:abstractNumId w:val="40"/>
  </w:num>
  <w:num w:numId="43">
    <w:abstractNumId w:val="20"/>
  </w:num>
  <w:num w:numId="44">
    <w:abstractNumId w:val="31"/>
  </w:num>
  <w:num w:numId="45">
    <w:abstractNumId w:val="10"/>
  </w:num>
  <w:num w:numId="46">
    <w:abstractNumId w:val="18"/>
  </w:num>
  <w:num w:numId="47">
    <w:abstractNumId w:val="3"/>
  </w:num>
  <w:num w:numId="48">
    <w:abstractNumId w:val="5"/>
  </w:num>
  <w:num w:numId="49">
    <w:abstractNumId w:val="23"/>
  </w:num>
  <w:num w:numId="50">
    <w:abstractNumId w:val="34"/>
  </w:num>
  <w:num w:numId="51">
    <w:abstractNumId w:val="36"/>
  </w:num>
  <w:num w:numId="52">
    <w:abstractNumId w:val="6"/>
  </w:num>
  <w:num w:numId="53">
    <w:abstractNumId w:val="15"/>
  </w:num>
  <w:num w:numId="54">
    <w:abstractNumId w:val="17"/>
  </w:num>
  <w:num w:numId="55">
    <w:abstractNumId w:val="25"/>
  </w:num>
  <w:num w:numId="56">
    <w:abstractNumId w:val="1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saveSubsetFonts/>
  <w:activeWritingStyle w:appName="MSWord" w:lang="es-MX" w:vendorID="64" w:dllVersion="6" w:nlCheck="1" w:checkStyle="0"/>
  <w:activeWritingStyle w:appName="MSWord" w:lang="en-CA" w:vendorID="64" w:dllVersion="6" w:nlCheck="1" w:checkStyle="1"/>
  <w:activeWritingStyle w:appName="MSWord" w:lang="en-CA" w:vendorID="64" w:dllVersion="0" w:nlCheck="1" w:checkStyle="0"/>
  <w:activeWritingStyle w:appName="MSWord" w:lang="es-MX" w:vendorID="64" w:dllVersion="0" w:nlCheck="1" w:checkStyle="0"/>
  <w:activeWritingStyle w:appName="MSWord" w:lang="en-US" w:vendorID="64" w:dllVersion="0" w:nlCheck="1" w:checkStyle="0"/>
  <w:activeWritingStyle w:appName="MSWord" w:lang="en-US" w:vendorID="64" w:dllVersion="6" w:nlCheck="1" w:checkStyle="1"/>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Y3MDExNTIwtzC1NDBW0lEKTi0uzszPAykwMjStBQCxEVw3LgAAAA=="/>
  </w:docVars>
  <w:rsids>
    <w:rsidRoot w:val="00356193"/>
    <w:rsid w:val="0000009B"/>
    <w:rsid w:val="0000104A"/>
    <w:rsid w:val="000013B6"/>
    <w:rsid w:val="000018A4"/>
    <w:rsid w:val="00001BD4"/>
    <w:rsid w:val="000023E8"/>
    <w:rsid w:val="000029DA"/>
    <w:rsid w:val="00002D56"/>
    <w:rsid w:val="00002E1E"/>
    <w:rsid w:val="00003016"/>
    <w:rsid w:val="00003046"/>
    <w:rsid w:val="000030A6"/>
    <w:rsid w:val="00003224"/>
    <w:rsid w:val="00003227"/>
    <w:rsid w:val="00003817"/>
    <w:rsid w:val="00003BF7"/>
    <w:rsid w:val="00003D04"/>
    <w:rsid w:val="00003D3C"/>
    <w:rsid w:val="00004083"/>
    <w:rsid w:val="0000454D"/>
    <w:rsid w:val="00005036"/>
    <w:rsid w:val="0000523E"/>
    <w:rsid w:val="000053F6"/>
    <w:rsid w:val="0000575A"/>
    <w:rsid w:val="0000632F"/>
    <w:rsid w:val="00006479"/>
    <w:rsid w:val="00006511"/>
    <w:rsid w:val="00006735"/>
    <w:rsid w:val="00006825"/>
    <w:rsid w:val="000069FD"/>
    <w:rsid w:val="00006A0F"/>
    <w:rsid w:val="00006F43"/>
    <w:rsid w:val="00006FCC"/>
    <w:rsid w:val="00007013"/>
    <w:rsid w:val="0000707F"/>
    <w:rsid w:val="0000714B"/>
    <w:rsid w:val="000071E6"/>
    <w:rsid w:val="0000769F"/>
    <w:rsid w:val="00007E61"/>
    <w:rsid w:val="00010448"/>
    <w:rsid w:val="000105E1"/>
    <w:rsid w:val="00011235"/>
    <w:rsid w:val="00011961"/>
    <w:rsid w:val="0001202C"/>
    <w:rsid w:val="00012695"/>
    <w:rsid w:val="000128EF"/>
    <w:rsid w:val="00012DC2"/>
    <w:rsid w:val="00013022"/>
    <w:rsid w:val="00013A17"/>
    <w:rsid w:val="00014617"/>
    <w:rsid w:val="00014749"/>
    <w:rsid w:val="000147A2"/>
    <w:rsid w:val="0001483D"/>
    <w:rsid w:val="000148D0"/>
    <w:rsid w:val="00015586"/>
    <w:rsid w:val="00015D88"/>
    <w:rsid w:val="00015DBB"/>
    <w:rsid w:val="00015EA8"/>
    <w:rsid w:val="000161A4"/>
    <w:rsid w:val="00016824"/>
    <w:rsid w:val="00016D79"/>
    <w:rsid w:val="00016E98"/>
    <w:rsid w:val="00016F91"/>
    <w:rsid w:val="000170D0"/>
    <w:rsid w:val="00017435"/>
    <w:rsid w:val="0001744B"/>
    <w:rsid w:val="00020310"/>
    <w:rsid w:val="000204BF"/>
    <w:rsid w:val="00020F50"/>
    <w:rsid w:val="00021C81"/>
    <w:rsid w:val="00022170"/>
    <w:rsid w:val="000221FB"/>
    <w:rsid w:val="000223B5"/>
    <w:rsid w:val="000226E9"/>
    <w:rsid w:val="000229E2"/>
    <w:rsid w:val="00022C0F"/>
    <w:rsid w:val="00022FEC"/>
    <w:rsid w:val="000232C8"/>
    <w:rsid w:val="00023979"/>
    <w:rsid w:val="000239CB"/>
    <w:rsid w:val="00023AF2"/>
    <w:rsid w:val="00023B99"/>
    <w:rsid w:val="00024012"/>
    <w:rsid w:val="000240D4"/>
    <w:rsid w:val="00024741"/>
    <w:rsid w:val="00024824"/>
    <w:rsid w:val="0002492E"/>
    <w:rsid w:val="00025C96"/>
    <w:rsid w:val="00025F32"/>
    <w:rsid w:val="000262AA"/>
    <w:rsid w:val="0002651F"/>
    <w:rsid w:val="00026698"/>
    <w:rsid w:val="000277BD"/>
    <w:rsid w:val="00027C08"/>
    <w:rsid w:val="00027C16"/>
    <w:rsid w:val="00030016"/>
    <w:rsid w:val="000305C6"/>
    <w:rsid w:val="000306A1"/>
    <w:rsid w:val="0003099A"/>
    <w:rsid w:val="00030ED3"/>
    <w:rsid w:val="0003133A"/>
    <w:rsid w:val="000313F6"/>
    <w:rsid w:val="0003192F"/>
    <w:rsid w:val="00031A4F"/>
    <w:rsid w:val="00031E8E"/>
    <w:rsid w:val="00032312"/>
    <w:rsid w:val="000324C7"/>
    <w:rsid w:val="00032A2C"/>
    <w:rsid w:val="000334DB"/>
    <w:rsid w:val="000343C0"/>
    <w:rsid w:val="0003468E"/>
    <w:rsid w:val="000347A1"/>
    <w:rsid w:val="000349D5"/>
    <w:rsid w:val="000359E7"/>
    <w:rsid w:val="00035CA4"/>
    <w:rsid w:val="0003621C"/>
    <w:rsid w:val="000365F6"/>
    <w:rsid w:val="00036A7B"/>
    <w:rsid w:val="00036F4A"/>
    <w:rsid w:val="000374D3"/>
    <w:rsid w:val="000402A6"/>
    <w:rsid w:val="00040433"/>
    <w:rsid w:val="00040BD7"/>
    <w:rsid w:val="00041BB5"/>
    <w:rsid w:val="00041DAE"/>
    <w:rsid w:val="000420B7"/>
    <w:rsid w:val="00042191"/>
    <w:rsid w:val="000421C1"/>
    <w:rsid w:val="000423B7"/>
    <w:rsid w:val="00042829"/>
    <w:rsid w:val="0004293B"/>
    <w:rsid w:val="00042CFF"/>
    <w:rsid w:val="0004312E"/>
    <w:rsid w:val="0004319E"/>
    <w:rsid w:val="000434E1"/>
    <w:rsid w:val="000436D5"/>
    <w:rsid w:val="00043A51"/>
    <w:rsid w:val="00043C75"/>
    <w:rsid w:val="0004495B"/>
    <w:rsid w:val="00044A2E"/>
    <w:rsid w:val="00044BD6"/>
    <w:rsid w:val="00044D54"/>
    <w:rsid w:val="00044DC1"/>
    <w:rsid w:val="00044F0A"/>
    <w:rsid w:val="00045120"/>
    <w:rsid w:val="00045373"/>
    <w:rsid w:val="00045386"/>
    <w:rsid w:val="000453BF"/>
    <w:rsid w:val="0004549D"/>
    <w:rsid w:val="0004561C"/>
    <w:rsid w:val="0004566C"/>
    <w:rsid w:val="000457F2"/>
    <w:rsid w:val="000459C4"/>
    <w:rsid w:val="00045F41"/>
    <w:rsid w:val="00045F5D"/>
    <w:rsid w:val="000460A1"/>
    <w:rsid w:val="00046438"/>
    <w:rsid w:val="00046E21"/>
    <w:rsid w:val="00047280"/>
    <w:rsid w:val="000474D7"/>
    <w:rsid w:val="00047A54"/>
    <w:rsid w:val="00047A6D"/>
    <w:rsid w:val="00047CD5"/>
    <w:rsid w:val="000500A8"/>
    <w:rsid w:val="0005047C"/>
    <w:rsid w:val="00050BE8"/>
    <w:rsid w:val="000514AE"/>
    <w:rsid w:val="00051503"/>
    <w:rsid w:val="00051540"/>
    <w:rsid w:val="00051768"/>
    <w:rsid w:val="000517D5"/>
    <w:rsid w:val="00051B50"/>
    <w:rsid w:val="00052031"/>
    <w:rsid w:val="0005209B"/>
    <w:rsid w:val="000520D2"/>
    <w:rsid w:val="000524DD"/>
    <w:rsid w:val="00052A17"/>
    <w:rsid w:val="00052E98"/>
    <w:rsid w:val="00053600"/>
    <w:rsid w:val="00053920"/>
    <w:rsid w:val="0005394B"/>
    <w:rsid w:val="00053E6A"/>
    <w:rsid w:val="00053F7A"/>
    <w:rsid w:val="00054118"/>
    <w:rsid w:val="000546FC"/>
    <w:rsid w:val="0005559E"/>
    <w:rsid w:val="00055640"/>
    <w:rsid w:val="00055D0E"/>
    <w:rsid w:val="00055EB9"/>
    <w:rsid w:val="00055F05"/>
    <w:rsid w:val="000560CF"/>
    <w:rsid w:val="0005674F"/>
    <w:rsid w:val="00056B7D"/>
    <w:rsid w:val="00056BFA"/>
    <w:rsid w:val="00056EC7"/>
    <w:rsid w:val="000572E4"/>
    <w:rsid w:val="0005733C"/>
    <w:rsid w:val="0005758A"/>
    <w:rsid w:val="00057959"/>
    <w:rsid w:val="00057A25"/>
    <w:rsid w:val="00057BBB"/>
    <w:rsid w:val="00057E5D"/>
    <w:rsid w:val="00057E9A"/>
    <w:rsid w:val="00060C7D"/>
    <w:rsid w:val="00061121"/>
    <w:rsid w:val="0006150A"/>
    <w:rsid w:val="00061807"/>
    <w:rsid w:val="000619BB"/>
    <w:rsid w:val="0006208F"/>
    <w:rsid w:val="0006215A"/>
    <w:rsid w:val="00062A01"/>
    <w:rsid w:val="00063925"/>
    <w:rsid w:val="00063CE4"/>
    <w:rsid w:val="00063D90"/>
    <w:rsid w:val="000641CE"/>
    <w:rsid w:val="000648D7"/>
    <w:rsid w:val="00064D2A"/>
    <w:rsid w:val="000656CE"/>
    <w:rsid w:val="00065BE8"/>
    <w:rsid w:val="00065CA8"/>
    <w:rsid w:val="00066176"/>
    <w:rsid w:val="000662E9"/>
    <w:rsid w:val="000664CC"/>
    <w:rsid w:val="00066DF8"/>
    <w:rsid w:val="00066EA2"/>
    <w:rsid w:val="00067069"/>
    <w:rsid w:val="000670AE"/>
    <w:rsid w:val="000672E5"/>
    <w:rsid w:val="00070838"/>
    <w:rsid w:val="00070DB2"/>
    <w:rsid w:val="00071214"/>
    <w:rsid w:val="000718BA"/>
    <w:rsid w:val="00071FBF"/>
    <w:rsid w:val="0007234E"/>
    <w:rsid w:val="00072F78"/>
    <w:rsid w:val="00073802"/>
    <w:rsid w:val="000738D9"/>
    <w:rsid w:val="000738DD"/>
    <w:rsid w:val="00073BB7"/>
    <w:rsid w:val="00073DB1"/>
    <w:rsid w:val="00073E95"/>
    <w:rsid w:val="00074529"/>
    <w:rsid w:val="00074806"/>
    <w:rsid w:val="00075198"/>
    <w:rsid w:val="00075431"/>
    <w:rsid w:val="000757E4"/>
    <w:rsid w:val="0007580B"/>
    <w:rsid w:val="00075A75"/>
    <w:rsid w:val="00075CB5"/>
    <w:rsid w:val="00076856"/>
    <w:rsid w:val="00076969"/>
    <w:rsid w:val="00076BCE"/>
    <w:rsid w:val="00077490"/>
    <w:rsid w:val="00077860"/>
    <w:rsid w:val="0007799E"/>
    <w:rsid w:val="00077C8C"/>
    <w:rsid w:val="00077F80"/>
    <w:rsid w:val="00080437"/>
    <w:rsid w:val="00080EB6"/>
    <w:rsid w:val="000810BF"/>
    <w:rsid w:val="000817B6"/>
    <w:rsid w:val="00081B28"/>
    <w:rsid w:val="00081BDA"/>
    <w:rsid w:val="000824C0"/>
    <w:rsid w:val="0008272B"/>
    <w:rsid w:val="000832FC"/>
    <w:rsid w:val="00083382"/>
    <w:rsid w:val="0008344B"/>
    <w:rsid w:val="000839B5"/>
    <w:rsid w:val="000839F2"/>
    <w:rsid w:val="00083B1A"/>
    <w:rsid w:val="00083B61"/>
    <w:rsid w:val="00083FBA"/>
    <w:rsid w:val="00084464"/>
    <w:rsid w:val="00084785"/>
    <w:rsid w:val="00084EBB"/>
    <w:rsid w:val="00085536"/>
    <w:rsid w:val="00086CAD"/>
    <w:rsid w:val="00086D0F"/>
    <w:rsid w:val="00086DD4"/>
    <w:rsid w:val="00087C94"/>
    <w:rsid w:val="00087E62"/>
    <w:rsid w:val="00090753"/>
    <w:rsid w:val="00090B00"/>
    <w:rsid w:val="00090BA0"/>
    <w:rsid w:val="00090D84"/>
    <w:rsid w:val="000912CC"/>
    <w:rsid w:val="000916FE"/>
    <w:rsid w:val="00092325"/>
    <w:rsid w:val="000924D4"/>
    <w:rsid w:val="00092BE6"/>
    <w:rsid w:val="00093214"/>
    <w:rsid w:val="000935B4"/>
    <w:rsid w:val="000936C0"/>
    <w:rsid w:val="00093813"/>
    <w:rsid w:val="00093FED"/>
    <w:rsid w:val="00094983"/>
    <w:rsid w:val="00094BF2"/>
    <w:rsid w:val="0009583D"/>
    <w:rsid w:val="0009612C"/>
    <w:rsid w:val="000967D7"/>
    <w:rsid w:val="00096CE3"/>
    <w:rsid w:val="00096FAD"/>
    <w:rsid w:val="00096FFB"/>
    <w:rsid w:val="00097239"/>
    <w:rsid w:val="000972F3"/>
    <w:rsid w:val="00097A1C"/>
    <w:rsid w:val="00097A99"/>
    <w:rsid w:val="00097E7A"/>
    <w:rsid w:val="000A01B3"/>
    <w:rsid w:val="000A0956"/>
    <w:rsid w:val="000A0DAA"/>
    <w:rsid w:val="000A13C7"/>
    <w:rsid w:val="000A1AA3"/>
    <w:rsid w:val="000A1C4B"/>
    <w:rsid w:val="000A1E3E"/>
    <w:rsid w:val="000A2826"/>
    <w:rsid w:val="000A2877"/>
    <w:rsid w:val="000A288F"/>
    <w:rsid w:val="000A296E"/>
    <w:rsid w:val="000A32FD"/>
    <w:rsid w:val="000A3780"/>
    <w:rsid w:val="000A3E73"/>
    <w:rsid w:val="000A406B"/>
    <w:rsid w:val="000A4F2B"/>
    <w:rsid w:val="000A5415"/>
    <w:rsid w:val="000A55A1"/>
    <w:rsid w:val="000A6037"/>
    <w:rsid w:val="000A61A1"/>
    <w:rsid w:val="000A6367"/>
    <w:rsid w:val="000A6776"/>
    <w:rsid w:val="000A6BC9"/>
    <w:rsid w:val="000A71A0"/>
    <w:rsid w:val="000A7AF7"/>
    <w:rsid w:val="000A7DDA"/>
    <w:rsid w:val="000B034E"/>
    <w:rsid w:val="000B0350"/>
    <w:rsid w:val="000B05E1"/>
    <w:rsid w:val="000B061F"/>
    <w:rsid w:val="000B0E6F"/>
    <w:rsid w:val="000B11F9"/>
    <w:rsid w:val="000B12D0"/>
    <w:rsid w:val="000B12DC"/>
    <w:rsid w:val="000B279C"/>
    <w:rsid w:val="000B2ABD"/>
    <w:rsid w:val="000B2B51"/>
    <w:rsid w:val="000B2C21"/>
    <w:rsid w:val="000B2CA6"/>
    <w:rsid w:val="000B320F"/>
    <w:rsid w:val="000B394C"/>
    <w:rsid w:val="000B3C9B"/>
    <w:rsid w:val="000B4225"/>
    <w:rsid w:val="000B47D6"/>
    <w:rsid w:val="000B50BC"/>
    <w:rsid w:val="000B5ADD"/>
    <w:rsid w:val="000B5C41"/>
    <w:rsid w:val="000B643F"/>
    <w:rsid w:val="000B6A21"/>
    <w:rsid w:val="000B7799"/>
    <w:rsid w:val="000B7E43"/>
    <w:rsid w:val="000B7FA3"/>
    <w:rsid w:val="000C0025"/>
    <w:rsid w:val="000C0D7A"/>
    <w:rsid w:val="000C0FFE"/>
    <w:rsid w:val="000C10E7"/>
    <w:rsid w:val="000C1477"/>
    <w:rsid w:val="000C150E"/>
    <w:rsid w:val="000C1529"/>
    <w:rsid w:val="000C1BD3"/>
    <w:rsid w:val="000C1E11"/>
    <w:rsid w:val="000C2248"/>
    <w:rsid w:val="000C2B5F"/>
    <w:rsid w:val="000C2F4D"/>
    <w:rsid w:val="000C3951"/>
    <w:rsid w:val="000C4379"/>
    <w:rsid w:val="000C4938"/>
    <w:rsid w:val="000C4F92"/>
    <w:rsid w:val="000C5C5C"/>
    <w:rsid w:val="000C5CCD"/>
    <w:rsid w:val="000C604D"/>
    <w:rsid w:val="000C638E"/>
    <w:rsid w:val="000C6491"/>
    <w:rsid w:val="000C659F"/>
    <w:rsid w:val="000C6A2D"/>
    <w:rsid w:val="000C6EEC"/>
    <w:rsid w:val="000C7107"/>
    <w:rsid w:val="000C7A52"/>
    <w:rsid w:val="000D0285"/>
    <w:rsid w:val="000D05B7"/>
    <w:rsid w:val="000D1511"/>
    <w:rsid w:val="000D1B49"/>
    <w:rsid w:val="000D202E"/>
    <w:rsid w:val="000D23DA"/>
    <w:rsid w:val="000D2625"/>
    <w:rsid w:val="000D28C5"/>
    <w:rsid w:val="000D3054"/>
    <w:rsid w:val="000D35F3"/>
    <w:rsid w:val="000D3A7B"/>
    <w:rsid w:val="000D408B"/>
    <w:rsid w:val="000D4400"/>
    <w:rsid w:val="000D4B9C"/>
    <w:rsid w:val="000D5CF5"/>
    <w:rsid w:val="000D5E40"/>
    <w:rsid w:val="000D5F5A"/>
    <w:rsid w:val="000D6304"/>
    <w:rsid w:val="000D647F"/>
    <w:rsid w:val="000D67E3"/>
    <w:rsid w:val="000D6CC7"/>
    <w:rsid w:val="000D6E2D"/>
    <w:rsid w:val="000D6F60"/>
    <w:rsid w:val="000D7131"/>
    <w:rsid w:val="000D7C6D"/>
    <w:rsid w:val="000D7D42"/>
    <w:rsid w:val="000E001F"/>
    <w:rsid w:val="000E02DE"/>
    <w:rsid w:val="000E0FCD"/>
    <w:rsid w:val="000E1121"/>
    <w:rsid w:val="000E185B"/>
    <w:rsid w:val="000E18E1"/>
    <w:rsid w:val="000E281A"/>
    <w:rsid w:val="000E2E80"/>
    <w:rsid w:val="000E4C3D"/>
    <w:rsid w:val="000E5088"/>
    <w:rsid w:val="000E5169"/>
    <w:rsid w:val="000E529C"/>
    <w:rsid w:val="000E57FC"/>
    <w:rsid w:val="000E65BB"/>
    <w:rsid w:val="000E669C"/>
    <w:rsid w:val="000E6717"/>
    <w:rsid w:val="000E6BE9"/>
    <w:rsid w:val="000E6E35"/>
    <w:rsid w:val="000E6F57"/>
    <w:rsid w:val="000E700A"/>
    <w:rsid w:val="000E7012"/>
    <w:rsid w:val="000E7288"/>
    <w:rsid w:val="000E7309"/>
    <w:rsid w:val="000E73E0"/>
    <w:rsid w:val="000E7710"/>
    <w:rsid w:val="000E7FF2"/>
    <w:rsid w:val="000F00CD"/>
    <w:rsid w:val="000F02AF"/>
    <w:rsid w:val="000F0436"/>
    <w:rsid w:val="000F075A"/>
    <w:rsid w:val="000F0C9B"/>
    <w:rsid w:val="000F0CAE"/>
    <w:rsid w:val="000F0EDA"/>
    <w:rsid w:val="000F0F1D"/>
    <w:rsid w:val="000F1122"/>
    <w:rsid w:val="000F1DD8"/>
    <w:rsid w:val="000F1DE2"/>
    <w:rsid w:val="000F2410"/>
    <w:rsid w:val="000F2647"/>
    <w:rsid w:val="000F2680"/>
    <w:rsid w:val="000F29C5"/>
    <w:rsid w:val="000F2A20"/>
    <w:rsid w:val="000F2A92"/>
    <w:rsid w:val="000F30AD"/>
    <w:rsid w:val="000F35A3"/>
    <w:rsid w:val="000F361D"/>
    <w:rsid w:val="000F379C"/>
    <w:rsid w:val="000F37BF"/>
    <w:rsid w:val="000F3A33"/>
    <w:rsid w:val="000F3D29"/>
    <w:rsid w:val="000F43C8"/>
    <w:rsid w:val="000F4A34"/>
    <w:rsid w:val="000F527C"/>
    <w:rsid w:val="000F52AA"/>
    <w:rsid w:val="000F579F"/>
    <w:rsid w:val="000F59E2"/>
    <w:rsid w:val="000F5E05"/>
    <w:rsid w:val="000F5F46"/>
    <w:rsid w:val="000F646B"/>
    <w:rsid w:val="000F6A0F"/>
    <w:rsid w:val="000F6AC7"/>
    <w:rsid w:val="000F6AF6"/>
    <w:rsid w:val="000F70D3"/>
    <w:rsid w:val="000F74C8"/>
    <w:rsid w:val="000F7722"/>
    <w:rsid w:val="000F77A8"/>
    <w:rsid w:val="000F7C6C"/>
    <w:rsid w:val="000F7CB1"/>
    <w:rsid w:val="000F7DAA"/>
    <w:rsid w:val="0010082C"/>
    <w:rsid w:val="00100857"/>
    <w:rsid w:val="00100870"/>
    <w:rsid w:val="00100FE3"/>
    <w:rsid w:val="001016E8"/>
    <w:rsid w:val="00101A14"/>
    <w:rsid w:val="00101EE4"/>
    <w:rsid w:val="001020F3"/>
    <w:rsid w:val="00102416"/>
    <w:rsid w:val="001027F0"/>
    <w:rsid w:val="00103C01"/>
    <w:rsid w:val="00104744"/>
    <w:rsid w:val="00105290"/>
    <w:rsid w:val="00105490"/>
    <w:rsid w:val="001055FB"/>
    <w:rsid w:val="00105619"/>
    <w:rsid w:val="00105862"/>
    <w:rsid w:val="00105C64"/>
    <w:rsid w:val="0010632C"/>
    <w:rsid w:val="0010678E"/>
    <w:rsid w:val="00106A2E"/>
    <w:rsid w:val="00106A56"/>
    <w:rsid w:val="00107198"/>
    <w:rsid w:val="00107659"/>
    <w:rsid w:val="00107E20"/>
    <w:rsid w:val="0011021D"/>
    <w:rsid w:val="001108F0"/>
    <w:rsid w:val="00110ADB"/>
    <w:rsid w:val="00110C21"/>
    <w:rsid w:val="00110C46"/>
    <w:rsid w:val="00111902"/>
    <w:rsid w:val="00112047"/>
    <w:rsid w:val="00112D5C"/>
    <w:rsid w:val="00112E4F"/>
    <w:rsid w:val="00112F7F"/>
    <w:rsid w:val="00113407"/>
    <w:rsid w:val="00113919"/>
    <w:rsid w:val="00113A85"/>
    <w:rsid w:val="00113CFE"/>
    <w:rsid w:val="00114097"/>
    <w:rsid w:val="00114907"/>
    <w:rsid w:val="00114A28"/>
    <w:rsid w:val="00114DB6"/>
    <w:rsid w:val="00115612"/>
    <w:rsid w:val="0011591C"/>
    <w:rsid w:val="00115CDB"/>
    <w:rsid w:val="00115FBF"/>
    <w:rsid w:val="00116ABD"/>
    <w:rsid w:val="00116CD4"/>
    <w:rsid w:val="001170C7"/>
    <w:rsid w:val="00117466"/>
    <w:rsid w:val="00117541"/>
    <w:rsid w:val="00117F06"/>
    <w:rsid w:val="00120F27"/>
    <w:rsid w:val="00121675"/>
    <w:rsid w:val="00121FE2"/>
    <w:rsid w:val="00122239"/>
    <w:rsid w:val="00123298"/>
    <w:rsid w:val="00123A56"/>
    <w:rsid w:val="00123CC2"/>
    <w:rsid w:val="00124315"/>
    <w:rsid w:val="00124798"/>
    <w:rsid w:val="00124DA2"/>
    <w:rsid w:val="00125BA4"/>
    <w:rsid w:val="00126227"/>
    <w:rsid w:val="001272CC"/>
    <w:rsid w:val="0012791F"/>
    <w:rsid w:val="0013017D"/>
    <w:rsid w:val="001301CE"/>
    <w:rsid w:val="0013081A"/>
    <w:rsid w:val="00130AF9"/>
    <w:rsid w:val="00130E5F"/>
    <w:rsid w:val="00131557"/>
    <w:rsid w:val="001320C6"/>
    <w:rsid w:val="001320D4"/>
    <w:rsid w:val="001320FE"/>
    <w:rsid w:val="001322A6"/>
    <w:rsid w:val="001324B8"/>
    <w:rsid w:val="001327C6"/>
    <w:rsid w:val="00132BDF"/>
    <w:rsid w:val="00132C26"/>
    <w:rsid w:val="00132CED"/>
    <w:rsid w:val="00132E80"/>
    <w:rsid w:val="001332EB"/>
    <w:rsid w:val="00133591"/>
    <w:rsid w:val="0013368A"/>
    <w:rsid w:val="00133927"/>
    <w:rsid w:val="00133A3D"/>
    <w:rsid w:val="00133C1C"/>
    <w:rsid w:val="00133FAB"/>
    <w:rsid w:val="00134177"/>
    <w:rsid w:val="001341CE"/>
    <w:rsid w:val="0013534F"/>
    <w:rsid w:val="001357F6"/>
    <w:rsid w:val="00135CBF"/>
    <w:rsid w:val="00135ED4"/>
    <w:rsid w:val="00136706"/>
    <w:rsid w:val="00136AA5"/>
    <w:rsid w:val="00136B37"/>
    <w:rsid w:val="00137292"/>
    <w:rsid w:val="00137B25"/>
    <w:rsid w:val="00137BCA"/>
    <w:rsid w:val="00137FBC"/>
    <w:rsid w:val="001400B8"/>
    <w:rsid w:val="001404FA"/>
    <w:rsid w:val="001407A8"/>
    <w:rsid w:val="00140B19"/>
    <w:rsid w:val="00140C2E"/>
    <w:rsid w:val="00140C50"/>
    <w:rsid w:val="00140C9F"/>
    <w:rsid w:val="00140EA1"/>
    <w:rsid w:val="001410E1"/>
    <w:rsid w:val="001410F7"/>
    <w:rsid w:val="00141585"/>
    <w:rsid w:val="0014158D"/>
    <w:rsid w:val="0014176C"/>
    <w:rsid w:val="0014177C"/>
    <w:rsid w:val="00141C00"/>
    <w:rsid w:val="00142D81"/>
    <w:rsid w:val="00142F5F"/>
    <w:rsid w:val="001430C9"/>
    <w:rsid w:val="001432CB"/>
    <w:rsid w:val="00143339"/>
    <w:rsid w:val="00143B11"/>
    <w:rsid w:val="00143C90"/>
    <w:rsid w:val="00144269"/>
    <w:rsid w:val="00144560"/>
    <w:rsid w:val="00144911"/>
    <w:rsid w:val="00144E21"/>
    <w:rsid w:val="00144E5C"/>
    <w:rsid w:val="00144EAA"/>
    <w:rsid w:val="00144F2C"/>
    <w:rsid w:val="0014512B"/>
    <w:rsid w:val="001452BF"/>
    <w:rsid w:val="00145635"/>
    <w:rsid w:val="00145928"/>
    <w:rsid w:val="00145E65"/>
    <w:rsid w:val="00145FF7"/>
    <w:rsid w:val="00146154"/>
    <w:rsid w:val="001462CC"/>
    <w:rsid w:val="0014684F"/>
    <w:rsid w:val="00146951"/>
    <w:rsid w:val="00146B16"/>
    <w:rsid w:val="00147774"/>
    <w:rsid w:val="00147BB3"/>
    <w:rsid w:val="00147E93"/>
    <w:rsid w:val="00150DB1"/>
    <w:rsid w:val="0015190B"/>
    <w:rsid w:val="00151DB2"/>
    <w:rsid w:val="00151DB6"/>
    <w:rsid w:val="001522B9"/>
    <w:rsid w:val="0015259A"/>
    <w:rsid w:val="001527F6"/>
    <w:rsid w:val="001528D3"/>
    <w:rsid w:val="00152988"/>
    <w:rsid w:val="00152CCA"/>
    <w:rsid w:val="001532BB"/>
    <w:rsid w:val="001532E9"/>
    <w:rsid w:val="00153A9A"/>
    <w:rsid w:val="00153ADF"/>
    <w:rsid w:val="00153AF2"/>
    <w:rsid w:val="00153D26"/>
    <w:rsid w:val="001540FD"/>
    <w:rsid w:val="0015442E"/>
    <w:rsid w:val="001547A9"/>
    <w:rsid w:val="001557A7"/>
    <w:rsid w:val="00155B03"/>
    <w:rsid w:val="00155E55"/>
    <w:rsid w:val="0015614F"/>
    <w:rsid w:val="00156347"/>
    <w:rsid w:val="00156ABE"/>
    <w:rsid w:val="00157421"/>
    <w:rsid w:val="0016001E"/>
    <w:rsid w:val="0016027B"/>
    <w:rsid w:val="00160B69"/>
    <w:rsid w:val="00160F4F"/>
    <w:rsid w:val="00161136"/>
    <w:rsid w:val="001611BC"/>
    <w:rsid w:val="0016126C"/>
    <w:rsid w:val="00161C79"/>
    <w:rsid w:val="00161EB5"/>
    <w:rsid w:val="00161F61"/>
    <w:rsid w:val="00162006"/>
    <w:rsid w:val="00162138"/>
    <w:rsid w:val="001625B8"/>
    <w:rsid w:val="00162F17"/>
    <w:rsid w:val="0016322C"/>
    <w:rsid w:val="001632DB"/>
    <w:rsid w:val="00163486"/>
    <w:rsid w:val="00163B2B"/>
    <w:rsid w:val="00163C50"/>
    <w:rsid w:val="00163DE3"/>
    <w:rsid w:val="0016465F"/>
    <w:rsid w:val="00164C0C"/>
    <w:rsid w:val="00164C2E"/>
    <w:rsid w:val="00164D9E"/>
    <w:rsid w:val="0016501A"/>
    <w:rsid w:val="0016558E"/>
    <w:rsid w:val="0016563A"/>
    <w:rsid w:val="00166154"/>
    <w:rsid w:val="00166FB3"/>
    <w:rsid w:val="00167027"/>
    <w:rsid w:val="00167540"/>
    <w:rsid w:val="00167983"/>
    <w:rsid w:val="00167C00"/>
    <w:rsid w:val="00170522"/>
    <w:rsid w:val="00170589"/>
    <w:rsid w:val="001708BD"/>
    <w:rsid w:val="00170A45"/>
    <w:rsid w:val="001717F9"/>
    <w:rsid w:val="001719C5"/>
    <w:rsid w:val="00171CAA"/>
    <w:rsid w:val="0017254D"/>
    <w:rsid w:val="001728B7"/>
    <w:rsid w:val="001729EE"/>
    <w:rsid w:val="00172DC6"/>
    <w:rsid w:val="00172E20"/>
    <w:rsid w:val="00173343"/>
    <w:rsid w:val="00173CC8"/>
    <w:rsid w:val="001741EC"/>
    <w:rsid w:val="001743A8"/>
    <w:rsid w:val="0017492A"/>
    <w:rsid w:val="001749EA"/>
    <w:rsid w:val="00174DAE"/>
    <w:rsid w:val="001753F1"/>
    <w:rsid w:val="001759A2"/>
    <w:rsid w:val="00175BAB"/>
    <w:rsid w:val="00176C4B"/>
    <w:rsid w:val="00176E53"/>
    <w:rsid w:val="0017712A"/>
    <w:rsid w:val="00177912"/>
    <w:rsid w:val="00177A8F"/>
    <w:rsid w:val="00177A9E"/>
    <w:rsid w:val="00177ADE"/>
    <w:rsid w:val="00180CCF"/>
    <w:rsid w:val="00181622"/>
    <w:rsid w:val="00181D53"/>
    <w:rsid w:val="00181ED0"/>
    <w:rsid w:val="00182135"/>
    <w:rsid w:val="00182835"/>
    <w:rsid w:val="0018286D"/>
    <w:rsid w:val="00182B14"/>
    <w:rsid w:val="00182D8D"/>
    <w:rsid w:val="00182E58"/>
    <w:rsid w:val="0018312F"/>
    <w:rsid w:val="00183408"/>
    <w:rsid w:val="00183536"/>
    <w:rsid w:val="001836CD"/>
    <w:rsid w:val="0018443E"/>
    <w:rsid w:val="00184F64"/>
    <w:rsid w:val="00184F8A"/>
    <w:rsid w:val="00184FB6"/>
    <w:rsid w:val="00185097"/>
    <w:rsid w:val="001850F3"/>
    <w:rsid w:val="001852F5"/>
    <w:rsid w:val="0018555F"/>
    <w:rsid w:val="001857B7"/>
    <w:rsid w:val="001857C2"/>
    <w:rsid w:val="00185A58"/>
    <w:rsid w:val="00185B5D"/>
    <w:rsid w:val="00185BD4"/>
    <w:rsid w:val="00185C61"/>
    <w:rsid w:val="0018656A"/>
    <w:rsid w:val="00186AAD"/>
    <w:rsid w:val="00186D1E"/>
    <w:rsid w:val="00186D93"/>
    <w:rsid w:val="00186DC9"/>
    <w:rsid w:val="001877A8"/>
    <w:rsid w:val="00187824"/>
    <w:rsid w:val="00187B52"/>
    <w:rsid w:val="001900B9"/>
    <w:rsid w:val="001903E7"/>
    <w:rsid w:val="00190B8F"/>
    <w:rsid w:val="00190F68"/>
    <w:rsid w:val="001914BD"/>
    <w:rsid w:val="001923B7"/>
    <w:rsid w:val="001926D3"/>
    <w:rsid w:val="0019279A"/>
    <w:rsid w:val="00192871"/>
    <w:rsid w:val="00192C8C"/>
    <w:rsid w:val="00192CE4"/>
    <w:rsid w:val="00192D57"/>
    <w:rsid w:val="00192DD0"/>
    <w:rsid w:val="00192FB8"/>
    <w:rsid w:val="001937ED"/>
    <w:rsid w:val="0019381B"/>
    <w:rsid w:val="00193835"/>
    <w:rsid w:val="001939A1"/>
    <w:rsid w:val="00193B5A"/>
    <w:rsid w:val="00193CAE"/>
    <w:rsid w:val="001942EA"/>
    <w:rsid w:val="0019471E"/>
    <w:rsid w:val="0019483A"/>
    <w:rsid w:val="001948A6"/>
    <w:rsid w:val="00194FC5"/>
    <w:rsid w:val="001955CD"/>
    <w:rsid w:val="00195D10"/>
    <w:rsid w:val="001964B6"/>
    <w:rsid w:val="001968AA"/>
    <w:rsid w:val="0019696B"/>
    <w:rsid w:val="0019700D"/>
    <w:rsid w:val="001972A3"/>
    <w:rsid w:val="0019741A"/>
    <w:rsid w:val="0019751E"/>
    <w:rsid w:val="00197A4A"/>
    <w:rsid w:val="00197F33"/>
    <w:rsid w:val="001A069D"/>
    <w:rsid w:val="001A0997"/>
    <w:rsid w:val="001A0C25"/>
    <w:rsid w:val="001A0F9B"/>
    <w:rsid w:val="001A137F"/>
    <w:rsid w:val="001A1874"/>
    <w:rsid w:val="001A1BB9"/>
    <w:rsid w:val="001A2648"/>
    <w:rsid w:val="001A287F"/>
    <w:rsid w:val="001A2DDC"/>
    <w:rsid w:val="001A4295"/>
    <w:rsid w:val="001A4586"/>
    <w:rsid w:val="001A4D1B"/>
    <w:rsid w:val="001A4FDD"/>
    <w:rsid w:val="001A5092"/>
    <w:rsid w:val="001A558F"/>
    <w:rsid w:val="001A59D5"/>
    <w:rsid w:val="001A5F23"/>
    <w:rsid w:val="001A6664"/>
    <w:rsid w:val="001A717E"/>
    <w:rsid w:val="001A7B9A"/>
    <w:rsid w:val="001A7E45"/>
    <w:rsid w:val="001B01B5"/>
    <w:rsid w:val="001B0BBC"/>
    <w:rsid w:val="001B18A1"/>
    <w:rsid w:val="001B1991"/>
    <w:rsid w:val="001B19C8"/>
    <w:rsid w:val="001B1CD8"/>
    <w:rsid w:val="001B1F29"/>
    <w:rsid w:val="001B2C97"/>
    <w:rsid w:val="001B369E"/>
    <w:rsid w:val="001B3F1F"/>
    <w:rsid w:val="001B3F3C"/>
    <w:rsid w:val="001B3FB5"/>
    <w:rsid w:val="001B4CA8"/>
    <w:rsid w:val="001B5446"/>
    <w:rsid w:val="001B5B01"/>
    <w:rsid w:val="001B5EEF"/>
    <w:rsid w:val="001B5FF9"/>
    <w:rsid w:val="001B6554"/>
    <w:rsid w:val="001B6829"/>
    <w:rsid w:val="001B6939"/>
    <w:rsid w:val="001B705A"/>
    <w:rsid w:val="001B71CA"/>
    <w:rsid w:val="001B7B81"/>
    <w:rsid w:val="001B7E7E"/>
    <w:rsid w:val="001B7F0C"/>
    <w:rsid w:val="001C12FB"/>
    <w:rsid w:val="001C1396"/>
    <w:rsid w:val="001C143C"/>
    <w:rsid w:val="001C1D9C"/>
    <w:rsid w:val="001C21BF"/>
    <w:rsid w:val="001C2AC9"/>
    <w:rsid w:val="001C2D2C"/>
    <w:rsid w:val="001C33FA"/>
    <w:rsid w:val="001C3605"/>
    <w:rsid w:val="001C3A38"/>
    <w:rsid w:val="001C3AE5"/>
    <w:rsid w:val="001C3B14"/>
    <w:rsid w:val="001C451D"/>
    <w:rsid w:val="001C4573"/>
    <w:rsid w:val="001C4AA8"/>
    <w:rsid w:val="001C4B3F"/>
    <w:rsid w:val="001C4D9E"/>
    <w:rsid w:val="001C50F2"/>
    <w:rsid w:val="001C5D07"/>
    <w:rsid w:val="001C5FA2"/>
    <w:rsid w:val="001C6681"/>
    <w:rsid w:val="001C6F8C"/>
    <w:rsid w:val="001C7049"/>
    <w:rsid w:val="001C715D"/>
    <w:rsid w:val="001C7528"/>
    <w:rsid w:val="001D1740"/>
    <w:rsid w:val="001D17A8"/>
    <w:rsid w:val="001D1F8E"/>
    <w:rsid w:val="001D21D0"/>
    <w:rsid w:val="001D25AE"/>
    <w:rsid w:val="001D2885"/>
    <w:rsid w:val="001D2C8A"/>
    <w:rsid w:val="001D3161"/>
    <w:rsid w:val="001D3FB8"/>
    <w:rsid w:val="001D3FD8"/>
    <w:rsid w:val="001D40D6"/>
    <w:rsid w:val="001D4797"/>
    <w:rsid w:val="001D48C1"/>
    <w:rsid w:val="001D4D66"/>
    <w:rsid w:val="001D4DE0"/>
    <w:rsid w:val="001D4E4D"/>
    <w:rsid w:val="001D5B39"/>
    <w:rsid w:val="001D5B68"/>
    <w:rsid w:val="001D5D3E"/>
    <w:rsid w:val="001D5D41"/>
    <w:rsid w:val="001D5F25"/>
    <w:rsid w:val="001D66BB"/>
    <w:rsid w:val="001D6DA9"/>
    <w:rsid w:val="001D6DF9"/>
    <w:rsid w:val="001D79A8"/>
    <w:rsid w:val="001D7EA6"/>
    <w:rsid w:val="001E002E"/>
    <w:rsid w:val="001E0582"/>
    <w:rsid w:val="001E0B52"/>
    <w:rsid w:val="001E0D03"/>
    <w:rsid w:val="001E0D56"/>
    <w:rsid w:val="001E0F22"/>
    <w:rsid w:val="001E0FB4"/>
    <w:rsid w:val="001E13D4"/>
    <w:rsid w:val="001E1807"/>
    <w:rsid w:val="001E1DA7"/>
    <w:rsid w:val="001E1FA4"/>
    <w:rsid w:val="001E20ED"/>
    <w:rsid w:val="001E2A84"/>
    <w:rsid w:val="001E2FCA"/>
    <w:rsid w:val="001E35D9"/>
    <w:rsid w:val="001E4575"/>
    <w:rsid w:val="001E45D2"/>
    <w:rsid w:val="001E4B80"/>
    <w:rsid w:val="001E4C4E"/>
    <w:rsid w:val="001E5352"/>
    <w:rsid w:val="001E5731"/>
    <w:rsid w:val="001E59DB"/>
    <w:rsid w:val="001E5B67"/>
    <w:rsid w:val="001E5FBD"/>
    <w:rsid w:val="001E6148"/>
    <w:rsid w:val="001E67FF"/>
    <w:rsid w:val="001E6B28"/>
    <w:rsid w:val="001E6D96"/>
    <w:rsid w:val="001E7642"/>
    <w:rsid w:val="001E7C0B"/>
    <w:rsid w:val="001E7FFC"/>
    <w:rsid w:val="001F009A"/>
    <w:rsid w:val="001F02DF"/>
    <w:rsid w:val="001F02F9"/>
    <w:rsid w:val="001F0483"/>
    <w:rsid w:val="001F1826"/>
    <w:rsid w:val="001F1A7F"/>
    <w:rsid w:val="001F1CA2"/>
    <w:rsid w:val="001F21E4"/>
    <w:rsid w:val="001F2737"/>
    <w:rsid w:val="001F28B9"/>
    <w:rsid w:val="001F297E"/>
    <w:rsid w:val="001F2C3E"/>
    <w:rsid w:val="001F34C9"/>
    <w:rsid w:val="001F4054"/>
    <w:rsid w:val="001F41D7"/>
    <w:rsid w:val="001F4DE2"/>
    <w:rsid w:val="001F52C6"/>
    <w:rsid w:val="001F5369"/>
    <w:rsid w:val="001F536D"/>
    <w:rsid w:val="001F56C8"/>
    <w:rsid w:val="001F5A0E"/>
    <w:rsid w:val="001F5E50"/>
    <w:rsid w:val="001F5E72"/>
    <w:rsid w:val="001F5EBA"/>
    <w:rsid w:val="001F6402"/>
    <w:rsid w:val="001F6818"/>
    <w:rsid w:val="001F6A9C"/>
    <w:rsid w:val="001F6CE6"/>
    <w:rsid w:val="001F6D2D"/>
    <w:rsid w:val="001F6DA2"/>
    <w:rsid w:val="001F6DAA"/>
    <w:rsid w:val="001F70D1"/>
    <w:rsid w:val="001F7615"/>
    <w:rsid w:val="001F7ED9"/>
    <w:rsid w:val="001F7FE3"/>
    <w:rsid w:val="0020007C"/>
    <w:rsid w:val="00200084"/>
    <w:rsid w:val="00200729"/>
    <w:rsid w:val="002008CE"/>
    <w:rsid w:val="00200B94"/>
    <w:rsid w:val="0020109B"/>
    <w:rsid w:val="002012C3"/>
    <w:rsid w:val="00201FAD"/>
    <w:rsid w:val="002027A3"/>
    <w:rsid w:val="00202CEC"/>
    <w:rsid w:val="00203DAE"/>
    <w:rsid w:val="00203E73"/>
    <w:rsid w:val="00203E81"/>
    <w:rsid w:val="002041AA"/>
    <w:rsid w:val="002045BD"/>
    <w:rsid w:val="002045E4"/>
    <w:rsid w:val="0020469B"/>
    <w:rsid w:val="002046BF"/>
    <w:rsid w:val="002046FA"/>
    <w:rsid w:val="00204F64"/>
    <w:rsid w:val="002062CC"/>
    <w:rsid w:val="00206934"/>
    <w:rsid w:val="00206A54"/>
    <w:rsid w:val="00206CA7"/>
    <w:rsid w:val="00207266"/>
    <w:rsid w:val="002077A2"/>
    <w:rsid w:val="00207C97"/>
    <w:rsid w:val="00207D8C"/>
    <w:rsid w:val="0021015A"/>
    <w:rsid w:val="00210385"/>
    <w:rsid w:val="002106FE"/>
    <w:rsid w:val="0021077B"/>
    <w:rsid w:val="0021111A"/>
    <w:rsid w:val="00211FAA"/>
    <w:rsid w:val="002120B0"/>
    <w:rsid w:val="002122BB"/>
    <w:rsid w:val="00212698"/>
    <w:rsid w:val="0021362C"/>
    <w:rsid w:val="00213740"/>
    <w:rsid w:val="0021425C"/>
    <w:rsid w:val="00214A10"/>
    <w:rsid w:val="00214E11"/>
    <w:rsid w:val="002154A5"/>
    <w:rsid w:val="002156CE"/>
    <w:rsid w:val="00215953"/>
    <w:rsid w:val="002159AD"/>
    <w:rsid w:val="002163EC"/>
    <w:rsid w:val="00216791"/>
    <w:rsid w:val="00216AF2"/>
    <w:rsid w:val="0021708F"/>
    <w:rsid w:val="002173E9"/>
    <w:rsid w:val="00217E87"/>
    <w:rsid w:val="0022012D"/>
    <w:rsid w:val="00220539"/>
    <w:rsid w:val="00220660"/>
    <w:rsid w:val="00220AD8"/>
    <w:rsid w:val="00220BBB"/>
    <w:rsid w:val="00220D15"/>
    <w:rsid w:val="00220D52"/>
    <w:rsid w:val="00221361"/>
    <w:rsid w:val="0022140D"/>
    <w:rsid w:val="00221749"/>
    <w:rsid w:val="002219D5"/>
    <w:rsid w:val="0022258A"/>
    <w:rsid w:val="0022267E"/>
    <w:rsid w:val="00222788"/>
    <w:rsid w:val="00222AA0"/>
    <w:rsid w:val="00222BFF"/>
    <w:rsid w:val="0022319C"/>
    <w:rsid w:val="002235A1"/>
    <w:rsid w:val="00223B4C"/>
    <w:rsid w:val="00223C51"/>
    <w:rsid w:val="0022405C"/>
    <w:rsid w:val="0022427D"/>
    <w:rsid w:val="0022494B"/>
    <w:rsid w:val="00224CDC"/>
    <w:rsid w:val="00225CC4"/>
    <w:rsid w:val="00225D86"/>
    <w:rsid w:val="00226749"/>
    <w:rsid w:val="00226CA5"/>
    <w:rsid w:val="00227302"/>
    <w:rsid w:val="002273DA"/>
    <w:rsid w:val="00227602"/>
    <w:rsid w:val="00227963"/>
    <w:rsid w:val="00227C5D"/>
    <w:rsid w:val="00227FEB"/>
    <w:rsid w:val="0023053A"/>
    <w:rsid w:val="002308CB"/>
    <w:rsid w:val="00231848"/>
    <w:rsid w:val="002326CF"/>
    <w:rsid w:val="00232C26"/>
    <w:rsid w:val="00232CFC"/>
    <w:rsid w:val="002343C9"/>
    <w:rsid w:val="002345B8"/>
    <w:rsid w:val="002346C2"/>
    <w:rsid w:val="0023538E"/>
    <w:rsid w:val="00235515"/>
    <w:rsid w:val="002358D5"/>
    <w:rsid w:val="00235992"/>
    <w:rsid w:val="0023606A"/>
    <w:rsid w:val="002364EC"/>
    <w:rsid w:val="00236723"/>
    <w:rsid w:val="00236ACC"/>
    <w:rsid w:val="00236B34"/>
    <w:rsid w:val="00236B4A"/>
    <w:rsid w:val="002370DC"/>
    <w:rsid w:val="00237972"/>
    <w:rsid w:val="002379B7"/>
    <w:rsid w:val="00237A12"/>
    <w:rsid w:val="00237D55"/>
    <w:rsid w:val="00240187"/>
    <w:rsid w:val="00240A46"/>
    <w:rsid w:val="00240B6A"/>
    <w:rsid w:val="00240E32"/>
    <w:rsid w:val="0024191C"/>
    <w:rsid w:val="00241E98"/>
    <w:rsid w:val="0024271D"/>
    <w:rsid w:val="00242895"/>
    <w:rsid w:val="00242B5A"/>
    <w:rsid w:val="00242F2D"/>
    <w:rsid w:val="00242F6A"/>
    <w:rsid w:val="002432B8"/>
    <w:rsid w:val="00243739"/>
    <w:rsid w:val="002438F8"/>
    <w:rsid w:val="00243908"/>
    <w:rsid w:val="00243DF7"/>
    <w:rsid w:val="002440AA"/>
    <w:rsid w:val="002444A6"/>
    <w:rsid w:val="002444B6"/>
    <w:rsid w:val="00244935"/>
    <w:rsid w:val="00244B7D"/>
    <w:rsid w:val="00244C15"/>
    <w:rsid w:val="00244F8F"/>
    <w:rsid w:val="0024536B"/>
    <w:rsid w:val="00245452"/>
    <w:rsid w:val="002454EB"/>
    <w:rsid w:val="002459D2"/>
    <w:rsid w:val="00245EC4"/>
    <w:rsid w:val="002460EF"/>
    <w:rsid w:val="00246156"/>
    <w:rsid w:val="0024652C"/>
    <w:rsid w:val="002465E6"/>
    <w:rsid w:val="002470F6"/>
    <w:rsid w:val="00247185"/>
    <w:rsid w:val="0024745D"/>
    <w:rsid w:val="00247F50"/>
    <w:rsid w:val="00247FF4"/>
    <w:rsid w:val="002502A5"/>
    <w:rsid w:val="002509D6"/>
    <w:rsid w:val="0025134E"/>
    <w:rsid w:val="002515E0"/>
    <w:rsid w:val="00251780"/>
    <w:rsid w:val="00251B5F"/>
    <w:rsid w:val="00252B6C"/>
    <w:rsid w:val="00252DCA"/>
    <w:rsid w:val="00253358"/>
    <w:rsid w:val="0025377C"/>
    <w:rsid w:val="0025380A"/>
    <w:rsid w:val="00253B4E"/>
    <w:rsid w:val="00253ED7"/>
    <w:rsid w:val="00253F82"/>
    <w:rsid w:val="002549D7"/>
    <w:rsid w:val="00255455"/>
    <w:rsid w:val="0025572C"/>
    <w:rsid w:val="0025653D"/>
    <w:rsid w:val="0025665F"/>
    <w:rsid w:val="00256B35"/>
    <w:rsid w:val="00256C40"/>
    <w:rsid w:val="00257032"/>
    <w:rsid w:val="002578A1"/>
    <w:rsid w:val="00257DE9"/>
    <w:rsid w:val="00260380"/>
    <w:rsid w:val="0026045B"/>
    <w:rsid w:val="002604AE"/>
    <w:rsid w:val="00260C6C"/>
    <w:rsid w:val="00260E35"/>
    <w:rsid w:val="00260EF6"/>
    <w:rsid w:val="0026122B"/>
    <w:rsid w:val="0026136A"/>
    <w:rsid w:val="00262DAE"/>
    <w:rsid w:val="0026307A"/>
    <w:rsid w:val="002636A1"/>
    <w:rsid w:val="0026372E"/>
    <w:rsid w:val="002637CF"/>
    <w:rsid w:val="002644A1"/>
    <w:rsid w:val="00264646"/>
    <w:rsid w:val="00264B30"/>
    <w:rsid w:val="00264E03"/>
    <w:rsid w:val="002656E9"/>
    <w:rsid w:val="00265AF7"/>
    <w:rsid w:val="00265F96"/>
    <w:rsid w:val="002661C6"/>
    <w:rsid w:val="00266579"/>
    <w:rsid w:val="0026672F"/>
    <w:rsid w:val="00266EA5"/>
    <w:rsid w:val="00266F4D"/>
    <w:rsid w:val="002670B2"/>
    <w:rsid w:val="00267561"/>
    <w:rsid w:val="00267636"/>
    <w:rsid w:val="00267BAC"/>
    <w:rsid w:val="002704D7"/>
    <w:rsid w:val="002707D3"/>
    <w:rsid w:val="00270965"/>
    <w:rsid w:val="00270B29"/>
    <w:rsid w:val="00270B7F"/>
    <w:rsid w:val="00270B85"/>
    <w:rsid w:val="0027138E"/>
    <w:rsid w:val="002714E1"/>
    <w:rsid w:val="00271695"/>
    <w:rsid w:val="00271C9C"/>
    <w:rsid w:val="00271E0B"/>
    <w:rsid w:val="00271FFB"/>
    <w:rsid w:val="00272344"/>
    <w:rsid w:val="00272815"/>
    <w:rsid w:val="00272B40"/>
    <w:rsid w:val="00272B5E"/>
    <w:rsid w:val="00273824"/>
    <w:rsid w:val="00273B7B"/>
    <w:rsid w:val="002749C6"/>
    <w:rsid w:val="00274ECC"/>
    <w:rsid w:val="00274FC2"/>
    <w:rsid w:val="00275C75"/>
    <w:rsid w:val="002760B7"/>
    <w:rsid w:val="00276102"/>
    <w:rsid w:val="0027635E"/>
    <w:rsid w:val="002769E9"/>
    <w:rsid w:val="00276D84"/>
    <w:rsid w:val="0027706C"/>
    <w:rsid w:val="0028020A"/>
    <w:rsid w:val="00280400"/>
    <w:rsid w:val="0028053E"/>
    <w:rsid w:val="00280823"/>
    <w:rsid w:val="0028088A"/>
    <w:rsid w:val="00280922"/>
    <w:rsid w:val="00280B16"/>
    <w:rsid w:val="0028132B"/>
    <w:rsid w:val="00281B5A"/>
    <w:rsid w:val="0028272C"/>
    <w:rsid w:val="00282CF1"/>
    <w:rsid w:val="00282DC8"/>
    <w:rsid w:val="0028328A"/>
    <w:rsid w:val="00283F63"/>
    <w:rsid w:val="0028447D"/>
    <w:rsid w:val="0028451B"/>
    <w:rsid w:val="00284771"/>
    <w:rsid w:val="00284C95"/>
    <w:rsid w:val="00284C97"/>
    <w:rsid w:val="00284F97"/>
    <w:rsid w:val="00285B6B"/>
    <w:rsid w:val="002868B6"/>
    <w:rsid w:val="00286B41"/>
    <w:rsid w:val="00286F62"/>
    <w:rsid w:val="00286F81"/>
    <w:rsid w:val="002879BD"/>
    <w:rsid w:val="002900D4"/>
    <w:rsid w:val="0029022E"/>
    <w:rsid w:val="00290332"/>
    <w:rsid w:val="0029092B"/>
    <w:rsid w:val="00290BBB"/>
    <w:rsid w:val="00290C71"/>
    <w:rsid w:val="00291189"/>
    <w:rsid w:val="00291601"/>
    <w:rsid w:val="0029188A"/>
    <w:rsid w:val="00291B9B"/>
    <w:rsid w:val="002920BA"/>
    <w:rsid w:val="0029276A"/>
    <w:rsid w:val="002928E3"/>
    <w:rsid w:val="0029314D"/>
    <w:rsid w:val="002931D9"/>
    <w:rsid w:val="00293526"/>
    <w:rsid w:val="0029380B"/>
    <w:rsid w:val="00293829"/>
    <w:rsid w:val="002938EA"/>
    <w:rsid w:val="00293934"/>
    <w:rsid w:val="002939B6"/>
    <w:rsid w:val="00293A87"/>
    <w:rsid w:val="00293FB3"/>
    <w:rsid w:val="0029431C"/>
    <w:rsid w:val="00294609"/>
    <w:rsid w:val="0029509A"/>
    <w:rsid w:val="002951A1"/>
    <w:rsid w:val="00295497"/>
    <w:rsid w:val="00296089"/>
    <w:rsid w:val="00296754"/>
    <w:rsid w:val="00296F3B"/>
    <w:rsid w:val="00296F4E"/>
    <w:rsid w:val="00297694"/>
    <w:rsid w:val="002976E0"/>
    <w:rsid w:val="00297A26"/>
    <w:rsid w:val="00297CE9"/>
    <w:rsid w:val="00297E29"/>
    <w:rsid w:val="002A0331"/>
    <w:rsid w:val="002A055A"/>
    <w:rsid w:val="002A0ED7"/>
    <w:rsid w:val="002A1066"/>
    <w:rsid w:val="002A26C2"/>
    <w:rsid w:val="002A34CA"/>
    <w:rsid w:val="002A3843"/>
    <w:rsid w:val="002A3D74"/>
    <w:rsid w:val="002A3E8B"/>
    <w:rsid w:val="002A461E"/>
    <w:rsid w:val="002A4851"/>
    <w:rsid w:val="002A4AF0"/>
    <w:rsid w:val="002A4C38"/>
    <w:rsid w:val="002A5622"/>
    <w:rsid w:val="002A572E"/>
    <w:rsid w:val="002A586D"/>
    <w:rsid w:val="002A58BE"/>
    <w:rsid w:val="002A5ADD"/>
    <w:rsid w:val="002A5C60"/>
    <w:rsid w:val="002A6428"/>
    <w:rsid w:val="002A65CB"/>
    <w:rsid w:val="002A6F4E"/>
    <w:rsid w:val="002A77E3"/>
    <w:rsid w:val="002A7954"/>
    <w:rsid w:val="002A7C56"/>
    <w:rsid w:val="002B0079"/>
    <w:rsid w:val="002B0C4E"/>
    <w:rsid w:val="002B111F"/>
    <w:rsid w:val="002B1305"/>
    <w:rsid w:val="002B1D9F"/>
    <w:rsid w:val="002B2128"/>
    <w:rsid w:val="002B213A"/>
    <w:rsid w:val="002B21BA"/>
    <w:rsid w:val="002B25EF"/>
    <w:rsid w:val="002B26B7"/>
    <w:rsid w:val="002B2A17"/>
    <w:rsid w:val="002B2B73"/>
    <w:rsid w:val="002B2E7C"/>
    <w:rsid w:val="002B31BD"/>
    <w:rsid w:val="002B3BAA"/>
    <w:rsid w:val="002B3BB6"/>
    <w:rsid w:val="002B3D46"/>
    <w:rsid w:val="002B3FC4"/>
    <w:rsid w:val="002B465E"/>
    <w:rsid w:val="002B4B76"/>
    <w:rsid w:val="002B55A6"/>
    <w:rsid w:val="002B5911"/>
    <w:rsid w:val="002B5B33"/>
    <w:rsid w:val="002B62EE"/>
    <w:rsid w:val="002B6482"/>
    <w:rsid w:val="002B6625"/>
    <w:rsid w:val="002B6B7C"/>
    <w:rsid w:val="002B6DBC"/>
    <w:rsid w:val="002B6FD5"/>
    <w:rsid w:val="002B7CF7"/>
    <w:rsid w:val="002C01DB"/>
    <w:rsid w:val="002C08BF"/>
    <w:rsid w:val="002C0BA6"/>
    <w:rsid w:val="002C1432"/>
    <w:rsid w:val="002C14AF"/>
    <w:rsid w:val="002C1646"/>
    <w:rsid w:val="002C16F4"/>
    <w:rsid w:val="002C1F1B"/>
    <w:rsid w:val="002C1F4D"/>
    <w:rsid w:val="002C2CD8"/>
    <w:rsid w:val="002C2CFC"/>
    <w:rsid w:val="002C2DDE"/>
    <w:rsid w:val="002C30AE"/>
    <w:rsid w:val="002C314C"/>
    <w:rsid w:val="002C3166"/>
    <w:rsid w:val="002C32A4"/>
    <w:rsid w:val="002C361C"/>
    <w:rsid w:val="002C3787"/>
    <w:rsid w:val="002C3806"/>
    <w:rsid w:val="002C38F2"/>
    <w:rsid w:val="002C3A07"/>
    <w:rsid w:val="002C3F3A"/>
    <w:rsid w:val="002C416A"/>
    <w:rsid w:val="002C433E"/>
    <w:rsid w:val="002C4459"/>
    <w:rsid w:val="002C4C6A"/>
    <w:rsid w:val="002C4C70"/>
    <w:rsid w:val="002C4D19"/>
    <w:rsid w:val="002C4EA4"/>
    <w:rsid w:val="002C4F9D"/>
    <w:rsid w:val="002C579D"/>
    <w:rsid w:val="002C58AC"/>
    <w:rsid w:val="002C5CA4"/>
    <w:rsid w:val="002C5D11"/>
    <w:rsid w:val="002C606F"/>
    <w:rsid w:val="002C651A"/>
    <w:rsid w:val="002C66BC"/>
    <w:rsid w:val="002C677D"/>
    <w:rsid w:val="002C68A5"/>
    <w:rsid w:val="002C6E90"/>
    <w:rsid w:val="002C70FC"/>
    <w:rsid w:val="002C7288"/>
    <w:rsid w:val="002C77A8"/>
    <w:rsid w:val="002D04DB"/>
    <w:rsid w:val="002D0650"/>
    <w:rsid w:val="002D0BFF"/>
    <w:rsid w:val="002D0DE2"/>
    <w:rsid w:val="002D0ECA"/>
    <w:rsid w:val="002D1D54"/>
    <w:rsid w:val="002D1E23"/>
    <w:rsid w:val="002D2419"/>
    <w:rsid w:val="002D26EA"/>
    <w:rsid w:val="002D2CBD"/>
    <w:rsid w:val="002D2ED3"/>
    <w:rsid w:val="002D35AA"/>
    <w:rsid w:val="002D3760"/>
    <w:rsid w:val="002D3AC9"/>
    <w:rsid w:val="002D3C0D"/>
    <w:rsid w:val="002D465F"/>
    <w:rsid w:val="002D4866"/>
    <w:rsid w:val="002D4DEF"/>
    <w:rsid w:val="002D4F02"/>
    <w:rsid w:val="002D5349"/>
    <w:rsid w:val="002D5408"/>
    <w:rsid w:val="002D54E0"/>
    <w:rsid w:val="002D6C82"/>
    <w:rsid w:val="002D7212"/>
    <w:rsid w:val="002D7491"/>
    <w:rsid w:val="002D7877"/>
    <w:rsid w:val="002D7B2B"/>
    <w:rsid w:val="002D7B5E"/>
    <w:rsid w:val="002D7CDF"/>
    <w:rsid w:val="002D7E21"/>
    <w:rsid w:val="002E02A3"/>
    <w:rsid w:val="002E0428"/>
    <w:rsid w:val="002E05C3"/>
    <w:rsid w:val="002E0DCC"/>
    <w:rsid w:val="002E0EF8"/>
    <w:rsid w:val="002E1360"/>
    <w:rsid w:val="002E1432"/>
    <w:rsid w:val="002E1511"/>
    <w:rsid w:val="002E1588"/>
    <w:rsid w:val="002E1D22"/>
    <w:rsid w:val="002E1E0B"/>
    <w:rsid w:val="002E29A3"/>
    <w:rsid w:val="002E2BA4"/>
    <w:rsid w:val="002E2CDC"/>
    <w:rsid w:val="002E2E81"/>
    <w:rsid w:val="002E32EF"/>
    <w:rsid w:val="002E3A97"/>
    <w:rsid w:val="002E3D15"/>
    <w:rsid w:val="002E3ED9"/>
    <w:rsid w:val="002E43DB"/>
    <w:rsid w:val="002E5114"/>
    <w:rsid w:val="002E5992"/>
    <w:rsid w:val="002E6500"/>
    <w:rsid w:val="002E6619"/>
    <w:rsid w:val="002E677B"/>
    <w:rsid w:val="002E7149"/>
    <w:rsid w:val="002E7EA3"/>
    <w:rsid w:val="002F0F7C"/>
    <w:rsid w:val="002F12DE"/>
    <w:rsid w:val="002F1C72"/>
    <w:rsid w:val="002F28A1"/>
    <w:rsid w:val="002F2939"/>
    <w:rsid w:val="002F2CDE"/>
    <w:rsid w:val="002F2D19"/>
    <w:rsid w:val="002F2F13"/>
    <w:rsid w:val="002F333C"/>
    <w:rsid w:val="002F382E"/>
    <w:rsid w:val="002F3A61"/>
    <w:rsid w:val="002F3C91"/>
    <w:rsid w:val="002F4ACA"/>
    <w:rsid w:val="002F4B94"/>
    <w:rsid w:val="002F4C91"/>
    <w:rsid w:val="002F550B"/>
    <w:rsid w:val="002F5EC8"/>
    <w:rsid w:val="002F62ED"/>
    <w:rsid w:val="002F63D2"/>
    <w:rsid w:val="002F6ABE"/>
    <w:rsid w:val="002F6F12"/>
    <w:rsid w:val="002F7037"/>
    <w:rsid w:val="002F747B"/>
    <w:rsid w:val="002F755D"/>
    <w:rsid w:val="002F7D85"/>
    <w:rsid w:val="002F7E1D"/>
    <w:rsid w:val="00300056"/>
    <w:rsid w:val="003000BD"/>
    <w:rsid w:val="00300802"/>
    <w:rsid w:val="0030083E"/>
    <w:rsid w:val="0030136B"/>
    <w:rsid w:val="003015D5"/>
    <w:rsid w:val="00301602"/>
    <w:rsid w:val="003016F2"/>
    <w:rsid w:val="00301AEE"/>
    <w:rsid w:val="00301D67"/>
    <w:rsid w:val="00302261"/>
    <w:rsid w:val="0030244A"/>
    <w:rsid w:val="0030292F"/>
    <w:rsid w:val="003029EC"/>
    <w:rsid w:val="0030320E"/>
    <w:rsid w:val="00303785"/>
    <w:rsid w:val="00303883"/>
    <w:rsid w:val="003039BD"/>
    <w:rsid w:val="00303AED"/>
    <w:rsid w:val="00304296"/>
    <w:rsid w:val="003047F4"/>
    <w:rsid w:val="0030488C"/>
    <w:rsid w:val="00304EDE"/>
    <w:rsid w:val="0030512D"/>
    <w:rsid w:val="0030523A"/>
    <w:rsid w:val="003054B2"/>
    <w:rsid w:val="0030588E"/>
    <w:rsid w:val="00305AFE"/>
    <w:rsid w:val="00305C38"/>
    <w:rsid w:val="00306139"/>
    <w:rsid w:val="003066AA"/>
    <w:rsid w:val="00306C62"/>
    <w:rsid w:val="00306C8D"/>
    <w:rsid w:val="00306C9C"/>
    <w:rsid w:val="00306E98"/>
    <w:rsid w:val="0030718F"/>
    <w:rsid w:val="003071CE"/>
    <w:rsid w:val="003078AD"/>
    <w:rsid w:val="00307CA2"/>
    <w:rsid w:val="00307CA5"/>
    <w:rsid w:val="003101F9"/>
    <w:rsid w:val="00310420"/>
    <w:rsid w:val="003109AE"/>
    <w:rsid w:val="00311C42"/>
    <w:rsid w:val="00311C93"/>
    <w:rsid w:val="00311CB1"/>
    <w:rsid w:val="00311FB9"/>
    <w:rsid w:val="00312592"/>
    <w:rsid w:val="003126AB"/>
    <w:rsid w:val="00313005"/>
    <w:rsid w:val="00313147"/>
    <w:rsid w:val="0031327E"/>
    <w:rsid w:val="00313298"/>
    <w:rsid w:val="0031338A"/>
    <w:rsid w:val="0031360A"/>
    <w:rsid w:val="00313715"/>
    <w:rsid w:val="003137BB"/>
    <w:rsid w:val="00313E2B"/>
    <w:rsid w:val="003143F5"/>
    <w:rsid w:val="00314870"/>
    <w:rsid w:val="0031545E"/>
    <w:rsid w:val="00315631"/>
    <w:rsid w:val="0031578C"/>
    <w:rsid w:val="00315969"/>
    <w:rsid w:val="003165A5"/>
    <w:rsid w:val="00316923"/>
    <w:rsid w:val="00316FE5"/>
    <w:rsid w:val="003170E8"/>
    <w:rsid w:val="003173A3"/>
    <w:rsid w:val="00317424"/>
    <w:rsid w:val="00317C44"/>
    <w:rsid w:val="003200F7"/>
    <w:rsid w:val="003201D1"/>
    <w:rsid w:val="00320292"/>
    <w:rsid w:val="00320790"/>
    <w:rsid w:val="00320B9D"/>
    <w:rsid w:val="0032169C"/>
    <w:rsid w:val="003217C6"/>
    <w:rsid w:val="003223F5"/>
    <w:rsid w:val="00322BD8"/>
    <w:rsid w:val="0032319B"/>
    <w:rsid w:val="003234A6"/>
    <w:rsid w:val="00323709"/>
    <w:rsid w:val="00323B68"/>
    <w:rsid w:val="00323D5F"/>
    <w:rsid w:val="0032436C"/>
    <w:rsid w:val="003244A6"/>
    <w:rsid w:val="00325497"/>
    <w:rsid w:val="00325A35"/>
    <w:rsid w:val="00325F35"/>
    <w:rsid w:val="0032633B"/>
    <w:rsid w:val="003264EC"/>
    <w:rsid w:val="00326CF4"/>
    <w:rsid w:val="00326D15"/>
    <w:rsid w:val="00326F16"/>
    <w:rsid w:val="00327014"/>
    <w:rsid w:val="00327253"/>
    <w:rsid w:val="00327276"/>
    <w:rsid w:val="00327402"/>
    <w:rsid w:val="00330497"/>
    <w:rsid w:val="0033063D"/>
    <w:rsid w:val="0033073C"/>
    <w:rsid w:val="003307F0"/>
    <w:rsid w:val="00330A4D"/>
    <w:rsid w:val="00330C3F"/>
    <w:rsid w:val="00330E42"/>
    <w:rsid w:val="00331A54"/>
    <w:rsid w:val="00331BB1"/>
    <w:rsid w:val="00332FC5"/>
    <w:rsid w:val="0033300B"/>
    <w:rsid w:val="00333225"/>
    <w:rsid w:val="00333393"/>
    <w:rsid w:val="003334C7"/>
    <w:rsid w:val="003335C7"/>
    <w:rsid w:val="003345F9"/>
    <w:rsid w:val="003347B8"/>
    <w:rsid w:val="00334883"/>
    <w:rsid w:val="00334CE3"/>
    <w:rsid w:val="00334E82"/>
    <w:rsid w:val="0033501E"/>
    <w:rsid w:val="003355BA"/>
    <w:rsid w:val="0033563E"/>
    <w:rsid w:val="0033582B"/>
    <w:rsid w:val="0033593B"/>
    <w:rsid w:val="00335F8F"/>
    <w:rsid w:val="0033689D"/>
    <w:rsid w:val="003369AB"/>
    <w:rsid w:val="00336A59"/>
    <w:rsid w:val="00336AAB"/>
    <w:rsid w:val="00336C77"/>
    <w:rsid w:val="00336FCD"/>
    <w:rsid w:val="00337075"/>
    <w:rsid w:val="0033713D"/>
    <w:rsid w:val="0033717B"/>
    <w:rsid w:val="00337A03"/>
    <w:rsid w:val="00337B7B"/>
    <w:rsid w:val="003405D1"/>
    <w:rsid w:val="0034194B"/>
    <w:rsid w:val="00341C63"/>
    <w:rsid w:val="00342418"/>
    <w:rsid w:val="00342454"/>
    <w:rsid w:val="00342BFF"/>
    <w:rsid w:val="00342C3F"/>
    <w:rsid w:val="00343443"/>
    <w:rsid w:val="00343A5C"/>
    <w:rsid w:val="00343AB2"/>
    <w:rsid w:val="00343C7E"/>
    <w:rsid w:val="003443C8"/>
    <w:rsid w:val="00344508"/>
    <w:rsid w:val="00344687"/>
    <w:rsid w:val="00344C46"/>
    <w:rsid w:val="0034513B"/>
    <w:rsid w:val="00346452"/>
    <w:rsid w:val="00346A97"/>
    <w:rsid w:val="00346B78"/>
    <w:rsid w:val="0034765F"/>
    <w:rsid w:val="00347AB9"/>
    <w:rsid w:val="00347D15"/>
    <w:rsid w:val="00350059"/>
    <w:rsid w:val="003502B1"/>
    <w:rsid w:val="00350635"/>
    <w:rsid w:val="00350E6E"/>
    <w:rsid w:val="00351703"/>
    <w:rsid w:val="00351845"/>
    <w:rsid w:val="0035188E"/>
    <w:rsid w:val="00351A16"/>
    <w:rsid w:val="00351FBB"/>
    <w:rsid w:val="003520AC"/>
    <w:rsid w:val="003529D0"/>
    <w:rsid w:val="00352A7E"/>
    <w:rsid w:val="00352FE8"/>
    <w:rsid w:val="003533D9"/>
    <w:rsid w:val="00353E9A"/>
    <w:rsid w:val="00354BCA"/>
    <w:rsid w:val="00354D15"/>
    <w:rsid w:val="00354D71"/>
    <w:rsid w:val="00355663"/>
    <w:rsid w:val="003559B0"/>
    <w:rsid w:val="00356193"/>
    <w:rsid w:val="003566C5"/>
    <w:rsid w:val="003567F3"/>
    <w:rsid w:val="0035732A"/>
    <w:rsid w:val="0035796B"/>
    <w:rsid w:val="00357FDE"/>
    <w:rsid w:val="00360349"/>
    <w:rsid w:val="00360BF0"/>
    <w:rsid w:val="003610B7"/>
    <w:rsid w:val="003610BE"/>
    <w:rsid w:val="003619EB"/>
    <w:rsid w:val="00361BF2"/>
    <w:rsid w:val="00361C16"/>
    <w:rsid w:val="00361E4F"/>
    <w:rsid w:val="00361F05"/>
    <w:rsid w:val="003624BB"/>
    <w:rsid w:val="003631F8"/>
    <w:rsid w:val="0036391D"/>
    <w:rsid w:val="00364108"/>
    <w:rsid w:val="003642E1"/>
    <w:rsid w:val="00364A1B"/>
    <w:rsid w:val="0036554F"/>
    <w:rsid w:val="00365AEB"/>
    <w:rsid w:val="00365BCB"/>
    <w:rsid w:val="00366314"/>
    <w:rsid w:val="003665C5"/>
    <w:rsid w:val="00366D9E"/>
    <w:rsid w:val="00367606"/>
    <w:rsid w:val="00367DE8"/>
    <w:rsid w:val="00367FFE"/>
    <w:rsid w:val="0037126E"/>
    <w:rsid w:val="00371C56"/>
    <w:rsid w:val="003727C4"/>
    <w:rsid w:val="003733CB"/>
    <w:rsid w:val="003741D8"/>
    <w:rsid w:val="00374637"/>
    <w:rsid w:val="00374FAB"/>
    <w:rsid w:val="00375381"/>
    <w:rsid w:val="00375406"/>
    <w:rsid w:val="00375BBC"/>
    <w:rsid w:val="00375CA2"/>
    <w:rsid w:val="0037611E"/>
    <w:rsid w:val="00376794"/>
    <w:rsid w:val="00376B93"/>
    <w:rsid w:val="00376D14"/>
    <w:rsid w:val="00376E87"/>
    <w:rsid w:val="003776DD"/>
    <w:rsid w:val="003778A6"/>
    <w:rsid w:val="00377EFC"/>
    <w:rsid w:val="00380535"/>
    <w:rsid w:val="003805A0"/>
    <w:rsid w:val="0038088A"/>
    <w:rsid w:val="00381314"/>
    <w:rsid w:val="003813FA"/>
    <w:rsid w:val="00381CEC"/>
    <w:rsid w:val="00381F16"/>
    <w:rsid w:val="003820BD"/>
    <w:rsid w:val="00382115"/>
    <w:rsid w:val="0038222B"/>
    <w:rsid w:val="0038297C"/>
    <w:rsid w:val="00382C58"/>
    <w:rsid w:val="003830DD"/>
    <w:rsid w:val="0038359E"/>
    <w:rsid w:val="003835CE"/>
    <w:rsid w:val="00383C5D"/>
    <w:rsid w:val="00383F75"/>
    <w:rsid w:val="00384F65"/>
    <w:rsid w:val="00384FC7"/>
    <w:rsid w:val="00385204"/>
    <w:rsid w:val="0038590D"/>
    <w:rsid w:val="00386429"/>
    <w:rsid w:val="003865AB"/>
    <w:rsid w:val="003866A0"/>
    <w:rsid w:val="003868ED"/>
    <w:rsid w:val="003877F2"/>
    <w:rsid w:val="00387B21"/>
    <w:rsid w:val="00387B49"/>
    <w:rsid w:val="00387C1D"/>
    <w:rsid w:val="00387D42"/>
    <w:rsid w:val="00387EB7"/>
    <w:rsid w:val="00387EDF"/>
    <w:rsid w:val="00390B71"/>
    <w:rsid w:val="00390CBD"/>
    <w:rsid w:val="00391455"/>
    <w:rsid w:val="00391C32"/>
    <w:rsid w:val="00391D2B"/>
    <w:rsid w:val="00392041"/>
    <w:rsid w:val="003922C3"/>
    <w:rsid w:val="00392DA7"/>
    <w:rsid w:val="00393022"/>
    <w:rsid w:val="003935CD"/>
    <w:rsid w:val="00393DE2"/>
    <w:rsid w:val="00393F99"/>
    <w:rsid w:val="003948BD"/>
    <w:rsid w:val="00394DF7"/>
    <w:rsid w:val="00394E02"/>
    <w:rsid w:val="00395053"/>
    <w:rsid w:val="00395094"/>
    <w:rsid w:val="003950D7"/>
    <w:rsid w:val="00395270"/>
    <w:rsid w:val="003955BD"/>
    <w:rsid w:val="00395ACB"/>
    <w:rsid w:val="00396232"/>
    <w:rsid w:val="00396584"/>
    <w:rsid w:val="0039732B"/>
    <w:rsid w:val="00397463"/>
    <w:rsid w:val="00397877"/>
    <w:rsid w:val="00397B26"/>
    <w:rsid w:val="00397E43"/>
    <w:rsid w:val="003A0156"/>
    <w:rsid w:val="003A016E"/>
    <w:rsid w:val="003A03B9"/>
    <w:rsid w:val="003A03BB"/>
    <w:rsid w:val="003A0C2D"/>
    <w:rsid w:val="003A0D61"/>
    <w:rsid w:val="003A1164"/>
    <w:rsid w:val="003A138B"/>
    <w:rsid w:val="003A13F7"/>
    <w:rsid w:val="003A22A4"/>
    <w:rsid w:val="003A23B1"/>
    <w:rsid w:val="003A2EC9"/>
    <w:rsid w:val="003A3E7E"/>
    <w:rsid w:val="003A4279"/>
    <w:rsid w:val="003A4292"/>
    <w:rsid w:val="003A45F6"/>
    <w:rsid w:val="003A4BBB"/>
    <w:rsid w:val="003A4F71"/>
    <w:rsid w:val="003A5123"/>
    <w:rsid w:val="003A556A"/>
    <w:rsid w:val="003A557E"/>
    <w:rsid w:val="003A5B8F"/>
    <w:rsid w:val="003A5FD8"/>
    <w:rsid w:val="003A66EC"/>
    <w:rsid w:val="003A735E"/>
    <w:rsid w:val="003A79E7"/>
    <w:rsid w:val="003B096F"/>
    <w:rsid w:val="003B11C2"/>
    <w:rsid w:val="003B156E"/>
    <w:rsid w:val="003B1E55"/>
    <w:rsid w:val="003B2F19"/>
    <w:rsid w:val="003B313F"/>
    <w:rsid w:val="003B35F5"/>
    <w:rsid w:val="003B3639"/>
    <w:rsid w:val="003B3FDE"/>
    <w:rsid w:val="003B43ED"/>
    <w:rsid w:val="003B457F"/>
    <w:rsid w:val="003B4981"/>
    <w:rsid w:val="003B4ED1"/>
    <w:rsid w:val="003B4F7A"/>
    <w:rsid w:val="003B5021"/>
    <w:rsid w:val="003B5439"/>
    <w:rsid w:val="003B5C74"/>
    <w:rsid w:val="003B5CDD"/>
    <w:rsid w:val="003B6192"/>
    <w:rsid w:val="003B6284"/>
    <w:rsid w:val="003B6382"/>
    <w:rsid w:val="003B64C9"/>
    <w:rsid w:val="003B67E1"/>
    <w:rsid w:val="003B6F11"/>
    <w:rsid w:val="003B7213"/>
    <w:rsid w:val="003B773C"/>
    <w:rsid w:val="003B7968"/>
    <w:rsid w:val="003B7A9D"/>
    <w:rsid w:val="003B7B3E"/>
    <w:rsid w:val="003B7CDB"/>
    <w:rsid w:val="003B7D91"/>
    <w:rsid w:val="003B7E2A"/>
    <w:rsid w:val="003B7E45"/>
    <w:rsid w:val="003C087F"/>
    <w:rsid w:val="003C0AD2"/>
    <w:rsid w:val="003C0D6E"/>
    <w:rsid w:val="003C0F75"/>
    <w:rsid w:val="003C1E27"/>
    <w:rsid w:val="003C1E5C"/>
    <w:rsid w:val="003C27E4"/>
    <w:rsid w:val="003C27EB"/>
    <w:rsid w:val="003C2903"/>
    <w:rsid w:val="003C292A"/>
    <w:rsid w:val="003C2CE0"/>
    <w:rsid w:val="003C2E1A"/>
    <w:rsid w:val="003C32E6"/>
    <w:rsid w:val="003C331D"/>
    <w:rsid w:val="003C3555"/>
    <w:rsid w:val="003C3F3E"/>
    <w:rsid w:val="003C42F7"/>
    <w:rsid w:val="003C4550"/>
    <w:rsid w:val="003C497D"/>
    <w:rsid w:val="003C539A"/>
    <w:rsid w:val="003C553F"/>
    <w:rsid w:val="003C55BD"/>
    <w:rsid w:val="003C560D"/>
    <w:rsid w:val="003C5874"/>
    <w:rsid w:val="003C5E12"/>
    <w:rsid w:val="003C5F85"/>
    <w:rsid w:val="003C626E"/>
    <w:rsid w:val="003C67BB"/>
    <w:rsid w:val="003C71B4"/>
    <w:rsid w:val="003C7707"/>
    <w:rsid w:val="003C79C9"/>
    <w:rsid w:val="003C7C33"/>
    <w:rsid w:val="003C7DA9"/>
    <w:rsid w:val="003C7E7D"/>
    <w:rsid w:val="003D0203"/>
    <w:rsid w:val="003D0B63"/>
    <w:rsid w:val="003D130C"/>
    <w:rsid w:val="003D151A"/>
    <w:rsid w:val="003D15B4"/>
    <w:rsid w:val="003D189E"/>
    <w:rsid w:val="003D1DD1"/>
    <w:rsid w:val="003D21CF"/>
    <w:rsid w:val="003D2624"/>
    <w:rsid w:val="003D26CC"/>
    <w:rsid w:val="003D3045"/>
    <w:rsid w:val="003D3128"/>
    <w:rsid w:val="003D39D2"/>
    <w:rsid w:val="003D3F12"/>
    <w:rsid w:val="003D3FFF"/>
    <w:rsid w:val="003D4075"/>
    <w:rsid w:val="003D4A56"/>
    <w:rsid w:val="003D4E64"/>
    <w:rsid w:val="003D556F"/>
    <w:rsid w:val="003D5972"/>
    <w:rsid w:val="003D59DB"/>
    <w:rsid w:val="003D6B89"/>
    <w:rsid w:val="003D6D95"/>
    <w:rsid w:val="003D6E0D"/>
    <w:rsid w:val="003D6F14"/>
    <w:rsid w:val="003D782E"/>
    <w:rsid w:val="003D7A71"/>
    <w:rsid w:val="003D7BEF"/>
    <w:rsid w:val="003E04DC"/>
    <w:rsid w:val="003E073C"/>
    <w:rsid w:val="003E1244"/>
    <w:rsid w:val="003E1419"/>
    <w:rsid w:val="003E1453"/>
    <w:rsid w:val="003E153C"/>
    <w:rsid w:val="003E199E"/>
    <w:rsid w:val="003E1F76"/>
    <w:rsid w:val="003E1FA8"/>
    <w:rsid w:val="003E2680"/>
    <w:rsid w:val="003E28E3"/>
    <w:rsid w:val="003E2C9B"/>
    <w:rsid w:val="003E2EFA"/>
    <w:rsid w:val="003E35AA"/>
    <w:rsid w:val="003E3979"/>
    <w:rsid w:val="003E3EBC"/>
    <w:rsid w:val="003E4478"/>
    <w:rsid w:val="003E4FF9"/>
    <w:rsid w:val="003E5CE6"/>
    <w:rsid w:val="003E683C"/>
    <w:rsid w:val="003E6B38"/>
    <w:rsid w:val="003E6EA7"/>
    <w:rsid w:val="003E7036"/>
    <w:rsid w:val="003E73F6"/>
    <w:rsid w:val="003E753D"/>
    <w:rsid w:val="003E758B"/>
    <w:rsid w:val="003E77B3"/>
    <w:rsid w:val="003E7B3E"/>
    <w:rsid w:val="003F0267"/>
    <w:rsid w:val="003F0319"/>
    <w:rsid w:val="003F0422"/>
    <w:rsid w:val="003F0545"/>
    <w:rsid w:val="003F063F"/>
    <w:rsid w:val="003F0BD7"/>
    <w:rsid w:val="003F0D85"/>
    <w:rsid w:val="003F12B8"/>
    <w:rsid w:val="003F173E"/>
    <w:rsid w:val="003F18F7"/>
    <w:rsid w:val="003F1FEA"/>
    <w:rsid w:val="003F2825"/>
    <w:rsid w:val="003F2D3F"/>
    <w:rsid w:val="003F339C"/>
    <w:rsid w:val="003F3A54"/>
    <w:rsid w:val="003F3AEE"/>
    <w:rsid w:val="003F3DCA"/>
    <w:rsid w:val="003F3FB7"/>
    <w:rsid w:val="003F4437"/>
    <w:rsid w:val="003F456D"/>
    <w:rsid w:val="003F48B6"/>
    <w:rsid w:val="003F4C51"/>
    <w:rsid w:val="003F5028"/>
    <w:rsid w:val="003F54B8"/>
    <w:rsid w:val="003F562A"/>
    <w:rsid w:val="003F5915"/>
    <w:rsid w:val="003F593B"/>
    <w:rsid w:val="003F5977"/>
    <w:rsid w:val="003F5EC1"/>
    <w:rsid w:val="003F5F4C"/>
    <w:rsid w:val="003F6942"/>
    <w:rsid w:val="003F6C23"/>
    <w:rsid w:val="003F6EF8"/>
    <w:rsid w:val="003F7086"/>
    <w:rsid w:val="003F729E"/>
    <w:rsid w:val="003F747B"/>
    <w:rsid w:val="003F7918"/>
    <w:rsid w:val="003F7E83"/>
    <w:rsid w:val="003F7F71"/>
    <w:rsid w:val="0040046E"/>
    <w:rsid w:val="0040048C"/>
    <w:rsid w:val="00400760"/>
    <w:rsid w:val="00400A53"/>
    <w:rsid w:val="00400AD1"/>
    <w:rsid w:val="00401175"/>
    <w:rsid w:val="00401630"/>
    <w:rsid w:val="00401663"/>
    <w:rsid w:val="0040207A"/>
    <w:rsid w:val="004025EA"/>
    <w:rsid w:val="00402611"/>
    <w:rsid w:val="00402A16"/>
    <w:rsid w:val="00402A4C"/>
    <w:rsid w:val="00402ACB"/>
    <w:rsid w:val="00402CD8"/>
    <w:rsid w:val="00402FAA"/>
    <w:rsid w:val="004033EC"/>
    <w:rsid w:val="00403668"/>
    <w:rsid w:val="00404552"/>
    <w:rsid w:val="00404D75"/>
    <w:rsid w:val="004051C9"/>
    <w:rsid w:val="0040592B"/>
    <w:rsid w:val="0040599A"/>
    <w:rsid w:val="00405F41"/>
    <w:rsid w:val="00406178"/>
    <w:rsid w:val="00406B9E"/>
    <w:rsid w:val="00406C5B"/>
    <w:rsid w:val="0040712C"/>
    <w:rsid w:val="0040719B"/>
    <w:rsid w:val="00407235"/>
    <w:rsid w:val="004077C5"/>
    <w:rsid w:val="004079EF"/>
    <w:rsid w:val="00407DFB"/>
    <w:rsid w:val="00407F93"/>
    <w:rsid w:val="004102F5"/>
    <w:rsid w:val="00410510"/>
    <w:rsid w:val="004107A2"/>
    <w:rsid w:val="00410D33"/>
    <w:rsid w:val="00410D59"/>
    <w:rsid w:val="00410DBD"/>
    <w:rsid w:val="00410FC0"/>
    <w:rsid w:val="004110B6"/>
    <w:rsid w:val="00411996"/>
    <w:rsid w:val="00411A1A"/>
    <w:rsid w:val="0041207E"/>
    <w:rsid w:val="004123D0"/>
    <w:rsid w:val="00412561"/>
    <w:rsid w:val="00412EE6"/>
    <w:rsid w:val="00413345"/>
    <w:rsid w:val="004137A8"/>
    <w:rsid w:val="00413F1D"/>
    <w:rsid w:val="0041425C"/>
    <w:rsid w:val="00414671"/>
    <w:rsid w:val="0041592C"/>
    <w:rsid w:val="00415A7B"/>
    <w:rsid w:val="00416396"/>
    <w:rsid w:val="004163E0"/>
    <w:rsid w:val="0041699E"/>
    <w:rsid w:val="00416C13"/>
    <w:rsid w:val="00417145"/>
    <w:rsid w:val="0041778C"/>
    <w:rsid w:val="00417859"/>
    <w:rsid w:val="00417DB1"/>
    <w:rsid w:val="00417DF1"/>
    <w:rsid w:val="004204B7"/>
    <w:rsid w:val="00420B82"/>
    <w:rsid w:val="00420C4C"/>
    <w:rsid w:val="004212CA"/>
    <w:rsid w:val="00421495"/>
    <w:rsid w:val="0042198D"/>
    <w:rsid w:val="004219E7"/>
    <w:rsid w:val="00421AE1"/>
    <w:rsid w:val="00421D18"/>
    <w:rsid w:val="00422104"/>
    <w:rsid w:val="0042296C"/>
    <w:rsid w:val="0042346C"/>
    <w:rsid w:val="0042355F"/>
    <w:rsid w:val="00423D71"/>
    <w:rsid w:val="00423D73"/>
    <w:rsid w:val="004240A4"/>
    <w:rsid w:val="00424715"/>
    <w:rsid w:val="00424D6D"/>
    <w:rsid w:val="004252A9"/>
    <w:rsid w:val="004252FA"/>
    <w:rsid w:val="004254F5"/>
    <w:rsid w:val="0042563C"/>
    <w:rsid w:val="00425897"/>
    <w:rsid w:val="00425CD8"/>
    <w:rsid w:val="00425DFA"/>
    <w:rsid w:val="00425F9D"/>
    <w:rsid w:val="0042630F"/>
    <w:rsid w:val="00426345"/>
    <w:rsid w:val="00426B4A"/>
    <w:rsid w:val="00426D3B"/>
    <w:rsid w:val="0042720D"/>
    <w:rsid w:val="0042724C"/>
    <w:rsid w:val="004275FD"/>
    <w:rsid w:val="00427E99"/>
    <w:rsid w:val="00430025"/>
    <w:rsid w:val="00430138"/>
    <w:rsid w:val="00430342"/>
    <w:rsid w:val="00430808"/>
    <w:rsid w:val="00430A87"/>
    <w:rsid w:val="00430C2D"/>
    <w:rsid w:val="00430EB2"/>
    <w:rsid w:val="00430F99"/>
    <w:rsid w:val="00430FC3"/>
    <w:rsid w:val="00431D6A"/>
    <w:rsid w:val="004325B3"/>
    <w:rsid w:val="00433982"/>
    <w:rsid w:val="00433A7D"/>
    <w:rsid w:val="00434074"/>
    <w:rsid w:val="0043417D"/>
    <w:rsid w:val="00434497"/>
    <w:rsid w:val="0043520C"/>
    <w:rsid w:val="004353DF"/>
    <w:rsid w:val="00435CD9"/>
    <w:rsid w:val="0043647E"/>
    <w:rsid w:val="00436542"/>
    <w:rsid w:val="004365D3"/>
    <w:rsid w:val="00437370"/>
    <w:rsid w:val="0043780D"/>
    <w:rsid w:val="004378A8"/>
    <w:rsid w:val="00437A8B"/>
    <w:rsid w:val="00440202"/>
    <w:rsid w:val="00440B2B"/>
    <w:rsid w:val="00440CCC"/>
    <w:rsid w:val="00441188"/>
    <w:rsid w:val="00441284"/>
    <w:rsid w:val="00441583"/>
    <w:rsid w:val="004416D6"/>
    <w:rsid w:val="00441760"/>
    <w:rsid w:val="00441B32"/>
    <w:rsid w:val="00441D52"/>
    <w:rsid w:val="004420BD"/>
    <w:rsid w:val="00442799"/>
    <w:rsid w:val="0044287D"/>
    <w:rsid w:val="00442974"/>
    <w:rsid w:val="004430FC"/>
    <w:rsid w:val="004434C0"/>
    <w:rsid w:val="00443D0F"/>
    <w:rsid w:val="00444AEB"/>
    <w:rsid w:val="00444F89"/>
    <w:rsid w:val="00445313"/>
    <w:rsid w:val="0044561B"/>
    <w:rsid w:val="00445790"/>
    <w:rsid w:val="00445818"/>
    <w:rsid w:val="00445DF4"/>
    <w:rsid w:val="00445E95"/>
    <w:rsid w:val="00445EB4"/>
    <w:rsid w:val="00445F85"/>
    <w:rsid w:val="004461A2"/>
    <w:rsid w:val="004461E8"/>
    <w:rsid w:val="00446320"/>
    <w:rsid w:val="00446458"/>
    <w:rsid w:val="0044670C"/>
    <w:rsid w:val="0044697F"/>
    <w:rsid w:val="00446F20"/>
    <w:rsid w:val="00446F6A"/>
    <w:rsid w:val="004472EA"/>
    <w:rsid w:val="004477D2"/>
    <w:rsid w:val="004478EB"/>
    <w:rsid w:val="00447C78"/>
    <w:rsid w:val="00447CBC"/>
    <w:rsid w:val="00447E91"/>
    <w:rsid w:val="004502A7"/>
    <w:rsid w:val="00450E15"/>
    <w:rsid w:val="004511B5"/>
    <w:rsid w:val="0045164A"/>
    <w:rsid w:val="0045174C"/>
    <w:rsid w:val="00451C39"/>
    <w:rsid w:val="00451CBF"/>
    <w:rsid w:val="0045243D"/>
    <w:rsid w:val="004528D6"/>
    <w:rsid w:val="00452AA4"/>
    <w:rsid w:val="00453313"/>
    <w:rsid w:val="0045363A"/>
    <w:rsid w:val="004536FA"/>
    <w:rsid w:val="00453E00"/>
    <w:rsid w:val="00454092"/>
    <w:rsid w:val="004542A8"/>
    <w:rsid w:val="00454606"/>
    <w:rsid w:val="00454EBF"/>
    <w:rsid w:val="0045504E"/>
    <w:rsid w:val="00455289"/>
    <w:rsid w:val="00455895"/>
    <w:rsid w:val="00455CAE"/>
    <w:rsid w:val="00455CF6"/>
    <w:rsid w:val="00455D6D"/>
    <w:rsid w:val="00456474"/>
    <w:rsid w:val="00456CCD"/>
    <w:rsid w:val="00456F8E"/>
    <w:rsid w:val="00460015"/>
    <w:rsid w:val="004601C9"/>
    <w:rsid w:val="0046075F"/>
    <w:rsid w:val="00460C0F"/>
    <w:rsid w:val="00460D97"/>
    <w:rsid w:val="00461420"/>
    <w:rsid w:val="00461FB2"/>
    <w:rsid w:val="00462402"/>
    <w:rsid w:val="00462A09"/>
    <w:rsid w:val="00462BAE"/>
    <w:rsid w:val="00463833"/>
    <w:rsid w:val="00463B6F"/>
    <w:rsid w:val="00463DC1"/>
    <w:rsid w:val="004645DC"/>
    <w:rsid w:val="00464716"/>
    <w:rsid w:val="00464965"/>
    <w:rsid w:val="00464F22"/>
    <w:rsid w:val="00465D14"/>
    <w:rsid w:val="00465EA8"/>
    <w:rsid w:val="00466467"/>
    <w:rsid w:val="00466927"/>
    <w:rsid w:val="00466BD6"/>
    <w:rsid w:val="00466D98"/>
    <w:rsid w:val="00466DCC"/>
    <w:rsid w:val="00466E24"/>
    <w:rsid w:val="004677C5"/>
    <w:rsid w:val="0046789A"/>
    <w:rsid w:val="00467D9D"/>
    <w:rsid w:val="0047053E"/>
    <w:rsid w:val="004705B2"/>
    <w:rsid w:val="004707A1"/>
    <w:rsid w:val="00470D11"/>
    <w:rsid w:val="00470E07"/>
    <w:rsid w:val="00471094"/>
    <w:rsid w:val="004710EF"/>
    <w:rsid w:val="00471DB8"/>
    <w:rsid w:val="00473609"/>
    <w:rsid w:val="00473686"/>
    <w:rsid w:val="004737F1"/>
    <w:rsid w:val="00473B14"/>
    <w:rsid w:val="0047402A"/>
    <w:rsid w:val="00474256"/>
    <w:rsid w:val="004744C1"/>
    <w:rsid w:val="004745B9"/>
    <w:rsid w:val="00474DA0"/>
    <w:rsid w:val="00474DA3"/>
    <w:rsid w:val="00474FDA"/>
    <w:rsid w:val="0047593A"/>
    <w:rsid w:val="004766F1"/>
    <w:rsid w:val="00476BBD"/>
    <w:rsid w:val="00476BD9"/>
    <w:rsid w:val="00476E9F"/>
    <w:rsid w:val="0047705B"/>
    <w:rsid w:val="0047746B"/>
    <w:rsid w:val="00477941"/>
    <w:rsid w:val="004779F1"/>
    <w:rsid w:val="004804A5"/>
    <w:rsid w:val="00480517"/>
    <w:rsid w:val="00480FD0"/>
    <w:rsid w:val="0048196C"/>
    <w:rsid w:val="00481BCE"/>
    <w:rsid w:val="00481C93"/>
    <w:rsid w:val="004836D3"/>
    <w:rsid w:val="0048373A"/>
    <w:rsid w:val="004838DD"/>
    <w:rsid w:val="00483E72"/>
    <w:rsid w:val="004843F6"/>
    <w:rsid w:val="004846E9"/>
    <w:rsid w:val="00484926"/>
    <w:rsid w:val="004849DB"/>
    <w:rsid w:val="00484B07"/>
    <w:rsid w:val="00485074"/>
    <w:rsid w:val="00485638"/>
    <w:rsid w:val="00485B98"/>
    <w:rsid w:val="00485E0B"/>
    <w:rsid w:val="0048635E"/>
    <w:rsid w:val="0048727F"/>
    <w:rsid w:val="00487A2B"/>
    <w:rsid w:val="00487D85"/>
    <w:rsid w:val="00490060"/>
    <w:rsid w:val="004905CE"/>
    <w:rsid w:val="00490CB2"/>
    <w:rsid w:val="00490FA1"/>
    <w:rsid w:val="004919D4"/>
    <w:rsid w:val="00491E43"/>
    <w:rsid w:val="004920B3"/>
    <w:rsid w:val="00492397"/>
    <w:rsid w:val="004923F1"/>
    <w:rsid w:val="0049247B"/>
    <w:rsid w:val="00493124"/>
    <w:rsid w:val="00493194"/>
    <w:rsid w:val="00493332"/>
    <w:rsid w:val="00493B4E"/>
    <w:rsid w:val="00494262"/>
    <w:rsid w:val="00494C80"/>
    <w:rsid w:val="00494D9E"/>
    <w:rsid w:val="00494DBA"/>
    <w:rsid w:val="0049528D"/>
    <w:rsid w:val="004952D6"/>
    <w:rsid w:val="004953B4"/>
    <w:rsid w:val="00495AA4"/>
    <w:rsid w:val="00495FE9"/>
    <w:rsid w:val="004967E2"/>
    <w:rsid w:val="00496B58"/>
    <w:rsid w:val="00496D4E"/>
    <w:rsid w:val="00496DFD"/>
    <w:rsid w:val="00497176"/>
    <w:rsid w:val="004971FA"/>
    <w:rsid w:val="0049729D"/>
    <w:rsid w:val="004A060E"/>
    <w:rsid w:val="004A0A27"/>
    <w:rsid w:val="004A21C2"/>
    <w:rsid w:val="004A2952"/>
    <w:rsid w:val="004A3168"/>
    <w:rsid w:val="004A3193"/>
    <w:rsid w:val="004A34E5"/>
    <w:rsid w:val="004A3B82"/>
    <w:rsid w:val="004A3FA2"/>
    <w:rsid w:val="004A43DD"/>
    <w:rsid w:val="004A44E1"/>
    <w:rsid w:val="004A4619"/>
    <w:rsid w:val="004A4C58"/>
    <w:rsid w:val="004A6BAD"/>
    <w:rsid w:val="004A6CE6"/>
    <w:rsid w:val="004A6E84"/>
    <w:rsid w:val="004A7422"/>
    <w:rsid w:val="004A76C9"/>
    <w:rsid w:val="004B0853"/>
    <w:rsid w:val="004B08A9"/>
    <w:rsid w:val="004B0B03"/>
    <w:rsid w:val="004B0FE1"/>
    <w:rsid w:val="004B110B"/>
    <w:rsid w:val="004B18D4"/>
    <w:rsid w:val="004B1A6F"/>
    <w:rsid w:val="004B1B7A"/>
    <w:rsid w:val="004B26F6"/>
    <w:rsid w:val="004B2D9D"/>
    <w:rsid w:val="004B3881"/>
    <w:rsid w:val="004B3E9C"/>
    <w:rsid w:val="004B4555"/>
    <w:rsid w:val="004B45E6"/>
    <w:rsid w:val="004B4CA9"/>
    <w:rsid w:val="004B4D9F"/>
    <w:rsid w:val="004B556C"/>
    <w:rsid w:val="004B5E98"/>
    <w:rsid w:val="004B5F03"/>
    <w:rsid w:val="004B6102"/>
    <w:rsid w:val="004B6F4D"/>
    <w:rsid w:val="004B70A3"/>
    <w:rsid w:val="004B7424"/>
    <w:rsid w:val="004B7F35"/>
    <w:rsid w:val="004C03E8"/>
    <w:rsid w:val="004C0410"/>
    <w:rsid w:val="004C046D"/>
    <w:rsid w:val="004C06FA"/>
    <w:rsid w:val="004C1F7F"/>
    <w:rsid w:val="004C1FFD"/>
    <w:rsid w:val="004C28B3"/>
    <w:rsid w:val="004C2E56"/>
    <w:rsid w:val="004C3157"/>
    <w:rsid w:val="004C35EF"/>
    <w:rsid w:val="004C3B4E"/>
    <w:rsid w:val="004C3F52"/>
    <w:rsid w:val="004C4102"/>
    <w:rsid w:val="004C41E5"/>
    <w:rsid w:val="004C43F0"/>
    <w:rsid w:val="004C4A38"/>
    <w:rsid w:val="004C4B7F"/>
    <w:rsid w:val="004C4EA5"/>
    <w:rsid w:val="004C4F40"/>
    <w:rsid w:val="004C52C5"/>
    <w:rsid w:val="004C5407"/>
    <w:rsid w:val="004C5483"/>
    <w:rsid w:val="004C548B"/>
    <w:rsid w:val="004C5578"/>
    <w:rsid w:val="004C573E"/>
    <w:rsid w:val="004C5A15"/>
    <w:rsid w:val="004C5CB2"/>
    <w:rsid w:val="004C6045"/>
    <w:rsid w:val="004C6CE5"/>
    <w:rsid w:val="004C74FD"/>
    <w:rsid w:val="004C75D8"/>
    <w:rsid w:val="004C79C3"/>
    <w:rsid w:val="004C7E42"/>
    <w:rsid w:val="004C7F7C"/>
    <w:rsid w:val="004D012A"/>
    <w:rsid w:val="004D037A"/>
    <w:rsid w:val="004D0989"/>
    <w:rsid w:val="004D09EB"/>
    <w:rsid w:val="004D0A48"/>
    <w:rsid w:val="004D0C9E"/>
    <w:rsid w:val="004D0CE8"/>
    <w:rsid w:val="004D0D25"/>
    <w:rsid w:val="004D0E33"/>
    <w:rsid w:val="004D0FE2"/>
    <w:rsid w:val="004D183E"/>
    <w:rsid w:val="004D1EBD"/>
    <w:rsid w:val="004D1F53"/>
    <w:rsid w:val="004D2788"/>
    <w:rsid w:val="004D2C32"/>
    <w:rsid w:val="004D2DC0"/>
    <w:rsid w:val="004D340C"/>
    <w:rsid w:val="004D365A"/>
    <w:rsid w:val="004D3F64"/>
    <w:rsid w:val="004D401C"/>
    <w:rsid w:val="004D4201"/>
    <w:rsid w:val="004D45D6"/>
    <w:rsid w:val="004D4A8F"/>
    <w:rsid w:val="004D4FDA"/>
    <w:rsid w:val="004D509A"/>
    <w:rsid w:val="004D5773"/>
    <w:rsid w:val="004D5D40"/>
    <w:rsid w:val="004D5D5B"/>
    <w:rsid w:val="004D6001"/>
    <w:rsid w:val="004D60A7"/>
    <w:rsid w:val="004D615D"/>
    <w:rsid w:val="004D6302"/>
    <w:rsid w:val="004D639D"/>
    <w:rsid w:val="004D6696"/>
    <w:rsid w:val="004D68AA"/>
    <w:rsid w:val="004D6EA2"/>
    <w:rsid w:val="004D717F"/>
    <w:rsid w:val="004D7717"/>
    <w:rsid w:val="004D7989"/>
    <w:rsid w:val="004D7B16"/>
    <w:rsid w:val="004D7DD6"/>
    <w:rsid w:val="004D7F8B"/>
    <w:rsid w:val="004E02F9"/>
    <w:rsid w:val="004E0E41"/>
    <w:rsid w:val="004E157B"/>
    <w:rsid w:val="004E1E77"/>
    <w:rsid w:val="004E2C05"/>
    <w:rsid w:val="004E2C91"/>
    <w:rsid w:val="004E3767"/>
    <w:rsid w:val="004E3C34"/>
    <w:rsid w:val="004E4183"/>
    <w:rsid w:val="004E461C"/>
    <w:rsid w:val="004E5269"/>
    <w:rsid w:val="004E5D57"/>
    <w:rsid w:val="004E60E4"/>
    <w:rsid w:val="004E61FD"/>
    <w:rsid w:val="004E6611"/>
    <w:rsid w:val="004E66B8"/>
    <w:rsid w:val="004E6A56"/>
    <w:rsid w:val="004E6EAC"/>
    <w:rsid w:val="004E7857"/>
    <w:rsid w:val="004F032E"/>
    <w:rsid w:val="004F0A25"/>
    <w:rsid w:val="004F115D"/>
    <w:rsid w:val="004F156D"/>
    <w:rsid w:val="004F246C"/>
    <w:rsid w:val="004F247D"/>
    <w:rsid w:val="004F42D5"/>
    <w:rsid w:val="004F45F2"/>
    <w:rsid w:val="004F46FD"/>
    <w:rsid w:val="004F52B6"/>
    <w:rsid w:val="004F5805"/>
    <w:rsid w:val="004F5C0D"/>
    <w:rsid w:val="004F5CBC"/>
    <w:rsid w:val="004F6105"/>
    <w:rsid w:val="004F6965"/>
    <w:rsid w:val="004F6F0B"/>
    <w:rsid w:val="004F7866"/>
    <w:rsid w:val="004F7D96"/>
    <w:rsid w:val="004F7E94"/>
    <w:rsid w:val="005004BA"/>
    <w:rsid w:val="00500B2A"/>
    <w:rsid w:val="00500BA1"/>
    <w:rsid w:val="00501192"/>
    <w:rsid w:val="0050144B"/>
    <w:rsid w:val="00501552"/>
    <w:rsid w:val="00501771"/>
    <w:rsid w:val="00501945"/>
    <w:rsid w:val="0050214C"/>
    <w:rsid w:val="00502480"/>
    <w:rsid w:val="005024C6"/>
    <w:rsid w:val="0050265C"/>
    <w:rsid w:val="005026C1"/>
    <w:rsid w:val="00502AEA"/>
    <w:rsid w:val="00502AF0"/>
    <w:rsid w:val="005031F2"/>
    <w:rsid w:val="005032F6"/>
    <w:rsid w:val="00503712"/>
    <w:rsid w:val="00503914"/>
    <w:rsid w:val="00503DBC"/>
    <w:rsid w:val="00504178"/>
    <w:rsid w:val="005041CF"/>
    <w:rsid w:val="005043C6"/>
    <w:rsid w:val="00504664"/>
    <w:rsid w:val="0050483C"/>
    <w:rsid w:val="00504A44"/>
    <w:rsid w:val="00504C7C"/>
    <w:rsid w:val="00505133"/>
    <w:rsid w:val="00505194"/>
    <w:rsid w:val="0050519E"/>
    <w:rsid w:val="00505602"/>
    <w:rsid w:val="00505C75"/>
    <w:rsid w:val="005065FF"/>
    <w:rsid w:val="00506B4E"/>
    <w:rsid w:val="00507839"/>
    <w:rsid w:val="00507A82"/>
    <w:rsid w:val="00507B14"/>
    <w:rsid w:val="00507DC4"/>
    <w:rsid w:val="00510512"/>
    <w:rsid w:val="00510E72"/>
    <w:rsid w:val="005112EA"/>
    <w:rsid w:val="00511CA8"/>
    <w:rsid w:val="005128D7"/>
    <w:rsid w:val="00512A15"/>
    <w:rsid w:val="00512A9E"/>
    <w:rsid w:val="00512B58"/>
    <w:rsid w:val="00513420"/>
    <w:rsid w:val="00513780"/>
    <w:rsid w:val="0051459A"/>
    <w:rsid w:val="00514971"/>
    <w:rsid w:val="00514CAD"/>
    <w:rsid w:val="00514E93"/>
    <w:rsid w:val="005157B3"/>
    <w:rsid w:val="00515896"/>
    <w:rsid w:val="00515E7B"/>
    <w:rsid w:val="0051624C"/>
    <w:rsid w:val="0051630A"/>
    <w:rsid w:val="00516359"/>
    <w:rsid w:val="00516D7F"/>
    <w:rsid w:val="00517920"/>
    <w:rsid w:val="0051796B"/>
    <w:rsid w:val="005179D2"/>
    <w:rsid w:val="00520149"/>
    <w:rsid w:val="005201BC"/>
    <w:rsid w:val="0052076D"/>
    <w:rsid w:val="00520AA5"/>
    <w:rsid w:val="00521C7E"/>
    <w:rsid w:val="00522719"/>
    <w:rsid w:val="00522856"/>
    <w:rsid w:val="00522C2A"/>
    <w:rsid w:val="005234AD"/>
    <w:rsid w:val="0052354E"/>
    <w:rsid w:val="00523B3C"/>
    <w:rsid w:val="00523D5C"/>
    <w:rsid w:val="00523EFD"/>
    <w:rsid w:val="00524929"/>
    <w:rsid w:val="00524C67"/>
    <w:rsid w:val="00525008"/>
    <w:rsid w:val="005253AE"/>
    <w:rsid w:val="00525A3E"/>
    <w:rsid w:val="00525CA5"/>
    <w:rsid w:val="00525FEB"/>
    <w:rsid w:val="00526090"/>
    <w:rsid w:val="0052632D"/>
    <w:rsid w:val="005263F4"/>
    <w:rsid w:val="0052670E"/>
    <w:rsid w:val="005267E4"/>
    <w:rsid w:val="00526A06"/>
    <w:rsid w:val="00526CFB"/>
    <w:rsid w:val="00526FDE"/>
    <w:rsid w:val="00527318"/>
    <w:rsid w:val="005277DE"/>
    <w:rsid w:val="00527FAC"/>
    <w:rsid w:val="00527FC9"/>
    <w:rsid w:val="00530017"/>
    <w:rsid w:val="005300A2"/>
    <w:rsid w:val="0053038C"/>
    <w:rsid w:val="00530934"/>
    <w:rsid w:val="00530CAC"/>
    <w:rsid w:val="00531380"/>
    <w:rsid w:val="0053138E"/>
    <w:rsid w:val="00531F4B"/>
    <w:rsid w:val="0053287F"/>
    <w:rsid w:val="00532E7C"/>
    <w:rsid w:val="005331B9"/>
    <w:rsid w:val="00533808"/>
    <w:rsid w:val="0053400D"/>
    <w:rsid w:val="005345F7"/>
    <w:rsid w:val="00534A9A"/>
    <w:rsid w:val="00534D3A"/>
    <w:rsid w:val="00534DAD"/>
    <w:rsid w:val="005354A0"/>
    <w:rsid w:val="0053579A"/>
    <w:rsid w:val="0053587D"/>
    <w:rsid w:val="00535988"/>
    <w:rsid w:val="00535CE6"/>
    <w:rsid w:val="00535D48"/>
    <w:rsid w:val="00536091"/>
    <w:rsid w:val="00536131"/>
    <w:rsid w:val="00537674"/>
    <w:rsid w:val="00537770"/>
    <w:rsid w:val="00537946"/>
    <w:rsid w:val="00537B08"/>
    <w:rsid w:val="00537B52"/>
    <w:rsid w:val="00537E79"/>
    <w:rsid w:val="0054003B"/>
    <w:rsid w:val="0054045A"/>
    <w:rsid w:val="0054069B"/>
    <w:rsid w:val="0054085D"/>
    <w:rsid w:val="00540B21"/>
    <w:rsid w:val="00541584"/>
    <w:rsid w:val="0054185C"/>
    <w:rsid w:val="0054194E"/>
    <w:rsid w:val="00541CA4"/>
    <w:rsid w:val="00541D5D"/>
    <w:rsid w:val="00542048"/>
    <w:rsid w:val="00542D77"/>
    <w:rsid w:val="00542F7B"/>
    <w:rsid w:val="005430A9"/>
    <w:rsid w:val="0054314E"/>
    <w:rsid w:val="00543314"/>
    <w:rsid w:val="00543CE8"/>
    <w:rsid w:val="0054432D"/>
    <w:rsid w:val="00545060"/>
    <w:rsid w:val="00545977"/>
    <w:rsid w:val="005459A5"/>
    <w:rsid w:val="0054683E"/>
    <w:rsid w:val="0054799A"/>
    <w:rsid w:val="00547EEB"/>
    <w:rsid w:val="005502E5"/>
    <w:rsid w:val="00550377"/>
    <w:rsid w:val="005506A8"/>
    <w:rsid w:val="00550A9B"/>
    <w:rsid w:val="00550C9B"/>
    <w:rsid w:val="00551611"/>
    <w:rsid w:val="0055199A"/>
    <w:rsid w:val="00551E2D"/>
    <w:rsid w:val="005527B4"/>
    <w:rsid w:val="00552D6F"/>
    <w:rsid w:val="00553376"/>
    <w:rsid w:val="00553974"/>
    <w:rsid w:val="0055464A"/>
    <w:rsid w:val="00554B21"/>
    <w:rsid w:val="00554C18"/>
    <w:rsid w:val="00554F9B"/>
    <w:rsid w:val="00555A29"/>
    <w:rsid w:val="00555C6C"/>
    <w:rsid w:val="00555F0D"/>
    <w:rsid w:val="00556039"/>
    <w:rsid w:val="005563B3"/>
    <w:rsid w:val="00556668"/>
    <w:rsid w:val="00556EE7"/>
    <w:rsid w:val="0055727A"/>
    <w:rsid w:val="00557710"/>
    <w:rsid w:val="00557797"/>
    <w:rsid w:val="005579EB"/>
    <w:rsid w:val="00557BDD"/>
    <w:rsid w:val="00557C37"/>
    <w:rsid w:val="005603B9"/>
    <w:rsid w:val="005608E7"/>
    <w:rsid w:val="00561375"/>
    <w:rsid w:val="00561691"/>
    <w:rsid w:val="005617F8"/>
    <w:rsid w:val="0056201E"/>
    <w:rsid w:val="00562370"/>
    <w:rsid w:val="00562724"/>
    <w:rsid w:val="00563261"/>
    <w:rsid w:val="005633BE"/>
    <w:rsid w:val="005635CE"/>
    <w:rsid w:val="005650FD"/>
    <w:rsid w:val="00565274"/>
    <w:rsid w:val="00565276"/>
    <w:rsid w:val="00565866"/>
    <w:rsid w:val="00565DD2"/>
    <w:rsid w:val="00565E7B"/>
    <w:rsid w:val="005665E5"/>
    <w:rsid w:val="00566E7C"/>
    <w:rsid w:val="0056712F"/>
    <w:rsid w:val="005674EA"/>
    <w:rsid w:val="005702FD"/>
    <w:rsid w:val="005708B7"/>
    <w:rsid w:val="00570C47"/>
    <w:rsid w:val="005711B8"/>
    <w:rsid w:val="005711BC"/>
    <w:rsid w:val="0057146F"/>
    <w:rsid w:val="005716F8"/>
    <w:rsid w:val="005718DF"/>
    <w:rsid w:val="005719F0"/>
    <w:rsid w:val="0057213F"/>
    <w:rsid w:val="005721B7"/>
    <w:rsid w:val="0057221D"/>
    <w:rsid w:val="0057243F"/>
    <w:rsid w:val="00572D75"/>
    <w:rsid w:val="00574273"/>
    <w:rsid w:val="005743A4"/>
    <w:rsid w:val="005745CA"/>
    <w:rsid w:val="005749F4"/>
    <w:rsid w:val="00574A28"/>
    <w:rsid w:val="00574B46"/>
    <w:rsid w:val="00574CCA"/>
    <w:rsid w:val="00575530"/>
    <w:rsid w:val="0057581A"/>
    <w:rsid w:val="00575FB8"/>
    <w:rsid w:val="005760AC"/>
    <w:rsid w:val="00576147"/>
    <w:rsid w:val="005765F1"/>
    <w:rsid w:val="00576E2E"/>
    <w:rsid w:val="00577206"/>
    <w:rsid w:val="00577297"/>
    <w:rsid w:val="0057793C"/>
    <w:rsid w:val="00577A47"/>
    <w:rsid w:val="0058085B"/>
    <w:rsid w:val="00580871"/>
    <w:rsid w:val="00580CD7"/>
    <w:rsid w:val="00581716"/>
    <w:rsid w:val="0058182F"/>
    <w:rsid w:val="0058187B"/>
    <w:rsid w:val="00581967"/>
    <w:rsid w:val="00582869"/>
    <w:rsid w:val="005830C9"/>
    <w:rsid w:val="005831CE"/>
    <w:rsid w:val="00583350"/>
    <w:rsid w:val="00583DC2"/>
    <w:rsid w:val="00584C13"/>
    <w:rsid w:val="00584E35"/>
    <w:rsid w:val="00584F5E"/>
    <w:rsid w:val="0058526F"/>
    <w:rsid w:val="005856BA"/>
    <w:rsid w:val="005859B1"/>
    <w:rsid w:val="00585E44"/>
    <w:rsid w:val="00585FBB"/>
    <w:rsid w:val="005860D5"/>
    <w:rsid w:val="00586FEC"/>
    <w:rsid w:val="00587667"/>
    <w:rsid w:val="005877FF"/>
    <w:rsid w:val="00587E95"/>
    <w:rsid w:val="00587F2B"/>
    <w:rsid w:val="005900CC"/>
    <w:rsid w:val="005903CB"/>
    <w:rsid w:val="00590CF5"/>
    <w:rsid w:val="0059157E"/>
    <w:rsid w:val="00591922"/>
    <w:rsid w:val="00593017"/>
    <w:rsid w:val="00593626"/>
    <w:rsid w:val="00593650"/>
    <w:rsid w:val="005938D6"/>
    <w:rsid w:val="00593AC0"/>
    <w:rsid w:val="00593BA4"/>
    <w:rsid w:val="00593CCE"/>
    <w:rsid w:val="005940DB"/>
    <w:rsid w:val="0059411D"/>
    <w:rsid w:val="005942F4"/>
    <w:rsid w:val="005961A2"/>
    <w:rsid w:val="00596687"/>
    <w:rsid w:val="005970CE"/>
    <w:rsid w:val="005979D5"/>
    <w:rsid w:val="00597B37"/>
    <w:rsid w:val="005A02DB"/>
    <w:rsid w:val="005A0803"/>
    <w:rsid w:val="005A0AF3"/>
    <w:rsid w:val="005A1264"/>
    <w:rsid w:val="005A1AA4"/>
    <w:rsid w:val="005A1EF4"/>
    <w:rsid w:val="005A254A"/>
    <w:rsid w:val="005A29FF"/>
    <w:rsid w:val="005A2A32"/>
    <w:rsid w:val="005A2A73"/>
    <w:rsid w:val="005A2E83"/>
    <w:rsid w:val="005A3426"/>
    <w:rsid w:val="005A3603"/>
    <w:rsid w:val="005A3819"/>
    <w:rsid w:val="005A390E"/>
    <w:rsid w:val="005A4C64"/>
    <w:rsid w:val="005A51EF"/>
    <w:rsid w:val="005A52E6"/>
    <w:rsid w:val="005A54AF"/>
    <w:rsid w:val="005A5B71"/>
    <w:rsid w:val="005A5E0C"/>
    <w:rsid w:val="005A6985"/>
    <w:rsid w:val="005A70BE"/>
    <w:rsid w:val="005A721C"/>
    <w:rsid w:val="005A75EB"/>
    <w:rsid w:val="005A7869"/>
    <w:rsid w:val="005A7AC1"/>
    <w:rsid w:val="005A7B21"/>
    <w:rsid w:val="005B005D"/>
    <w:rsid w:val="005B0437"/>
    <w:rsid w:val="005B0454"/>
    <w:rsid w:val="005B0BE8"/>
    <w:rsid w:val="005B107F"/>
    <w:rsid w:val="005B13EC"/>
    <w:rsid w:val="005B167F"/>
    <w:rsid w:val="005B1F5A"/>
    <w:rsid w:val="005B2657"/>
    <w:rsid w:val="005B2D63"/>
    <w:rsid w:val="005B2DB7"/>
    <w:rsid w:val="005B3A58"/>
    <w:rsid w:val="005B3B3F"/>
    <w:rsid w:val="005B44D1"/>
    <w:rsid w:val="005B4690"/>
    <w:rsid w:val="005B46FF"/>
    <w:rsid w:val="005B48A0"/>
    <w:rsid w:val="005B4B62"/>
    <w:rsid w:val="005B4E03"/>
    <w:rsid w:val="005B4FF1"/>
    <w:rsid w:val="005B5033"/>
    <w:rsid w:val="005B550B"/>
    <w:rsid w:val="005B5591"/>
    <w:rsid w:val="005B56CD"/>
    <w:rsid w:val="005B5AE8"/>
    <w:rsid w:val="005B5E3E"/>
    <w:rsid w:val="005B627C"/>
    <w:rsid w:val="005B62E4"/>
    <w:rsid w:val="005B63C9"/>
    <w:rsid w:val="005B68E5"/>
    <w:rsid w:val="005B697A"/>
    <w:rsid w:val="005B774D"/>
    <w:rsid w:val="005B7814"/>
    <w:rsid w:val="005B7A5F"/>
    <w:rsid w:val="005B7C59"/>
    <w:rsid w:val="005B7C8A"/>
    <w:rsid w:val="005C0470"/>
    <w:rsid w:val="005C04E9"/>
    <w:rsid w:val="005C06EA"/>
    <w:rsid w:val="005C07C7"/>
    <w:rsid w:val="005C0832"/>
    <w:rsid w:val="005C0937"/>
    <w:rsid w:val="005C0F97"/>
    <w:rsid w:val="005C119A"/>
    <w:rsid w:val="005C13C8"/>
    <w:rsid w:val="005C1E5F"/>
    <w:rsid w:val="005C20F3"/>
    <w:rsid w:val="005C2337"/>
    <w:rsid w:val="005C2AB4"/>
    <w:rsid w:val="005C2C1E"/>
    <w:rsid w:val="005C2D34"/>
    <w:rsid w:val="005C2DA2"/>
    <w:rsid w:val="005C2FFF"/>
    <w:rsid w:val="005C334C"/>
    <w:rsid w:val="005C378C"/>
    <w:rsid w:val="005C3808"/>
    <w:rsid w:val="005C39D5"/>
    <w:rsid w:val="005C3ED1"/>
    <w:rsid w:val="005C402B"/>
    <w:rsid w:val="005C41B1"/>
    <w:rsid w:val="005C4748"/>
    <w:rsid w:val="005C5763"/>
    <w:rsid w:val="005C5B17"/>
    <w:rsid w:val="005C60F2"/>
    <w:rsid w:val="005C7007"/>
    <w:rsid w:val="005C75BD"/>
    <w:rsid w:val="005C770B"/>
    <w:rsid w:val="005C77FE"/>
    <w:rsid w:val="005C7827"/>
    <w:rsid w:val="005D03AA"/>
    <w:rsid w:val="005D0735"/>
    <w:rsid w:val="005D07F3"/>
    <w:rsid w:val="005D08EA"/>
    <w:rsid w:val="005D08FD"/>
    <w:rsid w:val="005D093E"/>
    <w:rsid w:val="005D102E"/>
    <w:rsid w:val="005D1462"/>
    <w:rsid w:val="005D14E7"/>
    <w:rsid w:val="005D2379"/>
    <w:rsid w:val="005D3243"/>
    <w:rsid w:val="005D4288"/>
    <w:rsid w:val="005D4D2E"/>
    <w:rsid w:val="005D4F56"/>
    <w:rsid w:val="005D4F72"/>
    <w:rsid w:val="005D55A5"/>
    <w:rsid w:val="005D5724"/>
    <w:rsid w:val="005D5861"/>
    <w:rsid w:val="005D5947"/>
    <w:rsid w:val="005D5CAF"/>
    <w:rsid w:val="005D5D6B"/>
    <w:rsid w:val="005D5D96"/>
    <w:rsid w:val="005D5E2C"/>
    <w:rsid w:val="005D6049"/>
    <w:rsid w:val="005D653C"/>
    <w:rsid w:val="005D6C6F"/>
    <w:rsid w:val="005D6CF7"/>
    <w:rsid w:val="005D7182"/>
    <w:rsid w:val="005D72ED"/>
    <w:rsid w:val="005D77A5"/>
    <w:rsid w:val="005D7C15"/>
    <w:rsid w:val="005D7F90"/>
    <w:rsid w:val="005E0095"/>
    <w:rsid w:val="005E04B1"/>
    <w:rsid w:val="005E090C"/>
    <w:rsid w:val="005E0EA9"/>
    <w:rsid w:val="005E1122"/>
    <w:rsid w:val="005E1350"/>
    <w:rsid w:val="005E16AC"/>
    <w:rsid w:val="005E1D42"/>
    <w:rsid w:val="005E1F1E"/>
    <w:rsid w:val="005E24B0"/>
    <w:rsid w:val="005E266B"/>
    <w:rsid w:val="005E2845"/>
    <w:rsid w:val="005E2A8F"/>
    <w:rsid w:val="005E2C34"/>
    <w:rsid w:val="005E3089"/>
    <w:rsid w:val="005E35CE"/>
    <w:rsid w:val="005E3612"/>
    <w:rsid w:val="005E3B20"/>
    <w:rsid w:val="005E3DC2"/>
    <w:rsid w:val="005E3DC6"/>
    <w:rsid w:val="005E4438"/>
    <w:rsid w:val="005E4542"/>
    <w:rsid w:val="005E455D"/>
    <w:rsid w:val="005E4F95"/>
    <w:rsid w:val="005E52FB"/>
    <w:rsid w:val="005E5915"/>
    <w:rsid w:val="005E5BC1"/>
    <w:rsid w:val="005E5D74"/>
    <w:rsid w:val="005E61FE"/>
    <w:rsid w:val="005E6470"/>
    <w:rsid w:val="005E6FD0"/>
    <w:rsid w:val="005E7A24"/>
    <w:rsid w:val="005E7AD1"/>
    <w:rsid w:val="005E7E7B"/>
    <w:rsid w:val="005E7ED1"/>
    <w:rsid w:val="005F0400"/>
    <w:rsid w:val="005F07F9"/>
    <w:rsid w:val="005F0948"/>
    <w:rsid w:val="005F0993"/>
    <w:rsid w:val="005F099A"/>
    <w:rsid w:val="005F0C69"/>
    <w:rsid w:val="005F0F8D"/>
    <w:rsid w:val="005F10D5"/>
    <w:rsid w:val="005F1E5D"/>
    <w:rsid w:val="005F2025"/>
    <w:rsid w:val="005F20AF"/>
    <w:rsid w:val="005F236C"/>
    <w:rsid w:val="005F243C"/>
    <w:rsid w:val="005F279E"/>
    <w:rsid w:val="005F2A09"/>
    <w:rsid w:val="005F3509"/>
    <w:rsid w:val="005F35F4"/>
    <w:rsid w:val="005F3606"/>
    <w:rsid w:val="005F3D65"/>
    <w:rsid w:val="005F47ED"/>
    <w:rsid w:val="005F4D60"/>
    <w:rsid w:val="005F5351"/>
    <w:rsid w:val="005F55D9"/>
    <w:rsid w:val="005F574B"/>
    <w:rsid w:val="005F62A9"/>
    <w:rsid w:val="005F6B8F"/>
    <w:rsid w:val="005F7057"/>
    <w:rsid w:val="005F7073"/>
    <w:rsid w:val="005F71BE"/>
    <w:rsid w:val="005F74CB"/>
    <w:rsid w:val="005F7558"/>
    <w:rsid w:val="005F7FC7"/>
    <w:rsid w:val="00600142"/>
    <w:rsid w:val="0060032C"/>
    <w:rsid w:val="00600AD3"/>
    <w:rsid w:val="00600E37"/>
    <w:rsid w:val="006010DA"/>
    <w:rsid w:val="00601280"/>
    <w:rsid w:val="0060136D"/>
    <w:rsid w:val="0060151A"/>
    <w:rsid w:val="006017A0"/>
    <w:rsid w:val="00601827"/>
    <w:rsid w:val="00601998"/>
    <w:rsid w:val="00601BF5"/>
    <w:rsid w:val="00601C08"/>
    <w:rsid w:val="006021A2"/>
    <w:rsid w:val="006028BC"/>
    <w:rsid w:val="006029F9"/>
    <w:rsid w:val="00602B7C"/>
    <w:rsid w:val="00602DA2"/>
    <w:rsid w:val="006030AB"/>
    <w:rsid w:val="006032AC"/>
    <w:rsid w:val="00603763"/>
    <w:rsid w:val="00603AB2"/>
    <w:rsid w:val="00603B20"/>
    <w:rsid w:val="00604168"/>
    <w:rsid w:val="00604324"/>
    <w:rsid w:val="006045D8"/>
    <w:rsid w:val="00604DAD"/>
    <w:rsid w:val="00605527"/>
    <w:rsid w:val="00605B2D"/>
    <w:rsid w:val="00605FDB"/>
    <w:rsid w:val="00606584"/>
    <w:rsid w:val="006070DF"/>
    <w:rsid w:val="00607101"/>
    <w:rsid w:val="00607327"/>
    <w:rsid w:val="0060734F"/>
    <w:rsid w:val="006076F1"/>
    <w:rsid w:val="00607E1E"/>
    <w:rsid w:val="006100B0"/>
    <w:rsid w:val="00610533"/>
    <w:rsid w:val="00610650"/>
    <w:rsid w:val="006106A1"/>
    <w:rsid w:val="00610956"/>
    <w:rsid w:val="0061099D"/>
    <w:rsid w:val="00610AA7"/>
    <w:rsid w:val="0061100E"/>
    <w:rsid w:val="00611443"/>
    <w:rsid w:val="006118B7"/>
    <w:rsid w:val="00611EB3"/>
    <w:rsid w:val="00612217"/>
    <w:rsid w:val="00612259"/>
    <w:rsid w:val="006125F9"/>
    <w:rsid w:val="0061281C"/>
    <w:rsid w:val="00612C3C"/>
    <w:rsid w:val="00613108"/>
    <w:rsid w:val="00613131"/>
    <w:rsid w:val="00613D87"/>
    <w:rsid w:val="006141E8"/>
    <w:rsid w:val="00614343"/>
    <w:rsid w:val="00614D1B"/>
    <w:rsid w:val="00614E2F"/>
    <w:rsid w:val="0061504F"/>
    <w:rsid w:val="006156DB"/>
    <w:rsid w:val="0061571B"/>
    <w:rsid w:val="006159CF"/>
    <w:rsid w:val="00615DC0"/>
    <w:rsid w:val="00615F37"/>
    <w:rsid w:val="0061609C"/>
    <w:rsid w:val="00616353"/>
    <w:rsid w:val="00616865"/>
    <w:rsid w:val="00616A1F"/>
    <w:rsid w:val="00616AE0"/>
    <w:rsid w:val="00616C56"/>
    <w:rsid w:val="00616EF5"/>
    <w:rsid w:val="00616F16"/>
    <w:rsid w:val="006174F6"/>
    <w:rsid w:val="00617515"/>
    <w:rsid w:val="00617D00"/>
    <w:rsid w:val="00617ED8"/>
    <w:rsid w:val="0062082F"/>
    <w:rsid w:val="00621929"/>
    <w:rsid w:val="0062196C"/>
    <w:rsid w:val="00621C38"/>
    <w:rsid w:val="00621FDF"/>
    <w:rsid w:val="00622330"/>
    <w:rsid w:val="006227B2"/>
    <w:rsid w:val="00622EED"/>
    <w:rsid w:val="0062387F"/>
    <w:rsid w:val="00623ED8"/>
    <w:rsid w:val="00624749"/>
    <w:rsid w:val="00625440"/>
    <w:rsid w:val="006254E2"/>
    <w:rsid w:val="00625F49"/>
    <w:rsid w:val="00625F8A"/>
    <w:rsid w:val="00626A08"/>
    <w:rsid w:val="00627827"/>
    <w:rsid w:val="00630364"/>
    <w:rsid w:val="006303DB"/>
    <w:rsid w:val="006305D7"/>
    <w:rsid w:val="0063088D"/>
    <w:rsid w:val="00630F49"/>
    <w:rsid w:val="00631046"/>
    <w:rsid w:val="00632DD9"/>
    <w:rsid w:val="0063385F"/>
    <w:rsid w:val="00633917"/>
    <w:rsid w:val="00633B2B"/>
    <w:rsid w:val="00633B43"/>
    <w:rsid w:val="00633DF1"/>
    <w:rsid w:val="00633E31"/>
    <w:rsid w:val="00633FC2"/>
    <w:rsid w:val="0063470C"/>
    <w:rsid w:val="00634D88"/>
    <w:rsid w:val="00634E9E"/>
    <w:rsid w:val="006358FB"/>
    <w:rsid w:val="00635C31"/>
    <w:rsid w:val="00635DC8"/>
    <w:rsid w:val="00635F21"/>
    <w:rsid w:val="0063637E"/>
    <w:rsid w:val="00636417"/>
    <w:rsid w:val="00636B68"/>
    <w:rsid w:val="00637371"/>
    <w:rsid w:val="006373A2"/>
    <w:rsid w:val="00637844"/>
    <w:rsid w:val="006378B1"/>
    <w:rsid w:val="00637B49"/>
    <w:rsid w:val="00637C55"/>
    <w:rsid w:val="006404FE"/>
    <w:rsid w:val="00640DC7"/>
    <w:rsid w:val="00640F4B"/>
    <w:rsid w:val="00640FDB"/>
    <w:rsid w:val="006418E9"/>
    <w:rsid w:val="0064195C"/>
    <w:rsid w:val="00641974"/>
    <w:rsid w:val="00641BB0"/>
    <w:rsid w:val="006423D2"/>
    <w:rsid w:val="00642513"/>
    <w:rsid w:val="00642779"/>
    <w:rsid w:val="0064291F"/>
    <w:rsid w:val="00642A2D"/>
    <w:rsid w:val="00642D93"/>
    <w:rsid w:val="00643D9C"/>
    <w:rsid w:val="00643DB2"/>
    <w:rsid w:val="00644910"/>
    <w:rsid w:val="006453A3"/>
    <w:rsid w:val="006454BB"/>
    <w:rsid w:val="006458CE"/>
    <w:rsid w:val="00645BA7"/>
    <w:rsid w:val="00645CBA"/>
    <w:rsid w:val="006463A0"/>
    <w:rsid w:val="006463CA"/>
    <w:rsid w:val="006467EE"/>
    <w:rsid w:val="0064688B"/>
    <w:rsid w:val="0064702A"/>
    <w:rsid w:val="00650053"/>
    <w:rsid w:val="006503E1"/>
    <w:rsid w:val="006503EB"/>
    <w:rsid w:val="006519F7"/>
    <w:rsid w:val="0065219D"/>
    <w:rsid w:val="006523C8"/>
    <w:rsid w:val="00652A4B"/>
    <w:rsid w:val="00652F3B"/>
    <w:rsid w:val="00653740"/>
    <w:rsid w:val="00653803"/>
    <w:rsid w:val="0065398F"/>
    <w:rsid w:val="006539BF"/>
    <w:rsid w:val="00653B46"/>
    <w:rsid w:val="00654040"/>
    <w:rsid w:val="00654062"/>
    <w:rsid w:val="006542FB"/>
    <w:rsid w:val="00654B19"/>
    <w:rsid w:val="00655099"/>
    <w:rsid w:val="00655380"/>
    <w:rsid w:val="006557CE"/>
    <w:rsid w:val="0065592D"/>
    <w:rsid w:val="00655A8D"/>
    <w:rsid w:val="0065627F"/>
    <w:rsid w:val="006562E8"/>
    <w:rsid w:val="006565ED"/>
    <w:rsid w:val="00656682"/>
    <w:rsid w:val="00656DE5"/>
    <w:rsid w:val="00657381"/>
    <w:rsid w:val="0065779A"/>
    <w:rsid w:val="0066038D"/>
    <w:rsid w:val="0066052E"/>
    <w:rsid w:val="00660889"/>
    <w:rsid w:val="00660A9C"/>
    <w:rsid w:val="006612B8"/>
    <w:rsid w:val="006623BB"/>
    <w:rsid w:val="0066280A"/>
    <w:rsid w:val="00662B96"/>
    <w:rsid w:val="00662C2C"/>
    <w:rsid w:val="00662C89"/>
    <w:rsid w:val="00663154"/>
    <w:rsid w:val="006632B1"/>
    <w:rsid w:val="00663620"/>
    <w:rsid w:val="00663EBF"/>
    <w:rsid w:val="0066438D"/>
    <w:rsid w:val="006643FC"/>
    <w:rsid w:val="006647E5"/>
    <w:rsid w:val="00664994"/>
    <w:rsid w:val="00665793"/>
    <w:rsid w:val="00665B8B"/>
    <w:rsid w:val="00666251"/>
    <w:rsid w:val="006666A7"/>
    <w:rsid w:val="0066695F"/>
    <w:rsid w:val="006669E1"/>
    <w:rsid w:val="00666ACC"/>
    <w:rsid w:val="00666BC1"/>
    <w:rsid w:val="00666DCF"/>
    <w:rsid w:val="00667178"/>
    <w:rsid w:val="00667855"/>
    <w:rsid w:val="00667A55"/>
    <w:rsid w:val="00667B15"/>
    <w:rsid w:val="00670C24"/>
    <w:rsid w:val="00670C83"/>
    <w:rsid w:val="00670F10"/>
    <w:rsid w:val="00671199"/>
    <w:rsid w:val="006713C9"/>
    <w:rsid w:val="006716A9"/>
    <w:rsid w:val="00671D75"/>
    <w:rsid w:val="0067233B"/>
    <w:rsid w:val="006727E9"/>
    <w:rsid w:val="00672A5F"/>
    <w:rsid w:val="00673045"/>
    <w:rsid w:val="00673087"/>
    <w:rsid w:val="00673B12"/>
    <w:rsid w:val="00673F24"/>
    <w:rsid w:val="006744A0"/>
    <w:rsid w:val="006746B7"/>
    <w:rsid w:val="006756DF"/>
    <w:rsid w:val="006759C7"/>
    <w:rsid w:val="00675A85"/>
    <w:rsid w:val="00675CA9"/>
    <w:rsid w:val="00676437"/>
    <w:rsid w:val="006767B9"/>
    <w:rsid w:val="00676B2A"/>
    <w:rsid w:val="00676B48"/>
    <w:rsid w:val="00676CD7"/>
    <w:rsid w:val="00676E51"/>
    <w:rsid w:val="00677107"/>
    <w:rsid w:val="00677278"/>
    <w:rsid w:val="0067739F"/>
    <w:rsid w:val="006778E2"/>
    <w:rsid w:val="00680434"/>
    <w:rsid w:val="0068061D"/>
    <w:rsid w:val="00680942"/>
    <w:rsid w:val="00680F94"/>
    <w:rsid w:val="00681232"/>
    <w:rsid w:val="006818A2"/>
    <w:rsid w:val="006819C4"/>
    <w:rsid w:val="00681EE5"/>
    <w:rsid w:val="00682B47"/>
    <w:rsid w:val="00683249"/>
    <w:rsid w:val="006832B4"/>
    <w:rsid w:val="006835E6"/>
    <w:rsid w:val="006848D7"/>
    <w:rsid w:val="00684B96"/>
    <w:rsid w:val="00685874"/>
    <w:rsid w:val="00685910"/>
    <w:rsid w:val="00685922"/>
    <w:rsid w:val="006859CD"/>
    <w:rsid w:val="00685B18"/>
    <w:rsid w:val="00685B41"/>
    <w:rsid w:val="0068675F"/>
    <w:rsid w:val="00686D78"/>
    <w:rsid w:val="00686FDE"/>
    <w:rsid w:val="0068701B"/>
    <w:rsid w:val="00687632"/>
    <w:rsid w:val="006878C2"/>
    <w:rsid w:val="00687A21"/>
    <w:rsid w:val="00687D72"/>
    <w:rsid w:val="00687F1C"/>
    <w:rsid w:val="006901ED"/>
    <w:rsid w:val="006908CD"/>
    <w:rsid w:val="00691490"/>
    <w:rsid w:val="006915CB"/>
    <w:rsid w:val="00691B3A"/>
    <w:rsid w:val="00691D5F"/>
    <w:rsid w:val="00691EE0"/>
    <w:rsid w:val="00692055"/>
    <w:rsid w:val="00692462"/>
    <w:rsid w:val="006925D6"/>
    <w:rsid w:val="006929C9"/>
    <w:rsid w:val="00692B92"/>
    <w:rsid w:val="00692EED"/>
    <w:rsid w:val="006933D6"/>
    <w:rsid w:val="0069360D"/>
    <w:rsid w:val="0069376E"/>
    <w:rsid w:val="00693853"/>
    <w:rsid w:val="00693D9B"/>
    <w:rsid w:val="00693F80"/>
    <w:rsid w:val="006941B8"/>
    <w:rsid w:val="00694324"/>
    <w:rsid w:val="006946BD"/>
    <w:rsid w:val="00694731"/>
    <w:rsid w:val="00695033"/>
    <w:rsid w:val="0069589D"/>
    <w:rsid w:val="00695B49"/>
    <w:rsid w:val="00695DFF"/>
    <w:rsid w:val="00696731"/>
    <w:rsid w:val="006968B8"/>
    <w:rsid w:val="00696C10"/>
    <w:rsid w:val="00696F03"/>
    <w:rsid w:val="00697043"/>
    <w:rsid w:val="00697F96"/>
    <w:rsid w:val="006A051A"/>
    <w:rsid w:val="006A0CCB"/>
    <w:rsid w:val="006A1477"/>
    <w:rsid w:val="006A14B2"/>
    <w:rsid w:val="006A16FC"/>
    <w:rsid w:val="006A237B"/>
    <w:rsid w:val="006A23DC"/>
    <w:rsid w:val="006A2F2B"/>
    <w:rsid w:val="006A35FA"/>
    <w:rsid w:val="006A4104"/>
    <w:rsid w:val="006A4377"/>
    <w:rsid w:val="006A450A"/>
    <w:rsid w:val="006A5C8A"/>
    <w:rsid w:val="006A64D4"/>
    <w:rsid w:val="006A6AB8"/>
    <w:rsid w:val="006A6B47"/>
    <w:rsid w:val="006A6D8E"/>
    <w:rsid w:val="006A6EC7"/>
    <w:rsid w:val="006A7474"/>
    <w:rsid w:val="006A756F"/>
    <w:rsid w:val="006A78BC"/>
    <w:rsid w:val="006A7ADF"/>
    <w:rsid w:val="006A7C9A"/>
    <w:rsid w:val="006B07E9"/>
    <w:rsid w:val="006B0CC6"/>
    <w:rsid w:val="006B0E34"/>
    <w:rsid w:val="006B1070"/>
    <w:rsid w:val="006B1346"/>
    <w:rsid w:val="006B1656"/>
    <w:rsid w:val="006B178A"/>
    <w:rsid w:val="006B1C2B"/>
    <w:rsid w:val="006B245D"/>
    <w:rsid w:val="006B24ED"/>
    <w:rsid w:val="006B2878"/>
    <w:rsid w:val="006B345D"/>
    <w:rsid w:val="006B3472"/>
    <w:rsid w:val="006B34D6"/>
    <w:rsid w:val="006B39A4"/>
    <w:rsid w:val="006B4D98"/>
    <w:rsid w:val="006B504F"/>
    <w:rsid w:val="006B59DC"/>
    <w:rsid w:val="006B5BF4"/>
    <w:rsid w:val="006B5FF0"/>
    <w:rsid w:val="006B6510"/>
    <w:rsid w:val="006B65D9"/>
    <w:rsid w:val="006B7688"/>
    <w:rsid w:val="006B78EA"/>
    <w:rsid w:val="006B7B1C"/>
    <w:rsid w:val="006B7E6E"/>
    <w:rsid w:val="006B7F79"/>
    <w:rsid w:val="006C03A4"/>
    <w:rsid w:val="006C0885"/>
    <w:rsid w:val="006C0897"/>
    <w:rsid w:val="006C0F55"/>
    <w:rsid w:val="006C1117"/>
    <w:rsid w:val="006C13AC"/>
    <w:rsid w:val="006C15B5"/>
    <w:rsid w:val="006C27F3"/>
    <w:rsid w:val="006C2CB8"/>
    <w:rsid w:val="006C30D3"/>
    <w:rsid w:val="006C3BE1"/>
    <w:rsid w:val="006C3CA0"/>
    <w:rsid w:val="006C4589"/>
    <w:rsid w:val="006C4A6F"/>
    <w:rsid w:val="006C4B3D"/>
    <w:rsid w:val="006C4FD4"/>
    <w:rsid w:val="006C5400"/>
    <w:rsid w:val="006C553F"/>
    <w:rsid w:val="006C695B"/>
    <w:rsid w:val="006C6E18"/>
    <w:rsid w:val="006C72AF"/>
    <w:rsid w:val="006C72EA"/>
    <w:rsid w:val="006C7570"/>
    <w:rsid w:val="006C75FE"/>
    <w:rsid w:val="006C792D"/>
    <w:rsid w:val="006C7CCB"/>
    <w:rsid w:val="006D0089"/>
    <w:rsid w:val="006D02B7"/>
    <w:rsid w:val="006D0705"/>
    <w:rsid w:val="006D088B"/>
    <w:rsid w:val="006D1294"/>
    <w:rsid w:val="006D138D"/>
    <w:rsid w:val="006D18C5"/>
    <w:rsid w:val="006D1D87"/>
    <w:rsid w:val="006D1DD8"/>
    <w:rsid w:val="006D23D9"/>
    <w:rsid w:val="006D2685"/>
    <w:rsid w:val="006D33A1"/>
    <w:rsid w:val="006D3F60"/>
    <w:rsid w:val="006D41AA"/>
    <w:rsid w:val="006D42D5"/>
    <w:rsid w:val="006D48D5"/>
    <w:rsid w:val="006D4E71"/>
    <w:rsid w:val="006D50E0"/>
    <w:rsid w:val="006D51AB"/>
    <w:rsid w:val="006D57E4"/>
    <w:rsid w:val="006D5819"/>
    <w:rsid w:val="006D59E8"/>
    <w:rsid w:val="006D5E4C"/>
    <w:rsid w:val="006D7064"/>
    <w:rsid w:val="006D780F"/>
    <w:rsid w:val="006D7C46"/>
    <w:rsid w:val="006D7D06"/>
    <w:rsid w:val="006D7D9B"/>
    <w:rsid w:val="006E008A"/>
    <w:rsid w:val="006E0699"/>
    <w:rsid w:val="006E108F"/>
    <w:rsid w:val="006E11C4"/>
    <w:rsid w:val="006E1832"/>
    <w:rsid w:val="006E18B8"/>
    <w:rsid w:val="006E20C6"/>
    <w:rsid w:val="006E21A0"/>
    <w:rsid w:val="006E2561"/>
    <w:rsid w:val="006E2FAB"/>
    <w:rsid w:val="006E31E5"/>
    <w:rsid w:val="006E368B"/>
    <w:rsid w:val="006E3CE4"/>
    <w:rsid w:val="006E3EFD"/>
    <w:rsid w:val="006E49B5"/>
    <w:rsid w:val="006E4E36"/>
    <w:rsid w:val="006E4F66"/>
    <w:rsid w:val="006E4FF0"/>
    <w:rsid w:val="006E5061"/>
    <w:rsid w:val="006E5CD6"/>
    <w:rsid w:val="006E60B8"/>
    <w:rsid w:val="006E645D"/>
    <w:rsid w:val="006E6514"/>
    <w:rsid w:val="006E6580"/>
    <w:rsid w:val="006E7487"/>
    <w:rsid w:val="006E7A81"/>
    <w:rsid w:val="006E7B01"/>
    <w:rsid w:val="006F0790"/>
    <w:rsid w:val="006F0B9F"/>
    <w:rsid w:val="006F0E9E"/>
    <w:rsid w:val="006F0FB3"/>
    <w:rsid w:val="006F117E"/>
    <w:rsid w:val="006F15A9"/>
    <w:rsid w:val="006F1B22"/>
    <w:rsid w:val="006F218B"/>
    <w:rsid w:val="006F24C4"/>
    <w:rsid w:val="006F2C2D"/>
    <w:rsid w:val="006F2CA0"/>
    <w:rsid w:val="006F31DF"/>
    <w:rsid w:val="006F3670"/>
    <w:rsid w:val="006F3757"/>
    <w:rsid w:val="006F38EF"/>
    <w:rsid w:val="006F3F34"/>
    <w:rsid w:val="006F408E"/>
    <w:rsid w:val="006F4CD6"/>
    <w:rsid w:val="006F5251"/>
    <w:rsid w:val="006F56DE"/>
    <w:rsid w:val="006F5AB7"/>
    <w:rsid w:val="006F5C1E"/>
    <w:rsid w:val="006F65B4"/>
    <w:rsid w:val="006F6D40"/>
    <w:rsid w:val="006F6D99"/>
    <w:rsid w:val="006F6E2D"/>
    <w:rsid w:val="006F6F5E"/>
    <w:rsid w:val="006F7043"/>
    <w:rsid w:val="006F7AF2"/>
    <w:rsid w:val="006F7E78"/>
    <w:rsid w:val="00700045"/>
    <w:rsid w:val="007009D0"/>
    <w:rsid w:val="0070118D"/>
    <w:rsid w:val="00701638"/>
    <w:rsid w:val="00701744"/>
    <w:rsid w:val="00701CDC"/>
    <w:rsid w:val="00701FB4"/>
    <w:rsid w:val="0070223A"/>
    <w:rsid w:val="007023CA"/>
    <w:rsid w:val="0070280E"/>
    <w:rsid w:val="00702B18"/>
    <w:rsid w:val="00702E43"/>
    <w:rsid w:val="007031D4"/>
    <w:rsid w:val="00703A52"/>
    <w:rsid w:val="00703B75"/>
    <w:rsid w:val="00703E2D"/>
    <w:rsid w:val="00704C7B"/>
    <w:rsid w:val="007053AA"/>
    <w:rsid w:val="00705472"/>
    <w:rsid w:val="0070582D"/>
    <w:rsid w:val="00705E58"/>
    <w:rsid w:val="007064EF"/>
    <w:rsid w:val="0070692C"/>
    <w:rsid w:val="007071EF"/>
    <w:rsid w:val="0070745C"/>
    <w:rsid w:val="00707B85"/>
    <w:rsid w:val="00707F18"/>
    <w:rsid w:val="0071006D"/>
    <w:rsid w:val="00710A11"/>
    <w:rsid w:val="00710CD7"/>
    <w:rsid w:val="00710D44"/>
    <w:rsid w:val="007110BB"/>
    <w:rsid w:val="00711598"/>
    <w:rsid w:val="00711951"/>
    <w:rsid w:val="00711A4D"/>
    <w:rsid w:val="00711B68"/>
    <w:rsid w:val="00711E3F"/>
    <w:rsid w:val="00712187"/>
    <w:rsid w:val="007124FC"/>
    <w:rsid w:val="00712A8B"/>
    <w:rsid w:val="00713C64"/>
    <w:rsid w:val="007141AC"/>
    <w:rsid w:val="00714B40"/>
    <w:rsid w:val="00714F3B"/>
    <w:rsid w:val="007166F7"/>
    <w:rsid w:val="00716870"/>
    <w:rsid w:val="0071703F"/>
    <w:rsid w:val="00717422"/>
    <w:rsid w:val="00717C71"/>
    <w:rsid w:val="00717FF0"/>
    <w:rsid w:val="007200AE"/>
    <w:rsid w:val="0072051C"/>
    <w:rsid w:val="007208C6"/>
    <w:rsid w:val="00721387"/>
    <w:rsid w:val="00721692"/>
    <w:rsid w:val="00721AA7"/>
    <w:rsid w:val="00721CC0"/>
    <w:rsid w:val="00721D4D"/>
    <w:rsid w:val="00721DDB"/>
    <w:rsid w:val="00721E02"/>
    <w:rsid w:val="0072220D"/>
    <w:rsid w:val="00722A1D"/>
    <w:rsid w:val="00722C5E"/>
    <w:rsid w:val="00722CDF"/>
    <w:rsid w:val="007232DF"/>
    <w:rsid w:val="007233FD"/>
    <w:rsid w:val="00723597"/>
    <w:rsid w:val="0072413B"/>
    <w:rsid w:val="0072428A"/>
    <w:rsid w:val="0072450C"/>
    <w:rsid w:val="007246FA"/>
    <w:rsid w:val="0072480A"/>
    <w:rsid w:val="00724C1C"/>
    <w:rsid w:val="0072582E"/>
    <w:rsid w:val="0072586C"/>
    <w:rsid w:val="007258FF"/>
    <w:rsid w:val="00725C07"/>
    <w:rsid w:val="007262D0"/>
    <w:rsid w:val="007266BF"/>
    <w:rsid w:val="00726B0F"/>
    <w:rsid w:val="00726B39"/>
    <w:rsid w:val="007278DE"/>
    <w:rsid w:val="007279BF"/>
    <w:rsid w:val="00730FC1"/>
    <w:rsid w:val="007313A0"/>
    <w:rsid w:val="00731B18"/>
    <w:rsid w:val="00731C69"/>
    <w:rsid w:val="00732119"/>
    <w:rsid w:val="00732194"/>
    <w:rsid w:val="00732296"/>
    <w:rsid w:val="007325A1"/>
    <w:rsid w:val="00732699"/>
    <w:rsid w:val="00732C68"/>
    <w:rsid w:val="00733388"/>
    <w:rsid w:val="007338FB"/>
    <w:rsid w:val="00733AEA"/>
    <w:rsid w:val="00734124"/>
    <w:rsid w:val="007349FD"/>
    <w:rsid w:val="0073520E"/>
    <w:rsid w:val="007352A2"/>
    <w:rsid w:val="007357E3"/>
    <w:rsid w:val="00735872"/>
    <w:rsid w:val="00735BE6"/>
    <w:rsid w:val="0073624E"/>
    <w:rsid w:val="00736286"/>
    <w:rsid w:val="00736C70"/>
    <w:rsid w:val="00737502"/>
    <w:rsid w:val="00737772"/>
    <w:rsid w:val="00737B55"/>
    <w:rsid w:val="00737B5E"/>
    <w:rsid w:val="00737B7E"/>
    <w:rsid w:val="00737E3B"/>
    <w:rsid w:val="00740848"/>
    <w:rsid w:val="00740938"/>
    <w:rsid w:val="00740A76"/>
    <w:rsid w:val="00741144"/>
    <w:rsid w:val="00741249"/>
    <w:rsid w:val="007417F0"/>
    <w:rsid w:val="00741D5A"/>
    <w:rsid w:val="007423A4"/>
    <w:rsid w:val="00742764"/>
    <w:rsid w:val="00743AD9"/>
    <w:rsid w:val="00743ED7"/>
    <w:rsid w:val="00743F0F"/>
    <w:rsid w:val="0074410E"/>
    <w:rsid w:val="00744493"/>
    <w:rsid w:val="007446A8"/>
    <w:rsid w:val="00745339"/>
    <w:rsid w:val="007458FB"/>
    <w:rsid w:val="00745C4D"/>
    <w:rsid w:val="00746B64"/>
    <w:rsid w:val="00747435"/>
    <w:rsid w:val="00747479"/>
    <w:rsid w:val="00747688"/>
    <w:rsid w:val="00747848"/>
    <w:rsid w:val="007478E2"/>
    <w:rsid w:val="0075043B"/>
    <w:rsid w:val="00750CB7"/>
    <w:rsid w:val="0075124F"/>
    <w:rsid w:val="0075206E"/>
    <w:rsid w:val="0075216A"/>
    <w:rsid w:val="00752D1E"/>
    <w:rsid w:val="0075378D"/>
    <w:rsid w:val="00753856"/>
    <w:rsid w:val="007538B3"/>
    <w:rsid w:val="00753B6F"/>
    <w:rsid w:val="00753E2F"/>
    <w:rsid w:val="00753EB1"/>
    <w:rsid w:val="00753F22"/>
    <w:rsid w:val="00754633"/>
    <w:rsid w:val="007546C6"/>
    <w:rsid w:val="007547B2"/>
    <w:rsid w:val="007547BB"/>
    <w:rsid w:val="00754A87"/>
    <w:rsid w:val="00754F23"/>
    <w:rsid w:val="00756BCF"/>
    <w:rsid w:val="007570AC"/>
    <w:rsid w:val="0076035A"/>
    <w:rsid w:val="00760CBE"/>
    <w:rsid w:val="0076163E"/>
    <w:rsid w:val="00761836"/>
    <w:rsid w:val="00761F84"/>
    <w:rsid w:val="007624A3"/>
    <w:rsid w:val="007628DD"/>
    <w:rsid w:val="007630CE"/>
    <w:rsid w:val="00763130"/>
    <w:rsid w:val="00763478"/>
    <w:rsid w:val="00763B5D"/>
    <w:rsid w:val="007644AA"/>
    <w:rsid w:val="007648D0"/>
    <w:rsid w:val="0076578C"/>
    <w:rsid w:val="0076588A"/>
    <w:rsid w:val="007661DF"/>
    <w:rsid w:val="00766F8D"/>
    <w:rsid w:val="00767050"/>
    <w:rsid w:val="0076745F"/>
    <w:rsid w:val="00770C22"/>
    <w:rsid w:val="007714E6"/>
    <w:rsid w:val="007715E4"/>
    <w:rsid w:val="0077172C"/>
    <w:rsid w:val="00771A37"/>
    <w:rsid w:val="0077215D"/>
    <w:rsid w:val="0077261D"/>
    <w:rsid w:val="0077262C"/>
    <w:rsid w:val="007729C3"/>
    <w:rsid w:val="00772B16"/>
    <w:rsid w:val="00772EE6"/>
    <w:rsid w:val="00773006"/>
    <w:rsid w:val="00773218"/>
    <w:rsid w:val="00773D51"/>
    <w:rsid w:val="00773D94"/>
    <w:rsid w:val="0077432D"/>
    <w:rsid w:val="0077457D"/>
    <w:rsid w:val="007748D0"/>
    <w:rsid w:val="00774FC7"/>
    <w:rsid w:val="00775235"/>
    <w:rsid w:val="007756EA"/>
    <w:rsid w:val="007757A9"/>
    <w:rsid w:val="00775A5B"/>
    <w:rsid w:val="00775B08"/>
    <w:rsid w:val="00775BD6"/>
    <w:rsid w:val="0077656C"/>
    <w:rsid w:val="007765B6"/>
    <w:rsid w:val="00776754"/>
    <w:rsid w:val="007768CB"/>
    <w:rsid w:val="007769A4"/>
    <w:rsid w:val="00776D36"/>
    <w:rsid w:val="007775F4"/>
    <w:rsid w:val="00777C87"/>
    <w:rsid w:val="0078009F"/>
    <w:rsid w:val="007803F0"/>
    <w:rsid w:val="00780898"/>
    <w:rsid w:val="00780A5A"/>
    <w:rsid w:val="007815E2"/>
    <w:rsid w:val="007816A6"/>
    <w:rsid w:val="00782128"/>
    <w:rsid w:val="0078287B"/>
    <w:rsid w:val="00783017"/>
    <w:rsid w:val="007830E9"/>
    <w:rsid w:val="00783399"/>
    <w:rsid w:val="0078373E"/>
    <w:rsid w:val="00783C3C"/>
    <w:rsid w:val="00783F65"/>
    <w:rsid w:val="00784212"/>
    <w:rsid w:val="0078469D"/>
    <w:rsid w:val="00784784"/>
    <w:rsid w:val="00784C40"/>
    <w:rsid w:val="00784E90"/>
    <w:rsid w:val="00785655"/>
    <w:rsid w:val="00785B00"/>
    <w:rsid w:val="00785B3D"/>
    <w:rsid w:val="00785B65"/>
    <w:rsid w:val="007866FA"/>
    <w:rsid w:val="00786A15"/>
    <w:rsid w:val="00786A4B"/>
    <w:rsid w:val="00786BCE"/>
    <w:rsid w:val="00786C28"/>
    <w:rsid w:val="00787513"/>
    <w:rsid w:val="00787712"/>
    <w:rsid w:val="00787CA0"/>
    <w:rsid w:val="00787EA5"/>
    <w:rsid w:val="00790009"/>
    <w:rsid w:val="007900A1"/>
    <w:rsid w:val="00790354"/>
    <w:rsid w:val="00790973"/>
    <w:rsid w:val="00790A72"/>
    <w:rsid w:val="00790DD8"/>
    <w:rsid w:val="00790F03"/>
    <w:rsid w:val="007914AB"/>
    <w:rsid w:val="00791517"/>
    <w:rsid w:val="00791C93"/>
    <w:rsid w:val="00791DF6"/>
    <w:rsid w:val="00791FD7"/>
    <w:rsid w:val="0079225B"/>
    <w:rsid w:val="00792AD6"/>
    <w:rsid w:val="007933A7"/>
    <w:rsid w:val="0079350F"/>
    <w:rsid w:val="00793518"/>
    <w:rsid w:val="007935F4"/>
    <w:rsid w:val="00793ED9"/>
    <w:rsid w:val="00793FEA"/>
    <w:rsid w:val="00794070"/>
    <w:rsid w:val="00794211"/>
    <w:rsid w:val="007944E1"/>
    <w:rsid w:val="0079461F"/>
    <w:rsid w:val="00794B7C"/>
    <w:rsid w:val="00794EAF"/>
    <w:rsid w:val="00794FA7"/>
    <w:rsid w:val="0079534C"/>
    <w:rsid w:val="00795FDE"/>
    <w:rsid w:val="00796099"/>
    <w:rsid w:val="007960D0"/>
    <w:rsid w:val="007966C7"/>
    <w:rsid w:val="007969D9"/>
    <w:rsid w:val="00796DA1"/>
    <w:rsid w:val="0079780F"/>
    <w:rsid w:val="00797C7F"/>
    <w:rsid w:val="007A07E5"/>
    <w:rsid w:val="007A0883"/>
    <w:rsid w:val="007A090F"/>
    <w:rsid w:val="007A0937"/>
    <w:rsid w:val="007A0B1E"/>
    <w:rsid w:val="007A0F0A"/>
    <w:rsid w:val="007A1266"/>
    <w:rsid w:val="007A12A5"/>
    <w:rsid w:val="007A1687"/>
    <w:rsid w:val="007A1853"/>
    <w:rsid w:val="007A1987"/>
    <w:rsid w:val="007A2672"/>
    <w:rsid w:val="007A2C67"/>
    <w:rsid w:val="007A343F"/>
    <w:rsid w:val="007A36FE"/>
    <w:rsid w:val="007A3F55"/>
    <w:rsid w:val="007A404B"/>
    <w:rsid w:val="007A4499"/>
    <w:rsid w:val="007A4596"/>
    <w:rsid w:val="007A48B2"/>
    <w:rsid w:val="007A4C44"/>
    <w:rsid w:val="007A4FEB"/>
    <w:rsid w:val="007A5D06"/>
    <w:rsid w:val="007A5DE8"/>
    <w:rsid w:val="007A5F19"/>
    <w:rsid w:val="007A620D"/>
    <w:rsid w:val="007A62F4"/>
    <w:rsid w:val="007A6379"/>
    <w:rsid w:val="007A6967"/>
    <w:rsid w:val="007A6D3F"/>
    <w:rsid w:val="007A6E0B"/>
    <w:rsid w:val="007A6F66"/>
    <w:rsid w:val="007A7081"/>
    <w:rsid w:val="007A7226"/>
    <w:rsid w:val="007A7D28"/>
    <w:rsid w:val="007A7E64"/>
    <w:rsid w:val="007A7FE2"/>
    <w:rsid w:val="007B07D0"/>
    <w:rsid w:val="007B10CE"/>
    <w:rsid w:val="007B113F"/>
    <w:rsid w:val="007B2221"/>
    <w:rsid w:val="007B2D9A"/>
    <w:rsid w:val="007B2F0E"/>
    <w:rsid w:val="007B3027"/>
    <w:rsid w:val="007B37B5"/>
    <w:rsid w:val="007B3864"/>
    <w:rsid w:val="007B483A"/>
    <w:rsid w:val="007B4A64"/>
    <w:rsid w:val="007B516A"/>
    <w:rsid w:val="007B5578"/>
    <w:rsid w:val="007B5AEC"/>
    <w:rsid w:val="007B64DC"/>
    <w:rsid w:val="007B6C5C"/>
    <w:rsid w:val="007B6D52"/>
    <w:rsid w:val="007B706F"/>
    <w:rsid w:val="007B722F"/>
    <w:rsid w:val="007B7B60"/>
    <w:rsid w:val="007C26AC"/>
    <w:rsid w:val="007C2B33"/>
    <w:rsid w:val="007C2D34"/>
    <w:rsid w:val="007C2DC3"/>
    <w:rsid w:val="007C302C"/>
    <w:rsid w:val="007C312A"/>
    <w:rsid w:val="007C36E4"/>
    <w:rsid w:val="007C3E97"/>
    <w:rsid w:val="007C42EA"/>
    <w:rsid w:val="007C53DE"/>
    <w:rsid w:val="007C55D2"/>
    <w:rsid w:val="007C636A"/>
    <w:rsid w:val="007C6489"/>
    <w:rsid w:val="007C74E1"/>
    <w:rsid w:val="007C77B4"/>
    <w:rsid w:val="007C7F5C"/>
    <w:rsid w:val="007D0353"/>
    <w:rsid w:val="007D1099"/>
    <w:rsid w:val="007D110F"/>
    <w:rsid w:val="007D146E"/>
    <w:rsid w:val="007D1CA4"/>
    <w:rsid w:val="007D1DEB"/>
    <w:rsid w:val="007D2196"/>
    <w:rsid w:val="007D269F"/>
    <w:rsid w:val="007D2A47"/>
    <w:rsid w:val="007D2B21"/>
    <w:rsid w:val="007D2B75"/>
    <w:rsid w:val="007D2E3F"/>
    <w:rsid w:val="007D2E62"/>
    <w:rsid w:val="007D3068"/>
    <w:rsid w:val="007D342D"/>
    <w:rsid w:val="007D4301"/>
    <w:rsid w:val="007D4413"/>
    <w:rsid w:val="007D4D71"/>
    <w:rsid w:val="007D4E42"/>
    <w:rsid w:val="007D4E98"/>
    <w:rsid w:val="007D50C9"/>
    <w:rsid w:val="007D590B"/>
    <w:rsid w:val="007D5985"/>
    <w:rsid w:val="007D6257"/>
    <w:rsid w:val="007D62A2"/>
    <w:rsid w:val="007D652D"/>
    <w:rsid w:val="007D6535"/>
    <w:rsid w:val="007D728D"/>
    <w:rsid w:val="007D74A3"/>
    <w:rsid w:val="007D795D"/>
    <w:rsid w:val="007D7A3F"/>
    <w:rsid w:val="007D7D7C"/>
    <w:rsid w:val="007E029D"/>
    <w:rsid w:val="007E1384"/>
    <w:rsid w:val="007E14DA"/>
    <w:rsid w:val="007E1661"/>
    <w:rsid w:val="007E1720"/>
    <w:rsid w:val="007E207D"/>
    <w:rsid w:val="007E26FD"/>
    <w:rsid w:val="007E29E1"/>
    <w:rsid w:val="007E2DB8"/>
    <w:rsid w:val="007E3261"/>
    <w:rsid w:val="007E39C1"/>
    <w:rsid w:val="007E3C5B"/>
    <w:rsid w:val="007E45EE"/>
    <w:rsid w:val="007E482D"/>
    <w:rsid w:val="007E4D58"/>
    <w:rsid w:val="007E508A"/>
    <w:rsid w:val="007E55D9"/>
    <w:rsid w:val="007E57E3"/>
    <w:rsid w:val="007E5FAD"/>
    <w:rsid w:val="007E61D1"/>
    <w:rsid w:val="007E65AA"/>
    <w:rsid w:val="007E69CD"/>
    <w:rsid w:val="007E7356"/>
    <w:rsid w:val="007E7ED1"/>
    <w:rsid w:val="007E7FE0"/>
    <w:rsid w:val="007F0566"/>
    <w:rsid w:val="007F05B1"/>
    <w:rsid w:val="007F080E"/>
    <w:rsid w:val="007F0A91"/>
    <w:rsid w:val="007F0E12"/>
    <w:rsid w:val="007F0ED2"/>
    <w:rsid w:val="007F1746"/>
    <w:rsid w:val="007F3108"/>
    <w:rsid w:val="007F33B2"/>
    <w:rsid w:val="007F3AAD"/>
    <w:rsid w:val="007F421E"/>
    <w:rsid w:val="007F4BF2"/>
    <w:rsid w:val="007F4C6B"/>
    <w:rsid w:val="007F4F79"/>
    <w:rsid w:val="007F50F0"/>
    <w:rsid w:val="007F572D"/>
    <w:rsid w:val="007F57E4"/>
    <w:rsid w:val="007F5C05"/>
    <w:rsid w:val="007F66D3"/>
    <w:rsid w:val="007F699E"/>
    <w:rsid w:val="007F7290"/>
    <w:rsid w:val="007F7535"/>
    <w:rsid w:val="008000AC"/>
    <w:rsid w:val="0080033E"/>
    <w:rsid w:val="0080109B"/>
    <w:rsid w:val="00801581"/>
    <w:rsid w:val="00801678"/>
    <w:rsid w:val="00801702"/>
    <w:rsid w:val="0080177F"/>
    <w:rsid w:val="00801B35"/>
    <w:rsid w:val="00801D4F"/>
    <w:rsid w:val="008021DB"/>
    <w:rsid w:val="008023FC"/>
    <w:rsid w:val="00802839"/>
    <w:rsid w:val="008029E7"/>
    <w:rsid w:val="008033C1"/>
    <w:rsid w:val="008035EC"/>
    <w:rsid w:val="008036A8"/>
    <w:rsid w:val="00803B2D"/>
    <w:rsid w:val="00803B3B"/>
    <w:rsid w:val="00803C76"/>
    <w:rsid w:val="00803FD0"/>
    <w:rsid w:val="008045DE"/>
    <w:rsid w:val="00804B3B"/>
    <w:rsid w:val="00804CDA"/>
    <w:rsid w:val="00804F43"/>
    <w:rsid w:val="00805D22"/>
    <w:rsid w:val="008060E0"/>
    <w:rsid w:val="008062E5"/>
    <w:rsid w:val="0080658B"/>
    <w:rsid w:val="008069D4"/>
    <w:rsid w:val="00806C7B"/>
    <w:rsid w:val="008072DB"/>
    <w:rsid w:val="0080753C"/>
    <w:rsid w:val="0080760D"/>
    <w:rsid w:val="00807C7C"/>
    <w:rsid w:val="00807CC8"/>
    <w:rsid w:val="00807D6D"/>
    <w:rsid w:val="008109E4"/>
    <w:rsid w:val="008110E5"/>
    <w:rsid w:val="00811A2B"/>
    <w:rsid w:val="00811C73"/>
    <w:rsid w:val="00811F45"/>
    <w:rsid w:val="008127A7"/>
    <w:rsid w:val="00812857"/>
    <w:rsid w:val="00812B4C"/>
    <w:rsid w:val="008139D2"/>
    <w:rsid w:val="00813CCC"/>
    <w:rsid w:val="00814035"/>
    <w:rsid w:val="00814975"/>
    <w:rsid w:val="00814BD5"/>
    <w:rsid w:val="00814E26"/>
    <w:rsid w:val="008150FC"/>
    <w:rsid w:val="0081510F"/>
    <w:rsid w:val="008152F4"/>
    <w:rsid w:val="00815781"/>
    <w:rsid w:val="00815F85"/>
    <w:rsid w:val="00816026"/>
    <w:rsid w:val="008166B8"/>
    <w:rsid w:val="008169A9"/>
    <w:rsid w:val="00816B5A"/>
    <w:rsid w:val="008170DF"/>
    <w:rsid w:val="00817755"/>
    <w:rsid w:val="00820A9A"/>
    <w:rsid w:val="00821433"/>
    <w:rsid w:val="00821913"/>
    <w:rsid w:val="00821A74"/>
    <w:rsid w:val="00821D7C"/>
    <w:rsid w:val="00821F2D"/>
    <w:rsid w:val="0082238C"/>
    <w:rsid w:val="008227BF"/>
    <w:rsid w:val="008230A1"/>
    <w:rsid w:val="008233C9"/>
    <w:rsid w:val="00823BC3"/>
    <w:rsid w:val="00823D58"/>
    <w:rsid w:val="00823D8C"/>
    <w:rsid w:val="00824233"/>
    <w:rsid w:val="00824888"/>
    <w:rsid w:val="00824A03"/>
    <w:rsid w:val="00824FAD"/>
    <w:rsid w:val="0082551B"/>
    <w:rsid w:val="00825577"/>
    <w:rsid w:val="00825688"/>
    <w:rsid w:val="00825B34"/>
    <w:rsid w:val="00825B7B"/>
    <w:rsid w:val="00825D5D"/>
    <w:rsid w:val="008263E5"/>
    <w:rsid w:val="0082654C"/>
    <w:rsid w:val="0082744D"/>
    <w:rsid w:val="008277C2"/>
    <w:rsid w:val="008278C6"/>
    <w:rsid w:val="00827B5C"/>
    <w:rsid w:val="008300AB"/>
    <w:rsid w:val="00830226"/>
    <w:rsid w:val="00830826"/>
    <w:rsid w:val="008309B9"/>
    <w:rsid w:val="00830A24"/>
    <w:rsid w:val="00830A9E"/>
    <w:rsid w:val="00830B71"/>
    <w:rsid w:val="00830CAE"/>
    <w:rsid w:val="00831545"/>
    <w:rsid w:val="008315E7"/>
    <w:rsid w:val="008318E4"/>
    <w:rsid w:val="008320D1"/>
    <w:rsid w:val="008321E8"/>
    <w:rsid w:val="008322C8"/>
    <w:rsid w:val="008323B7"/>
    <w:rsid w:val="00832FBB"/>
    <w:rsid w:val="00833028"/>
    <w:rsid w:val="008339A8"/>
    <w:rsid w:val="00833C17"/>
    <w:rsid w:val="00833E37"/>
    <w:rsid w:val="00833FAA"/>
    <w:rsid w:val="00834263"/>
    <w:rsid w:val="0083445E"/>
    <w:rsid w:val="00834B1B"/>
    <w:rsid w:val="00834BA6"/>
    <w:rsid w:val="00834DE7"/>
    <w:rsid w:val="00834E17"/>
    <w:rsid w:val="00835792"/>
    <w:rsid w:val="00835D6E"/>
    <w:rsid w:val="00836244"/>
    <w:rsid w:val="008367AC"/>
    <w:rsid w:val="0083687A"/>
    <w:rsid w:val="00836FED"/>
    <w:rsid w:val="008370C5"/>
    <w:rsid w:val="0083717E"/>
    <w:rsid w:val="00837AB9"/>
    <w:rsid w:val="00837BF5"/>
    <w:rsid w:val="00840216"/>
    <w:rsid w:val="00840303"/>
    <w:rsid w:val="00840756"/>
    <w:rsid w:val="00840C92"/>
    <w:rsid w:val="008413DA"/>
    <w:rsid w:val="0084152A"/>
    <w:rsid w:val="00841705"/>
    <w:rsid w:val="00841EAC"/>
    <w:rsid w:val="0084210E"/>
    <w:rsid w:val="00842228"/>
    <w:rsid w:val="00842AAA"/>
    <w:rsid w:val="00842C0C"/>
    <w:rsid w:val="00842E55"/>
    <w:rsid w:val="00842E9A"/>
    <w:rsid w:val="00842EDE"/>
    <w:rsid w:val="00842F3A"/>
    <w:rsid w:val="00843361"/>
    <w:rsid w:val="008435EA"/>
    <w:rsid w:val="00843C01"/>
    <w:rsid w:val="00843FBB"/>
    <w:rsid w:val="0084461A"/>
    <w:rsid w:val="008447B3"/>
    <w:rsid w:val="00844BB1"/>
    <w:rsid w:val="008452B4"/>
    <w:rsid w:val="00845C83"/>
    <w:rsid w:val="00845E00"/>
    <w:rsid w:val="00845EB3"/>
    <w:rsid w:val="0084623C"/>
    <w:rsid w:val="00846560"/>
    <w:rsid w:val="00846E20"/>
    <w:rsid w:val="0084720F"/>
    <w:rsid w:val="00847636"/>
    <w:rsid w:val="00847FED"/>
    <w:rsid w:val="00850766"/>
    <w:rsid w:val="0085077C"/>
    <w:rsid w:val="00850EA1"/>
    <w:rsid w:val="00851084"/>
    <w:rsid w:val="008510DD"/>
    <w:rsid w:val="0085220A"/>
    <w:rsid w:val="00852B19"/>
    <w:rsid w:val="00852B4B"/>
    <w:rsid w:val="00853063"/>
    <w:rsid w:val="008533C8"/>
    <w:rsid w:val="0085363C"/>
    <w:rsid w:val="008540A8"/>
    <w:rsid w:val="008545FC"/>
    <w:rsid w:val="0085474B"/>
    <w:rsid w:val="00854801"/>
    <w:rsid w:val="008548C6"/>
    <w:rsid w:val="00854C8C"/>
    <w:rsid w:val="00854CCF"/>
    <w:rsid w:val="00854D89"/>
    <w:rsid w:val="00855177"/>
    <w:rsid w:val="0085524D"/>
    <w:rsid w:val="0085535E"/>
    <w:rsid w:val="0085537F"/>
    <w:rsid w:val="0085664D"/>
    <w:rsid w:val="00856C74"/>
    <w:rsid w:val="00857391"/>
    <w:rsid w:val="00857662"/>
    <w:rsid w:val="00857E61"/>
    <w:rsid w:val="00860246"/>
    <w:rsid w:val="008604FD"/>
    <w:rsid w:val="0086054B"/>
    <w:rsid w:val="0086135A"/>
    <w:rsid w:val="008614D5"/>
    <w:rsid w:val="008619F8"/>
    <w:rsid w:val="00861B93"/>
    <w:rsid w:val="00861C82"/>
    <w:rsid w:val="00861D0B"/>
    <w:rsid w:val="00861ECE"/>
    <w:rsid w:val="00861FFE"/>
    <w:rsid w:val="008626AC"/>
    <w:rsid w:val="008626B7"/>
    <w:rsid w:val="008628DE"/>
    <w:rsid w:val="00862A51"/>
    <w:rsid w:val="00862D2C"/>
    <w:rsid w:val="00862DCC"/>
    <w:rsid w:val="00862E6E"/>
    <w:rsid w:val="00863342"/>
    <w:rsid w:val="00863917"/>
    <w:rsid w:val="00863AE6"/>
    <w:rsid w:val="00863C85"/>
    <w:rsid w:val="008646F2"/>
    <w:rsid w:val="008647CC"/>
    <w:rsid w:val="00864923"/>
    <w:rsid w:val="00864AB3"/>
    <w:rsid w:val="00864C5B"/>
    <w:rsid w:val="00864ED5"/>
    <w:rsid w:val="008651AE"/>
    <w:rsid w:val="008651F4"/>
    <w:rsid w:val="008652CB"/>
    <w:rsid w:val="00865602"/>
    <w:rsid w:val="0086563D"/>
    <w:rsid w:val="00865BFB"/>
    <w:rsid w:val="00866326"/>
    <w:rsid w:val="008665C1"/>
    <w:rsid w:val="0086674E"/>
    <w:rsid w:val="008672D1"/>
    <w:rsid w:val="008673F8"/>
    <w:rsid w:val="0086773B"/>
    <w:rsid w:val="008678CC"/>
    <w:rsid w:val="00867AE1"/>
    <w:rsid w:val="00867C42"/>
    <w:rsid w:val="00867D45"/>
    <w:rsid w:val="0087007D"/>
    <w:rsid w:val="008702CC"/>
    <w:rsid w:val="008707C0"/>
    <w:rsid w:val="008710E4"/>
    <w:rsid w:val="008716F2"/>
    <w:rsid w:val="008719A0"/>
    <w:rsid w:val="008719F7"/>
    <w:rsid w:val="00871C24"/>
    <w:rsid w:val="00871C4F"/>
    <w:rsid w:val="00872598"/>
    <w:rsid w:val="00872652"/>
    <w:rsid w:val="008726E9"/>
    <w:rsid w:val="00873078"/>
    <w:rsid w:val="00873797"/>
    <w:rsid w:val="00873AB4"/>
    <w:rsid w:val="00873EF7"/>
    <w:rsid w:val="00874452"/>
    <w:rsid w:val="00874D65"/>
    <w:rsid w:val="00874E5D"/>
    <w:rsid w:val="00874E5F"/>
    <w:rsid w:val="00874FD6"/>
    <w:rsid w:val="008761EB"/>
    <w:rsid w:val="00876368"/>
    <w:rsid w:val="008764BA"/>
    <w:rsid w:val="008767E2"/>
    <w:rsid w:val="00876CC8"/>
    <w:rsid w:val="00876D5F"/>
    <w:rsid w:val="00876F1B"/>
    <w:rsid w:val="008771CD"/>
    <w:rsid w:val="0087765E"/>
    <w:rsid w:val="008779A4"/>
    <w:rsid w:val="00880078"/>
    <w:rsid w:val="0088009E"/>
    <w:rsid w:val="008802DD"/>
    <w:rsid w:val="008803A0"/>
    <w:rsid w:val="00880876"/>
    <w:rsid w:val="00880E54"/>
    <w:rsid w:val="00880FC8"/>
    <w:rsid w:val="008814BC"/>
    <w:rsid w:val="008814BD"/>
    <w:rsid w:val="0088167C"/>
    <w:rsid w:val="00881C96"/>
    <w:rsid w:val="00881C98"/>
    <w:rsid w:val="00881D16"/>
    <w:rsid w:val="0088212A"/>
    <w:rsid w:val="008823E5"/>
    <w:rsid w:val="00882834"/>
    <w:rsid w:val="00882AB9"/>
    <w:rsid w:val="00882E17"/>
    <w:rsid w:val="008833A5"/>
    <w:rsid w:val="00883C13"/>
    <w:rsid w:val="00883F32"/>
    <w:rsid w:val="00884164"/>
    <w:rsid w:val="00884A92"/>
    <w:rsid w:val="00884BAA"/>
    <w:rsid w:val="00884F3B"/>
    <w:rsid w:val="00885447"/>
    <w:rsid w:val="0088546B"/>
    <w:rsid w:val="00885882"/>
    <w:rsid w:val="00885AB5"/>
    <w:rsid w:val="00885B81"/>
    <w:rsid w:val="00885DBC"/>
    <w:rsid w:val="00885E07"/>
    <w:rsid w:val="00885F80"/>
    <w:rsid w:val="0088685B"/>
    <w:rsid w:val="00886897"/>
    <w:rsid w:val="00886928"/>
    <w:rsid w:val="00886AB5"/>
    <w:rsid w:val="00886FBC"/>
    <w:rsid w:val="008874BD"/>
    <w:rsid w:val="00887D73"/>
    <w:rsid w:val="00890623"/>
    <w:rsid w:val="0089092F"/>
    <w:rsid w:val="008909E0"/>
    <w:rsid w:val="00890C32"/>
    <w:rsid w:val="00890E4A"/>
    <w:rsid w:val="008912ED"/>
    <w:rsid w:val="008914C1"/>
    <w:rsid w:val="00891B2D"/>
    <w:rsid w:val="00892040"/>
    <w:rsid w:val="00892070"/>
    <w:rsid w:val="008922DF"/>
    <w:rsid w:val="00892347"/>
    <w:rsid w:val="008928C6"/>
    <w:rsid w:val="00892979"/>
    <w:rsid w:val="00892C08"/>
    <w:rsid w:val="00892D5B"/>
    <w:rsid w:val="00892F07"/>
    <w:rsid w:val="008933CD"/>
    <w:rsid w:val="00893517"/>
    <w:rsid w:val="008937FF"/>
    <w:rsid w:val="00893BA8"/>
    <w:rsid w:val="00893C83"/>
    <w:rsid w:val="008941A1"/>
    <w:rsid w:val="00894ACF"/>
    <w:rsid w:val="00894D7A"/>
    <w:rsid w:val="00894E14"/>
    <w:rsid w:val="00895109"/>
    <w:rsid w:val="00895155"/>
    <w:rsid w:val="008955C6"/>
    <w:rsid w:val="008959EF"/>
    <w:rsid w:val="00895CF0"/>
    <w:rsid w:val="008963E1"/>
    <w:rsid w:val="008968DD"/>
    <w:rsid w:val="008969D1"/>
    <w:rsid w:val="00896A5D"/>
    <w:rsid w:val="008970B2"/>
    <w:rsid w:val="008972A2"/>
    <w:rsid w:val="00897562"/>
    <w:rsid w:val="0089766D"/>
    <w:rsid w:val="00897916"/>
    <w:rsid w:val="00897AEE"/>
    <w:rsid w:val="00897BA5"/>
    <w:rsid w:val="00897CFD"/>
    <w:rsid w:val="00897FEB"/>
    <w:rsid w:val="008A0096"/>
    <w:rsid w:val="008A0B80"/>
    <w:rsid w:val="008A14B3"/>
    <w:rsid w:val="008A1A10"/>
    <w:rsid w:val="008A20CD"/>
    <w:rsid w:val="008A20F7"/>
    <w:rsid w:val="008A24BE"/>
    <w:rsid w:val="008A2625"/>
    <w:rsid w:val="008A2D33"/>
    <w:rsid w:val="008A2FEE"/>
    <w:rsid w:val="008A35C3"/>
    <w:rsid w:val="008A3AEA"/>
    <w:rsid w:val="008A3B7D"/>
    <w:rsid w:val="008A52B1"/>
    <w:rsid w:val="008A550E"/>
    <w:rsid w:val="008A5E77"/>
    <w:rsid w:val="008A5EED"/>
    <w:rsid w:val="008A6081"/>
    <w:rsid w:val="008A614B"/>
    <w:rsid w:val="008A6254"/>
    <w:rsid w:val="008A643B"/>
    <w:rsid w:val="008A64C4"/>
    <w:rsid w:val="008A6595"/>
    <w:rsid w:val="008A6788"/>
    <w:rsid w:val="008A766C"/>
    <w:rsid w:val="008A781A"/>
    <w:rsid w:val="008A7916"/>
    <w:rsid w:val="008A79E1"/>
    <w:rsid w:val="008A7B7F"/>
    <w:rsid w:val="008B02B5"/>
    <w:rsid w:val="008B0551"/>
    <w:rsid w:val="008B07BD"/>
    <w:rsid w:val="008B0D1F"/>
    <w:rsid w:val="008B1131"/>
    <w:rsid w:val="008B1E4C"/>
    <w:rsid w:val="008B1EEB"/>
    <w:rsid w:val="008B2020"/>
    <w:rsid w:val="008B2369"/>
    <w:rsid w:val="008B24D6"/>
    <w:rsid w:val="008B25AE"/>
    <w:rsid w:val="008B2B85"/>
    <w:rsid w:val="008B2C13"/>
    <w:rsid w:val="008B2D67"/>
    <w:rsid w:val="008B300E"/>
    <w:rsid w:val="008B30E9"/>
    <w:rsid w:val="008B32FD"/>
    <w:rsid w:val="008B3C4C"/>
    <w:rsid w:val="008B3C80"/>
    <w:rsid w:val="008B4031"/>
    <w:rsid w:val="008B4BA6"/>
    <w:rsid w:val="008B4D66"/>
    <w:rsid w:val="008B5032"/>
    <w:rsid w:val="008B518E"/>
    <w:rsid w:val="008B5393"/>
    <w:rsid w:val="008B581E"/>
    <w:rsid w:val="008B5877"/>
    <w:rsid w:val="008B5977"/>
    <w:rsid w:val="008B5CA0"/>
    <w:rsid w:val="008B5F8B"/>
    <w:rsid w:val="008B618D"/>
    <w:rsid w:val="008B6BFC"/>
    <w:rsid w:val="008B6C57"/>
    <w:rsid w:val="008B6E7B"/>
    <w:rsid w:val="008B719D"/>
    <w:rsid w:val="008B7D55"/>
    <w:rsid w:val="008B7FDD"/>
    <w:rsid w:val="008C01A4"/>
    <w:rsid w:val="008C05AC"/>
    <w:rsid w:val="008C0897"/>
    <w:rsid w:val="008C0F29"/>
    <w:rsid w:val="008C2336"/>
    <w:rsid w:val="008C37F4"/>
    <w:rsid w:val="008C3B1A"/>
    <w:rsid w:val="008C3CA1"/>
    <w:rsid w:val="008C3D34"/>
    <w:rsid w:val="008C3D94"/>
    <w:rsid w:val="008C41CF"/>
    <w:rsid w:val="008C42A3"/>
    <w:rsid w:val="008C4914"/>
    <w:rsid w:val="008C4F0F"/>
    <w:rsid w:val="008C5DC1"/>
    <w:rsid w:val="008C5DD0"/>
    <w:rsid w:val="008C61E7"/>
    <w:rsid w:val="008C7340"/>
    <w:rsid w:val="008C7720"/>
    <w:rsid w:val="008D01C4"/>
    <w:rsid w:val="008D0238"/>
    <w:rsid w:val="008D0414"/>
    <w:rsid w:val="008D0416"/>
    <w:rsid w:val="008D13EB"/>
    <w:rsid w:val="008D2013"/>
    <w:rsid w:val="008D236A"/>
    <w:rsid w:val="008D27F1"/>
    <w:rsid w:val="008D290D"/>
    <w:rsid w:val="008D2C91"/>
    <w:rsid w:val="008D2F1D"/>
    <w:rsid w:val="008D2FFE"/>
    <w:rsid w:val="008D3067"/>
    <w:rsid w:val="008D3A77"/>
    <w:rsid w:val="008D3AEC"/>
    <w:rsid w:val="008D4A60"/>
    <w:rsid w:val="008D4EB7"/>
    <w:rsid w:val="008D4F2F"/>
    <w:rsid w:val="008D53E0"/>
    <w:rsid w:val="008D5787"/>
    <w:rsid w:val="008D628E"/>
    <w:rsid w:val="008D6E47"/>
    <w:rsid w:val="008D73C8"/>
    <w:rsid w:val="008D749A"/>
    <w:rsid w:val="008D75F7"/>
    <w:rsid w:val="008D7947"/>
    <w:rsid w:val="008D7B2B"/>
    <w:rsid w:val="008D7BA1"/>
    <w:rsid w:val="008E022F"/>
    <w:rsid w:val="008E0690"/>
    <w:rsid w:val="008E0765"/>
    <w:rsid w:val="008E11BD"/>
    <w:rsid w:val="008E1455"/>
    <w:rsid w:val="008E15AC"/>
    <w:rsid w:val="008E1633"/>
    <w:rsid w:val="008E181F"/>
    <w:rsid w:val="008E1954"/>
    <w:rsid w:val="008E1A05"/>
    <w:rsid w:val="008E1B08"/>
    <w:rsid w:val="008E1BE2"/>
    <w:rsid w:val="008E1D4E"/>
    <w:rsid w:val="008E1D54"/>
    <w:rsid w:val="008E1E63"/>
    <w:rsid w:val="008E21D9"/>
    <w:rsid w:val="008E21E5"/>
    <w:rsid w:val="008E3113"/>
    <w:rsid w:val="008E35EB"/>
    <w:rsid w:val="008E3E85"/>
    <w:rsid w:val="008E434F"/>
    <w:rsid w:val="008E4694"/>
    <w:rsid w:val="008E47FB"/>
    <w:rsid w:val="008E5887"/>
    <w:rsid w:val="008E599A"/>
    <w:rsid w:val="008E5D2A"/>
    <w:rsid w:val="008E5DA0"/>
    <w:rsid w:val="008E60A4"/>
    <w:rsid w:val="008E648C"/>
    <w:rsid w:val="008E6667"/>
    <w:rsid w:val="008E68DF"/>
    <w:rsid w:val="008E6C23"/>
    <w:rsid w:val="008E7799"/>
    <w:rsid w:val="008E7858"/>
    <w:rsid w:val="008E78E5"/>
    <w:rsid w:val="008E7A62"/>
    <w:rsid w:val="008E7CC6"/>
    <w:rsid w:val="008F06D9"/>
    <w:rsid w:val="008F1801"/>
    <w:rsid w:val="008F1D1B"/>
    <w:rsid w:val="008F1DFB"/>
    <w:rsid w:val="008F1E69"/>
    <w:rsid w:val="008F2296"/>
    <w:rsid w:val="008F289D"/>
    <w:rsid w:val="008F321A"/>
    <w:rsid w:val="008F3585"/>
    <w:rsid w:val="008F3845"/>
    <w:rsid w:val="008F3A44"/>
    <w:rsid w:val="008F3BDD"/>
    <w:rsid w:val="008F3EDE"/>
    <w:rsid w:val="008F3F2B"/>
    <w:rsid w:val="008F40CF"/>
    <w:rsid w:val="008F40D8"/>
    <w:rsid w:val="008F4A5C"/>
    <w:rsid w:val="008F4CA9"/>
    <w:rsid w:val="008F4E25"/>
    <w:rsid w:val="008F4FBB"/>
    <w:rsid w:val="008F504F"/>
    <w:rsid w:val="008F55B7"/>
    <w:rsid w:val="008F5E99"/>
    <w:rsid w:val="008F625E"/>
    <w:rsid w:val="008F6734"/>
    <w:rsid w:val="008F6887"/>
    <w:rsid w:val="008F6B82"/>
    <w:rsid w:val="008F6EDE"/>
    <w:rsid w:val="008F6EDF"/>
    <w:rsid w:val="008F6F11"/>
    <w:rsid w:val="008F7C75"/>
    <w:rsid w:val="009003A5"/>
    <w:rsid w:val="009008C3"/>
    <w:rsid w:val="00900B35"/>
    <w:rsid w:val="00900BF4"/>
    <w:rsid w:val="00900DEF"/>
    <w:rsid w:val="00900DF5"/>
    <w:rsid w:val="00901070"/>
    <w:rsid w:val="00901351"/>
    <w:rsid w:val="009013F1"/>
    <w:rsid w:val="009014E8"/>
    <w:rsid w:val="00901914"/>
    <w:rsid w:val="009020A2"/>
    <w:rsid w:val="009020A4"/>
    <w:rsid w:val="00902227"/>
    <w:rsid w:val="0090227B"/>
    <w:rsid w:val="009025AD"/>
    <w:rsid w:val="00902613"/>
    <w:rsid w:val="0090265B"/>
    <w:rsid w:val="00902873"/>
    <w:rsid w:val="00903016"/>
    <w:rsid w:val="00903BAC"/>
    <w:rsid w:val="00903D76"/>
    <w:rsid w:val="00903FDE"/>
    <w:rsid w:val="009040D1"/>
    <w:rsid w:val="009049B3"/>
    <w:rsid w:val="00904B5E"/>
    <w:rsid w:val="00904DA5"/>
    <w:rsid w:val="00905325"/>
    <w:rsid w:val="0090571B"/>
    <w:rsid w:val="009061E2"/>
    <w:rsid w:val="009063B7"/>
    <w:rsid w:val="00906683"/>
    <w:rsid w:val="009066B8"/>
    <w:rsid w:val="009067F4"/>
    <w:rsid w:val="00906869"/>
    <w:rsid w:val="00906EBC"/>
    <w:rsid w:val="00907343"/>
    <w:rsid w:val="00907CB7"/>
    <w:rsid w:val="009100E7"/>
    <w:rsid w:val="00910138"/>
    <w:rsid w:val="009103BC"/>
    <w:rsid w:val="00910429"/>
    <w:rsid w:val="00910C35"/>
    <w:rsid w:val="00911399"/>
    <w:rsid w:val="0091169B"/>
    <w:rsid w:val="00911A6E"/>
    <w:rsid w:val="00911FA7"/>
    <w:rsid w:val="009124CE"/>
    <w:rsid w:val="00912E45"/>
    <w:rsid w:val="00913591"/>
    <w:rsid w:val="009135E1"/>
    <w:rsid w:val="00913673"/>
    <w:rsid w:val="00913F7C"/>
    <w:rsid w:val="00913FDD"/>
    <w:rsid w:val="009140C5"/>
    <w:rsid w:val="00914291"/>
    <w:rsid w:val="00914EA3"/>
    <w:rsid w:val="009150A9"/>
    <w:rsid w:val="009152A4"/>
    <w:rsid w:val="00915456"/>
    <w:rsid w:val="00915660"/>
    <w:rsid w:val="00915AE9"/>
    <w:rsid w:val="00915D75"/>
    <w:rsid w:val="00915F3C"/>
    <w:rsid w:val="0091648E"/>
    <w:rsid w:val="00916920"/>
    <w:rsid w:val="00917368"/>
    <w:rsid w:val="00917991"/>
    <w:rsid w:val="00917C6F"/>
    <w:rsid w:val="00917D38"/>
    <w:rsid w:val="00917D72"/>
    <w:rsid w:val="00917D89"/>
    <w:rsid w:val="00917E14"/>
    <w:rsid w:val="00921E05"/>
    <w:rsid w:val="00921E06"/>
    <w:rsid w:val="00921E22"/>
    <w:rsid w:val="00921E65"/>
    <w:rsid w:val="00922056"/>
    <w:rsid w:val="00922650"/>
    <w:rsid w:val="00922C8C"/>
    <w:rsid w:val="00922DA4"/>
    <w:rsid w:val="00922EFC"/>
    <w:rsid w:val="00923422"/>
    <w:rsid w:val="009242F9"/>
    <w:rsid w:val="009243DD"/>
    <w:rsid w:val="0092459A"/>
    <w:rsid w:val="00924720"/>
    <w:rsid w:val="00924731"/>
    <w:rsid w:val="00924F18"/>
    <w:rsid w:val="00925025"/>
    <w:rsid w:val="00925B81"/>
    <w:rsid w:val="009261A4"/>
    <w:rsid w:val="009261B3"/>
    <w:rsid w:val="00926B8C"/>
    <w:rsid w:val="009279CA"/>
    <w:rsid w:val="00927A14"/>
    <w:rsid w:val="00927D59"/>
    <w:rsid w:val="00930041"/>
    <w:rsid w:val="009302FC"/>
    <w:rsid w:val="0093052B"/>
    <w:rsid w:val="0093085B"/>
    <w:rsid w:val="00930D00"/>
    <w:rsid w:val="009310BE"/>
    <w:rsid w:val="00931226"/>
    <w:rsid w:val="00931899"/>
    <w:rsid w:val="00931937"/>
    <w:rsid w:val="00931F91"/>
    <w:rsid w:val="009320E2"/>
    <w:rsid w:val="00932728"/>
    <w:rsid w:val="009327EC"/>
    <w:rsid w:val="00932DDA"/>
    <w:rsid w:val="00933145"/>
    <w:rsid w:val="009335CC"/>
    <w:rsid w:val="00933866"/>
    <w:rsid w:val="0093388F"/>
    <w:rsid w:val="009340BC"/>
    <w:rsid w:val="00934888"/>
    <w:rsid w:val="00935448"/>
    <w:rsid w:val="00935781"/>
    <w:rsid w:val="009365DD"/>
    <w:rsid w:val="00936AA8"/>
    <w:rsid w:val="00936C70"/>
    <w:rsid w:val="00936E80"/>
    <w:rsid w:val="0093712F"/>
    <w:rsid w:val="0093731F"/>
    <w:rsid w:val="00937778"/>
    <w:rsid w:val="00937956"/>
    <w:rsid w:val="00940B7A"/>
    <w:rsid w:val="00940F09"/>
    <w:rsid w:val="00941401"/>
    <w:rsid w:val="00941568"/>
    <w:rsid w:val="009417A8"/>
    <w:rsid w:val="009419DA"/>
    <w:rsid w:val="009421F7"/>
    <w:rsid w:val="0094220C"/>
    <w:rsid w:val="00942634"/>
    <w:rsid w:val="0094264D"/>
    <w:rsid w:val="009429ED"/>
    <w:rsid w:val="00942A39"/>
    <w:rsid w:val="00943068"/>
    <w:rsid w:val="009430AA"/>
    <w:rsid w:val="0094328A"/>
    <w:rsid w:val="00943470"/>
    <w:rsid w:val="0094376D"/>
    <w:rsid w:val="009439C4"/>
    <w:rsid w:val="00943BF0"/>
    <w:rsid w:val="00943BFD"/>
    <w:rsid w:val="00943D7A"/>
    <w:rsid w:val="009450EF"/>
    <w:rsid w:val="009455A8"/>
    <w:rsid w:val="00945B4A"/>
    <w:rsid w:val="00946014"/>
    <w:rsid w:val="0094613C"/>
    <w:rsid w:val="009461B9"/>
    <w:rsid w:val="009462E4"/>
    <w:rsid w:val="0094665A"/>
    <w:rsid w:val="00946740"/>
    <w:rsid w:val="0094730E"/>
    <w:rsid w:val="009473C6"/>
    <w:rsid w:val="00947B75"/>
    <w:rsid w:val="00947F09"/>
    <w:rsid w:val="009508FF"/>
    <w:rsid w:val="0095098B"/>
    <w:rsid w:val="00950EB5"/>
    <w:rsid w:val="009517A4"/>
    <w:rsid w:val="0095196F"/>
    <w:rsid w:val="00951F0A"/>
    <w:rsid w:val="00951F25"/>
    <w:rsid w:val="00951FC3"/>
    <w:rsid w:val="009527BA"/>
    <w:rsid w:val="00952801"/>
    <w:rsid w:val="009528FE"/>
    <w:rsid w:val="00952A36"/>
    <w:rsid w:val="00952CA1"/>
    <w:rsid w:val="0095322E"/>
    <w:rsid w:val="0095339B"/>
    <w:rsid w:val="0095344C"/>
    <w:rsid w:val="00953770"/>
    <w:rsid w:val="009542A0"/>
    <w:rsid w:val="00954579"/>
    <w:rsid w:val="00954D9D"/>
    <w:rsid w:val="0095517C"/>
    <w:rsid w:val="00955AA7"/>
    <w:rsid w:val="00956086"/>
    <w:rsid w:val="00956105"/>
    <w:rsid w:val="0095628C"/>
    <w:rsid w:val="0095637F"/>
    <w:rsid w:val="0095682F"/>
    <w:rsid w:val="00956995"/>
    <w:rsid w:val="00956C57"/>
    <w:rsid w:val="00957608"/>
    <w:rsid w:val="00957732"/>
    <w:rsid w:val="0096009A"/>
    <w:rsid w:val="00960489"/>
    <w:rsid w:val="009605A9"/>
    <w:rsid w:val="009607B5"/>
    <w:rsid w:val="009608A3"/>
    <w:rsid w:val="0096115C"/>
    <w:rsid w:val="00961695"/>
    <w:rsid w:val="00961E59"/>
    <w:rsid w:val="009622C7"/>
    <w:rsid w:val="00962447"/>
    <w:rsid w:val="00962B53"/>
    <w:rsid w:val="00963283"/>
    <w:rsid w:val="009634F7"/>
    <w:rsid w:val="00963841"/>
    <w:rsid w:val="00963B0A"/>
    <w:rsid w:val="009647F3"/>
    <w:rsid w:val="00964D70"/>
    <w:rsid w:val="00964DD9"/>
    <w:rsid w:val="009650DF"/>
    <w:rsid w:val="009654E3"/>
    <w:rsid w:val="009659AA"/>
    <w:rsid w:val="00965A79"/>
    <w:rsid w:val="00965BC0"/>
    <w:rsid w:val="00965C6C"/>
    <w:rsid w:val="00965E71"/>
    <w:rsid w:val="00965F91"/>
    <w:rsid w:val="0096623E"/>
    <w:rsid w:val="0096632A"/>
    <w:rsid w:val="009664A6"/>
    <w:rsid w:val="009664AE"/>
    <w:rsid w:val="00966519"/>
    <w:rsid w:val="009665B5"/>
    <w:rsid w:val="00966D7B"/>
    <w:rsid w:val="00967493"/>
    <w:rsid w:val="00967B9B"/>
    <w:rsid w:val="00967EBD"/>
    <w:rsid w:val="0097008B"/>
    <w:rsid w:val="00970273"/>
    <w:rsid w:val="0097063D"/>
    <w:rsid w:val="009708B5"/>
    <w:rsid w:val="00970EA8"/>
    <w:rsid w:val="00970ECE"/>
    <w:rsid w:val="0097101A"/>
    <w:rsid w:val="00971B3E"/>
    <w:rsid w:val="00971B5F"/>
    <w:rsid w:val="00971EE8"/>
    <w:rsid w:val="00972242"/>
    <w:rsid w:val="00972292"/>
    <w:rsid w:val="00972517"/>
    <w:rsid w:val="009725B9"/>
    <w:rsid w:val="009727EC"/>
    <w:rsid w:val="009731C5"/>
    <w:rsid w:val="00973C5D"/>
    <w:rsid w:val="00974869"/>
    <w:rsid w:val="00974B0A"/>
    <w:rsid w:val="009760CD"/>
    <w:rsid w:val="00976500"/>
    <w:rsid w:val="009767A4"/>
    <w:rsid w:val="00976AD1"/>
    <w:rsid w:val="00976AD5"/>
    <w:rsid w:val="00976CF5"/>
    <w:rsid w:val="00976D9F"/>
    <w:rsid w:val="00976E9D"/>
    <w:rsid w:val="009770BA"/>
    <w:rsid w:val="00977495"/>
    <w:rsid w:val="009777F3"/>
    <w:rsid w:val="009779BC"/>
    <w:rsid w:val="00977D4E"/>
    <w:rsid w:val="00977EFE"/>
    <w:rsid w:val="00977F4B"/>
    <w:rsid w:val="0098040C"/>
    <w:rsid w:val="0098068B"/>
    <w:rsid w:val="00980867"/>
    <w:rsid w:val="00980BB7"/>
    <w:rsid w:val="00980ED4"/>
    <w:rsid w:val="00981161"/>
    <w:rsid w:val="00981199"/>
    <w:rsid w:val="009811B5"/>
    <w:rsid w:val="0098134F"/>
    <w:rsid w:val="00981BF5"/>
    <w:rsid w:val="0098234B"/>
    <w:rsid w:val="00982654"/>
    <w:rsid w:val="0098280C"/>
    <w:rsid w:val="00982867"/>
    <w:rsid w:val="009836F0"/>
    <w:rsid w:val="00983DC7"/>
    <w:rsid w:val="009840F1"/>
    <w:rsid w:val="00984217"/>
    <w:rsid w:val="009842DE"/>
    <w:rsid w:val="0098460E"/>
    <w:rsid w:val="0098495E"/>
    <w:rsid w:val="0098547B"/>
    <w:rsid w:val="009863B0"/>
    <w:rsid w:val="00986672"/>
    <w:rsid w:val="00986B37"/>
    <w:rsid w:val="00986E42"/>
    <w:rsid w:val="00986E9B"/>
    <w:rsid w:val="00987314"/>
    <w:rsid w:val="009873E5"/>
    <w:rsid w:val="00987449"/>
    <w:rsid w:val="0098787B"/>
    <w:rsid w:val="00990619"/>
    <w:rsid w:val="00990B1E"/>
    <w:rsid w:val="009916F3"/>
    <w:rsid w:val="00991BE9"/>
    <w:rsid w:val="00991E07"/>
    <w:rsid w:val="009924F5"/>
    <w:rsid w:val="009925DE"/>
    <w:rsid w:val="00992BFB"/>
    <w:rsid w:val="00992CCC"/>
    <w:rsid w:val="009930DD"/>
    <w:rsid w:val="00993620"/>
    <w:rsid w:val="0099370E"/>
    <w:rsid w:val="009949B7"/>
    <w:rsid w:val="009951BF"/>
    <w:rsid w:val="00995B1B"/>
    <w:rsid w:val="00995ED7"/>
    <w:rsid w:val="0099619B"/>
    <w:rsid w:val="00996872"/>
    <w:rsid w:val="00996947"/>
    <w:rsid w:val="00996B33"/>
    <w:rsid w:val="00996CA7"/>
    <w:rsid w:val="0099707B"/>
    <w:rsid w:val="009976F4"/>
    <w:rsid w:val="00997E12"/>
    <w:rsid w:val="009A0D90"/>
    <w:rsid w:val="009A177F"/>
    <w:rsid w:val="009A1B81"/>
    <w:rsid w:val="009A1DD9"/>
    <w:rsid w:val="009A2AD3"/>
    <w:rsid w:val="009A2DF2"/>
    <w:rsid w:val="009A2FC8"/>
    <w:rsid w:val="009A3026"/>
    <w:rsid w:val="009A324B"/>
    <w:rsid w:val="009A3A0A"/>
    <w:rsid w:val="009A3E14"/>
    <w:rsid w:val="009A4116"/>
    <w:rsid w:val="009A469C"/>
    <w:rsid w:val="009A5832"/>
    <w:rsid w:val="009A6285"/>
    <w:rsid w:val="009A660C"/>
    <w:rsid w:val="009A68F1"/>
    <w:rsid w:val="009A6D09"/>
    <w:rsid w:val="009A6D38"/>
    <w:rsid w:val="009A6E02"/>
    <w:rsid w:val="009A6FDE"/>
    <w:rsid w:val="009A7536"/>
    <w:rsid w:val="009A7F32"/>
    <w:rsid w:val="009B01E7"/>
    <w:rsid w:val="009B0758"/>
    <w:rsid w:val="009B18BC"/>
    <w:rsid w:val="009B1936"/>
    <w:rsid w:val="009B1A76"/>
    <w:rsid w:val="009B2655"/>
    <w:rsid w:val="009B3AB6"/>
    <w:rsid w:val="009B3F2C"/>
    <w:rsid w:val="009B4178"/>
    <w:rsid w:val="009B42C6"/>
    <w:rsid w:val="009B4B52"/>
    <w:rsid w:val="009B5432"/>
    <w:rsid w:val="009B5825"/>
    <w:rsid w:val="009B5D3E"/>
    <w:rsid w:val="009B6D50"/>
    <w:rsid w:val="009B6DFB"/>
    <w:rsid w:val="009B7073"/>
    <w:rsid w:val="009B7960"/>
    <w:rsid w:val="009B7A40"/>
    <w:rsid w:val="009C02DD"/>
    <w:rsid w:val="009C05A2"/>
    <w:rsid w:val="009C05B6"/>
    <w:rsid w:val="009C0685"/>
    <w:rsid w:val="009C0AC8"/>
    <w:rsid w:val="009C16CC"/>
    <w:rsid w:val="009C189C"/>
    <w:rsid w:val="009C1BF8"/>
    <w:rsid w:val="009C21FC"/>
    <w:rsid w:val="009C2847"/>
    <w:rsid w:val="009C405C"/>
    <w:rsid w:val="009C418A"/>
    <w:rsid w:val="009C4578"/>
    <w:rsid w:val="009C4B30"/>
    <w:rsid w:val="009C4DB9"/>
    <w:rsid w:val="009C4DE3"/>
    <w:rsid w:val="009C64DE"/>
    <w:rsid w:val="009C666D"/>
    <w:rsid w:val="009C6857"/>
    <w:rsid w:val="009C6B23"/>
    <w:rsid w:val="009C7177"/>
    <w:rsid w:val="009C7C3A"/>
    <w:rsid w:val="009C7F12"/>
    <w:rsid w:val="009D0624"/>
    <w:rsid w:val="009D0828"/>
    <w:rsid w:val="009D096C"/>
    <w:rsid w:val="009D0A31"/>
    <w:rsid w:val="009D147A"/>
    <w:rsid w:val="009D1ACF"/>
    <w:rsid w:val="009D2F45"/>
    <w:rsid w:val="009D32DA"/>
    <w:rsid w:val="009D3837"/>
    <w:rsid w:val="009D3885"/>
    <w:rsid w:val="009D39EA"/>
    <w:rsid w:val="009D3F2D"/>
    <w:rsid w:val="009D43C6"/>
    <w:rsid w:val="009D43D8"/>
    <w:rsid w:val="009D4773"/>
    <w:rsid w:val="009D4792"/>
    <w:rsid w:val="009D4A09"/>
    <w:rsid w:val="009D4F4D"/>
    <w:rsid w:val="009D4FFB"/>
    <w:rsid w:val="009D507D"/>
    <w:rsid w:val="009D5120"/>
    <w:rsid w:val="009D56A9"/>
    <w:rsid w:val="009D5753"/>
    <w:rsid w:val="009D5933"/>
    <w:rsid w:val="009D5965"/>
    <w:rsid w:val="009D655A"/>
    <w:rsid w:val="009D6575"/>
    <w:rsid w:val="009D6ED6"/>
    <w:rsid w:val="009D724D"/>
    <w:rsid w:val="009D73FE"/>
    <w:rsid w:val="009D7CB4"/>
    <w:rsid w:val="009E0269"/>
    <w:rsid w:val="009E04C6"/>
    <w:rsid w:val="009E0780"/>
    <w:rsid w:val="009E0E2B"/>
    <w:rsid w:val="009E119D"/>
    <w:rsid w:val="009E121E"/>
    <w:rsid w:val="009E12C4"/>
    <w:rsid w:val="009E13FC"/>
    <w:rsid w:val="009E1410"/>
    <w:rsid w:val="009E1CF4"/>
    <w:rsid w:val="009E1DAB"/>
    <w:rsid w:val="009E1EF6"/>
    <w:rsid w:val="009E223E"/>
    <w:rsid w:val="009E2548"/>
    <w:rsid w:val="009E2DF1"/>
    <w:rsid w:val="009E301D"/>
    <w:rsid w:val="009E329B"/>
    <w:rsid w:val="009E37F9"/>
    <w:rsid w:val="009E3AC9"/>
    <w:rsid w:val="009E3C30"/>
    <w:rsid w:val="009E40B1"/>
    <w:rsid w:val="009E4416"/>
    <w:rsid w:val="009E452A"/>
    <w:rsid w:val="009E47D5"/>
    <w:rsid w:val="009E4E06"/>
    <w:rsid w:val="009E525F"/>
    <w:rsid w:val="009E5667"/>
    <w:rsid w:val="009E626B"/>
    <w:rsid w:val="009E645C"/>
    <w:rsid w:val="009E64B1"/>
    <w:rsid w:val="009E69F1"/>
    <w:rsid w:val="009E6CCD"/>
    <w:rsid w:val="009E6EDE"/>
    <w:rsid w:val="009E79FC"/>
    <w:rsid w:val="009E7ACC"/>
    <w:rsid w:val="009F00E2"/>
    <w:rsid w:val="009F09A8"/>
    <w:rsid w:val="009F0B03"/>
    <w:rsid w:val="009F0E2B"/>
    <w:rsid w:val="009F11DE"/>
    <w:rsid w:val="009F12F5"/>
    <w:rsid w:val="009F1501"/>
    <w:rsid w:val="009F17B5"/>
    <w:rsid w:val="009F1B1F"/>
    <w:rsid w:val="009F1D02"/>
    <w:rsid w:val="009F2227"/>
    <w:rsid w:val="009F24D7"/>
    <w:rsid w:val="009F2A5A"/>
    <w:rsid w:val="009F2D7B"/>
    <w:rsid w:val="009F2DCD"/>
    <w:rsid w:val="009F2EDC"/>
    <w:rsid w:val="009F2F9C"/>
    <w:rsid w:val="009F3020"/>
    <w:rsid w:val="009F33E2"/>
    <w:rsid w:val="009F35C5"/>
    <w:rsid w:val="009F369F"/>
    <w:rsid w:val="009F3802"/>
    <w:rsid w:val="009F383D"/>
    <w:rsid w:val="009F3EEA"/>
    <w:rsid w:val="009F401F"/>
    <w:rsid w:val="009F407C"/>
    <w:rsid w:val="009F4BE0"/>
    <w:rsid w:val="009F59D9"/>
    <w:rsid w:val="009F5C88"/>
    <w:rsid w:val="009F691B"/>
    <w:rsid w:val="009F6A04"/>
    <w:rsid w:val="009F6D1B"/>
    <w:rsid w:val="009F6D42"/>
    <w:rsid w:val="009F6EFD"/>
    <w:rsid w:val="009F72C1"/>
    <w:rsid w:val="009F732D"/>
    <w:rsid w:val="009F73B4"/>
    <w:rsid w:val="009F74D5"/>
    <w:rsid w:val="009F7889"/>
    <w:rsid w:val="009F78BE"/>
    <w:rsid w:val="00A001C5"/>
    <w:rsid w:val="00A004C1"/>
    <w:rsid w:val="00A00D4D"/>
    <w:rsid w:val="00A0156D"/>
    <w:rsid w:val="00A015B3"/>
    <w:rsid w:val="00A01B58"/>
    <w:rsid w:val="00A02A95"/>
    <w:rsid w:val="00A0310F"/>
    <w:rsid w:val="00A03210"/>
    <w:rsid w:val="00A03426"/>
    <w:rsid w:val="00A0397E"/>
    <w:rsid w:val="00A03AD2"/>
    <w:rsid w:val="00A03C94"/>
    <w:rsid w:val="00A0464F"/>
    <w:rsid w:val="00A048F3"/>
    <w:rsid w:val="00A0498A"/>
    <w:rsid w:val="00A04E7E"/>
    <w:rsid w:val="00A0501C"/>
    <w:rsid w:val="00A051F9"/>
    <w:rsid w:val="00A05518"/>
    <w:rsid w:val="00A05680"/>
    <w:rsid w:val="00A05742"/>
    <w:rsid w:val="00A05834"/>
    <w:rsid w:val="00A060B6"/>
    <w:rsid w:val="00A06CCB"/>
    <w:rsid w:val="00A06CE6"/>
    <w:rsid w:val="00A06E7F"/>
    <w:rsid w:val="00A06FE1"/>
    <w:rsid w:val="00A0735A"/>
    <w:rsid w:val="00A076DE"/>
    <w:rsid w:val="00A0784E"/>
    <w:rsid w:val="00A078E8"/>
    <w:rsid w:val="00A1045D"/>
    <w:rsid w:val="00A10766"/>
    <w:rsid w:val="00A107AB"/>
    <w:rsid w:val="00A109E9"/>
    <w:rsid w:val="00A10C63"/>
    <w:rsid w:val="00A11218"/>
    <w:rsid w:val="00A114AC"/>
    <w:rsid w:val="00A119B5"/>
    <w:rsid w:val="00A11A45"/>
    <w:rsid w:val="00A11C08"/>
    <w:rsid w:val="00A11C58"/>
    <w:rsid w:val="00A11DB1"/>
    <w:rsid w:val="00A11FF0"/>
    <w:rsid w:val="00A1235E"/>
    <w:rsid w:val="00A125F7"/>
    <w:rsid w:val="00A12D21"/>
    <w:rsid w:val="00A12EB0"/>
    <w:rsid w:val="00A13659"/>
    <w:rsid w:val="00A136B1"/>
    <w:rsid w:val="00A13BD2"/>
    <w:rsid w:val="00A13DAE"/>
    <w:rsid w:val="00A141A5"/>
    <w:rsid w:val="00A141FA"/>
    <w:rsid w:val="00A14240"/>
    <w:rsid w:val="00A14337"/>
    <w:rsid w:val="00A14453"/>
    <w:rsid w:val="00A14C77"/>
    <w:rsid w:val="00A15245"/>
    <w:rsid w:val="00A1533A"/>
    <w:rsid w:val="00A1544F"/>
    <w:rsid w:val="00A15903"/>
    <w:rsid w:val="00A15A6D"/>
    <w:rsid w:val="00A15E13"/>
    <w:rsid w:val="00A163B9"/>
    <w:rsid w:val="00A17665"/>
    <w:rsid w:val="00A20224"/>
    <w:rsid w:val="00A204A0"/>
    <w:rsid w:val="00A2097F"/>
    <w:rsid w:val="00A20C0C"/>
    <w:rsid w:val="00A21E6B"/>
    <w:rsid w:val="00A2201C"/>
    <w:rsid w:val="00A226AE"/>
    <w:rsid w:val="00A2272D"/>
    <w:rsid w:val="00A22A0E"/>
    <w:rsid w:val="00A22DE7"/>
    <w:rsid w:val="00A23313"/>
    <w:rsid w:val="00A23401"/>
    <w:rsid w:val="00A23669"/>
    <w:rsid w:val="00A24218"/>
    <w:rsid w:val="00A24B44"/>
    <w:rsid w:val="00A24DF1"/>
    <w:rsid w:val="00A24F7F"/>
    <w:rsid w:val="00A2506A"/>
    <w:rsid w:val="00A251A1"/>
    <w:rsid w:val="00A253DC"/>
    <w:rsid w:val="00A25D02"/>
    <w:rsid w:val="00A25F1E"/>
    <w:rsid w:val="00A262BD"/>
    <w:rsid w:val="00A27913"/>
    <w:rsid w:val="00A27FBA"/>
    <w:rsid w:val="00A30044"/>
    <w:rsid w:val="00A30061"/>
    <w:rsid w:val="00A302E8"/>
    <w:rsid w:val="00A3042A"/>
    <w:rsid w:val="00A30688"/>
    <w:rsid w:val="00A30A0A"/>
    <w:rsid w:val="00A30B2A"/>
    <w:rsid w:val="00A30B53"/>
    <w:rsid w:val="00A31127"/>
    <w:rsid w:val="00A3148D"/>
    <w:rsid w:val="00A31818"/>
    <w:rsid w:val="00A3190A"/>
    <w:rsid w:val="00A31D39"/>
    <w:rsid w:val="00A31E67"/>
    <w:rsid w:val="00A32D33"/>
    <w:rsid w:val="00A3301D"/>
    <w:rsid w:val="00A332F1"/>
    <w:rsid w:val="00A33580"/>
    <w:rsid w:val="00A344FB"/>
    <w:rsid w:val="00A34529"/>
    <w:rsid w:val="00A346FB"/>
    <w:rsid w:val="00A34F6C"/>
    <w:rsid w:val="00A35090"/>
    <w:rsid w:val="00A35362"/>
    <w:rsid w:val="00A35D06"/>
    <w:rsid w:val="00A365C0"/>
    <w:rsid w:val="00A36E0B"/>
    <w:rsid w:val="00A36E63"/>
    <w:rsid w:val="00A3735E"/>
    <w:rsid w:val="00A374CC"/>
    <w:rsid w:val="00A40605"/>
    <w:rsid w:val="00A40758"/>
    <w:rsid w:val="00A40AF1"/>
    <w:rsid w:val="00A4115F"/>
    <w:rsid w:val="00A413C9"/>
    <w:rsid w:val="00A41432"/>
    <w:rsid w:val="00A4210A"/>
    <w:rsid w:val="00A4250B"/>
    <w:rsid w:val="00A42AB8"/>
    <w:rsid w:val="00A42B64"/>
    <w:rsid w:val="00A42FCC"/>
    <w:rsid w:val="00A432B1"/>
    <w:rsid w:val="00A43F70"/>
    <w:rsid w:val="00A44131"/>
    <w:rsid w:val="00A447D7"/>
    <w:rsid w:val="00A44851"/>
    <w:rsid w:val="00A455D4"/>
    <w:rsid w:val="00A456BA"/>
    <w:rsid w:val="00A459BD"/>
    <w:rsid w:val="00A46454"/>
    <w:rsid w:val="00A46763"/>
    <w:rsid w:val="00A46B4D"/>
    <w:rsid w:val="00A46EC6"/>
    <w:rsid w:val="00A47BC9"/>
    <w:rsid w:val="00A47C84"/>
    <w:rsid w:val="00A47EBB"/>
    <w:rsid w:val="00A50135"/>
    <w:rsid w:val="00A50374"/>
    <w:rsid w:val="00A509EC"/>
    <w:rsid w:val="00A50DC2"/>
    <w:rsid w:val="00A50F22"/>
    <w:rsid w:val="00A51202"/>
    <w:rsid w:val="00A5170E"/>
    <w:rsid w:val="00A51C68"/>
    <w:rsid w:val="00A51E38"/>
    <w:rsid w:val="00A52360"/>
    <w:rsid w:val="00A528B5"/>
    <w:rsid w:val="00A53623"/>
    <w:rsid w:val="00A53FEE"/>
    <w:rsid w:val="00A548C3"/>
    <w:rsid w:val="00A551BA"/>
    <w:rsid w:val="00A55462"/>
    <w:rsid w:val="00A554DE"/>
    <w:rsid w:val="00A55832"/>
    <w:rsid w:val="00A55A3F"/>
    <w:rsid w:val="00A55B61"/>
    <w:rsid w:val="00A55D79"/>
    <w:rsid w:val="00A55D7B"/>
    <w:rsid w:val="00A56B0B"/>
    <w:rsid w:val="00A57642"/>
    <w:rsid w:val="00A577D3"/>
    <w:rsid w:val="00A57B6C"/>
    <w:rsid w:val="00A57DBD"/>
    <w:rsid w:val="00A6017B"/>
    <w:rsid w:val="00A6104D"/>
    <w:rsid w:val="00A61102"/>
    <w:rsid w:val="00A618D1"/>
    <w:rsid w:val="00A61F85"/>
    <w:rsid w:val="00A625FE"/>
    <w:rsid w:val="00A63132"/>
    <w:rsid w:val="00A631BB"/>
    <w:rsid w:val="00A6337E"/>
    <w:rsid w:val="00A63397"/>
    <w:rsid w:val="00A63C3B"/>
    <w:rsid w:val="00A641A1"/>
    <w:rsid w:val="00A64271"/>
    <w:rsid w:val="00A648EB"/>
    <w:rsid w:val="00A64A2C"/>
    <w:rsid w:val="00A65515"/>
    <w:rsid w:val="00A65812"/>
    <w:rsid w:val="00A6676A"/>
    <w:rsid w:val="00A6697A"/>
    <w:rsid w:val="00A66A59"/>
    <w:rsid w:val="00A66D58"/>
    <w:rsid w:val="00A670F2"/>
    <w:rsid w:val="00A67451"/>
    <w:rsid w:val="00A675D3"/>
    <w:rsid w:val="00A675FC"/>
    <w:rsid w:val="00A67B83"/>
    <w:rsid w:val="00A7021A"/>
    <w:rsid w:val="00A705CB"/>
    <w:rsid w:val="00A70678"/>
    <w:rsid w:val="00A707BF"/>
    <w:rsid w:val="00A70954"/>
    <w:rsid w:val="00A713B7"/>
    <w:rsid w:val="00A71AAB"/>
    <w:rsid w:val="00A72041"/>
    <w:rsid w:val="00A7262B"/>
    <w:rsid w:val="00A729C9"/>
    <w:rsid w:val="00A72BED"/>
    <w:rsid w:val="00A730EC"/>
    <w:rsid w:val="00A7384D"/>
    <w:rsid w:val="00A738C2"/>
    <w:rsid w:val="00A73A1B"/>
    <w:rsid w:val="00A73DD6"/>
    <w:rsid w:val="00A73F37"/>
    <w:rsid w:val="00A7450B"/>
    <w:rsid w:val="00A74C53"/>
    <w:rsid w:val="00A74EED"/>
    <w:rsid w:val="00A75408"/>
    <w:rsid w:val="00A759CE"/>
    <w:rsid w:val="00A76EE1"/>
    <w:rsid w:val="00A77B63"/>
    <w:rsid w:val="00A77D20"/>
    <w:rsid w:val="00A802F2"/>
    <w:rsid w:val="00A803DB"/>
    <w:rsid w:val="00A8040E"/>
    <w:rsid w:val="00A8042F"/>
    <w:rsid w:val="00A80807"/>
    <w:rsid w:val="00A81E87"/>
    <w:rsid w:val="00A82003"/>
    <w:rsid w:val="00A82979"/>
    <w:rsid w:val="00A82AED"/>
    <w:rsid w:val="00A82B3A"/>
    <w:rsid w:val="00A82F1D"/>
    <w:rsid w:val="00A8334E"/>
    <w:rsid w:val="00A835C9"/>
    <w:rsid w:val="00A83D5C"/>
    <w:rsid w:val="00A846BB"/>
    <w:rsid w:val="00A84AB3"/>
    <w:rsid w:val="00A84C50"/>
    <w:rsid w:val="00A850DB"/>
    <w:rsid w:val="00A852E9"/>
    <w:rsid w:val="00A859C2"/>
    <w:rsid w:val="00A85A85"/>
    <w:rsid w:val="00A86115"/>
    <w:rsid w:val="00A862B3"/>
    <w:rsid w:val="00A8659A"/>
    <w:rsid w:val="00A86C09"/>
    <w:rsid w:val="00A86F70"/>
    <w:rsid w:val="00A87943"/>
    <w:rsid w:val="00A879EA"/>
    <w:rsid w:val="00A87B9A"/>
    <w:rsid w:val="00A87D06"/>
    <w:rsid w:val="00A901F2"/>
    <w:rsid w:val="00A903A9"/>
    <w:rsid w:val="00A90BB6"/>
    <w:rsid w:val="00A90D5F"/>
    <w:rsid w:val="00A910CA"/>
    <w:rsid w:val="00A9143E"/>
    <w:rsid w:val="00A9153D"/>
    <w:rsid w:val="00A9181E"/>
    <w:rsid w:val="00A91893"/>
    <w:rsid w:val="00A91917"/>
    <w:rsid w:val="00A919DE"/>
    <w:rsid w:val="00A91A95"/>
    <w:rsid w:val="00A92080"/>
    <w:rsid w:val="00A921FA"/>
    <w:rsid w:val="00A92BF9"/>
    <w:rsid w:val="00A92F0F"/>
    <w:rsid w:val="00A93C28"/>
    <w:rsid w:val="00A940A7"/>
    <w:rsid w:val="00A94128"/>
    <w:rsid w:val="00A94908"/>
    <w:rsid w:val="00A94F70"/>
    <w:rsid w:val="00A951D4"/>
    <w:rsid w:val="00A955C2"/>
    <w:rsid w:val="00A95C8F"/>
    <w:rsid w:val="00A95D56"/>
    <w:rsid w:val="00A95D9C"/>
    <w:rsid w:val="00A9641C"/>
    <w:rsid w:val="00A9659F"/>
    <w:rsid w:val="00A968AF"/>
    <w:rsid w:val="00A96E07"/>
    <w:rsid w:val="00A973F4"/>
    <w:rsid w:val="00A97EF9"/>
    <w:rsid w:val="00AA0E9E"/>
    <w:rsid w:val="00AA0F9D"/>
    <w:rsid w:val="00AA1324"/>
    <w:rsid w:val="00AA1391"/>
    <w:rsid w:val="00AA174A"/>
    <w:rsid w:val="00AA17AF"/>
    <w:rsid w:val="00AA17E5"/>
    <w:rsid w:val="00AA18D6"/>
    <w:rsid w:val="00AA197B"/>
    <w:rsid w:val="00AA1A72"/>
    <w:rsid w:val="00AA1BC3"/>
    <w:rsid w:val="00AA1C10"/>
    <w:rsid w:val="00AA1C57"/>
    <w:rsid w:val="00AA1CDC"/>
    <w:rsid w:val="00AA1D0C"/>
    <w:rsid w:val="00AA2642"/>
    <w:rsid w:val="00AA281E"/>
    <w:rsid w:val="00AA3008"/>
    <w:rsid w:val="00AA35D3"/>
    <w:rsid w:val="00AA370C"/>
    <w:rsid w:val="00AA3DDA"/>
    <w:rsid w:val="00AA3F1A"/>
    <w:rsid w:val="00AA46B3"/>
    <w:rsid w:val="00AA48CB"/>
    <w:rsid w:val="00AA4D30"/>
    <w:rsid w:val="00AA4E3D"/>
    <w:rsid w:val="00AA508B"/>
    <w:rsid w:val="00AA528F"/>
    <w:rsid w:val="00AA5364"/>
    <w:rsid w:val="00AA55C1"/>
    <w:rsid w:val="00AA59AB"/>
    <w:rsid w:val="00AA5AA0"/>
    <w:rsid w:val="00AA5AE1"/>
    <w:rsid w:val="00AA5FA0"/>
    <w:rsid w:val="00AA6269"/>
    <w:rsid w:val="00AA6504"/>
    <w:rsid w:val="00AA69D1"/>
    <w:rsid w:val="00AA748B"/>
    <w:rsid w:val="00AA74CB"/>
    <w:rsid w:val="00AA7AD8"/>
    <w:rsid w:val="00AA7C79"/>
    <w:rsid w:val="00AB0447"/>
    <w:rsid w:val="00AB0EBD"/>
    <w:rsid w:val="00AB0F0E"/>
    <w:rsid w:val="00AB1680"/>
    <w:rsid w:val="00AB1A24"/>
    <w:rsid w:val="00AB1B19"/>
    <w:rsid w:val="00AB1B7D"/>
    <w:rsid w:val="00AB1D53"/>
    <w:rsid w:val="00AB2138"/>
    <w:rsid w:val="00AB224E"/>
    <w:rsid w:val="00AB22EF"/>
    <w:rsid w:val="00AB28D0"/>
    <w:rsid w:val="00AB333D"/>
    <w:rsid w:val="00AB3858"/>
    <w:rsid w:val="00AB3A86"/>
    <w:rsid w:val="00AB44F8"/>
    <w:rsid w:val="00AB4A39"/>
    <w:rsid w:val="00AB4D8F"/>
    <w:rsid w:val="00AB50C6"/>
    <w:rsid w:val="00AB5773"/>
    <w:rsid w:val="00AB581E"/>
    <w:rsid w:val="00AB5B7B"/>
    <w:rsid w:val="00AB5CAC"/>
    <w:rsid w:val="00AB6507"/>
    <w:rsid w:val="00AB6A19"/>
    <w:rsid w:val="00AB6AA2"/>
    <w:rsid w:val="00AB6C43"/>
    <w:rsid w:val="00AB6D0C"/>
    <w:rsid w:val="00AB716E"/>
    <w:rsid w:val="00AB7271"/>
    <w:rsid w:val="00AB7E7B"/>
    <w:rsid w:val="00AC0125"/>
    <w:rsid w:val="00AC04A0"/>
    <w:rsid w:val="00AC051A"/>
    <w:rsid w:val="00AC053C"/>
    <w:rsid w:val="00AC0C4B"/>
    <w:rsid w:val="00AC12E3"/>
    <w:rsid w:val="00AC13D8"/>
    <w:rsid w:val="00AC1CCA"/>
    <w:rsid w:val="00AC21E5"/>
    <w:rsid w:val="00AC2477"/>
    <w:rsid w:val="00AC2EC4"/>
    <w:rsid w:val="00AC2FB4"/>
    <w:rsid w:val="00AC300C"/>
    <w:rsid w:val="00AC46DF"/>
    <w:rsid w:val="00AC560C"/>
    <w:rsid w:val="00AC59B5"/>
    <w:rsid w:val="00AC60B8"/>
    <w:rsid w:val="00AC65B4"/>
    <w:rsid w:val="00AC680D"/>
    <w:rsid w:val="00AC6F8E"/>
    <w:rsid w:val="00AC72EB"/>
    <w:rsid w:val="00AC73BD"/>
    <w:rsid w:val="00AC7738"/>
    <w:rsid w:val="00AC7F21"/>
    <w:rsid w:val="00AD0542"/>
    <w:rsid w:val="00AD097C"/>
    <w:rsid w:val="00AD1074"/>
    <w:rsid w:val="00AD1137"/>
    <w:rsid w:val="00AD1193"/>
    <w:rsid w:val="00AD172F"/>
    <w:rsid w:val="00AD17F7"/>
    <w:rsid w:val="00AD1BBA"/>
    <w:rsid w:val="00AD1CAA"/>
    <w:rsid w:val="00AD1CB9"/>
    <w:rsid w:val="00AD2108"/>
    <w:rsid w:val="00AD2195"/>
    <w:rsid w:val="00AD238D"/>
    <w:rsid w:val="00AD2C47"/>
    <w:rsid w:val="00AD2F2B"/>
    <w:rsid w:val="00AD373A"/>
    <w:rsid w:val="00AD3C2D"/>
    <w:rsid w:val="00AD4388"/>
    <w:rsid w:val="00AD44C0"/>
    <w:rsid w:val="00AD4542"/>
    <w:rsid w:val="00AD5858"/>
    <w:rsid w:val="00AD5BD9"/>
    <w:rsid w:val="00AD5FFD"/>
    <w:rsid w:val="00AD6E50"/>
    <w:rsid w:val="00AD75A1"/>
    <w:rsid w:val="00AD7BB3"/>
    <w:rsid w:val="00AD7EA3"/>
    <w:rsid w:val="00AD7F72"/>
    <w:rsid w:val="00AE00BD"/>
    <w:rsid w:val="00AE095E"/>
    <w:rsid w:val="00AE0960"/>
    <w:rsid w:val="00AE0B8B"/>
    <w:rsid w:val="00AE185C"/>
    <w:rsid w:val="00AE1B53"/>
    <w:rsid w:val="00AE2D7C"/>
    <w:rsid w:val="00AE2DB5"/>
    <w:rsid w:val="00AE2DCD"/>
    <w:rsid w:val="00AE2EC1"/>
    <w:rsid w:val="00AE2F7B"/>
    <w:rsid w:val="00AE328D"/>
    <w:rsid w:val="00AE39B1"/>
    <w:rsid w:val="00AE3B63"/>
    <w:rsid w:val="00AE3D75"/>
    <w:rsid w:val="00AE3DBF"/>
    <w:rsid w:val="00AE4B2D"/>
    <w:rsid w:val="00AE4BA7"/>
    <w:rsid w:val="00AE4E40"/>
    <w:rsid w:val="00AE58C9"/>
    <w:rsid w:val="00AE6114"/>
    <w:rsid w:val="00AE67E9"/>
    <w:rsid w:val="00AE69FD"/>
    <w:rsid w:val="00AE6EE1"/>
    <w:rsid w:val="00AE7692"/>
    <w:rsid w:val="00AE7A1C"/>
    <w:rsid w:val="00AE7FE8"/>
    <w:rsid w:val="00AF0795"/>
    <w:rsid w:val="00AF0A6E"/>
    <w:rsid w:val="00AF1C66"/>
    <w:rsid w:val="00AF1CC3"/>
    <w:rsid w:val="00AF2971"/>
    <w:rsid w:val="00AF31A2"/>
    <w:rsid w:val="00AF34C4"/>
    <w:rsid w:val="00AF36D5"/>
    <w:rsid w:val="00AF49AC"/>
    <w:rsid w:val="00AF4AFB"/>
    <w:rsid w:val="00AF5860"/>
    <w:rsid w:val="00AF5EB0"/>
    <w:rsid w:val="00AF62FF"/>
    <w:rsid w:val="00AF6FD9"/>
    <w:rsid w:val="00AF7130"/>
    <w:rsid w:val="00AF7242"/>
    <w:rsid w:val="00AF774F"/>
    <w:rsid w:val="00AF7F96"/>
    <w:rsid w:val="00AF7FBE"/>
    <w:rsid w:val="00B0016C"/>
    <w:rsid w:val="00B0074C"/>
    <w:rsid w:val="00B00807"/>
    <w:rsid w:val="00B009AF"/>
    <w:rsid w:val="00B00E05"/>
    <w:rsid w:val="00B0291A"/>
    <w:rsid w:val="00B02B67"/>
    <w:rsid w:val="00B02E41"/>
    <w:rsid w:val="00B030BC"/>
    <w:rsid w:val="00B034D1"/>
    <w:rsid w:val="00B03534"/>
    <w:rsid w:val="00B03880"/>
    <w:rsid w:val="00B03954"/>
    <w:rsid w:val="00B039D6"/>
    <w:rsid w:val="00B04307"/>
    <w:rsid w:val="00B048A1"/>
    <w:rsid w:val="00B04E14"/>
    <w:rsid w:val="00B05485"/>
    <w:rsid w:val="00B058C7"/>
    <w:rsid w:val="00B059BE"/>
    <w:rsid w:val="00B05C57"/>
    <w:rsid w:val="00B0656A"/>
    <w:rsid w:val="00B06FFF"/>
    <w:rsid w:val="00B072A2"/>
    <w:rsid w:val="00B076B3"/>
    <w:rsid w:val="00B07758"/>
    <w:rsid w:val="00B0788E"/>
    <w:rsid w:val="00B07F51"/>
    <w:rsid w:val="00B1023E"/>
    <w:rsid w:val="00B107A5"/>
    <w:rsid w:val="00B108F8"/>
    <w:rsid w:val="00B10C4A"/>
    <w:rsid w:val="00B10EAB"/>
    <w:rsid w:val="00B11250"/>
    <w:rsid w:val="00B11F42"/>
    <w:rsid w:val="00B12290"/>
    <w:rsid w:val="00B1286A"/>
    <w:rsid w:val="00B12A5F"/>
    <w:rsid w:val="00B12A62"/>
    <w:rsid w:val="00B12F02"/>
    <w:rsid w:val="00B1361F"/>
    <w:rsid w:val="00B13C81"/>
    <w:rsid w:val="00B13FA9"/>
    <w:rsid w:val="00B141B9"/>
    <w:rsid w:val="00B14480"/>
    <w:rsid w:val="00B14915"/>
    <w:rsid w:val="00B15705"/>
    <w:rsid w:val="00B15B5D"/>
    <w:rsid w:val="00B15BB7"/>
    <w:rsid w:val="00B15D59"/>
    <w:rsid w:val="00B15F76"/>
    <w:rsid w:val="00B16043"/>
    <w:rsid w:val="00B16228"/>
    <w:rsid w:val="00B164A1"/>
    <w:rsid w:val="00B16536"/>
    <w:rsid w:val="00B16DCD"/>
    <w:rsid w:val="00B16E0A"/>
    <w:rsid w:val="00B17120"/>
    <w:rsid w:val="00B1748A"/>
    <w:rsid w:val="00B17752"/>
    <w:rsid w:val="00B17F01"/>
    <w:rsid w:val="00B17F96"/>
    <w:rsid w:val="00B2038F"/>
    <w:rsid w:val="00B20B8C"/>
    <w:rsid w:val="00B20C81"/>
    <w:rsid w:val="00B20EC3"/>
    <w:rsid w:val="00B22486"/>
    <w:rsid w:val="00B22991"/>
    <w:rsid w:val="00B22EE5"/>
    <w:rsid w:val="00B2348C"/>
    <w:rsid w:val="00B23B0F"/>
    <w:rsid w:val="00B23ECB"/>
    <w:rsid w:val="00B23F1B"/>
    <w:rsid w:val="00B241D9"/>
    <w:rsid w:val="00B242FB"/>
    <w:rsid w:val="00B24704"/>
    <w:rsid w:val="00B249B7"/>
    <w:rsid w:val="00B24BFD"/>
    <w:rsid w:val="00B25241"/>
    <w:rsid w:val="00B254E5"/>
    <w:rsid w:val="00B257C2"/>
    <w:rsid w:val="00B2582C"/>
    <w:rsid w:val="00B2643B"/>
    <w:rsid w:val="00B26AAC"/>
    <w:rsid w:val="00B26C66"/>
    <w:rsid w:val="00B27655"/>
    <w:rsid w:val="00B2768C"/>
    <w:rsid w:val="00B27FD2"/>
    <w:rsid w:val="00B3012D"/>
    <w:rsid w:val="00B301AF"/>
    <w:rsid w:val="00B30657"/>
    <w:rsid w:val="00B306F6"/>
    <w:rsid w:val="00B3094A"/>
    <w:rsid w:val="00B30D0A"/>
    <w:rsid w:val="00B30DE4"/>
    <w:rsid w:val="00B3170B"/>
    <w:rsid w:val="00B31B17"/>
    <w:rsid w:val="00B3212F"/>
    <w:rsid w:val="00B324E9"/>
    <w:rsid w:val="00B325EB"/>
    <w:rsid w:val="00B32B15"/>
    <w:rsid w:val="00B33072"/>
    <w:rsid w:val="00B33448"/>
    <w:rsid w:val="00B337C6"/>
    <w:rsid w:val="00B33935"/>
    <w:rsid w:val="00B33D74"/>
    <w:rsid w:val="00B34165"/>
    <w:rsid w:val="00B342D8"/>
    <w:rsid w:val="00B345EC"/>
    <w:rsid w:val="00B350D6"/>
    <w:rsid w:val="00B35368"/>
    <w:rsid w:val="00B35558"/>
    <w:rsid w:val="00B35752"/>
    <w:rsid w:val="00B358F8"/>
    <w:rsid w:val="00B360BB"/>
    <w:rsid w:val="00B36499"/>
    <w:rsid w:val="00B36C27"/>
    <w:rsid w:val="00B3741D"/>
    <w:rsid w:val="00B378BE"/>
    <w:rsid w:val="00B37D6B"/>
    <w:rsid w:val="00B37ED5"/>
    <w:rsid w:val="00B4002E"/>
    <w:rsid w:val="00B4062B"/>
    <w:rsid w:val="00B408B1"/>
    <w:rsid w:val="00B41490"/>
    <w:rsid w:val="00B41491"/>
    <w:rsid w:val="00B4174E"/>
    <w:rsid w:val="00B41AA0"/>
    <w:rsid w:val="00B41ACC"/>
    <w:rsid w:val="00B41F99"/>
    <w:rsid w:val="00B425D3"/>
    <w:rsid w:val="00B42B90"/>
    <w:rsid w:val="00B42BA4"/>
    <w:rsid w:val="00B431F2"/>
    <w:rsid w:val="00B43413"/>
    <w:rsid w:val="00B4366D"/>
    <w:rsid w:val="00B439E4"/>
    <w:rsid w:val="00B44392"/>
    <w:rsid w:val="00B44CBD"/>
    <w:rsid w:val="00B44E27"/>
    <w:rsid w:val="00B44F28"/>
    <w:rsid w:val="00B46266"/>
    <w:rsid w:val="00B466EB"/>
    <w:rsid w:val="00B46F77"/>
    <w:rsid w:val="00B473D6"/>
    <w:rsid w:val="00B474D6"/>
    <w:rsid w:val="00B476C0"/>
    <w:rsid w:val="00B47740"/>
    <w:rsid w:val="00B50A65"/>
    <w:rsid w:val="00B51218"/>
    <w:rsid w:val="00B51270"/>
    <w:rsid w:val="00B513DD"/>
    <w:rsid w:val="00B5159F"/>
    <w:rsid w:val="00B5162D"/>
    <w:rsid w:val="00B51CE8"/>
    <w:rsid w:val="00B520AB"/>
    <w:rsid w:val="00B52EA4"/>
    <w:rsid w:val="00B53289"/>
    <w:rsid w:val="00B548CD"/>
    <w:rsid w:val="00B556B9"/>
    <w:rsid w:val="00B55793"/>
    <w:rsid w:val="00B559B1"/>
    <w:rsid w:val="00B55D20"/>
    <w:rsid w:val="00B5612B"/>
    <w:rsid w:val="00B5673A"/>
    <w:rsid w:val="00B56789"/>
    <w:rsid w:val="00B56C64"/>
    <w:rsid w:val="00B56E6D"/>
    <w:rsid w:val="00B56E8A"/>
    <w:rsid w:val="00B56F14"/>
    <w:rsid w:val="00B574A5"/>
    <w:rsid w:val="00B57552"/>
    <w:rsid w:val="00B5756F"/>
    <w:rsid w:val="00B57735"/>
    <w:rsid w:val="00B57B8B"/>
    <w:rsid w:val="00B607B8"/>
    <w:rsid w:val="00B6100A"/>
    <w:rsid w:val="00B6101D"/>
    <w:rsid w:val="00B61244"/>
    <w:rsid w:val="00B61606"/>
    <w:rsid w:val="00B616EA"/>
    <w:rsid w:val="00B61720"/>
    <w:rsid w:val="00B61A33"/>
    <w:rsid w:val="00B61A34"/>
    <w:rsid w:val="00B6240C"/>
    <w:rsid w:val="00B625AE"/>
    <w:rsid w:val="00B63179"/>
    <w:rsid w:val="00B632A9"/>
    <w:rsid w:val="00B63338"/>
    <w:rsid w:val="00B63EE4"/>
    <w:rsid w:val="00B63F45"/>
    <w:rsid w:val="00B64207"/>
    <w:rsid w:val="00B64217"/>
    <w:rsid w:val="00B647FA"/>
    <w:rsid w:val="00B653F6"/>
    <w:rsid w:val="00B65488"/>
    <w:rsid w:val="00B655DA"/>
    <w:rsid w:val="00B65732"/>
    <w:rsid w:val="00B65735"/>
    <w:rsid w:val="00B6596F"/>
    <w:rsid w:val="00B6624D"/>
    <w:rsid w:val="00B66910"/>
    <w:rsid w:val="00B6697D"/>
    <w:rsid w:val="00B66B6D"/>
    <w:rsid w:val="00B670A4"/>
    <w:rsid w:val="00B67188"/>
    <w:rsid w:val="00B67ABB"/>
    <w:rsid w:val="00B67CC7"/>
    <w:rsid w:val="00B67F10"/>
    <w:rsid w:val="00B7039F"/>
    <w:rsid w:val="00B70B24"/>
    <w:rsid w:val="00B70CFA"/>
    <w:rsid w:val="00B70EDF"/>
    <w:rsid w:val="00B71B22"/>
    <w:rsid w:val="00B71EE1"/>
    <w:rsid w:val="00B7203D"/>
    <w:rsid w:val="00B7204E"/>
    <w:rsid w:val="00B731B2"/>
    <w:rsid w:val="00B73BB4"/>
    <w:rsid w:val="00B74106"/>
    <w:rsid w:val="00B7446E"/>
    <w:rsid w:val="00B745DE"/>
    <w:rsid w:val="00B74FEB"/>
    <w:rsid w:val="00B75639"/>
    <w:rsid w:val="00B7799C"/>
    <w:rsid w:val="00B77B97"/>
    <w:rsid w:val="00B80130"/>
    <w:rsid w:val="00B80503"/>
    <w:rsid w:val="00B80C41"/>
    <w:rsid w:val="00B81912"/>
    <w:rsid w:val="00B81C64"/>
    <w:rsid w:val="00B81FF4"/>
    <w:rsid w:val="00B82640"/>
    <w:rsid w:val="00B826BE"/>
    <w:rsid w:val="00B827DD"/>
    <w:rsid w:val="00B82B0B"/>
    <w:rsid w:val="00B83492"/>
    <w:rsid w:val="00B8373C"/>
    <w:rsid w:val="00B84A7C"/>
    <w:rsid w:val="00B84B03"/>
    <w:rsid w:val="00B85142"/>
    <w:rsid w:val="00B8520D"/>
    <w:rsid w:val="00B85A9D"/>
    <w:rsid w:val="00B85FFA"/>
    <w:rsid w:val="00B86914"/>
    <w:rsid w:val="00B86B8F"/>
    <w:rsid w:val="00B86E1C"/>
    <w:rsid w:val="00B87355"/>
    <w:rsid w:val="00B874F6"/>
    <w:rsid w:val="00B87543"/>
    <w:rsid w:val="00B87936"/>
    <w:rsid w:val="00B87B5F"/>
    <w:rsid w:val="00B90DBF"/>
    <w:rsid w:val="00B910F5"/>
    <w:rsid w:val="00B91807"/>
    <w:rsid w:val="00B9186D"/>
    <w:rsid w:val="00B919A6"/>
    <w:rsid w:val="00B919CF"/>
    <w:rsid w:val="00B91F99"/>
    <w:rsid w:val="00B92385"/>
    <w:rsid w:val="00B92450"/>
    <w:rsid w:val="00B92759"/>
    <w:rsid w:val="00B92BBE"/>
    <w:rsid w:val="00B93137"/>
    <w:rsid w:val="00B93284"/>
    <w:rsid w:val="00B93539"/>
    <w:rsid w:val="00B93768"/>
    <w:rsid w:val="00B9382A"/>
    <w:rsid w:val="00B9385B"/>
    <w:rsid w:val="00B93877"/>
    <w:rsid w:val="00B94022"/>
    <w:rsid w:val="00B9414A"/>
    <w:rsid w:val="00B94739"/>
    <w:rsid w:val="00B94D8B"/>
    <w:rsid w:val="00B95169"/>
    <w:rsid w:val="00B952F9"/>
    <w:rsid w:val="00B953E1"/>
    <w:rsid w:val="00B9563C"/>
    <w:rsid w:val="00B95C19"/>
    <w:rsid w:val="00B95C96"/>
    <w:rsid w:val="00B95D84"/>
    <w:rsid w:val="00B95E89"/>
    <w:rsid w:val="00B9669F"/>
    <w:rsid w:val="00B967DE"/>
    <w:rsid w:val="00B970E1"/>
    <w:rsid w:val="00B9774E"/>
    <w:rsid w:val="00B97986"/>
    <w:rsid w:val="00BA01DC"/>
    <w:rsid w:val="00BA0451"/>
    <w:rsid w:val="00BA13FE"/>
    <w:rsid w:val="00BA152E"/>
    <w:rsid w:val="00BA168D"/>
    <w:rsid w:val="00BA1D9F"/>
    <w:rsid w:val="00BA1DF0"/>
    <w:rsid w:val="00BA1FC3"/>
    <w:rsid w:val="00BA246D"/>
    <w:rsid w:val="00BA2BF9"/>
    <w:rsid w:val="00BA2F19"/>
    <w:rsid w:val="00BA2FB5"/>
    <w:rsid w:val="00BA314D"/>
    <w:rsid w:val="00BA343B"/>
    <w:rsid w:val="00BA35A2"/>
    <w:rsid w:val="00BA3E08"/>
    <w:rsid w:val="00BA3FF2"/>
    <w:rsid w:val="00BA40F0"/>
    <w:rsid w:val="00BA4172"/>
    <w:rsid w:val="00BA43F5"/>
    <w:rsid w:val="00BA47C3"/>
    <w:rsid w:val="00BA49F5"/>
    <w:rsid w:val="00BA4CF6"/>
    <w:rsid w:val="00BA4F6E"/>
    <w:rsid w:val="00BA502F"/>
    <w:rsid w:val="00BA6004"/>
    <w:rsid w:val="00BA62EC"/>
    <w:rsid w:val="00BA6753"/>
    <w:rsid w:val="00BA7423"/>
    <w:rsid w:val="00BA7532"/>
    <w:rsid w:val="00BA7829"/>
    <w:rsid w:val="00BA7BA3"/>
    <w:rsid w:val="00BB0709"/>
    <w:rsid w:val="00BB08CE"/>
    <w:rsid w:val="00BB08D5"/>
    <w:rsid w:val="00BB0E0E"/>
    <w:rsid w:val="00BB13BE"/>
    <w:rsid w:val="00BB13F5"/>
    <w:rsid w:val="00BB16BD"/>
    <w:rsid w:val="00BB171C"/>
    <w:rsid w:val="00BB190E"/>
    <w:rsid w:val="00BB1A5C"/>
    <w:rsid w:val="00BB1B93"/>
    <w:rsid w:val="00BB221D"/>
    <w:rsid w:val="00BB2780"/>
    <w:rsid w:val="00BB28F5"/>
    <w:rsid w:val="00BB2BC1"/>
    <w:rsid w:val="00BB3130"/>
    <w:rsid w:val="00BB3136"/>
    <w:rsid w:val="00BB3244"/>
    <w:rsid w:val="00BB3677"/>
    <w:rsid w:val="00BB3C13"/>
    <w:rsid w:val="00BB3F50"/>
    <w:rsid w:val="00BB413D"/>
    <w:rsid w:val="00BB4968"/>
    <w:rsid w:val="00BB5005"/>
    <w:rsid w:val="00BB51AF"/>
    <w:rsid w:val="00BB5555"/>
    <w:rsid w:val="00BB595D"/>
    <w:rsid w:val="00BB647C"/>
    <w:rsid w:val="00BB6802"/>
    <w:rsid w:val="00BB6994"/>
    <w:rsid w:val="00BB699E"/>
    <w:rsid w:val="00BB6D17"/>
    <w:rsid w:val="00BB6D50"/>
    <w:rsid w:val="00BB6E03"/>
    <w:rsid w:val="00BB6EAF"/>
    <w:rsid w:val="00BB6ED5"/>
    <w:rsid w:val="00BB7418"/>
    <w:rsid w:val="00BB75D7"/>
    <w:rsid w:val="00BB75FB"/>
    <w:rsid w:val="00BB7D03"/>
    <w:rsid w:val="00BC01DB"/>
    <w:rsid w:val="00BC032B"/>
    <w:rsid w:val="00BC03DB"/>
    <w:rsid w:val="00BC09D1"/>
    <w:rsid w:val="00BC0CEB"/>
    <w:rsid w:val="00BC0EAF"/>
    <w:rsid w:val="00BC14DF"/>
    <w:rsid w:val="00BC2107"/>
    <w:rsid w:val="00BC2158"/>
    <w:rsid w:val="00BC2A1A"/>
    <w:rsid w:val="00BC2E2F"/>
    <w:rsid w:val="00BC3668"/>
    <w:rsid w:val="00BC38CD"/>
    <w:rsid w:val="00BC3B3B"/>
    <w:rsid w:val="00BC4022"/>
    <w:rsid w:val="00BC439F"/>
    <w:rsid w:val="00BC440B"/>
    <w:rsid w:val="00BC44D7"/>
    <w:rsid w:val="00BC4655"/>
    <w:rsid w:val="00BC555B"/>
    <w:rsid w:val="00BC5710"/>
    <w:rsid w:val="00BC5BE5"/>
    <w:rsid w:val="00BC6690"/>
    <w:rsid w:val="00BC68D7"/>
    <w:rsid w:val="00BC6C1D"/>
    <w:rsid w:val="00BC6F84"/>
    <w:rsid w:val="00BC775D"/>
    <w:rsid w:val="00BC79C4"/>
    <w:rsid w:val="00BC7C65"/>
    <w:rsid w:val="00BD0336"/>
    <w:rsid w:val="00BD0E47"/>
    <w:rsid w:val="00BD1908"/>
    <w:rsid w:val="00BD1BD2"/>
    <w:rsid w:val="00BD1EAF"/>
    <w:rsid w:val="00BD21C8"/>
    <w:rsid w:val="00BD22A8"/>
    <w:rsid w:val="00BD247D"/>
    <w:rsid w:val="00BD29D6"/>
    <w:rsid w:val="00BD2DD0"/>
    <w:rsid w:val="00BD3DFD"/>
    <w:rsid w:val="00BD4082"/>
    <w:rsid w:val="00BD415D"/>
    <w:rsid w:val="00BD4276"/>
    <w:rsid w:val="00BD4545"/>
    <w:rsid w:val="00BD51E7"/>
    <w:rsid w:val="00BD5520"/>
    <w:rsid w:val="00BD571D"/>
    <w:rsid w:val="00BD57EA"/>
    <w:rsid w:val="00BD5AE3"/>
    <w:rsid w:val="00BD608D"/>
    <w:rsid w:val="00BD65F7"/>
    <w:rsid w:val="00BD6833"/>
    <w:rsid w:val="00BD6905"/>
    <w:rsid w:val="00BD7307"/>
    <w:rsid w:val="00BD77C1"/>
    <w:rsid w:val="00BD7D6D"/>
    <w:rsid w:val="00BD7DB3"/>
    <w:rsid w:val="00BE0080"/>
    <w:rsid w:val="00BE036D"/>
    <w:rsid w:val="00BE0750"/>
    <w:rsid w:val="00BE0AC8"/>
    <w:rsid w:val="00BE0F3C"/>
    <w:rsid w:val="00BE1121"/>
    <w:rsid w:val="00BE1369"/>
    <w:rsid w:val="00BE1D67"/>
    <w:rsid w:val="00BE1E5D"/>
    <w:rsid w:val="00BE1F78"/>
    <w:rsid w:val="00BE1FAD"/>
    <w:rsid w:val="00BE2346"/>
    <w:rsid w:val="00BE285E"/>
    <w:rsid w:val="00BE3278"/>
    <w:rsid w:val="00BE3313"/>
    <w:rsid w:val="00BE3701"/>
    <w:rsid w:val="00BE3D1E"/>
    <w:rsid w:val="00BE3FCA"/>
    <w:rsid w:val="00BE441A"/>
    <w:rsid w:val="00BE44F6"/>
    <w:rsid w:val="00BE4947"/>
    <w:rsid w:val="00BE4E81"/>
    <w:rsid w:val="00BE53B4"/>
    <w:rsid w:val="00BE545F"/>
    <w:rsid w:val="00BE6372"/>
    <w:rsid w:val="00BE6418"/>
    <w:rsid w:val="00BE6475"/>
    <w:rsid w:val="00BE68F1"/>
    <w:rsid w:val="00BE7508"/>
    <w:rsid w:val="00BE756E"/>
    <w:rsid w:val="00BE7EE5"/>
    <w:rsid w:val="00BF0EA0"/>
    <w:rsid w:val="00BF1565"/>
    <w:rsid w:val="00BF1A27"/>
    <w:rsid w:val="00BF1AE0"/>
    <w:rsid w:val="00BF1B83"/>
    <w:rsid w:val="00BF254C"/>
    <w:rsid w:val="00BF2789"/>
    <w:rsid w:val="00BF2B2F"/>
    <w:rsid w:val="00BF2C39"/>
    <w:rsid w:val="00BF2E34"/>
    <w:rsid w:val="00BF311A"/>
    <w:rsid w:val="00BF33C0"/>
    <w:rsid w:val="00BF3B45"/>
    <w:rsid w:val="00BF3EDF"/>
    <w:rsid w:val="00BF476D"/>
    <w:rsid w:val="00BF47C9"/>
    <w:rsid w:val="00BF49B7"/>
    <w:rsid w:val="00BF4D79"/>
    <w:rsid w:val="00BF54B2"/>
    <w:rsid w:val="00BF55F9"/>
    <w:rsid w:val="00BF5796"/>
    <w:rsid w:val="00BF5918"/>
    <w:rsid w:val="00BF5DA7"/>
    <w:rsid w:val="00BF6264"/>
    <w:rsid w:val="00BF679B"/>
    <w:rsid w:val="00BF6858"/>
    <w:rsid w:val="00BF715E"/>
    <w:rsid w:val="00BF7341"/>
    <w:rsid w:val="00BF781E"/>
    <w:rsid w:val="00C004CC"/>
    <w:rsid w:val="00C012CE"/>
    <w:rsid w:val="00C01354"/>
    <w:rsid w:val="00C01B7D"/>
    <w:rsid w:val="00C01BBA"/>
    <w:rsid w:val="00C01E53"/>
    <w:rsid w:val="00C01F7E"/>
    <w:rsid w:val="00C020B4"/>
    <w:rsid w:val="00C026C3"/>
    <w:rsid w:val="00C02AA4"/>
    <w:rsid w:val="00C03250"/>
    <w:rsid w:val="00C032DE"/>
    <w:rsid w:val="00C03850"/>
    <w:rsid w:val="00C0406F"/>
    <w:rsid w:val="00C04AEB"/>
    <w:rsid w:val="00C04AEC"/>
    <w:rsid w:val="00C04C4A"/>
    <w:rsid w:val="00C04CCF"/>
    <w:rsid w:val="00C04D9D"/>
    <w:rsid w:val="00C04E86"/>
    <w:rsid w:val="00C05215"/>
    <w:rsid w:val="00C0529E"/>
    <w:rsid w:val="00C05300"/>
    <w:rsid w:val="00C05983"/>
    <w:rsid w:val="00C0602D"/>
    <w:rsid w:val="00C0628B"/>
    <w:rsid w:val="00C06952"/>
    <w:rsid w:val="00C069EB"/>
    <w:rsid w:val="00C06AF6"/>
    <w:rsid w:val="00C06CE3"/>
    <w:rsid w:val="00C06D6D"/>
    <w:rsid w:val="00C06FAC"/>
    <w:rsid w:val="00C070D3"/>
    <w:rsid w:val="00C07131"/>
    <w:rsid w:val="00C07A10"/>
    <w:rsid w:val="00C07A88"/>
    <w:rsid w:val="00C07C0E"/>
    <w:rsid w:val="00C10749"/>
    <w:rsid w:val="00C11038"/>
    <w:rsid w:val="00C12009"/>
    <w:rsid w:val="00C121A5"/>
    <w:rsid w:val="00C122C3"/>
    <w:rsid w:val="00C125B8"/>
    <w:rsid w:val="00C125E1"/>
    <w:rsid w:val="00C12863"/>
    <w:rsid w:val="00C12FD8"/>
    <w:rsid w:val="00C13337"/>
    <w:rsid w:val="00C1407A"/>
    <w:rsid w:val="00C142C8"/>
    <w:rsid w:val="00C147FC"/>
    <w:rsid w:val="00C14BFA"/>
    <w:rsid w:val="00C162B0"/>
    <w:rsid w:val="00C17121"/>
    <w:rsid w:val="00C17F89"/>
    <w:rsid w:val="00C201C1"/>
    <w:rsid w:val="00C205EF"/>
    <w:rsid w:val="00C20EB6"/>
    <w:rsid w:val="00C21066"/>
    <w:rsid w:val="00C21278"/>
    <w:rsid w:val="00C216D0"/>
    <w:rsid w:val="00C21719"/>
    <w:rsid w:val="00C2182C"/>
    <w:rsid w:val="00C21DAC"/>
    <w:rsid w:val="00C221AF"/>
    <w:rsid w:val="00C227B6"/>
    <w:rsid w:val="00C22C69"/>
    <w:rsid w:val="00C23105"/>
    <w:rsid w:val="00C23722"/>
    <w:rsid w:val="00C23AF9"/>
    <w:rsid w:val="00C24634"/>
    <w:rsid w:val="00C24825"/>
    <w:rsid w:val="00C25345"/>
    <w:rsid w:val="00C25AE9"/>
    <w:rsid w:val="00C25E1F"/>
    <w:rsid w:val="00C25F9A"/>
    <w:rsid w:val="00C262E6"/>
    <w:rsid w:val="00C26606"/>
    <w:rsid w:val="00C26B6B"/>
    <w:rsid w:val="00C26C23"/>
    <w:rsid w:val="00C27E24"/>
    <w:rsid w:val="00C27FB3"/>
    <w:rsid w:val="00C301B6"/>
    <w:rsid w:val="00C30243"/>
    <w:rsid w:val="00C30495"/>
    <w:rsid w:val="00C3064E"/>
    <w:rsid w:val="00C3118E"/>
    <w:rsid w:val="00C311C4"/>
    <w:rsid w:val="00C31287"/>
    <w:rsid w:val="00C312B8"/>
    <w:rsid w:val="00C313F0"/>
    <w:rsid w:val="00C31D4D"/>
    <w:rsid w:val="00C3201B"/>
    <w:rsid w:val="00C324F2"/>
    <w:rsid w:val="00C32A51"/>
    <w:rsid w:val="00C32BEA"/>
    <w:rsid w:val="00C32FA5"/>
    <w:rsid w:val="00C33691"/>
    <w:rsid w:val="00C338AF"/>
    <w:rsid w:val="00C33B89"/>
    <w:rsid w:val="00C33F55"/>
    <w:rsid w:val="00C346C1"/>
    <w:rsid w:val="00C34898"/>
    <w:rsid w:val="00C34A28"/>
    <w:rsid w:val="00C34DD2"/>
    <w:rsid w:val="00C35667"/>
    <w:rsid w:val="00C3580D"/>
    <w:rsid w:val="00C35A4E"/>
    <w:rsid w:val="00C35BD3"/>
    <w:rsid w:val="00C35CAC"/>
    <w:rsid w:val="00C35ED1"/>
    <w:rsid w:val="00C36705"/>
    <w:rsid w:val="00C36985"/>
    <w:rsid w:val="00C369E3"/>
    <w:rsid w:val="00C36CC6"/>
    <w:rsid w:val="00C37535"/>
    <w:rsid w:val="00C37CCD"/>
    <w:rsid w:val="00C37F09"/>
    <w:rsid w:val="00C4071B"/>
    <w:rsid w:val="00C409DF"/>
    <w:rsid w:val="00C40D3E"/>
    <w:rsid w:val="00C4105D"/>
    <w:rsid w:val="00C412FD"/>
    <w:rsid w:val="00C415FB"/>
    <w:rsid w:val="00C41A2E"/>
    <w:rsid w:val="00C42E72"/>
    <w:rsid w:val="00C436A8"/>
    <w:rsid w:val="00C438DE"/>
    <w:rsid w:val="00C44110"/>
    <w:rsid w:val="00C44500"/>
    <w:rsid w:val="00C4451E"/>
    <w:rsid w:val="00C44575"/>
    <w:rsid w:val="00C445EA"/>
    <w:rsid w:val="00C45565"/>
    <w:rsid w:val="00C45574"/>
    <w:rsid w:val="00C4558F"/>
    <w:rsid w:val="00C457DB"/>
    <w:rsid w:val="00C45AFF"/>
    <w:rsid w:val="00C45D7D"/>
    <w:rsid w:val="00C4639F"/>
    <w:rsid w:val="00C46B3D"/>
    <w:rsid w:val="00C46C66"/>
    <w:rsid w:val="00C471F6"/>
    <w:rsid w:val="00C47956"/>
    <w:rsid w:val="00C47DBE"/>
    <w:rsid w:val="00C5029D"/>
    <w:rsid w:val="00C503E9"/>
    <w:rsid w:val="00C50849"/>
    <w:rsid w:val="00C50C0F"/>
    <w:rsid w:val="00C50CE8"/>
    <w:rsid w:val="00C50EB7"/>
    <w:rsid w:val="00C5113D"/>
    <w:rsid w:val="00C526C9"/>
    <w:rsid w:val="00C52DBE"/>
    <w:rsid w:val="00C52FC3"/>
    <w:rsid w:val="00C536F9"/>
    <w:rsid w:val="00C538F7"/>
    <w:rsid w:val="00C53A99"/>
    <w:rsid w:val="00C53B32"/>
    <w:rsid w:val="00C53CAB"/>
    <w:rsid w:val="00C54084"/>
    <w:rsid w:val="00C5448F"/>
    <w:rsid w:val="00C54787"/>
    <w:rsid w:val="00C54A24"/>
    <w:rsid w:val="00C54AC0"/>
    <w:rsid w:val="00C54BC3"/>
    <w:rsid w:val="00C54D96"/>
    <w:rsid w:val="00C54E9B"/>
    <w:rsid w:val="00C55B40"/>
    <w:rsid w:val="00C55B87"/>
    <w:rsid w:val="00C560D9"/>
    <w:rsid w:val="00C565B0"/>
    <w:rsid w:val="00C56846"/>
    <w:rsid w:val="00C56FCB"/>
    <w:rsid w:val="00C57095"/>
    <w:rsid w:val="00C570E4"/>
    <w:rsid w:val="00C60214"/>
    <w:rsid w:val="00C60649"/>
    <w:rsid w:val="00C610F7"/>
    <w:rsid w:val="00C6120B"/>
    <w:rsid w:val="00C61D4A"/>
    <w:rsid w:val="00C61F86"/>
    <w:rsid w:val="00C62007"/>
    <w:rsid w:val="00C624CD"/>
    <w:rsid w:val="00C6270F"/>
    <w:rsid w:val="00C62870"/>
    <w:rsid w:val="00C62E24"/>
    <w:rsid w:val="00C633C4"/>
    <w:rsid w:val="00C63407"/>
    <w:rsid w:val="00C63C20"/>
    <w:rsid w:val="00C63FBC"/>
    <w:rsid w:val="00C64413"/>
    <w:rsid w:val="00C64544"/>
    <w:rsid w:val="00C647D7"/>
    <w:rsid w:val="00C64F18"/>
    <w:rsid w:val="00C654DA"/>
    <w:rsid w:val="00C6677D"/>
    <w:rsid w:val="00C66AC0"/>
    <w:rsid w:val="00C66B53"/>
    <w:rsid w:val="00C66BAF"/>
    <w:rsid w:val="00C66BF1"/>
    <w:rsid w:val="00C6711D"/>
    <w:rsid w:val="00C677E6"/>
    <w:rsid w:val="00C703BE"/>
    <w:rsid w:val="00C70502"/>
    <w:rsid w:val="00C7078A"/>
    <w:rsid w:val="00C707DB"/>
    <w:rsid w:val="00C708C4"/>
    <w:rsid w:val="00C708EF"/>
    <w:rsid w:val="00C710C6"/>
    <w:rsid w:val="00C717B3"/>
    <w:rsid w:val="00C718F6"/>
    <w:rsid w:val="00C71BE3"/>
    <w:rsid w:val="00C71F35"/>
    <w:rsid w:val="00C72413"/>
    <w:rsid w:val="00C725D8"/>
    <w:rsid w:val="00C72699"/>
    <w:rsid w:val="00C72B21"/>
    <w:rsid w:val="00C73018"/>
    <w:rsid w:val="00C7323D"/>
    <w:rsid w:val="00C7360C"/>
    <w:rsid w:val="00C73964"/>
    <w:rsid w:val="00C73A82"/>
    <w:rsid w:val="00C73C96"/>
    <w:rsid w:val="00C73EC9"/>
    <w:rsid w:val="00C741D3"/>
    <w:rsid w:val="00C74213"/>
    <w:rsid w:val="00C74768"/>
    <w:rsid w:val="00C74929"/>
    <w:rsid w:val="00C74BEA"/>
    <w:rsid w:val="00C757C4"/>
    <w:rsid w:val="00C75BF1"/>
    <w:rsid w:val="00C75C3F"/>
    <w:rsid w:val="00C75D10"/>
    <w:rsid w:val="00C76052"/>
    <w:rsid w:val="00C7665D"/>
    <w:rsid w:val="00C76933"/>
    <w:rsid w:val="00C770BC"/>
    <w:rsid w:val="00C77748"/>
    <w:rsid w:val="00C77FE5"/>
    <w:rsid w:val="00C80174"/>
    <w:rsid w:val="00C80787"/>
    <w:rsid w:val="00C80E0F"/>
    <w:rsid w:val="00C80E68"/>
    <w:rsid w:val="00C80EFF"/>
    <w:rsid w:val="00C81220"/>
    <w:rsid w:val="00C815FA"/>
    <w:rsid w:val="00C820F2"/>
    <w:rsid w:val="00C82934"/>
    <w:rsid w:val="00C82A17"/>
    <w:rsid w:val="00C82B2F"/>
    <w:rsid w:val="00C82C49"/>
    <w:rsid w:val="00C82E4F"/>
    <w:rsid w:val="00C8301F"/>
    <w:rsid w:val="00C8363A"/>
    <w:rsid w:val="00C83B06"/>
    <w:rsid w:val="00C842EB"/>
    <w:rsid w:val="00C842F6"/>
    <w:rsid w:val="00C84855"/>
    <w:rsid w:val="00C848AA"/>
    <w:rsid w:val="00C84E3C"/>
    <w:rsid w:val="00C85302"/>
    <w:rsid w:val="00C8535C"/>
    <w:rsid w:val="00C85B2F"/>
    <w:rsid w:val="00C85BDC"/>
    <w:rsid w:val="00C85D89"/>
    <w:rsid w:val="00C85E07"/>
    <w:rsid w:val="00C8633E"/>
    <w:rsid w:val="00C865D8"/>
    <w:rsid w:val="00C8667F"/>
    <w:rsid w:val="00C86F15"/>
    <w:rsid w:val="00C871B0"/>
    <w:rsid w:val="00C8794E"/>
    <w:rsid w:val="00C87B7C"/>
    <w:rsid w:val="00C905F3"/>
    <w:rsid w:val="00C90854"/>
    <w:rsid w:val="00C90989"/>
    <w:rsid w:val="00C90CF2"/>
    <w:rsid w:val="00C91453"/>
    <w:rsid w:val="00C91463"/>
    <w:rsid w:val="00C91678"/>
    <w:rsid w:val="00C92A86"/>
    <w:rsid w:val="00C92D1A"/>
    <w:rsid w:val="00C92E2A"/>
    <w:rsid w:val="00C92F2C"/>
    <w:rsid w:val="00C94A9D"/>
    <w:rsid w:val="00C94D48"/>
    <w:rsid w:val="00C94E43"/>
    <w:rsid w:val="00C94F1B"/>
    <w:rsid w:val="00C954CD"/>
    <w:rsid w:val="00C95C52"/>
    <w:rsid w:val="00C95FDF"/>
    <w:rsid w:val="00C96020"/>
    <w:rsid w:val="00C96104"/>
    <w:rsid w:val="00C96852"/>
    <w:rsid w:val="00C9691E"/>
    <w:rsid w:val="00C9705B"/>
    <w:rsid w:val="00C97169"/>
    <w:rsid w:val="00C97C11"/>
    <w:rsid w:val="00C97EF7"/>
    <w:rsid w:val="00CA026D"/>
    <w:rsid w:val="00CA0632"/>
    <w:rsid w:val="00CA0898"/>
    <w:rsid w:val="00CA0A7B"/>
    <w:rsid w:val="00CA0E24"/>
    <w:rsid w:val="00CA14D3"/>
    <w:rsid w:val="00CA1614"/>
    <w:rsid w:val="00CA18E3"/>
    <w:rsid w:val="00CA19CB"/>
    <w:rsid w:val="00CA234F"/>
    <w:rsid w:val="00CA2C94"/>
    <w:rsid w:val="00CA2D7F"/>
    <w:rsid w:val="00CA3172"/>
    <w:rsid w:val="00CA39D6"/>
    <w:rsid w:val="00CA3C09"/>
    <w:rsid w:val="00CA42FC"/>
    <w:rsid w:val="00CA4509"/>
    <w:rsid w:val="00CA4554"/>
    <w:rsid w:val="00CA45C4"/>
    <w:rsid w:val="00CA47F2"/>
    <w:rsid w:val="00CA4C5B"/>
    <w:rsid w:val="00CA4FFA"/>
    <w:rsid w:val="00CA5030"/>
    <w:rsid w:val="00CA58FE"/>
    <w:rsid w:val="00CA5A2D"/>
    <w:rsid w:val="00CA5EB5"/>
    <w:rsid w:val="00CA63E6"/>
    <w:rsid w:val="00CA63E8"/>
    <w:rsid w:val="00CA6832"/>
    <w:rsid w:val="00CA6B8C"/>
    <w:rsid w:val="00CA7570"/>
    <w:rsid w:val="00CA79AB"/>
    <w:rsid w:val="00CA79EB"/>
    <w:rsid w:val="00CA7C88"/>
    <w:rsid w:val="00CA7EED"/>
    <w:rsid w:val="00CA7F3C"/>
    <w:rsid w:val="00CB09E1"/>
    <w:rsid w:val="00CB0F3A"/>
    <w:rsid w:val="00CB15B4"/>
    <w:rsid w:val="00CB1635"/>
    <w:rsid w:val="00CB189C"/>
    <w:rsid w:val="00CB197B"/>
    <w:rsid w:val="00CB1C1A"/>
    <w:rsid w:val="00CB303D"/>
    <w:rsid w:val="00CB3DE4"/>
    <w:rsid w:val="00CB3E76"/>
    <w:rsid w:val="00CB42B3"/>
    <w:rsid w:val="00CB4625"/>
    <w:rsid w:val="00CB4651"/>
    <w:rsid w:val="00CB49E1"/>
    <w:rsid w:val="00CB4C5F"/>
    <w:rsid w:val="00CB5153"/>
    <w:rsid w:val="00CB5929"/>
    <w:rsid w:val="00CB5E6B"/>
    <w:rsid w:val="00CB70E1"/>
    <w:rsid w:val="00CB72C3"/>
    <w:rsid w:val="00CB7463"/>
    <w:rsid w:val="00CB75B8"/>
    <w:rsid w:val="00CB7F63"/>
    <w:rsid w:val="00CC03D2"/>
    <w:rsid w:val="00CC07FD"/>
    <w:rsid w:val="00CC144D"/>
    <w:rsid w:val="00CC16DD"/>
    <w:rsid w:val="00CC19D0"/>
    <w:rsid w:val="00CC1E72"/>
    <w:rsid w:val="00CC1FCC"/>
    <w:rsid w:val="00CC22FF"/>
    <w:rsid w:val="00CC2658"/>
    <w:rsid w:val="00CC36A1"/>
    <w:rsid w:val="00CC3F28"/>
    <w:rsid w:val="00CC455D"/>
    <w:rsid w:val="00CC45DD"/>
    <w:rsid w:val="00CC48DD"/>
    <w:rsid w:val="00CC5251"/>
    <w:rsid w:val="00CC53EB"/>
    <w:rsid w:val="00CC578B"/>
    <w:rsid w:val="00CC57C6"/>
    <w:rsid w:val="00CC5B6A"/>
    <w:rsid w:val="00CC63CA"/>
    <w:rsid w:val="00CC672A"/>
    <w:rsid w:val="00CC6D7A"/>
    <w:rsid w:val="00CC70E1"/>
    <w:rsid w:val="00CC74A8"/>
    <w:rsid w:val="00CD0E6B"/>
    <w:rsid w:val="00CD11FC"/>
    <w:rsid w:val="00CD13E2"/>
    <w:rsid w:val="00CD195D"/>
    <w:rsid w:val="00CD1A77"/>
    <w:rsid w:val="00CD1C64"/>
    <w:rsid w:val="00CD1D1E"/>
    <w:rsid w:val="00CD1D56"/>
    <w:rsid w:val="00CD1D5D"/>
    <w:rsid w:val="00CD21ED"/>
    <w:rsid w:val="00CD22A0"/>
    <w:rsid w:val="00CD2600"/>
    <w:rsid w:val="00CD2705"/>
    <w:rsid w:val="00CD2C71"/>
    <w:rsid w:val="00CD3445"/>
    <w:rsid w:val="00CD351F"/>
    <w:rsid w:val="00CD3756"/>
    <w:rsid w:val="00CD3924"/>
    <w:rsid w:val="00CD3D72"/>
    <w:rsid w:val="00CD4876"/>
    <w:rsid w:val="00CD48E3"/>
    <w:rsid w:val="00CD48FC"/>
    <w:rsid w:val="00CD5097"/>
    <w:rsid w:val="00CD59B3"/>
    <w:rsid w:val="00CD5E41"/>
    <w:rsid w:val="00CD5EFD"/>
    <w:rsid w:val="00CD6088"/>
    <w:rsid w:val="00CD6366"/>
    <w:rsid w:val="00CD6964"/>
    <w:rsid w:val="00CD6B4A"/>
    <w:rsid w:val="00CD6FAB"/>
    <w:rsid w:val="00CD767F"/>
    <w:rsid w:val="00CD7BD1"/>
    <w:rsid w:val="00CD7C02"/>
    <w:rsid w:val="00CD7D49"/>
    <w:rsid w:val="00CD7EF9"/>
    <w:rsid w:val="00CE02DE"/>
    <w:rsid w:val="00CE050C"/>
    <w:rsid w:val="00CE080F"/>
    <w:rsid w:val="00CE090E"/>
    <w:rsid w:val="00CE0A36"/>
    <w:rsid w:val="00CE0F3A"/>
    <w:rsid w:val="00CE1001"/>
    <w:rsid w:val="00CE109C"/>
    <w:rsid w:val="00CE17E5"/>
    <w:rsid w:val="00CE1CEC"/>
    <w:rsid w:val="00CE1F2D"/>
    <w:rsid w:val="00CE2738"/>
    <w:rsid w:val="00CE28DD"/>
    <w:rsid w:val="00CE2A1D"/>
    <w:rsid w:val="00CE2C94"/>
    <w:rsid w:val="00CE33DA"/>
    <w:rsid w:val="00CE3577"/>
    <w:rsid w:val="00CE3811"/>
    <w:rsid w:val="00CE3B6D"/>
    <w:rsid w:val="00CE3C75"/>
    <w:rsid w:val="00CE3E9C"/>
    <w:rsid w:val="00CE4378"/>
    <w:rsid w:val="00CE4901"/>
    <w:rsid w:val="00CE4E4A"/>
    <w:rsid w:val="00CE5311"/>
    <w:rsid w:val="00CE5D5E"/>
    <w:rsid w:val="00CE60F8"/>
    <w:rsid w:val="00CE634B"/>
    <w:rsid w:val="00CE690A"/>
    <w:rsid w:val="00CE73D2"/>
    <w:rsid w:val="00CE765F"/>
    <w:rsid w:val="00CE787A"/>
    <w:rsid w:val="00CE7CB9"/>
    <w:rsid w:val="00CE7EE8"/>
    <w:rsid w:val="00CF05D6"/>
    <w:rsid w:val="00CF08E6"/>
    <w:rsid w:val="00CF1378"/>
    <w:rsid w:val="00CF1618"/>
    <w:rsid w:val="00CF165E"/>
    <w:rsid w:val="00CF1F5A"/>
    <w:rsid w:val="00CF2303"/>
    <w:rsid w:val="00CF2484"/>
    <w:rsid w:val="00CF2D17"/>
    <w:rsid w:val="00CF300C"/>
    <w:rsid w:val="00CF33F8"/>
    <w:rsid w:val="00CF3554"/>
    <w:rsid w:val="00CF35B0"/>
    <w:rsid w:val="00CF38BD"/>
    <w:rsid w:val="00CF3F35"/>
    <w:rsid w:val="00CF4297"/>
    <w:rsid w:val="00CF47FC"/>
    <w:rsid w:val="00CF4FD7"/>
    <w:rsid w:val="00CF503C"/>
    <w:rsid w:val="00CF592C"/>
    <w:rsid w:val="00CF5FBE"/>
    <w:rsid w:val="00CF60C7"/>
    <w:rsid w:val="00CF61FC"/>
    <w:rsid w:val="00CF6A05"/>
    <w:rsid w:val="00CF6ACD"/>
    <w:rsid w:val="00CF6ED5"/>
    <w:rsid w:val="00CF7104"/>
    <w:rsid w:val="00CF72C7"/>
    <w:rsid w:val="00CF7492"/>
    <w:rsid w:val="00CF7661"/>
    <w:rsid w:val="00CF778D"/>
    <w:rsid w:val="00CF791A"/>
    <w:rsid w:val="00D0002D"/>
    <w:rsid w:val="00D0045A"/>
    <w:rsid w:val="00D00609"/>
    <w:rsid w:val="00D008B5"/>
    <w:rsid w:val="00D00937"/>
    <w:rsid w:val="00D01F61"/>
    <w:rsid w:val="00D02318"/>
    <w:rsid w:val="00D02CA1"/>
    <w:rsid w:val="00D02E65"/>
    <w:rsid w:val="00D02E9F"/>
    <w:rsid w:val="00D0359F"/>
    <w:rsid w:val="00D035F5"/>
    <w:rsid w:val="00D03806"/>
    <w:rsid w:val="00D03A07"/>
    <w:rsid w:val="00D03B59"/>
    <w:rsid w:val="00D03B87"/>
    <w:rsid w:val="00D03F01"/>
    <w:rsid w:val="00D04123"/>
    <w:rsid w:val="00D042BD"/>
    <w:rsid w:val="00D04644"/>
    <w:rsid w:val="00D04862"/>
    <w:rsid w:val="00D055CD"/>
    <w:rsid w:val="00D05E66"/>
    <w:rsid w:val="00D06254"/>
    <w:rsid w:val="00D063DF"/>
    <w:rsid w:val="00D06908"/>
    <w:rsid w:val="00D0716A"/>
    <w:rsid w:val="00D0794D"/>
    <w:rsid w:val="00D10174"/>
    <w:rsid w:val="00D101B4"/>
    <w:rsid w:val="00D10BD9"/>
    <w:rsid w:val="00D1172B"/>
    <w:rsid w:val="00D11FF1"/>
    <w:rsid w:val="00D12016"/>
    <w:rsid w:val="00D121C8"/>
    <w:rsid w:val="00D1336F"/>
    <w:rsid w:val="00D139CB"/>
    <w:rsid w:val="00D141AE"/>
    <w:rsid w:val="00D14632"/>
    <w:rsid w:val="00D14B81"/>
    <w:rsid w:val="00D14E1C"/>
    <w:rsid w:val="00D152BA"/>
    <w:rsid w:val="00D15473"/>
    <w:rsid w:val="00D15573"/>
    <w:rsid w:val="00D15652"/>
    <w:rsid w:val="00D15811"/>
    <w:rsid w:val="00D15A44"/>
    <w:rsid w:val="00D15C34"/>
    <w:rsid w:val="00D164FE"/>
    <w:rsid w:val="00D1669E"/>
    <w:rsid w:val="00D16CA5"/>
    <w:rsid w:val="00D175A6"/>
    <w:rsid w:val="00D1798A"/>
    <w:rsid w:val="00D17A70"/>
    <w:rsid w:val="00D17BFE"/>
    <w:rsid w:val="00D204F1"/>
    <w:rsid w:val="00D20B6D"/>
    <w:rsid w:val="00D20D3C"/>
    <w:rsid w:val="00D20F4E"/>
    <w:rsid w:val="00D20FE7"/>
    <w:rsid w:val="00D211A9"/>
    <w:rsid w:val="00D21561"/>
    <w:rsid w:val="00D21703"/>
    <w:rsid w:val="00D21953"/>
    <w:rsid w:val="00D223DF"/>
    <w:rsid w:val="00D226C5"/>
    <w:rsid w:val="00D227DA"/>
    <w:rsid w:val="00D22910"/>
    <w:rsid w:val="00D22B66"/>
    <w:rsid w:val="00D22D3A"/>
    <w:rsid w:val="00D236C9"/>
    <w:rsid w:val="00D23AB2"/>
    <w:rsid w:val="00D23C38"/>
    <w:rsid w:val="00D23C94"/>
    <w:rsid w:val="00D23E3B"/>
    <w:rsid w:val="00D252B7"/>
    <w:rsid w:val="00D25330"/>
    <w:rsid w:val="00D2555F"/>
    <w:rsid w:val="00D2563D"/>
    <w:rsid w:val="00D25F0D"/>
    <w:rsid w:val="00D25FAC"/>
    <w:rsid w:val="00D262E6"/>
    <w:rsid w:val="00D26309"/>
    <w:rsid w:val="00D26527"/>
    <w:rsid w:val="00D26764"/>
    <w:rsid w:val="00D27043"/>
    <w:rsid w:val="00D27298"/>
    <w:rsid w:val="00D27502"/>
    <w:rsid w:val="00D27857"/>
    <w:rsid w:val="00D27CB5"/>
    <w:rsid w:val="00D27F5B"/>
    <w:rsid w:val="00D30508"/>
    <w:rsid w:val="00D30992"/>
    <w:rsid w:val="00D31F64"/>
    <w:rsid w:val="00D3207F"/>
    <w:rsid w:val="00D3218B"/>
    <w:rsid w:val="00D32340"/>
    <w:rsid w:val="00D32461"/>
    <w:rsid w:val="00D32DF9"/>
    <w:rsid w:val="00D3313A"/>
    <w:rsid w:val="00D3328E"/>
    <w:rsid w:val="00D33C30"/>
    <w:rsid w:val="00D33EA2"/>
    <w:rsid w:val="00D34376"/>
    <w:rsid w:val="00D34B75"/>
    <w:rsid w:val="00D34DAA"/>
    <w:rsid w:val="00D352A9"/>
    <w:rsid w:val="00D358B0"/>
    <w:rsid w:val="00D3593E"/>
    <w:rsid w:val="00D35D22"/>
    <w:rsid w:val="00D35D33"/>
    <w:rsid w:val="00D36777"/>
    <w:rsid w:val="00D36B39"/>
    <w:rsid w:val="00D36C10"/>
    <w:rsid w:val="00D36C5C"/>
    <w:rsid w:val="00D36C8E"/>
    <w:rsid w:val="00D371E0"/>
    <w:rsid w:val="00D377F2"/>
    <w:rsid w:val="00D37F95"/>
    <w:rsid w:val="00D40094"/>
    <w:rsid w:val="00D40149"/>
    <w:rsid w:val="00D40530"/>
    <w:rsid w:val="00D40F8D"/>
    <w:rsid w:val="00D4105C"/>
    <w:rsid w:val="00D412E1"/>
    <w:rsid w:val="00D41406"/>
    <w:rsid w:val="00D421BF"/>
    <w:rsid w:val="00D421C1"/>
    <w:rsid w:val="00D42490"/>
    <w:rsid w:val="00D42751"/>
    <w:rsid w:val="00D42D59"/>
    <w:rsid w:val="00D42DED"/>
    <w:rsid w:val="00D43C79"/>
    <w:rsid w:val="00D4426A"/>
    <w:rsid w:val="00D44387"/>
    <w:rsid w:val="00D44679"/>
    <w:rsid w:val="00D44B61"/>
    <w:rsid w:val="00D45866"/>
    <w:rsid w:val="00D45E54"/>
    <w:rsid w:val="00D45EF9"/>
    <w:rsid w:val="00D45F6F"/>
    <w:rsid w:val="00D460EF"/>
    <w:rsid w:val="00D4625D"/>
    <w:rsid w:val="00D46F12"/>
    <w:rsid w:val="00D4728F"/>
    <w:rsid w:val="00D472D2"/>
    <w:rsid w:val="00D47B90"/>
    <w:rsid w:val="00D47D31"/>
    <w:rsid w:val="00D5044E"/>
    <w:rsid w:val="00D506FC"/>
    <w:rsid w:val="00D5094D"/>
    <w:rsid w:val="00D50C7E"/>
    <w:rsid w:val="00D5124B"/>
    <w:rsid w:val="00D5138E"/>
    <w:rsid w:val="00D51936"/>
    <w:rsid w:val="00D51E74"/>
    <w:rsid w:val="00D52B5C"/>
    <w:rsid w:val="00D52E14"/>
    <w:rsid w:val="00D5315C"/>
    <w:rsid w:val="00D536CA"/>
    <w:rsid w:val="00D5375A"/>
    <w:rsid w:val="00D53822"/>
    <w:rsid w:val="00D53DFE"/>
    <w:rsid w:val="00D554A3"/>
    <w:rsid w:val="00D558C5"/>
    <w:rsid w:val="00D55BD6"/>
    <w:rsid w:val="00D55CEF"/>
    <w:rsid w:val="00D55FCA"/>
    <w:rsid w:val="00D560E7"/>
    <w:rsid w:val="00D562A2"/>
    <w:rsid w:val="00D5638E"/>
    <w:rsid w:val="00D567E6"/>
    <w:rsid w:val="00D56BE2"/>
    <w:rsid w:val="00D57485"/>
    <w:rsid w:val="00D57672"/>
    <w:rsid w:val="00D57BFF"/>
    <w:rsid w:val="00D60646"/>
    <w:rsid w:val="00D60D9F"/>
    <w:rsid w:val="00D612C5"/>
    <w:rsid w:val="00D613CE"/>
    <w:rsid w:val="00D6177E"/>
    <w:rsid w:val="00D6188E"/>
    <w:rsid w:val="00D61B53"/>
    <w:rsid w:val="00D6204C"/>
    <w:rsid w:val="00D6208C"/>
    <w:rsid w:val="00D62AE7"/>
    <w:rsid w:val="00D62BF7"/>
    <w:rsid w:val="00D63E5A"/>
    <w:rsid w:val="00D644DD"/>
    <w:rsid w:val="00D64FAC"/>
    <w:rsid w:val="00D650D9"/>
    <w:rsid w:val="00D65474"/>
    <w:rsid w:val="00D65803"/>
    <w:rsid w:val="00D65964"/>
    <w:rsid w:val="00D65D1C"/>
    <w:rsid w:val="00D66ACC"/>
    <w:rsid w:val="00D66EAD"/>
    <w:rsid w:val="00D66F50"/>
    <w:rsid w:val="00D67499"/>
    <w:rsid w:val="00D67563"/>
    <w:rsid w:val="00D67688"/>
    <w:rsid w:val="00D67823"/>
    <w:rsid w:val="00D70B93"/>
    <w:rsid w:val="00D70D5A"/>
    <w:rsid w:val="00D70E32"/>
    <w:rsid w:val="00D70F88"/>
    <w:rsid w:val="00D72949"/>
    <w:rsid w:val="00D72A3C"/>
    <w:rsid w:val="00D72A9D"/>
    <w:rsid w:val="00D734CD"/>
    <w:rsid w:val="00D73784"/>
    <w:rsid w:val="00D73D15"/>
    <w:rsid w:val="00D73EE4"/>
    <w:rsid w:val="00D746D4"/>
    <w:rsid w:val="00D7495D"/>
    <w:rsid w:val="00D74D66"/>
    <w:rsid w:val="00D74D7C"/>
    <w:rsid w:val="00D74E24"/>
    <w:rsid w:val="00D74EE5"/>
    <w:rsid w:val="00D75AFD"/>
    <w:rsid w:val="00D7637F"/>
    <w:rsid w:val="00D76D7C"/>
    <w:rsid w:val="00D76E2C"/>
    <w:rsid w:val="00D76ED8"/>
    <w:rsid w:val="00D7768B"/>
    <w:rsid w:val="00D77DD9"/>
    <w:rsid w:val="00D77F0F"/>
    <w:rsid w:val="00D77FD5"/>
    <w:rsid w:val="00D80274"/>
    <w:rsid w:val="00D80448"/>
    <w:rsid w:val="00D808E3"/>
    <w:rsid w:val="00D80B01"/>
    <w:rsid w:val="00D80D11"/>
    <w:rsid w:val="00D810EE"/>
    <w:rsid w:val="00D816BD"/>
    <w:rsid w:val="00D81AB5"/>
    <w:rsid w:val="00D81E27"/>
    <w:rsid w:val="00D81E7E"/>
    <w:rsid w:val="00D82076"/>
    <w:rsid w:val="00D822B6"/>
    <w:rsid w:val="00D8295E"/>
    <w:rsid w:val="00D829EE"/>
    <w:rsid w:val="00D82CB5"/>
    <w:rsid w:val="00D82D22"/>
    <w:rsid w:val="00D83C16"/>
    <w:rsid w:val="00D8488E"/>
    <w:rsid w:val="00D849B9"/>
    <w:rsid w:val="00D84A8D"/>
    <w:rsid w:val="00D84F35"/>
    <w:rsid w:val="00D856D0"/>
    <w:rsid w:val="00D86073"/>
    <w:rsid w:val="00D86FB4"/>
    <w:rsid w:val="00D86FDD"/>
    <w:rsid w:val="00D8799A"/>
    <w:rsid w:val="00D87AC2"/>
    <w:rsid w:val="00D90357"/>
    <w:rsid w:val="00D9039A"/>
    <w:rsid w:val="00D904CC"/>
    <w:rsid w:val="00D904E6"/>
    <w:rsid w:val="00D90730"/>
    <w:rsid w:val="00D90982"/>
    <w:rsid w:val="00D90C91"/>
    <w:rsid w:val="00D90D2F"/>
    <w:rsid w:val="00D9101C"/>
    <w:rsid w:val="00D916EE"/>
    <w:rsid w:val="00D91ADD"/>
    <w:rsid w:val="00D92059"/>
    <w:rsid w:val="00D92188"/>
    <w:rsid w:val="00D921CC"/>
    <w:rsid w:val="00D921E8"/>
    <w:rsid w:val="00D92857"/>
    <w:rsid w:val="00D92FA6"/>
    <w:rsid w:val="00D93B08"/>
    <w:rsid w:val="00D9403B"/>
    <w:rsid w:val="00D940B7"/>
    <w:rsid w:val="00D94176"/>
    <w:rsid w:val="00D941F8"/>
    <w:rsid w:val="00D945BD"/>
    <w:rsid w:val="00D9481A"/>
    <w:rsid w:val="00D95177"/>
    <w:rsid w:val="00D95259"/>
    <w:rsid w:val="00D95893"/>
    <w:rsid w:val="00D9595E"/>
    <w:rsid w:val="00D95ABA"/>
    <w:rsid w:val="00D95BAB"/>
    <w:rsid w:val="00D95FEB"/>
    <w:rsid w:val="00D9600F"/>
    <w:rsid w:val="00D96200"/>
    <w:rsid w:val="00D9624F"/>
    <w:rsid w:val="00D96967"/>
    <w:rsid w:val="00D96B56"/>
    <w:rsid w:val="00D96DF8"/>
    <w:rsid w:val="00D96FAE"/>
    <w:rsid w:val="00D975B9"/>
    <w:rsid w:val="00D97B46"/>
    <w:rsid w:val="00DA0892"/>
    <w:rsid w:val="00DA0BFC"/>
    <w:rsid w:val="00DA0C26"/>
    <w:rsid w:val="00DA0CA1"/>
    <w:rsid w:val="00DA1286"/>
    <w:rsid w:val="00DA15CF"/>
    <w:rsid w:val="00DA1D73"/>
    <w:rsid w:val="00DA1F4F"/>
    <w:rsid w:val="00DA3335"/>
    <w:rsid w:val="00DA33B9"/>
    <w:rsid w:val="00DA38D8"/>
    <w:rsid w:val="00DA3AC8"/>
    <w:rsid w:val="00DA3BF6"/>
    <w:rsid w:val="00DA434E"/>
    <w:rsid w:val="00DA47A9"/>
    <w:rsid w:val="00DA4C35"/>
    <w:rsid w:val="00DA51A6"/>
    <w:rsid w:val="00DA5306"/>
    <w:rsid w:val="00DA5E49"/>
    <w:rsid w:val="00DA61BF"/>
    <w:rsid w:val="00DA64FF"/>
    <w:rsid w:val="00DA65F8"/>
    <w:rsid w:val="00DA67A4"/>
    <w:rsid w:val="00DA6A97"/>
    <w:rsid w:val="00DA70FF"/>
    <w:rsid w:val="00DA7319"/>
    <w:rsid w:val="00DA7383"/>
    <w:rsid w:val="00DA796E"/>
    <w:rsid w:val="00DA7B34"/>
    <w:rsid w:val="00DB00E0"/>
    <w:rsid w:val="00DB01BD"/>
    <w:rsid w:val="00DB0A22"/>
    <w:rsid w:val="00DB1063"/>
    <w:rsid w:val="00DB10A1"/>
    <w:rsid w:val="00DB1DBF"/>
    <w:rsid w:val="00DB1E18"/>
    <w:rsid w:val="00DB2C9C"/>
    <w:rsid w:val="00DB33E4"/>
    <w:rsid w:val="00DB35B1"/>
    <w:rsid w:val="00DB38E2"/>
    <w:rsid w:val="00DB3D41"/>
    <w:rsid w:val="00DB451F"/>
    <w:rsid w:val="00DB4C34"/>
    <w:rsid w:val="00DB5121"/>
    <w:rsid w:val="00DB53E8"/>
    <w:rsid w:val="00DB5464"/>
    <w:rsid w:val="00DB6009"/>
    <w:rsid w:val="00DB62A4"/>
    <w:rsid w:val="00DB67A3"/>
    <w:rsid w:val="00DB6855"/>
    <w:rsid w:val="00DB69C6"/>
    <w:rsid w:val="00DB6AB5"/>
    <w:rsid w:val="00DB6AEB"/>
    <w:rsid w:val="00DB6BD6"/>
    <w:rsid w:val="00DB6DA1"/>
    <w:rsid w:val="00DB6EE0"/>
    <w:rsid w:val="00DB6F41"/>
    <w:rsid w:val="00DB74D8"/>
    <w:rsid w:val="00DB7E52"/>
    <w:rsid w:val="00DB7FC3"/>
    <w:rsid w:val="00DC0CB7"/>
    <w:rsid w:val="00DC0EEF"/>
    <w:rsid w:val="00DC1064"/>
    <w:rsid w:val="00DC10CF"/>
    <w:rsid w:val="00DC1150"/>
    <w:rsid w:val="00DC1773"/>
    <w:rsid w:val="00DC1A1D"/>
    <w:rsid w:val="00DC2647"/>
    <w:rsid w:val="00DC2BF2"/>
    <w:rsid w:val="00DC2D05"/>
    <w:rsid w:val="00DC2ED0"/>
    <w:rsid w:val="00DC3245"/>
    <w:rsid w:val="00DC3416"/>
    <w:rsid w:val="00DC346F"/>
    <w:rsid w:val="00DC4115"/>
    <w:rsid w:val="00DC4F86"/>
    <w:rsid w:val="00DC543C"/>
    <w:rsid w:val="00DC57A3"/>
    <w:rsid w:val="00DC5D80"/>
    <w:rsid w:val="00DC673F"/>
    <w:rsid w:val="00DC694A"/>
    <w:rsid w:val="00DC6F2C"/>
    <w:rsid w:val="00DC742F"/>
    <w:rsid w:val="00DC7496"/>
    <w:rsid w:val="00DD0045"/>
    <w:rsid w:val="00DD03D3"/>
    <w:rsid w:val="00DD03D5"/>
    <w:rsid w:val="00DD043B"/>
    <w:rsid w:val="00DD0753"/>
    <w:rsid w:val="00DD0A44"/>
    <w:rsid w:val="00DD0ABD"/>
    <w:rsid w:val="00DD0DC5"/>
    <w:rsid w:val="00DD0FBF"/>
    <w:rsid w:val="00DD1487"/>
    <w:rsid w:val="00DD1689"/>
    <w:rsid w:val="00DD1E84"/>
    <w:rsid w:val="00DD25D2"/>
    <w:rsid w:val="00DD28B6"/>
    <w:rsid w:val="00DD2EF9"/>
    <w:rsid w:val="00DD3124"/>
    <w:rsid w:val="00DD314A"/>
    <w:rsid w:val="00DD356A"/>
    <w:rsid w:val="00DD3726"/>
    <w:rsid w:val="00DD374C"/>
    <w:rsid w:val="00DD387B"/>
    <w:rsid w:val="00DD3DF7"/>
    <w:rsid w:val="00DD451A"/>
    <w:rsid w:val="00DD5102"/>
    <w:rsid w:val="00DD566A"/>
    <w:rsid w:val="00DD611D"/>
    <w:rsid w:val="00DD62B1"/>
    <w:rsid w:val="00DD62E7"/>
    <w:rsid w:val="00DD6804"/>
    <w:rsid w:val="00DD6FAA"/>
    <w:rsid w:val="00DD7244"/>
    <w:rsid w:val="00DD72BC"/>
    <w:rsid w:val="00DD7912"/>
    <w:rsid w:val="00DD7FF0"/>
    <w:rsid w:val="00DE032C"/>
    <w:rsid w:val="00DE0B78"/>
    <w:rsid w:val="00DE0D4A"/>
    <w:rsid w:val="00DE172C"/>
    <w:rsid w:val="00DE193D"/>
    <w:rsid w:val="00DE1B0F"/>
    <w:rsid w:val="00DE1E80"/>
    <w:rsid w:val="00DE2187"/>
    <w:rsid w:val="00DE2398"/>
    <w:rsid w:val="00DE274A"/>
    <w:rsid w:val="00DE2993"/>
    <w:rsid w:val="00DE2A2E"/>
    <w:rsid w:val="00DE2E64"/>
    <w:rsid w:val="00DE315E"/>
    <w:rsid w:val="00DE3268"/>
    <w:rsid w:val="00DE38EA"/>
    <w:rsid w:val="00DE3B06"/>
    <w:rsid w:val="00DE3F2C"/>
    <w:rsid w:val="00DE4412"/>
    <w:rsid w:val="00DE458F"/>
    <w:rsid w:val="00DE46E1"/>
    <w:rsid w:val="00DE4A1C"/>
    <w:rsid w:val="00DE55F0"/>
    <w:rsid w:val="00DE5D48"/>
    <w:rsid w:val="00DE6130"/>
    <w:rsid w:val="00DE61A1"/>
    <w:rsid w:val="00DE61D4"/>
    <w:rsid w:val="00DE6509"/>
    <w:rsid w:val="00DE6D39"/>
    <w:rsid w:val="00DE7463"/>
    <w:rsid w:val="00DE74FC"/>
    <w:rsid w:val="00DF0851"/>
    <w:rsid w:val="00DF14AD"/>
    <w:rsid w:val="00DF16E1"/>
    <w:rsid w:val="00DF246B"/>
    <w:rsid w:val="00DF27C0"/>
    <w:rsid w:val="00DF28C5"/>
    <w:rsid w:val="00DF3197"/>
    <w:rsid w:val="00DF3515"/>
    <w:rsid w:val="00DF3850"/>
    <w:rsid w:val="00DF3895"/>
    <w:rsid w:val="00DF39EF"/>
    <w:rsid w:val="00DF46BF"/>
    <w:rsid w:val="00DF4B52"/>
    <w:rsid w:val="00DF4BAA"/>
    <w:rsid w:val="00DF4EB3"/>
    <w:rsid w:val="00DF4FF7"/>
    <w:rsid w:val="00DF58E9"/>
    <w:rsid w:val="00DF5BC2"/>
    <w:rsid w:val="00DF60BD"/>
    <w:rsid w:val="00DF60C4"/>
    <w:rsid w:val="00DF6193"/>
    <w:rsid w:val="00DF6B5C"/>
    <w:rsid w:val="00DF6EF4"/>
    <w:rsid w:val="00DF7603"/>
    <w:rsid w:val="00DF76FD"/>
    <w:rsid w:val="00E00BB5"/>
    <w:rsid w:val="00E00E52"/>
    <w:rsid w:val="00E01456"/>
    <w:rsid w:val="00E014E0"/>
    <w:rsid w:val="00E01814"/>
    <w:rsid w:val="00E01919"/>
    <w:rsid w:val="00E01BB3"/>
    <w:rsid w:val="00E01FA6"/>
    <w:rsid w:val="00E0200D"/>
    <w:rsid w:val="00E026B2"/>
    <w:rsid w:val="00E03A56"/>
    <w:rsid w:val="00E03A70"/>
    <w:rsid w:val="00E04358"/>
    <w:rsid w:val="00E045B6"/>
    <w:rsid w:val="00E04753"/>
    <w:rsid w:val="00E04FA8"/>
    <w:rsid w:val="00E05248"/>
    <w:rsid w:val="00E053CF"/>
    <w:rsid w:val="00E0560B"/>
    <w:rsid w:val="00E05D77"/>
    <w:rsid w:val="00E05EDB"/>
    <w:rsid w:val="00E05FB0"/>
    <w:rsid w:val="00E0612D"/>
    <w:rsid w:val="00E06682"/>
    <w:rsid w:val="00E06788"/>
    <w:rsid w:val="00E06BA8"/>
    <w:rsid w:val="00E06F60"/>
    <w:rsid w:val="00E0727F"/>
    <w:rsid w:val="00E07FC1"/>
    <w:rsid w:val="00E100AA"/>
    <w:rsid w:val="00E101D5"/>
    <w:rsid w:val="00E1066A"/>
    <w:rsid w:val="00E10F3E"/>
    <w:rsid w:val="00E10F8B"/>
    <w:rsid w:val="00E115C4"/>
    <w:rsid w:val="00E117B5"/>
    <w:rsid w:val="00E11879"/>
    <w:rsid w:val="00E119C8"/>
    <w:rsid w:val="00E11E2F"/>
    <w:rsid w:val="00E1276E"/>
    <w:rsid w:val="00E12A6F"/>
    <w:rsid w:val="00E12E36"/>
    <w:rsid w:val="00E12F1D"/>
    <w:rsid w:val="00E1325C"/>
    <w:rsid w:val="00E132A9"/>
    <w:rsid w:val="00E13C27"/>
    <w:rsid w:val="00E13C5E"/>
    <w:rsid w:val="00E13FE9"/>
    <w:rsid w:val="00E144BC"/>
    <w:rsid w:val="00E14528"/>
    <w:rsid w:val="00E1472E"/>
    <w:rsid w:val="00E14AFD"/>
    <w:rsid w:val="00E14D0C"/>
    <w:rsid w:val="00E14DEE"/>
    <w:rsid w:val="00E15079"/>
    <w:rsid w:val="00E152BF"/>
    <w:rsid w:val="00E1562D"/>
    <w:rsid w:val="00E15BED"/>
    <w:rsid w:val="00E16B00"/>
    <w:rsid w:val="00E16C11"/>
    <w:rsid w:val="00E16CC0"/>
    <w:rsid w:val="00E1709A"/>
    <w:rsid w:val="00E1748C"/>
    <w:rsid w:val="00E208B2"/>
    <w:rsid w:val="00E20AEE"/>
    <w:rsid w:val="00E20FB5"/>
    <w:rsid w:val="00E21082"/>
    <w:rsid w:val="00E214C0"/>
    <w:rsid w:val="00E21831"/>
    <w:rsid w:val="00E21C01"/>
    <w:rsid w:val="00E21C20"/>
    <w:rsid w:val="00E22169"/>
    <w:rsid w:val="00E2246C"/>
    <w:rsid w:val="00E23683"/>
    <w:rsid w:val="00E238BB"/>
    <w:rsid w:val="00E244CC"/>
    <w:rsid w:val="00E24577"/>
    <w:rsid w:val="00E24F88"/>
    <w:rsid w:val="00E24FE3"/>
    <w:rsid w:val="00E25142"/>
    <w:rsid w:val="00E2516D"/>
    <w:rsid w:val="00E25394"/>
    <w:rsid w:val="00E25647"/>
    <w:rsid w:val="00E25974"/>
    <w:rsid w:val="00E25DEB"/>
    <w:rsid w:val="00E26250"/>
    <w:rsid w:val="00E263B5"/>
    <w:rsid w:val="00E26663"/>
    <w:rsid w:val="00E26932"/>
    <w:rsid w:val="00E27091"/>
    <w:rsid w:val="00E272A6"/>
    <w:rsid w:val="00E273B1"/>
    <w:rsid w:val="00E30EC5"/>
    <w:rsid w:val="00E31394"/>
    <w:rsid w:val="00E320E2"/>
    <w:rsid w:val="00E3220F"/>
    <w:rsid w:val="00E32F69"/>
    <w:rsid w:val="00E3351A"/>
    <w:rsid w:val="00E335B6"/>
    <w:rsid w:val="00E33C00"/>
    <w:rsid w:val="00E3415B"/>
    <w:rsid w:val="00E34DE2"/>
    <w:rsid w:val="00E35036"/>
    <w:rsid w:val="00E3551E"/>
    <w:rsid w:val="00E35AB3"/>
    <w:rsid w:val="00E35DE0"/>
    <w:rsid w:val="00E3619F"/>
    <w:rsid w:val="00E361F0"/>
    <w:rsid w:val="00E3622A"/>
    <w:rsid w:val="00E362E4"/>
    <w:rsid w:val="00E36A0A"/>
    <w:rsid w:val="00E36CB2"/>
    <w:rsid w:val="00E3732F"/>
    <w:rsid w:val="00E402CB"/>
    <w:rsid w:val="00E406AF"/>
    <w:rsid w:val="00E40ADD"/>
    <w:rsid w:val="00E40DAC"/>
    <w:rsid w:val="00E40DB2"/>
    <w:rsid w:val="00E41465"/>
    <w:rsid w:val="00E41E92"/>
    <w:rsid w:val="00E42607"/>
    <w:rsid w:val="00E429A9"/>
    <w:rsid w:val="00E42D5D"/>
    <w:rsid w:val="00E4321D"/>
    <w:rsid w:val="00E43911"/>
    <w:rsid w:val="00E43FBE"/>
    <w:rsid w:val="00E442DD"/>
    <w:rsid w:val="00E4438C"/>
    <w:rsid w:val="00E4490E"/>
    <w:rsid w:val="00E449F7"/>
    <w:rsid w:val="00E4510B"/>
    <w:rsid w:val="00E461E0"/>
    <w:rsid w:val="00E46B9A"/>
    <w:rsid w:val="00E46C95"/>
    <w:rsid w:val="00E46E0B"/>
    <w:rsid w:val="00E46FB9"/>
    <w:rsid w:val="00E471DF"/>
    <w:rsid w:val="00E4782A"/>
    <w:rsid w:val="00E5040A"/>
    <w:rsid w:val="00E5055B"/>
    <w:rsid w:val="00E50989"/>
    <w:rsid w:val="00E50CE5"/>
    <w:rsid w:val="00E51121"/>
    <w:rsid w:val="00E515CC"/>
    <w:rsid w:val="00E529A9"/>
    <w:rsid w:val="00E531AF"/>
    <w:rsid w:val="00E53306"/>
    <w:rsid w:val="00E535B6"/>
    <w:rsid w:val="00E53B59"/>
    <w:rsid w:val="00E53B89"/>
    <w:rsid w:val="00E53BFD"/>
    <w:rsid w:val="00E53F21"/>
    <w:rsid w:val="00E54B14"/>
    <w:rsid w:val="00E559BF"/>
    <w:rsid w:val="00E55FD7"/>
    <w:rsid w:val="00E56062"/>
    <w:rsid w:val="00E564C7"/>
    <w:rsid w:val="00E5669E"/>
    <w:rsid w:val="00E57030"/>
    <w:rsid w:val="00E57642"/>
    <w:rsid w:val="00E57A18"/>
    <w:rsid w:val="00E57D84"/>
    <w:rsid w:val="00E57FEE"/>
    <w:rsid w:val="00E60120"/>
    <w:rsid w:val="00E6033E"/>
    <w:rsid w:val="00E60C62"/>
    <w:rsid w:val="00E60C80"/>
    <w:rsid w:val="00E619E4"/>
    <w:rsid w:val="00E6253C"/>
    <w:rsid w:val="00E62692"/>
    <w:rsid w:val="00E62729"/>
    <w:rsid w:val="00E63067"/>
    <w:rsid w:val="00E6351E"/>
    <w:rsid w:val="00E63A40"/>
    <w:rsid w:val="00E63BAC"/>
    <w:rsid w:val="00E63E58"/>
    <w:rsid w:val="00E63E96"/>
    <w:rsid w:val="00E63ED6"/>
    <w:rsid w:val="00E64010"/>
    <w:rsid w:val="00E64794"/>
    <w:rsid w:val="00E6490E"/>
    <w:rsid w:val="00E649E9"/>
    <w:rsid w:val="00E65730"/>
    <w:rsid w:val="00E65755"/>
    <w:rsid w:val="00E65775"/>
    <w:rsid w:val="00E65D6A"/>
    <w:rsid w:val="00E66845"/>
    <w:rsid w:val="00E66889"/>
    <w:rsid w:val="00E66C82"/>
    <w:rsid w:val="00E671B8"/>
    <w:rsid w:val="00E6755B"/>
    <w:rsid w:val="00E677F3"/>
    <w:rsid w:val="00E67AFB"/>
    <w:rsid w:val="00E70168"/>
    <w:rsid w:val="00E7034E"/>
    <w:rsid w:val="00E70F91"/>
    <w:rsid w:val="00E7186F"/>
    <w:rsid w:val="00E71902"/>
    <w:rsid w:val="00E71DC7"/>
    <w:rsid w:val="00E72F35"/>
    <w:rsid w:val="00E73425"/>
    <w:rsid w:val="00E7358D"/>
    <w:rsid w:val="00E738F2"/>
    <w:rsid w:val="00E74173"/>
    <w:rsid w:val="00E74345"/>
    <w:rsid w:val="00E75163"/>
    <w:rsid w:val="00E7547B"/>
    <w:rsid w:val="00E75BE5"/>
    <w:rsid w:val="00E75D24"/>
    <w:rsid w:val="00E76110"/>
    <w:rsid w:val="00E7619E"/>
    <w:rsid w:val="00E766CB"/>
    <w:rsid w:val="00E77AE0"/>
    <w:rsid w:val="00E803F5"/>
    <w:rsid w:val="00E8057F"/>
    <w:rsid w:val="00E80644"/>
    <w:rsid w:val="00E809D0"/>
    <w:rsid w:val="00E80AA5"/>
    <w:rsid w:val="00E80AAC"/>
    <w:rsid w:val="00E80BDF"/>
    <w:rsid w:val="00E812E5"/>
    <w:rsid w:val="00E816FF"/>
    <w:rsid w:val="00E81CD4"/>
    <w:rsid w:val="00E81D04"/>
    <w:rsid w:val="00E81E93"/>
    <w:rsid w:val="00E82981"/>
    <w:rsid w:val="00E835D5"/>
    <w:rsid w:val="00E83AEE"/>
    <w:rsid w:val="00E83CA4"/>
    <w:rsid w:val="00E84535"/>
    <w:rsid w:val="00E84B95"/>
    <w:rsid w:val="00E84D19"/>
    <w:rsid w:val="00E85117"/>
    <w:rsid w:val="00E85120"/>
    <w:rsid w:val="00E857FD"/>
    <w:rsid w:val="00E85802"/>
    <w:rsid w:val="00E85A45"/>
    <w:rsid w:val="00E85C04"/>
    <w:rsid w:val="00E861CA"/>
    <w:rsid w:val="00E869BC"/>
    <w:rsid w:val="00E86E53"/>
    <w:rsid w:val="00E874CC"/>
    <w:rsid w:val="00E87C8C"/>
    <w:rsid w:val="00E90145"/>
    <w:rsid w:val="00E902C5"/>
    <w:rsid w:val="00E902E6"/>
    <w:rsid w:val="00E90CBE"/>
    <w:rsid w:val="00E91532"/>
    <w:rsid w:val="00E91789"/>
    <w:rsid w:val="00E9196B"/>
    <w:rsid w:val="00E91BF5"/>
    <w:rsid w:val="00E91E9B"/>
    <w:rsid w:val="00E9204F"/>
    <w:rsid w:val="00E92550"/>
    <w:rsid w:val="00E929D3"/>
    <w:rsid w:val="00E92A1A"/>
    <w:rsid w:val="00E93358"/>
    <w:rsid w:val="00E9404A"/>
    <w:rsid w:val="00E946C1"/>
    <w:rsid w:val="00E9514E"/>
    <w:rsid w:val="00E952D3"/>
    <w:rsid w:val="00E953D2"/>
    <w:rsid w:val="00E95CF9"/>
    <w:rsid w:val="00E95E1C"/>
    <w:rsid w:val="00E95EF3"/>
    <w:rsid w:val="00E95F71"/>
    <w:rsid w:val="00E9629C"/>
    <w:rsid w:val="00E96A63"/>
    <w:rsid w:val="00E96C21"/>
    <w:rsid w:val="00E96E0E"/>
    <w:rsid w:val="00E97014"/>
    <w:rsid w:val="00E9724F"/>
    <w:rsid w:val="00E9777E"/>
    <w:rsid w:val="00E9782F"/>
    <w:rsid w:val="00E97AF4"/>
    <w:rsid w:val="00E97CBF"/>
    <w:rsid w:val="00EA0502"/>
    <w:rsid w:val="00EA0609"/>
    <w:rsid w:val="00EA0C6D"/>
    <w:rsid w:val="00EA117B"/>
    <w:rsid w:val="00EA11D3"/>
    <w:rsid w:val="00EA14F6"/>
    <w:rsid w:val="00EA1810"/>
    <w:rsid w:val="00EA1D90"/>
    <w:rsid w:val="00EA1EDE"/>
    <w:rsid w:val="00EA21D7"/>
    <w:rsid w:val="00EA293E"/>
    <w:rsid w:val="00EA2975"/>
    <w:rsid w:val="00EA2D74"/>
    <w:rsid w:val="00EA3163"/>
    <w:rsid w:val="00EA450D"/>
    <w:rsid w:val="00EA46E5"/>
    <w:rsid w:val="00EA4700"/>
    <w:rsid w:val="00EA4B97"/>
    <w:rsid w:val="00EA4F56"/>
    <w:rsid w:val="00EA5050"/>
    <w:rsid w:val="00EA5E86"/>
    <w:rsid w:val="00EA5FE0"/>
    <w:rsid w:val="00EA620B"/>
    <w:rsid w:val="00EA6C09"/>
    <w:rsid w:val="00EA6C9D"/>
    <w:rsid w:val="00EA7284"/>
    <w:rsid w:val="00EA732C"/>
    <w:rsid w:val="00EA7CD1"/>
    <w:rsid w:val="00EB00AB"/>
    <w:rsid w:val="00EB0560"/>
    <w:rsid w:val="00EB0C95"/>
    <w:rsid w:val="00EB0F70"/>
    <w:rsid w:val="00EB130E"/>
    <w:rsid w:val="00EB1E60"/>
    <w:rsid w:val="00EB2343"/>
    <w:rsid w:val="00EB2BF4"/>
    <w:rsid w:val="00EB3204"/>
    <w:rsid w:val="00EB3241"/>
    <w:rsid w:val="00EB331F"/>
    <w:rsid w:val="00EB38C5"/>
    <w:rsid w:val="00EB3B21"/>
    <w:rsid w:val="00EB3CB3"/>
    <w:rsid w:val="00EB4465"/>
    <w:rsid w:val="00EB487E"/>
    <w:rsid w:val="00EB5153"/>
    <w:rsid w:val="00EB5937"/>
    <w:rsid w:val="00EB5B45"/>
    <w:rsid w:val="00EB5B85"/>
    <w:rsid w:val="00EB63D8"/>
    <w:rsid w:val="00EB6E54"/>
    <w:rsid w:val="00EB71E0"/>
    <w:rsid w:val="00EB7219"/>
    <w:rsid w:val="00EB7271"/>
    <w:rsid w:val="00EB7712"/>
    <w:rsid w:val="00EB7A32"/>
    <w:rsid w:val="00EB7B33"/>
    <w:rsid w:val="00EB7FC5"/>
    <w:rsid w:val="00EC014E"/>
    <w:rsid w:val="00EC0302"/>
    <w:rsid w:val="00EC0568"/>
    <w:rsid w:val="00EC076E"/>
    <w:rsid w:val="00EC07C9"/>
    <w:rsid w:val="00EC0F2A"/>
    <w:rsid w:val="00EC13D8"/>
    <w:rsid w:val="00EC1DDC"/>
    <w:rsid w:val="00EC22F8"/>
    <w:rsid w:val="00EC22FE"/>
    <w:rsid w:val="00EC24CA"/>
    <w:rsid w:val="00EC2591"/>
    <w:rsid w:val="00EC2EB5"/>
    <w:rsid w:val="00EC3840"/>
    <w:rsid w:val="00EC3F79"/>
    <w:rsid w:val="00EC40E3"/>
    <w:rsid w:val="00EC4CC5"/>
    <w:rsid w:val="00EC52AF"/>
    <w:rsid w:val="00EC651E"/>
    <w:rsid w:val="00EC6565"/>
    <w:rsid w:val="00EC65A9"/>
    <w:rsid w:val="00EC6AAA"/>
    <w:rsid w:val="00EC7BCC"/>
    <w:rsid w:val="00EC7D2F"/>
    <w:rsid w:val="00ED08E2"/>
    <w:rsid w:val="00ED2D6A"/>
    <w:rsid w:val="00ED333C"/>
    <w:rsid w:val="00ED3670"/>
    <w:rsid w:val="00ED3758"/>
    <w:rsid w:val="00ED46CB"/>
    <w:rsid w:val="00ED59AB"/>
    <w:rsid w:val="00ED5E04"/>
    <w:rsid w:val="00ED610E"/>
    <w:rsid w:val="00ED62AB"/>
    <w:rsid w:val="00ED692A"/>
    <w:rsid w:val="00ED6FDA"/>
    <w:rsid w:val="00ED7893"/>
    <w:rsid w:val="00ED7A74"/>
    <w:rsid w:val="00ED7A94"/>
    <w:rsid w:val="00ED7D02"/>
    <w:rsid w:val="00ED7F3C"/>
    <w:rsid w:val="00EE0492"/>
    <w:rsid w:val="00EE136D"/>
    <w:rsid w:val="00EE1A41"/>
    <w:rsid w:val="00EE1B43"/>
    <w:rsid w:val="00EE1B7A"/>
    <w:rsid w:val="00EE2611"/>
    <w:rsid w:val="00EE2AA5"/>
    <w:rsid w:val="00EE2F8E"/>
    <w:rsid w:val="00EE3BE6"/>
    <w:rsid w:val="00EE3CF4"/>
    <w:rsid w:val="00EE47F5"/>
    <w:rsid w:val="00EE48AF"/>
    <w:rsid w:val="00EE513B"/>
    <w:rsid w:val="00EE5379"/>
    <w:rsid w:val="00EE55D9"/>
    <w:rsid w:val="00EE570B"/>
    <w:rsid w:val="00EE5F70"/>
    <w:rsid w:val="00EE632D"/>
    <w:rsid w:val="00EE6744"/>
    <w:rsid w:val="00EE6A03"/>
    <w:rsid w:val="00EE6C31"/>
    <w:rsid w:val="00EE6D19"/>
    <w:rsid w:val="00EE6FAA"/>
    <w:rsid w:val="00EE7343"/>
    <w:rsid w:val="00EE7F63"/>
    <w:rsid w:val="00EF00CE"/>
    <w:rsid w:val="00EF0729"/>
    <w:rsid w:val="00EF0CB3"/>
    <w:rsid w:val="00EF0CBA"/>
    <w:rsid w:val="00EF0F6C"/>
    <w:rsid w:val="00EF10DC"/>
    <w:rsid w:val="00EF1EDC"/>
    <w:rsid w:val="00EF21D3"/>
    <w:rsid w:val="00EF27B2"/>
    <w:rsid w:val="00EF2A9C"/>
    <w:rsid w:val="00EF2C29"/>
    <w:rsid w:val="00EF3BCF"/>
    <w:rsid w:val="00EF4878"/>
    <w:rsid w:val="00EF48D9"/>
    <w:rsid w:val="00EF4D21"/>
    <w:rsid w:val="00EF5CA6"/>
    <w:rsid w:val="00EF5F8A"/>
    <w:rsid w:val="00EF634D"/>
    <w:rsid w:val="00EF65E3"/>
    <w:rsid w:val="00EF6882"/>
    <w:rsid w:val="00EF7125"/>
    <w:rsid w:val="00EF79AC"/>
    <w:rsid w:val="00EF7D19"/>
    <w:rsid w:val="00EF7E93"/>
    <w:rsid w:val="00F005C5"/>
    <w:rsid w:val="00F013D1"/>
    <w:rsid w:val="00F01596"/>
    <w:rsid w:val="00F0184C"/>
    <w:rsid w:val="00F02228"/>
    <w:rsid w:val="00F023C4"/>
    <w:rsid w:val="00F02483"/>
    <w:rsid w:val="00F0266A"/>
    <w:rsid w:val="00F02D5C"/>
    <w:rsid w:val="00F039D2"/>
    <w:rsid w:val="00F03DE2"/>
    <w:rsid w:val="00F0449D"/>
    <w:rsid w:val="00F04587"/>
    <w:rsid w:val="00F04B6E"/>
    <w:rsid w:val="00F04BEE"/>
    <w:rsid w:val="00F04D63"/>
    <w:rsid w:val="00F04DD3"/>
    <w:rsid w:val="00F05487"/>
    <w:rsid w:val="00F0551B"/>
    <w:rsid w:val="00F067CA"/>
    <w:rsid w:val="00F0682B"/>
    <w:rsid w:val="00F068F4"/>
    <w:rsid w:val="00F06A9A"/>
    <w:rsid w:val="00F07149"/>
    <w:rsid w:val="00F07185"/>
    <w:rsid w:val="00F07321"/>
    <w:rsid w:val="00F0732F"/>
    <w:rsid w:val="00F07534"/>
    <w:rsid w:val="00F076F6"/>
    <w:rsid w:val="00F07E3E"/>
    <w:rsid w:val="00F10276"/>
    <w:rsid w:val="00F1081D"/>
    <w:rsid w:val="00F111E2"/>
    <w:rsid w:val="00F11262"/>
    <w:rsid w:val="00F11BE0"/>
    <w:rsid w:val="00F11CAE"/>
    <w:rsid w:val="00F12153"/>
    <w:rsid w:val="00F12468"/>
    <w:rsid w:val="00F13938"/>
    <w:rsid w:val="00F1419B"/>
    <w:rsid w:val="00F1424E"/>
    <w:rsid w:val="00F14319"/>
    <w:rsid w:val="00F149CB"/>
    <w:rsid w:val="00F14EFD"/>
    <w:rsid w:val="00F15456"/>
    <w:rsid w:val="00F15527"/>
    <w:rsid w:val="00F158BE"/>
    <w:rsid w:val="00F15BD5"/>
    <w:rsid w:val="00F162DD"/>
    <w:rsid w:val="00F1651E"/>
    <w:rsid w:val="00F168B1"/>
    <w:rsid w:val="00F16A14"/>
    <w:rsid w:val="00F20027"/>
    <w:rsid w:val="00F20A85"/>
    <w:rsid w:val="00F20B43"/>
    <w:rsid w:val="00F21ABE"/>
    <w:rsid w:val="00F21CDC"/>
    <w:rsid w:val="00F220DA"/>
    <w:rsid w:val="00F222E2"/>
    <w:rsid w:val="00F22330"/>
    <w:rsid w:val="00F22450"/>
    <w:rsid w:val="00F2249B"/>
    <w:rsid w:val="00F22DC7"/>
    <w:rsid w:val="00F23188"/>
    <w:rsid w:val="00F23F01"/>
    <w:rsid w:val="00F23F02"/>
    <w:rsid w:val="00F245C8"/>
    <w:rsid w:val="00F25A57"/>
    <w:rsid w:val="00F2615C"/>
    <w:rsid w:val="00F2625C"/>
    <w:rsid w:val="00F26482"/>
    <w:rsid w:val="00F265E3"/>
    <w:rsid w:val="00F26667"/>
    <w:rsid w:val="00F270A2"/>
    <w:rsid w:val="00F27118"/>
    <w:rsid w:val="00F2745C"/>
    <w:rsid w:val="00F27663"/>
    <w:rsid w:val="00F276B7"/>
    <w:rsid w:val="00F2770E"/>
    <w:rsid w:val="00F27FDF"/>
    <w:rsid w:val="00F3003C"/>
    <w:rsid w:val="00F30B26"/>
    <w:rsid w:val="00F30C3D"/>
    <w:rsid w:val="00F31668"/>
    <w:rsid w:val="00F318D2"/>
    <w:rsid w:val="00F3248D"/>
    <w:rsid w:val="00F32568"/>
    <w:rsid w:val="00F32717"/>
    <w:rsid w:val="00F32A47"/>
    <w:rsid w:val="00F33C12"/>
    <w:rsid w:val="00F3425F"/>
    <w:rsid w:val="00F345E7"/>
    <w:rsid w:val="00F34B58"/>
    <w:rsid w:val="00F34F97"/>
    <w:rsid w:val="00F35678"/>
    <w:rsid w:val="00F35AF9"/>
    <w:rsid w:val="00F35C61"/>
    <w:rsid w:val="00F35D43"/>
    <w:rsid w:val="00F35D79"/>
    <w:rsid w:val="00F36245"/>
    <w:rsid w:val="00F363C9"/>
    <w:rsid w:val="00F368C5"/>
    <w:rsid w:val="00F36BA8"/>
    <w:rsid w:val="00F36C6D"/>
    <w:rsid w:val="00F3745A"/>
    <w:rsid w:val="00F378B1"/>
    <w:rsid w:val="00F4037C"/>
    <w:rsid w:val="00F4057B"/>
    <w:rsid w:val="00F40960"/>
    <w:rsid w:val="00F40F5E"/>
    <w:rsid w:val="00F41196"/>
    <w:rsid w:val="00F412C6"/>
    <w:rsid w:val="00F4135C"/>
    <w:rsid w:val="00F417A0"/>
    <w:rsid w:val="00F41B98"/>
    <w:rsid w:val="00F41D90"/>
    <w:rsid w:val="00F4356D"/>
    <w:rsid w:val="00F438F7"/>
    <w:rsid w:val="00F43BC4"/>
    <w:rsid w:val="00F43D4F"/>
    <w:rsid w:val="00F44C43"/>
    <w:rsid w:val="00F452D4"/>
    <w:rsid w:val="00F454F0"/>
    <w:rsid w:val="00F4571E"/>
    <w:rsid w:val="00F45E4A"/>
    <w:rsid w:val="00F45FB1"/>
    <w:rsid w:val="00F46282"/>
    <w:rsid w:val="00F462B5"/>
    <w:rsid w:val="00F467A0"/>
    <w:rsid w:val="00F469FC"/>
    <w:rsid w:val="00F46A38"/>
    <w:rsid w:val="00F4733D"/>
    <w:rsid w:val="00F4742C"/>
    <w:rsid w:val="00F474F8"/>
    <w:rsid w:val="00F47920"/>
    <w:rsid w:val="00F50C52"/>
    <w:rsid w:val="00F5120A"/>
    <w:rsid w:val="00F5137C"/>
    <w:rsid w:val="00F51413"/>
    <w:rsid w:val="00F52B8A"/>
    <w:rsid w:val="00F53005"/>
    <w:rsid w:val="00F530DC"/>
    <w:rsid w:val="00F5321B"/>
    <w:rsid w:val="00F53364"/>
    <w:rsid w:val="00F558FA"/>
    <w:rsid w:val="00F55BA0"/>
    <w:rsid w:val="00F55C65"/>
    <w:rsid w:val="00F56679"/>
    <w:rsid w:val="00F56EC8"/>
    <w:rsid w:val="00F570E7"/>
    <w:rsid w:val="00F57112"/>
    <w:rsid w:val="00F5732C"/>
    <w:rsid w:val="00F60606"/>
    <w:rsid w:val="00F60AC4"/>
    <w:rsid w:val="00F60F4E"/>
    <w:rsid w:val="00F60FC9"/>
    <w:rsid w:val="00F6131A"/>
    <w:rsid w:val="00F61D5A"/>
    <w:rsid w:val="00F61DD8"/>
    <w:rsid w:val="00F622D5"/>
    <w:rsid w:val="00F62C95"/>
    <w:rsid w:val="00F62D09"/>
    <w:rsid w:val="00F632E8"/>
    <w:rsid w:val="00F636C6"/>
    <w:rsid w:val="00F638C1"/>
    <w:rsid w:val="00F63FF0"/>
    <w:rsid w:val="00F6447B"/>
    <w:rsid w:val="00F64571"/>
    <w:rsid w:val="00F64806"/>
    <w:rsid w:val="00F6496A"/>
    <w:rsid w:val="00F649F5"/>
    <w:rsid w:val="00F64B45"/>
    <w:rsid w:val="00F654EB"/>
    <w:rsid w:val="00F6575A"/>
    <w:rsid w:val="00F65DDC"/>
    <w:rsid w:val="00F66569"/>
    <w:rsid w:val="00F66A5A"/>
    <w:rsid w:val="00F66BB0"/>
    <w:rsid w:val="00F66C6E"/>
    <w:rsid w:val="00F66D86"/>
    <w:rsid w:val="00F67B7F"/>
    <w:rsid w:val="00F67E34"/>
    <w:rsid w:val="00F67FF5"/>
    <w:rsid w:val="00F703B5"/>
    <w:rsid w:val="00F707B9"/>
    <w:rsid w:val="00F70A86"/>
    <w:rsid w:val="00F713D5"/>
    <w:rsid w:val="00F7151E"/>
    <w:rsid w:val="00F71789"/>
    <w:rsid w:val="00F71AF7"/>
    <w:rsid w:val="00F71B28"/>
    <w:rsid w:val="00F71E6F"/>
    <w:rsid w:val="00F71FC1"/>
    <w:rsid w:val="00F72205"/>
    <w:rsid w:val="00F7220D"/>
    <w:rsid w:val="00F72518"/>
    <w:rsid w:val="00F727AC"/>
    <w:rsid w:val="00F72F04"/>
    <w:rsid w:val="00F73716"/>
    <w:rsid w:val="00F73BEF"/>
    <w:rsid w:val="00F740EF"/>
    <w:rsid w:val="00F74196"/>
    <w:rsid w:val="00F75738"/>
    <w:rsid w:val="00F76999"/>
    <w:rsid w:val="00F76AAB"/>
    <w:rsid w:val="00F76FEF"/>
    <w:rsid w:val="00F7766B"/>
    <w:rsid w:val="00F77DF5"/>
    <w:rsid w:val="00F8013F"/>
    <w:rsid w:val="00F8024C"/>
    <w:rsid w:val="00F803D7"/>
    <w:rsid w:val="00F80642"/>
    <w:rsid w:val="00F8067A"/>
    <w:rsid w:val="00F80B7C"/>
    <w:rsid w:val="00F80D54"/>
    <w:rsid w:val="00F80E9E"/>
    <w:rsid w:val="00F8102B"/>
    <w:rsid w:val="00F8110E"/>
    <w:rsid w:val="00F81820"/>
    <w:rsid w:val="00F81CD8"/>
    <w:rsid w:val="00F81E5C"/>
    <w:rsid w:val="00F81F92"/>
    <w:rsid w:val="00F82421"/>
    <w:rsid w:val="00F825DD"/>
    <w:rsid w:val="00F82AFD"/>
    <w:rsid w:val="00F82DCC"/>
    <w:rsid w:val="00F831FE"/>
    <w:rsid w:val="00F8322F"/>
    <w:rsid w:val="00F8439F"/>
    <w:rsid w:val="00F84902"/>
    <w:rsid w:val="00F84B94"/>
    <w:rsid w:val="00F85169"/>
    <w:rsid w:val="00F854D8"/>
    <w:rsid w:val="00F85CC1"/>
    <w:rsid w:val="00F85D46"/>
    <w:rsid w:val="00F86138"/>
    <w:rsid w:val="00F864BE"/>
    <w:rsid w:val="00F865AA"/>
    <w:rsid w:val="00F86662"/>
    <w:rsid w:val="00F8681A"/>
    <w:rsid w:val="00F86B48"/>
    <w:rsid w:val="00F86B4E"/>
    <w:rsid w:val="00F86FF4"/>
    <w:rsid w:val="00F87097"/>
    <w:rsid w:val="00F878F5"/>
    <w:rsid w:val="00F87A3D"/>
    <w:rsid w:val="00F87B10"/>
    <w:rsid w:val="00F87BBB"/>
    <w:rsid w:val="00F87D82"/>
    <w:rsid w:val="00F87EDD"/>
    <w:rsid w:val="00F90137"/>
    <w:rsid w:val="00F90172"/>
    <w:rsid w:val="00F90211"/>
    <w:rsid w:val="00F903FA"/>
    <w:rsid w:val="00F9090B"/>
    <w:rsid w:val="00F90BB8"/>
    <w:rsid w:val="00F90C77"/>
    <w:rsid w:val="00F90D2C"/>
    <w:rsid w:val="00F90D7F"/>
    <w:rsid w:val="00F90DAE"/>
    <w:rsid w:val="00F91467"/>
    <w:rsid w:val="00F9172C"/>
    <w:rsid w:val="00F917DC"/>
    <w:rsid w:val="00F91AED"/>
    <w:rsid w:val="00F91CF3"/>
    <w:rsid w:val="00F92683"/>
    <w:rsid w:val="00F9277B"/>
    <w:rsid w:val="00F92A23"/>
    <w:rsid w:val="00F92B36"/>
    <w:rsid w:val="00F93068"/>
    <w:rsid w:val="00F93358"/>
    <w:rsid w:val="00F935D3"/>
    <w:rsid w:val="00F93840"/>
    <w:rsid w:val="00F93F64"/>
    <w:rsid w:val="00F94001"/>
    <w:rsid w:val="00F9411A"/>
    <w:rsid w:val="00F94525"/>
    <w:rsid w:val="00F9474E"/>
    <w:rsid w:val="00F94770"/>
    <w:rsid w:val="00F9496A"/>
    <w:rsid w:val="00F94978"/>
    <w:rsid w:val="00F9571C"/>
    <w:rsid w:val="00F95C5F"/>
    <w:rsid w:val="00F963AB"/>
    <w:rsid w:val="00F9740A"/>
    <w:rsid w:val="00F97771"/>
    <w:rsid w:val="00F977F8"/>
    <w:rsid w:val="00F97C1D"/>
    <w:rsid w:val="00F97FBE"/>
    <w:rsid w:val="00FA06B9"/>
    <w:rsid w:val="00FA0719"/>
    <w:rsid w:val="00FA0C0C"/>
    <w:rsid w:val="00FA12CF"/>
    <w:rsid w:val="00FA1B72"/>
    <w:rsid w:val="00FA1DA9"/>
    <w:rsid w:val="00FA1EAE"/>
    <w:rsid w:val="00FA1F4A"/>
    <w:rsid w:val="00FA1FFE"/>
    <w:rsid w:val="00FA204D"/>
    <w:rsid w:val="00FA2511"/>
    <w:rsid w:val="00FA2565"/>
    <w:rsid w:val="00FA28EB"/>
    <w:rsid w:val="00FA2ED0"/>
    <w:rsid w:val="00FA343C"/>
    <w:rsid w:val="00FA35D2"/>
    <w:rsid w:val="00FA36C4"/>
    <w:rsid w:val="00FA39E5"/>
    <w:rsid w:val="00FA3EA2"/>
    <w:rsid w:val="00FA406D"/>
    <w:rsid w:val="00FA4072"/>
    <w:rsid w:val="00FA416B"/>
    <w:rsid w:val="00FA4477"/>
    <w:rsid w:val="00FA4D39"/>
    <w:rsid w:val="00FA4E1F"/>
    <w:rsid w:val="00FA5049"/>
    <w:rsid w:val="00FA57D4"/>
    <w:rsid w:val="00FA5C05"/>
    <w:rsid w:val="00FA6182"/>
    <w:rsid w:val="00FA6851"/>
    <w:rsid w:val="00FA68EA"/>
    <w:rsid w:val="00FA6BE2"/>
    <w:rsid w:val="00FA6BFF"/>
    <w:rsid w:val="00FA6CF4"/>
    <w:rsid w:val="00FA6F29"/>
    <w:rsid w:val="00FA7507"/>
    <w:rsid w:val="00FA771C"/>
    <w:rsid w:val="00FB00B6"/>
    <w:rsid w:val="00FB01C5"/>
    <w:rsid w:val="00FB0791"/>
    <w:rsid w:val="00FB0E7F"/>
    <w:rsid w:val="00FB0EC4"/>
    <w:rsid w:val="00FB0F5B"/>
    <w:rsid w:val="00FB1773"/>
    <w:rsid w:val="00FB18C7"/>
    <w:rsid w:val="00FB18D7"/>
    <w:rsid w:val="00FB2B68"/>
    <w:rsid w:val="00FB2FD1"/>
    <w:rsid w:val="00FB3209"/>
    <w:rsid w:val="00FB36CF"/>
    <w:rsid w:val="00FB36F3"/>
    <w:rsid w:val="00FB37B0"/>
    <w:rsid w:val="00FB37E2"/>
    <w:rsid w:val="00FB3A8D"/>
    <w:rsid w:val="00FB402D"/>
    <w:rsid w:val="00FB4CDC"/>
    <w:rsid w:val="00FB4E32"/>
    <w:rsid w:val="00FB5422"/>
    <w:rsid w:val="00FB5714"/>
    <w:rsid w:val="00FB5C85"/>
    <w:rsid w:val="00FB5CAE"/>
    <w:rsid w:val="00FB601F"/>
    <w:rsid w:val="00FB66B3"/>
    <w:rsid w:val="00FB6ABB"/>
    <w:rsid w:val="00FB6BBD"/>
    <w:rsid w:val="00FB6BCC"/>
    <w:rsid w:val="00FB6D41"/>
    <w:rsid w:val="00FB7173"/>
    <w:rsid w:val="00FB7453"/>
    <w:rsid w:val="00FB7AE9"/>
    <w:rsid w:val="00FB7C28"/>
    <w:rsid w:val="00FC00DA"/>
    <w:rsid w:val="00FC0297"/>
    <w:rsid w:val="00FC02B2"/>
    <w:rsid w:val="00FC2747"/>
    <w:rsid w:val="00FC2781"/>
    <w:rsid w:val="00FC328E"/>
    <w:rsid w:val="00FC35D0"/>
    <w:rsid w:val="00FC3C9E"/>
    <w:rsid w:val="00FC3CD9"/>
    <w:rsid w:val="00FC3D5C"/>
    <w:rsid w:val="00FC3FC1"/>
    <w:rsid w:val="00FC3FD6"/>
    <w:rsid w:val="00FC447F"/>
    <w:rsid w:val="00FC4DFC"/>
    <w:rsid w:val="00FC5960"/>
    <w:rsid w:val="00FC599F"/>
    <w:rsid w:val="00FC5A08"/>
    <w:rsid w:val="00FC5A5B"/>
    <w:rsid w:val="00FC6334"/>
    <w:rsid w:val="00FC6916"/>
    <w:rsid w:val="00FC6A5C"/>
    <w:rsid w:val="00FC7705"/>
    <w:rsid w:val="00FC7EE9"/>
    <w:rsid w:val="00FC7F3E"/>
    <w:rsid w:val="00FD0053"/>
    <w:rsid w:val="00FD04D4"/>
    <w:rsid w:val="00FD0615"/>
    <w:rsid w:val="00FD070C"/>
    <w:rsid w:val="00FD085B"/>
    <w:rsid w:val="00FD0CBC"/>
    <w:rsid w:val="00FD0F52"/>
    <w:rsid w:val="00FD1058"/>
    <w:rsid w:val="00FD1315"/>
    <w:rsid w:val="00FD13BE"/>
    <w:rsid w:val="00FD162A"/>
    <w:rsid w:val="00FD1810"/>
    <w:rsid w:val="00FD1989"/>
    <w:rsid w:val="00FD21BC"/>
    <w:rsid w:val="00FD23B9"/>
    <w:rsid w:val="00FD2DD6"/>
    <w:rsid w:val="00FD34FB"/>
    <w:rsid w:val="00FD3C16"/>
    <w:rsid w:val="00FD3CF1"/>
    <w:rsid w:val="00FD3D76"/>
    <w:rsid w:val="00FD3F22"/>
    <w:rsid w:val="00FD4395"/>
    <w:rsid w:val="00FD5FE9"/>
    <w:rsid w:val="00FD61D9"/>
    <w:rsid w:val="00FD6B1E"/>
    <w:rsid w:val="00FD6D55"/>
    <w:rsid w:val="00FD6F7A"/>
    <w:rsid w:val="00FD7524"/>
    <w:rsid w:val="00FD7737"/>
    <w:rsid w:val="00FD7AA3"/>
    <w:rsid w:val="00FD7B74"/>
    <w:rsid w:val="00FD7CC6"/>
    <w:rsid w:val="00FD7DA0"/>
    <w:rsid w:val="00FE05D2"/>
    <w:rsid w:val="00FE08C6"/>
    <w:rsid w:val="00FE08EC"/>
    <w:rsid w:val="00FE09C8"/>
    <w:rsid w:val="00FE0A4D"/>
    <w:rsid w:val="00FE1870"/>
    <w:rsid w:val="00FE1AC5"/>
    <w:rsid w:val="00FE2238"/>
    <w:rsid w:val="00FE25BE"/>
    <w:rsid w:val="00FE2627"/>
    <w:rsid w:val="00FE26B1"/>
    <w:rsid w:val="00FE2AC5"/>
    <w:rsid w:val="00FE2DE4"/>
    <w:rsid w:val="00FE3463"/>
    <w:rsid w:val="00FE39E2"/>
    <w:rsid w:val="00FE3A31"/>
    <w:rsid w:val="00FE4794"/>
    <w:rsid w:val="00FE4827"/>
    <w:rsid w:val="00FE54E3"/>
    <w:rsid w:val="00FE58E6"/>
    <w:rsid w:val="00FE5949"/>
    <w:rsid w:val="00FE7001"/>
    <w:rsid w:val="00FE7247"/>
    <w:rsid w:val="00FE797F"/>
    <w:rsid w:val="00FE7DE9"/>
    <w:rsid w:val="00FF02F6"/>
    <w:rsid w:val="00FF06F2"/>
    <w:rsid w:val="00FF091C"/>
    <w:rsid w:val="00FF117F"/>
    <w:rsid w:val="00FF14DC"/>
    <w:rsid w:val="00FF1607"/>
    <w:rsid w:val="00FF1629"/>
    <w:rsid w:val="00FF17BF"/>
    <w:rsid w:val="00FF1B78"/>
    <w:rsid w:val="00FF1F64"/>
    <w:rsid w:val="00FF20FD"/>
    <w:rsid w:val="00FF2F20"/>
    <w:rsid w:val="00FF327E"/>
    <w:rsid w:val="00FF34C9"/>
    <w:rsid w:val="00FF3D9D"/>
    <w:rsid w:val="00FF3E6D"/>
    <w:rsid w:val="00FF3F30"/>
    <w:rsid w:val="00FF43B9"/>
    <w:rsid w:val="00FF4A14"/>
    <w:rsid w:val="00FF4A80"/>
    <w:rsid w:val="00FF4E34"/>
    <w:rsid w:val="00FF4F63"/>
    <w:rsid w:val="00FF5844"/>
    <w:rsid w:val="00FF5926"/>
    <w:rsid w:val="00FF59D2"/>
    <w:rsid w:val="00FF5E48"/>
    <w:rsid w:val="00FF5F93"/>
    <w:rsid w:val="00FF65D2"/>
    <w:rsid w:val="00FF6BA3"/>
    <w:rsid w:val="00FF6CE4"/>
    <w:rsid w:val="00FF7041"/>
    <w:rsid w:val="00FF7203"/>
    <w:rsid w:val="00FF76FB"/>
    <w:rsid w:val="00FF7C4C"/>
    <w:rsid w:val="00FF7C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CF0FAD"/>
  <w15:docId w15:val="{F0EC3C97-2A6D-45ED-A24D-903FE0409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CA"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48C"/>
    <w:rPr>
      <w:rFonts w:cstheme="minorBidi"/>
      <w:szCs w:val="22"/>
    </w:rPr>
  </w:style>
  <w:style w:type="paragraph" w:styleId="Heading1">
    <w:name w:val="heading 1"/>
    <w:basedOn w:val="Normal"/>
    <w:next w:val="Normal"/>
    <w:link w:val="Heading1Char"/>
    <w:uiPriority w:val="9"/>
    <w:qFormat/>
    <w:rsid w:val="00ED62AB"/>
    <w:pPr>
      <w:keepNext/>
      <w:keepLines/>
      <w:numPr>
        <w:numId w:val="54"/>
      </w:numPr>
      <w:outlineLvl w:val="0"/>
    </w:pPr>
    <w:rPr>
      <w:rFonts w:eastAsiaTheme="majorEastAsia" w:cstheme="majorBidi"/>
      <w:b/>
      <w:bCs/>
      <w:color w:val="000000" w:themeColor="text1"/>
      <w:szCs w:val="28"/>
    </w:rPr>
  </w:style>
  <w:style w:type="paragraph" w:styleId="Heading2">
    <w:name w:val="heading 2"/>
    <w:basedOn w:val="Normal"/>
    <w:next w:val="Normal"/>
    <w:link w:val="Heading2Char"/>
    <w:uiPriority w:val="9"/>
    <w:unhideWhenUsed/>
    <w:qFormat/>
    <w:rsid w:val="00A577D3"/>
    <w:pPr>
      <w:keepNext/>
      <w:keepLines/>
      <w:numPr>
        <w:ilvl w:val="1"/>
        <w:numId w:val="54"/>
      </w:numPr>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6D5E4C"/>
    <w:pPr>
      <w:keepNext/>
      <w:numPr>
        <w:ilvl w:val="2"/>
        <w:numId w:val="54"/>
      </w:numPr>
      <w:outlineLvl w:val="2"/>
    </w:pPr>
    <w:rPr>
      <w:rFonts w:eastAsia="Times New Roman"/>
      <w:bCs/>
      <w:i/>
      <w:szCs w:val="26"/>
    </w:rPr>
  </w:style>
  <w:style w:type="paragraph" w:styleId="Heading4">
    <w:name w:val="heading 4"/>
    <w:basedOn w:val="Normal"/>
    <w:next w:val="Normal"/>
    <w:link w:val="Heading4Char"/>
    <w:uiPriority w:val="9"/>
    <w:unhideWhenUsed/>
    <w:qFormat/>
    <w:rsid w:val="00020310"/>
    <w:pPr>
      <w:numPr>
        <w:ilvl w:val="3"/>
        <w:numId w:val="54"/>
      </w:numPr>
      <w:outlineLvl w:val="3"/>
    </w:pPr>
    <w:rPr>
      <w:u w:val="single"/>
    </w:rPr>
  </w:style>
  <w:style w:type="paragraph" w:styleId="Heading5">
    <w:name w:val="heading 5"/>
    <w:basedOn w:val="Normal"/>
    <w:next w:val="Normal"/>
    <w:link w:val="Heading5Char"/>
    <w:uiPriority w:val="9"/>
    <w:semiHidden/>
    <w:unhideWhenUsed/>
    <w:qFormat/>
    <w:rsid w:val="00C01BBA"/>
    <w:pPr>
      <w:keepNext/>
      <w:keepLines/>
      <w:numPr>
        <w:ilvl w:val="4"/>
        <w:numId w:val="5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01BBA"/>
    <w:pPr>
      <w:keepNext/>
      <w:keepLines/>
      <w:numPr>
        <w:ilvl w:val="5"/>
        <w:numId w:val="5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01BBA"/>
    <w:pPr>
      <w:keepNext/>
      <w:keepLines/>
      <w:numPr>
        <w:ilvl w:val="6"/>
        <w:numId w:val="5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01BBA"/>
    <w:pPr>
      <w:keepNext/>
      <w:keepLines/>
      <w:numPr>
        <w:ilvl w:val="7"/>
        <w:numId w:val="5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01BBA"/>
    <w:pPr>
      <w:keepNext/>
      <w:keepLines/>
      <w:numPr>
        <w:ilvl w:val="8"/>
        <w:numId w:val="5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D5E4C"/>
    <w:rPr>
      <w:rFonts w:eastAsia="Times New Roman" w:cstheme="minorBidi"/>
      <w:bCs/>
      <w:i/>
      <w:szCs w:val="26"/>
    </w:rPr>
  </w:style>
  <w:style w:type="paragraph" w:styleId="ListParagraph">
    <w:name w:val="List Paragraph"/>
    <w:basedOn w:val="Normal"/>
    <w:uiPriority w:val="34"/>
    <w:qFormat/>
    <w:rsid w:val="00DD387B"/>
    <w:pPr>
      <w:ind w:left="720"/>
      <w:contextualSpacing/>
    </w:pPr>
  </w:style>
  <w:style w:type="character" w:customStyle="1" w:styleId="Heading1Char">
    <w:name w:val="Heading 1 Char"/>
    <w:basedOn w:val="DefaultParagraphFont"/>
    <w:link w:val="Heading1"/>
    <w:uiPriority w:val="9"/>
    <w:rsid w:val="00ED62AB"/>
    <w:rPr>
      <w:rFonts w:eastAsiaTheme="majorEastAsia" w:cstheme="majorBidi"/>
      <w:b/>
      <w:bCs/>
      <w:color w:val="000000" w:themeColor="text1"/>
      <w:szCs w:val="28"/>
    </w:rPr>
  </w:style>
  <w:style w:type="character" w:customStyle="1" w:styleId="Heading2Char">
    <w:name w:val="Heading 2 Char"/>
    <w:basedOn w:val="DefaultParagraphFont"/>
    <w:link w:val="Heading2"/>
    <w:uiPriority w:val="9"/>
    <w:rsid w:val="00A577D3"/>
    <w:rPr>
      <w:rFonts w:eastAsiaTheme="majorEastAsia" w:cstheme="majorBidi"/>
      <w:b/>
      <w:bCs/>
      <w:color w:val="000000" w:themeColor="text1"/>
      <w:szCs w:val="26"/>
    </w:rPr>
  </w:style>
  <w:style w:type="paragraph" w:styleId="FootnoteText">
    <w:name w:val="footnote text"/>
    <w:basedOn w:val="Normal"/>
    <w:link w:val="FootnoteTextChar"/>
    <w:uiPriority w:val="99"/>
    <w:unhideWhenUsed/>
    <w:rsid w:val="00A13DAE"/>
    <w:rPr>
      <w:sz w:val="20"/>
      <w:szCs w:val="20"/>
    </w:rPr>
  </w:style>
  <w:style w:type="character" w:customStyle="1" w:styleId="FootnoteTextChar">
    <w:name w:val="Footnote Text Char"/>
    <w:basedOn w:val="DefaultParagraphFont"/>
    <w:link w:val="FootnoteText"/>
    <w:uiPriority w:val="99"/>
    <w:rsid w:val="00A13DAE"/>
    <w:rPr>
      <w:rFonts w:cstheme="minorBidi"/>
      <w:sz w:val="20"/>
      <w:szCs w:val="20"/>
    </w:rPr>
  </w:style>
  <w:style w:type="character" w:styleId="FootnoteReference">
    <w:name w:val="footnote reference"/>
    <w:basedOn w:val="DefaultParagraphFont"/>
    <w:uiPriority w:val="99"/>
    <w:semiHidden/>
    <w:unhideWhenUsed/>
    <w:rsid w:val="00A13DAE"/>
    <w:rPr>
      <w:vertAlign w:val="superscript"/>
    </w:rPr>
  </w:style>
  <w:style w:type="character" w:customStyle="1" w:styleId="Heading4Char">
    <w:name w:val="Heading 4 Char"/>
    <w:basedOn w:val="DefaultParagraphFont"/>
    <w:link w:val="Heading4"/>
    <w:uiPriority w:val="9"/>
    <w:rsid w:val="00020310"/>
    <w:rPr>
      <w:rFonts w:cstheme="minorBidi"/>
      <w:szCs w:val="22"/>
      <w:u w:val="single"/>
    </w:rPr>
  </w:style>
  <w:style w:type="character" w:customStyle="1" w:styleId="Heading5Char">
    <w:name w:val="Heading 5 Char"/>
    <w:basedOn w:val="DefaultParagraphFont"/>
    <w:link w:val="Heading5"/>
    <w:uiPriority w:val="9"/>
    <w:semiHidden/>
    <w:rsid w:val="00C01BBA"/>
    <w:rPr>
      <w:rFonts w:asciiTheme="majorHAnsi" w:eastAsiaTheme="majorEastAsia" w:hAnsiTheme="majorHAnsi" w:cstheme="majorBidi"/>
      <w:color w:val="243F60" w:themeColor="accent1" w:themeShade="7F"/>
      <w:szCs w:val="22"/>
    </w:rPr>
  </w:style>
  <w:style w:type="character" w:customStyle="1" w:styleId="Heading6Char">
    <w:name w:val="Heading 6 Char"/>
    <w:basedOn w:val="DefaultParagraphFont"/>
    <w:link w:val="Heading6"/>
    <w:uiPriority w:val="9"/>
    <w:semiHidden/>
    <w:rsid w:val="00C01BBA"/>
    <w:rPr>
      <w:rFonts w:asciiTheme="majorHAnsi" w:eastAsiaTheme="majorEastAsia" w:hAnsiTheme="majorHAnsi" w:cstheme="majorBidi"/>
      <w:i/>
      <w:iCs/>
      <w:color w:val="243F60" w:themeColor="accent1" w:themeShade="7F"/>
      <w:szCs w:val="22"/>
    </w:rPr>
  </w:style>
  <w:style w:type="character" w:customStyle="1" w:styleId="Heading7Char">
    <w:name w:val="Heading 7 Char"/>
    <w:basedOn w:val="DefaultParagraphFont"/>
    <w:link w:val="Heading7"/>
    <w:uiPriority w:val="9"/>
    <w:semiHidden/>
    <w:rsid w:val="00C01BBA"/>
    <w:rPr>
      <w:rFonts w:asciiTheme="majorHAnsi" w:eastAsiaTheme="majorEastAsia" w:hAnsiTheme="majorHAnsi" w:cstheme="majorBidi"/>
      <w:i/>
      <w:iCs/>
      <w:color w:val="404040" w:themeColor="text1" w:themeTint="BF"/>
      <w:szCs w:val="22"/>
    </w:rPr>
  </w:style>
  <w:style w:type="character" w:customStyle="1" w:styleId="Heading8Char">
    <w:name w:val="Heading 8 Char"/>
    <w:basedOn w:val="DefaultParagraphFont"/>
    <w:link w:val="Heading8"/>
    <w:uiPriority w:val="9"/>
    <w:semiHidden/>
    <w:rsid w:val="00C01BB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01BBA"/>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D57672"/>
    <w:rPr>
      <w:rFonts w:ascii="Tahoma" w:hAnsi="Tahoma" w:cs="Tahoma"/>
      <w:sz w:val="16"/>
      <w:szCs w:val="16"/>
    </w:rPr>
  </w:style>
  <w:style w:type="character" w:customStyle="1" w:styleId="BalloonTextChar">
    <w:name w:val="Balloon Text Char"/>
    <w:basedOn w:val="DefaultParagraphFont"/>
    <w:link w:val="BalloonText"/>
    <w:uiPriority w:val="99"/>
    <w:semiHidden/>
    <w:rsid w:val="00D57672"/>
    <w:rPr>
      <w:rFonts w:ascii="Tahoma" w:hAnsi="Tahoma" w:cs="Tahoma"/>
      <w:sz w:val="16"/>
      <w:szCs w:val="16"/>
    </w:rPr>
  </w:style>
  <w:style w:type="paragraph" w:styleId="Header">
    <w:name w:val="header"/>
    <w:basedOn w:val="Normal"/>
    <w:link w:val="HeaderChar"/>
    <w:uiPriority w:val="99"/>
    <w:unhideWhenUsed/>
    <w:rsid w:val="004846E9"/>
    <w:pPr>
      <w:tabs>
        <w:tab w:val="center" w:pos="4680"/>
        <w:tab w:val="right" w:pos="9360"/>
      </w:tabs>
    </w:pPr>
  </w:style>
  <w:style w:type="character" w:customStyle="1" w:styleId="HeaderChar">
    <w:name w:val="Header Char"/>
    <w:basedOn w:val="DefaultParagraphFont"/>
    <w:link w:val="Header"/>
    <w:uiPriority w:val="99"/>
    <w:rsid w:val="004846E9"/>
    <w:rPr>
      <w:rFonts w:cstheme="minorBidi"/>
      <w:szCs w:val="22"/>
    </w:rPr>
  </w:style>
  <w:style w:type="paragraph" w:styleId="Footer">
    <w:name w:val="footer"/>
    <w:basedOn w:val="Normal"/>
    <w:link w:val="FooterChar"/>
    <w:uiPriority w:val="99"/>
    <w:unhideWhenUsed/>
    <w:rsid w:val="004846E9"/>
    <w:pPr>
      <w:tabs>
        <w:tab w:val="center" w:pos="4680"/>
        <w:tab w:val="right" w:pos="9360"/>
      </w:tabs>
    </w:pPr>
  </w:style>
  <w:style w:type="character" w:customStyle="1" w:styleId="FooterChar">
    <w:name w:val="Footer Char"/>
    <w:basedOn w:val="DefaultParagraphFont"/>
    <w:link w:val="Footer"/>
    <w:uiPriority w:val="99"/>
    <w:rsid w:val="004846E9"/>
    <w:rPr>
      <w:rFonts w:cstheme="minorBidi"/>
      <w:szCs w:val="22"/>
    </w:rPr>
  </w:style>
  <w:style w:type="character" w:styleId="CommentReference">
    <w:name w:val="annotation reference"/>
    <w:basedOn w:val="DefaultParagraphFont"/>
    <w:uiPriority w:val="99"/>
    <w:rsid w:val="00FB3209"/>
    <w:rPr>
      <w:rFonts w:cs="Times New Roman"/>
      <w:sz w:val="16"/>
      <w:szCs w:val="16"/>
    </w:rPr>
  </w:style>
  <w:style w:type="paragraph" w:styleId="CommentText">
    <w:name w:val="annotation text"/>
    <w:basedOn w:val="Normal"/>
    <w:link w:val="CommentTextChar"/>
    <w:uiPriority w:val="99"/>
    <w:rsid w:val="00FB3209"/>
    <w:pPr>
      <w:spacing w:after="200" w:line="276" w:lineRule="auto"/>
      <w:jc w:val="left"/>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rsid w:val="00FB3209"/>
    <w:rPr>
      <w:rFonts w:ascii="Calibri" w:eastAsia="Times New Roman" w:hAnsi="Calibri"/>
      <w:sz w:val="20"/>
      <w:szCs w:val="20"/>
    </w:rPr>
  </w:style>
  <w:style w:type="paragraph" w:customStyle="1" w:styleId="Default">
    <w:name w:val="Default"/>
    <w:rsid w:val="00FB3209"/>
    <w:pPr>
      <w:autoSpaceDE w:val="0"/>
      <w:autoSpaceDN w:val="0"/>
      <w:adjustRightInd w:val="0"/>
      <w:jc w:val="left"/>
    </w:pPr>
    <w:rPr>
      <w:color w:val="000000"/>
    </w:rPr>
  </w:style>
  <w:style w:type="character" w:customStyle="1" w:styleId="apple-converted-space">
    <w:name w:val="apple-converted-space"/>
    <w:basedOn w:val="DefaultParagraphFont"/>
    <w:rsid w:val="001D1740"/>
  </w:style>
  <w:style w:type="table" w:styleId="TableGrid">
    <w:name w:val="Table Grid"/>
    <w:basedOn w:val="TableNormal"/>
    <w:uiPriority w:val="59"/>
    <w:rsid w:val="00344C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06215A"/>
    <w:pPr>
      <w:jc w:val="left"/>
    </w:pPr>
    <w:rPr>
      <w:rFonts w:ascii="Book Antiqua" w:hAnsi="Book Antiqua"/>
      <w:sz w:val="22"/>
      <w:szCs w:val="21"/>
    </w:rPr>
  </w:style>
  <w:style w:type="character" w:customStyle="1" w:styleId="PlainTextChar">
    <w:name w:val="Plain Text Char"/>
    <w:basedOn w:val="DefaultParagraphFont"/>
    <w:link w:val="PlainText"/>
    <w:uiPriority w:val="99"/>
    <w:rsid w:val="0006215A"/>
    <w:rPr>
      <w:rFonts w:ascii="Book Antiqua" w:hAnsi="Book Antiqua" w:cstheme="minorBidi"/>
      <w:sz w:val="22"/>
      <w:szCs w:val="21"/>
    </w:rPr>
  </w:style>
  <w:style w:type="character" w:styleId="LineNumber">
    <w:name w:val="line number"/>
    <w:basedOn w:val="DefaultParagraphFont"/>
    <w:uiPriority w:val="99"/>
    <w:semiHidden/>
    <w:unhideWhenUsed/>
    <w:rsid w:val="0021362C"/>
  </w:style>
  <w:style w:type="paragraph" w:styleId="CommentSubject">
    <w:name w:val="annotation subject"/>
    <w:basedOn w:val="CommentText"/>
    <w:next w:val="CommentText"/>
    <w:link w:val="CommentSubjectChar"/>
    <w:uiPriority w:val="99"/>
    <w:semiHidden/>
    <w:unhideWhenUsed/>
    <w:rsid w:val="00DD5102"/>
    <w:pPr>
      <w:spacing w:after="0" w:line="240" w:lineRule="auto"/>
      <w:jc w:val="both"/>
    </w:pPr>
    <w:rPr>
      <w:rFonts w:ascii="Times New Roman" w:eastAsiaTheme="minorHAnsi" w:hAnsi="Times New Roman" w:cstheme="minorBidi"/>
      <w:b/>
      <w:bCs/>
    </w:rPr>
  </w:style>
  <w:style w:type="character" w:customStyle="1" w:styleId="CommentSubjectChar">
    <w:name w:val="Comment Subject Char"/>
    <w:basedOn w:val="CommentTextChar"/>
    <w:link w:val="CommentSubject"/>
    <w:uiPriority w:val="99"/>
    <w:semiHidden/>
    <w:rsid w:val="00DD5102"/>
    <w:rPr>
      <w:rFonts w:ascii="Calibri" w:eastAsia="Times New Roman" w:hAnsi="Calibri" w:cstheme="minorBidi"/>
      <w:b/>
      <w:bCs/>
      <w:sz w:val="20"/>
      <w:szCs w:val="20"/>
    </w:rPr>
  </w:style>
  <w:style w:type="paragraph" w:styleId="Revision">
    <w:name w:val="Revision"/>
    <w:hidden/>
    <w:uiPriority w:val="99"/>
    <w:semiHidden/>
    <w:rsid w:val="00DD5102"/>
    <w:pPr>
      <w:jc w:val="left"/>
    </w:pPr>
    <w:rPr>
      <w:rFonts w:cstheme="minorBidi"/>
      <w:szCs w:val="22"/>
    </w:rPr>
  </w:style>
  <w:style w:type="table" w:customStyle="1" w:styleId="TableGrid2">
    <w:name w:val="Table Grid2"/>
    <w:basedOn w:val="TableNormal"/>
    <w:next w:val="TableGrid"/>
    <w:uiPriority w:val="59"/>
    <w:rsid w:val="00847FED"/>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6C792D"/>
    <w:rPr>
      <w:color w:val="808080"/>
    </w:rPr>
  </w:style>
  <w:style w:type="paragraph" w:customStyle="1" w:styleId="Standard">
    <w:name w:val="Standard"/>
    <w:rsid w:val="00FC4DFC"/>
    <w:pPr>
      <w:suppressAutoHyphens/>
      <w:autoSpaceDN w:val="0"/>
      <w:spacing w:after="200" w:line="276" w:lineRule="auto"/>
      <w:jc w:val="left"/>
      <w:textAlignment w:val="baseline"/>
    </w:pPr>
    <w:rPr>
      <w:rFonts w:ascii="Calibri" w:eastAsia="SimSun" w:hAnsi="Calibri" w:cs="Calibri"/>
      <w:kern w:val="3"/>
      <w:sz w:val="22"/>
      <w:szCs w:val="22"/>
    </w:rPr>
  </w:style>
  <w:style w:type="character" w:styleId="EndnoteReference">
    <w:name w:val="endnote reference"/>
    <w:basedOn w:val="DefaultParagraphFont"/>
    <w:uiPriority w:val="99"/>
    <w:semiHidden/>
    <w:unhideWhenUsed/>
    <w:rsid w:val="00917991"/>
    <w:rPr>
      <w:vertAlign w:val="superscript"/>
    </w:rPr>
  </w:style>
  <w:style w:type="character" w:styleId="Hyperlink">
    <w:name w:val="Hyperlink"/>
    <w:basedOn w:val="DefaultParagraphFont"/>
    <w:uiPriority w:val="99"/>
    <w:unhideWhenUsed/>
    <w:rsid w:val="00A374CC"/>
    <w:rPr>
      <w:color w:val="0000FF" w:themeColor="hyperlink"/>
      <w:u w:val="single"/>
    </w:rPr>
  </w:style>
  <w:style w:type="character" w:customStyle="1" w:styleId="UnresolvedMention1">
    <w:name w:val="Unresolved Mention1"/>
    <w:basedOn w:val="DefaultParagraphFont"/>
    <w:uiPriority w:val="99"/>
    <w:semiHidden/>
    <w:unhideWhenUsed/>
    <w:rsid w:val="00A374CC"/>
    <w:rPr>
      <w:color w:val="605E5C"/>
      <w:shd w:val="clear" w:color="auto" w:fill="E1DFDD"/>
    </w:rPr>
  </w:style>
  <w:style w:type="table" w:customStyle="1" w:styleId="TableGrid1">
    <w:name w:val="Table Grid1"/>
    <w:basedOn w:val="TableNormal"/>
    <w:next w:val="TableGrid"/>
    <w:uiPriority w:val="59"/>
    <w:rsid w:val="00C87B7C"/>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6E6580"/>
    <w:pPr>
      <w:spacing w:before="100" w:beforeAutospacing="1" w:after="100" w:afterAutospacing="1"/>
      <w:jc w:val="left"/>
    </w:pPr>
    <w:rPr>
      <w:rFonts w:eastAsia="Times New Roman" w:cs="Times New Roman"/>
      <w:szCs w:val="24"/>
      <w:lang w:val="en-US"/>
    </w:rPr>
  </w:style>
  <w:style w:type="character" w:styleId="UnresolvedMention">
    <w:name w:val="Unresolved Mention"/>
    <w:basedOn w:val="DefaultParagraphFont"/>
    <w:uiPriority w:val="99"/>
    <w:semiHidden/>
    <w:unhideWhenUsed/>
    <w:rsid w:val="00055D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635139">
      <w:bodyDiv w:val="1"/>
      <w:marLeft w:val="0"/>
      <w:marRight w:val="0"/>
      <w:marTop w:val="0"/>
      <w:marBottom w:val="0"/>
      <w:divBdr>
        <w:top w:val="none" w:sz="0" w:space="0" w:color="auto"/>
        <w:left w:val="none" w:sz="0" w:space="0" w:color="auto"/>
        <w:bottom w:val="none" w:sz="0" w:space="0" w:color="auto"/>
        <w:right w:val="none" w:sz="0" w:space="0" w:color="auto"/>
      </w:divBdr>
    </w:div>
    <w:div w:id="94444663">
      <w:bodyDiv w:val="1"/>
      <w:marLeft w:val="0"/>
      <w:marRight w:val="0"/>
      <w:marTop w:val="0"/>
      <w:marBottom w:val="0"/>
      <w:divBdr>
        <w:top w:val="none" w:sz="0" w:space="0" w:color="auto"/>
        <w:left w:val="none" w:sz="0" w:space="0" w:color="auto"/>
        <w:bottom w:val="none" w:sz="0" w:space="0" w:color="auto"/>
        <w:right w:val="none" w:sz="0" w:space="0" w:color="auto"/>
      </w:divBdr>
    </w:div>
    <w:div w:id="214433798">
      <w:bodyDiv w:val="1"/>
      <w:marLeft w:val="0"/>
      <w:marRight w:val="0"/>
      <w:marTop w:val="0"/>
      <w:marBottom w:val="0"/>
      <w:divBdr>
        <w:top w:val="none" w:sz="0" w:space="0" w:color="auto"/>
        <w:left w:val="none" w:sz="0" w:space="0" w:color="auto"/>
        <w:bottom w:val="none" w:sz="0" w:space="0" w:color="auto"/>
        <w:right w:val="none" w:sz="0" w:space="0" w:color="auto"/>
      </w:divBdr>
    </w:div>
    <w:div w:id="224682097">
      <w:bodyDiv w:val="1"/>
      <w:marLeft w:val="0"/>
      <w:marRight w:val="0"/>
      <w:marTop w:val="0"/>
      <w:marBottom w:val="0"/>
      <w:divBdr>
        <w:top w:val="none" w:sz="0" w:space="0" w:color="auto"/>
        <w:left w:val="none" w:sz="0" w:space="0" w:color="auto"/>
        <w:bottom w:val="none" w:sz="0" w:space="0" w:color="auto"/>
        <w:right w:val="none" w:sz="0" w:space="0" w:color="auto"/>
      </w:divBdr>
    </w:div>
    <w:div w:id="259920409">
      <w:bodyDiv w:val="1"/>
      <w:marLeft w:val="0"/>
      <w:marRight w:val="0"/>
      <w:marTop w:val="0"/>
      <w:marBottom w:val="0"/>
      <w:divBdr>
        <w:top w:val="none" w:sz="0" w:space="0" w:color="auto"/>
        <w:left w:val="none" w:sz="0" w:space="0" w:color="auto"/>
        <w:bottom w:val="none" w:sz="0" w:space="0" w:color="auto"/>
        <w:right w:val="none" w:sz="0" w:space="0" w:color="auto"/>
      </w:divBdr>
      <w:divsChild>
        <w:div w:id="1297682186">
          <w:marLeft w:val="0"/>
          <w:marRight w:val="0"/>
          <w:marTop w:val="0"/>
          <w:marBottom w:val="0"/>
          <w:divBdr>
            <w:top w:val="none" w:sz="0" w:space="0" w:color="auto"/>
            <w:left w:val="none" w:sz="0" w:space="0" w:color="auto"/>
            <w:bottom w:val="none" w:sz="0" w:space="0" w:color="auto"/>
            <w:right w:val="none" w:sz="0" w:space="0" w:color="auto"/>
          </w:divBdr>
        </w:div>
      </w:divsChild>
    </w:div>
    <w:div w:id="314921129">
      <w:bodyDiv w:val="1"/>
      <w:marLeft w:val="0"/>
      <w:marRight w:val="0"/>
      <w:marTop w:val="0"/>
      <w:marBottom w:val="0"/>
      <w:divBdr>
        <w:top w:val="none" w:sz="0" w:space="0" w:color="auto"/>
        <w:left w:val="none" w:sz="0" w:space="0" w:color="auto"/>
        <w:bottom w:val="none" w:sz="0" w:space="0" w:color="auto"/>
        <w:right w:val="none" w:sz="0" w:space="0" w:color="auto"/>
      </w:divBdr>
    </w:div>
    <w:div w:id="328139944">
      <w:bodyDiv w:val="1"/>
      <w:marLeft w:val="0"/>
      <w:marRight w:val="0"/>
      <w:marTop w:val="0"/>
      <w:marBottom w:val="0"/>
      <w:divBdr>
        <w:top w:val="none" w:sz="0" w:space="0" w:color="auto"/>
        <w:left w:val="none" w:sz="0" w:space="0" w:color="auto"/>
        <w:bottom w:val="none" w:sz="0" w:space="0" w:color="auto"/>
        <w:right w:val="none" w:sz="0" w:space="0" w:color="auto"/>
      </w:divBdr>
      <w:divsChild>
        <w:div w:id="414204336">
          <w:marLeft w:val="0"/>
          <w:marRight w:val="0"/>
          <w:marTop w:val="0"/>
          <w:marBottom w:val="0"/>
          <w:divBdr>
            <w:top w:val="none" w:sz="0" w:space="0" w:color="auto"/>
            <w:left w:val="none" w:sz="0" w:space="0" w:color="auto"/>
            <w:bottom w:val="none" w:sz="0" w:space="0" w:color="auto"/>
            <w:right w:val="none" w:sz="0" w:space="0" w:color="auto"/>
          </w:divBdr>
        </w:div>
      </w:divsChild>
    </w:div>
    <w:div w:id="409622694">
      <w:bodyDiv w:val="1"/>
      <w:marLeft w:val="0"/>
      <w:marRight w:val="0"/>
      <w:marTop w:val="0"/>
      <w:marBottom w:val="0"/>
      <w:divBdr>
        <w:top w:val="none" w:sz="0" w:space="0" w:color="auto"/>
        <w:left w:val="none" w:sz="0" w:space="0" w:color="auto"/>
        <w:bottom w:val="none" w:sz="0" w:space="0" w:color="auto"/>
        <w:right w:val="none" w:sz="0" w:space="0" w:color="auto"/>
      </w:divBdr>
    </w:div>
    <w:div w:id="445082570">
      <w:bodyDiv w:val="1"/>
      <w:marLeft w:val="0"/>
      <w:marRight w:val="0"/>
      <w:marTop w:val="0"/>
      <w:marBottom w:val="0"/>
      <w:divBdr>
        <w:top w:val="none" w:sz="0" w:space="0" w:color="auto"/>
        <w:left w:val="none" w:sz="0" w:space="0" w:color="auto"/>
        <w:bottom w:val="none" w:sz="0" w:space="0" w:color="auto"/>
        <w:right w:val="none" w:sz="0" w:space="0" w:color="auto"/>
      </w:divBdr>
    </w:div>
    <w:div w:id="491683696">
      <w:bodyDiv w:val="1"/>
      <w:marLeft w:val="0"/>
      <w:marRight w:val="0"/>
      <w:marTop w:val="0"/>
      <w:marBottom w:val="0"/>
      <w:divBdr>
        <w:top w:val="none" w:sz="0" w:space="0" w:color="auto"/>
        <w:left w:val="none" w:sz="0" w:space="0" w:color="auto"/>
        <w:bottom w:val="none" w:sz="0" w:space="0" w:color="auto"/>
        <w:right w:val="none" w:sz="0" w:space="0" w:color="auto"/>
      </w:divBdr>
      <w:divsChild>
        <w:div w:id="1968663358">
          <w:marLeft w:val="0"/>
          <w:marRight w:val="0"/>
          <w:marTop w:val="0"/>
          <w:marBottom w:val="0"/>
          <w:divBdr>
            <w:top w:val="none" w:sz="0" w:space="0" w:color="auto"/>
            <w:left w:val="none" w:sz="0" w:space="0" w:color="auto"/>
            <w:bottom w:val="none" w:sz="0" w:space="0" w:color="auto"/>
            <w:right w:val="none" w:sz="0" w:space="0" w:color="auto"/>
          </w:divBdr>
        </w:div>
      </w:divsChild>
    </w:div>
    <w:div w:id="493499148">
      <w:bodyDiv w:val="1"/>
      <w:marLeft w:val="0"/>
      <w:marRight w:val="0"/>
      <w:marTop w:val="0"/>
      <w:marBottom w:val="0"/>
      <w:divBdr>
        <w:top w:val="none" w:sz="0" w:space="0" w:color="auto"/>
        <w:left w:val="none" w:sz="0" w:space="0" w:color="auto"/>
        <w:bottom w:val="none" w:sz="0" w:space="0" w:color="auto"/>
        <w:right w:val="none" w:sz="0" w:space="0" w:color="auto"/>
      </w:divBdr>
    </w:div>
    <w:div w:id="574315021">
      <w:bodyDiv w:val="1"/>
      <w:marLeft w:val="0"/>
      <w:marRight w:val="0"/>
      <w:marTop w:val="0"/>
      <w:marBottom w:val="0"/>
      <w:divBdr>
        <w:top w:val="none" w:sz="0" w:space="0" w:color="auto"/>
        <w:left w:val="none" w:sz="0" w:space="0" w:color="auto"/>
        <w:bottom w:val="none" w:sz="0" w:space="0" w:color="auto"/>
        <w:right w:val="none" w:sz="0" w:space="0" w:color="auto"/>
      </w:divBdr>
    </w:div>
    <w:div w:id="762797093">
      <w:bodyDiv w:val="1"/>
      <w:marLeft w:val="0"/>
      <w:marRight w:val="0"/>
      <w:marTop w:val="0"/>
      <w:marBottom w:val="0"/>
      <w:divBdr>
        <w:top w:val="none" w:sz="0" w:space="0" w:color="auto"/>
        <w:left w:val="none" w:sz="0" w:space="0" w:color="auto"/>
        <w:bottom w:val="none" w:sz="0" w:space="0" w:color="auto"/>
        <w:right w:val="none" w:sz="0" w:space="0" w:color="auto"/>
      </w:divBdr>
    </w:div>
    <w:div w:id="916980839">
      <w:bodyDiv w:val="1"/>
      <w:marLeft w:val="0"/>
      <w:marRight w:val="0"/>
      <w:marTop w:val="0"/>
      <w:marBottom w:val="0"/>
      <w:divBdr>
        <w:top w:val="none" w:sz="0" w:space="0" w:color="auto"/>
        <w:left w:val="none" w:sz="0" w:space="0" w:color="auto"/>
        <w:bottom w:val="none" w:sz="0" w:space="0" w:color="auto"/>
        <w:right w:val="none" w:sz="0" w:space="0" w:color="auto"/>
      </w:divBdr>
    </w:div>
    <w:div w:id="962150726">
      <w:bodyDiv w:val="1"/>
      <w:marLeft w:val="0"/>
      <w:marRight w:val="0"/>
      <w:marTop w:val="0"/>
      <w:marBottom w:val="0"/>
      <w:divBdr>
        <w:top w:val="none" w:sz="0" w:space="0" w:color="auto"/>
        <w:left w:val="none" w:sz="0" w:space="0" w:color="auto"/>
        <w:bottom w:val="none" w:sz="0" w:space="0" w:color="auto"/>
        <w:right w:val="none" w:sz="0" w:space="0" w:color="auto"/>
      </w:divBdr>
    </w:div>
    <w:div w:id="991912229">
      <w:bodyDiv w:val="1"/>
      <w:marLeft w:val="0"/>
      <w:marRight w:val="0"/>
      <w:marTop w:val="0"/>
      <w:marBottom w:val="0"/>
      <w:divBdr>
        <w:top w:val="none" w:sz="0" w:space="0" w:color="auto"/>
        <w:left w:val="none" w:sz="0" w:space="0" w:color="auto"/>
        <w:bottom w:val="none" w:sz="0" w:space="0" w:color="auto"/>
        <w:right w:val="none" w:sz="0" w:space="0" w:color="auto"/>
      </w:divBdr>
    </w:div>
    <w:div w:id="1012803990">
      <w:bodyDiv w:val="1"/>
      <w:marLeft w:val="0"/>
      <w:marRight w:val="0"/>
      <w:marTop w:val="0"/>
      <w:marBottom w:val="0"/>
      <w:divBdr>
        <w:top w:val="none" w:sz="0" w:space="0" w:color="auto"/>
        <w:left w:val="none" w:sz="0" w:space="0" w:color="auto"/>
        <w:bottom w:val="none" w:sz="0" w:space="0" w:color="auto"/>
        <w:right w:val="none" w:sz="0" w:space="0" w:color="auto"/>
      </w:divBdr>
    </w:div>
    <w:div w:id="1148326886">
      <w:bodyDiv w:val="1"/>
      <w:marLeft w:val="0"/>
      <w:marRight w:val="0"/>
      <w:marTop w:val="0"/>
      <w:marBottom w:val="0"/>
      <w:divBdr>
        <w:top w:val="none" w:sz="0" w:space="0" w:color="auto"/>
        <w:left w:val="none" w:sz="0" w:space="0" w:color="auto"/>
        <w:bottom w:val="none" w:sz="0" w:space="0" w:color="auto"/>
        <w:right w:val="none" w:sz="0" w:space="0" w:color="auto"/>
      </w:divBdr>
    </w:div>
    <w:div w:id="1490094253">
      <w:bodyDiv w:val="1"/>
      <w:marLeft w:val="0"/>
      <w:marRight w:val="0"/>
      <w:marTop w:val="0"/>
      <w:marBottom w:val="0"/>
      <w:divBdr>
        <w:top w:val="none" w:sz="0" w:space="0" w:color="auto"/>
        <w:left w:val="none" w:sz="0" w:space="0" w:color="auto"/>
        <w:bottom w:val="none" w:sz="0" w:space="0" w:color="auto"/>
        <w:right w:val="none" w:sz="0" w:space="0" w:color="auto"/>
      </w:divBdr>
    </w:div>
    <w:div w:id="1835296468">
      <w:bodyDiv w:val="1"/>
      <w:marLeft w:val="0"/>
      <w:marRight w:val="0"/>
      <w:marTop w:val="0"/>
      <w:marBottom w:val="0"/>
      <w:divBdr>
        <w:top w:val="none" w:sz="0" w:space="0" w:color="auto"/>
        <w:left w:val="none" w:sz="0" w:space="0" w:color="auto"/>
        <w:bottom w:val="none" w:sz="0" w:space="0" w:color="auto"/>
        <w:right w:val="none" w:sz="0" w:space="0" w:color="auto"/>
      </w:divBdr>
      <w:divsChild>
        <w:div w:id="905144140">
          <w:marLeft w:val="0"/>
          <w:marRight w:val="0"/>
          <w:marTop w:val="0"/>
          <w:marBottom w:val="0"/>
          <w:divBdr>
            <w:top w:val="none" w:sz="0" w:space="0" w:color="auto"/>
            <w:left w:val="none" w:sz="0" w:space="0" w:color="auto"/>
            <w:bottom w:val="none" w:sz="0" w:space="0" w:color="auto"/>
            <w:right w:val="none" w:sz="0" w:space="0" w:color="auto"/>
          </w:divBdr>
        </w:div>
      </w:divsChild>
    </w:div>
    <w:div w:id="1916864425">
      <w:bodyDiv w:val="1"/>
      <w:marLeft w:val="0"/>
      <w:marRight w:val="0"/>
      <w:marTop w:val="0"/>
      <w:marBottom w:val="0"/>
      <w:divBdr>
        <w:top w:val="none" w:sz="0" w:space="0" w:color="auto"/>
        <w:left w:val="none" w:sz="0" w:space="0" w:color="auto"/>
        <w:bottom w:val="none" w:sz="0" w:space="0" w:color="auto"/>
        <w:right w:val="none" w:sz="0" w:space="0" w:color="auto"/>
      </w:divBdr>
    </w:div>
    <w:div w:id="2004508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aveen.eluru@ucf.edu" TargetMode="External"/><Relationship Id="rId18" Type="http://schemas.openxmlformats.org/officeDocument/2006/relationships/header" Target="header2.xml"/><Relationship Id="rId26" Type="http://schemas.openxmlformats.org/officeDocument/2006/relationships/footer" Target="footer3.xml"/><Relationship Id="rId39" Type="http://schemas.openxmlformats.org/officeDocument/2006/relationships/image" Target="media/image10.png"/><Relationship Id="rId21" Type="http://schemas.openxmlformats.org/officeDocument/2006/relationships/image" Target="media/image2.png"/><Relationship Id="rId34" Type="http://schemas.openxmlformats.org/officeDocument/2006/relationships/header" Target="header10.xml"/><Relationship Id="rId42" Type="http://schemas.openxmlformats.org/officeDocument/2006/relationships/header" Target="header12.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anmoy78@knights.ucf.edu" TargetMode="External"/><Relationship Id="rId24" Type="http://schemas.openxmlformats.org/officeDocument/2006/relationships/image" Target="media/image5.png"/><Relationship Id="rId32" Type="http://schemas.openxmlformats.org/officeDocument/2006/relationships/header" Target="header8.xml"/><Relationship Id="rId37" Type="http://schemas.openxmlformats.org/officeDocument/2006/relationships/hyperlink" Target="http://www.aptech.com/" TargetMode="External"/><Relationship Id="rId40" Type="http://schemas.openxmlformats.org/officeDocument/2006/relationships/image" Target="media/image11.png"/><Relationship Id="rId45"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footer" Target="footer4.xml"/><Relationship Id="rId36"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7.xml"/><Relationship Id="rId44"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image" Target="media/image7.png"/><Relationship Id="rId43" Type="http://schemas.openxmlformats.org/officeDocument/2006/relationships/image" Target="media/image12.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shams.yasmin@qut.edu.au" TargetMode="External"/><Relationship Id="rId17" Type="http://schemas.openxmlformats.org/officeDocument/2006/relationships/hyperlink" Target="https://www.sciencedirect.com/topics/social-sciences/regression-model" TargetMode="External"/><Relationship Id="rId25" Type="http://schemas.openxmlformats.org/officeDocument/2006/relationships/image" Target="media/image6.png"/><Relationship Id="rId33" Type="http://schemas.openxmlformats.org/officeDocument/2006/relationships/header" Target="header9.xml"/><Relationship Id="rId38" Type="http://schemas.openxmlformats.org/officeDocument/2006/relationships/image" Target="media/image9.png"/><Relationship Id="rId46" Type="http://schemas.openxmlformats.org/officeDocument/2006/relationships/image" Target="media/image15.png"/><Relationship Id="rId20" Type="http://schemas.openxmlformats.org/officeDocument/2006/relationships/image" Target="media/image1.png"/><Relationship Id="rId41" Type="http://schemas.openxmlformats.org/officeDocument/2006/relationships/header" Target="header1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65340BA041CDC4F86C3DA159808B7F7" ma:contentTypeVersion="16" ma:contentTypeDescription="Create a new document." ma:contentTypeScope="" ma:versionID="35944bfbe7b4d206442bbbda2f43ce83">
  <xsd:schema xmlns:xsd="http://www.w3.org/2001/XMLSchema" xmlns:xs="http://www.w3.org/2001/XMLSchema" xmlns:p="http://schemas.microsoft.com/office/2006/metadata/properties" xmlns:ns1="http://schemas.microsoft.com/sharepoint/v3" xmlns:ns3="656253ab-15a0-475c-a398-93b0d4fb031d" xmlns:ns4="2fce71c9-f178-4d0d-9606-05948308846e" targetNamespace="http://schemas.microsoft.com/office/2006/metadata/properties" ma:root="true" ma:fieldsID="d3eaa8a85af69ed0d2a76a7472971d2f" ns1:_="" ns3:_="" ns4:_="">
    <xsd:import namespace="http://schemas.microsoft.com/sharepoint/v3"/>
    <xsd:import namespace="656253ab-15a0-475c-a398-93b0d4fb031d"/>
    <xsd:import namespace="2fce71c9-f178-4d0d-9606-05948308846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1:_ip_UnifiedCompliancePolicyProperties" minOccurs="0"/>
                <xsd:element ref="ns1:_ip_UnifiedCompliancePolicyUIAction" minOccurs="0"/>
                <xsd:element ref="ns3:MediaServiceLocatio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6253ab-15a0-475c-a398-93b0d4fb03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ce71c9-f178-4d0d-9606-05948308846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AB4B2A21-7E8D-4E92-B44A-8A6BAA874E61}">
  <ds:schemaRefs>
    <ds:schemaRef ds:uri="http://schemas.openxmlformats.org/officeDocument/2006/bibliography"/>
  </ds:schemaRefs>
</ds:datastoreItem>
</file>

<file path=customXml/itemProps2.xml><?xml version="1.0" encoding="utf-8"?>
<ds:datastoreItem xmlns:ds="http://schemas.openxmlformats.org/officeDocument/2006/customXml" ds:itemID="{C44732A4-CA3D-44F2-B2BB-CBC7D941A1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56253ab-15a0-475c-a398-93b0d4fb031d"/>
    <ds:schemaRef ds:uri="2fce71c9-f178-4d0d-9606-0594830884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F4E7A7-4B94-4F46-9B90-1ED55457DA91}">
  <ds:schemaRefs>
    <ds:schemaRef ds:uri="http://schemas.microsoft.com/sharepoint/v3/contenttype/forms"/>
  </ds:schemaRefs>
</ds:datastoreItem>
</file>

<file path=customXml/itemProps4.xml><?xml version="1.0" encoding="utf-8"?>
<ds:datastoreItem xmlns:ds="http://schemas.openxmlformats.org/officeDocument/2006/customXml" ds:itemID="{5F95DCB4-36EF-4EA7-A1BA-C2CC685B62A7}">
  <ds:schemaRefs>
    <ds:schemaRef ds:uri="http://schemas.microsoft.com/sharepoint/v3"/>
    <ds:schemaRef ds:uri="http://purl.org/dc/dcmitype/"/>
    <ds:schemaRef ds:uri="http://purl.org/dc/terms/"/>
    <ds:schemaRef ds:uri="http://schemas.microsoft.com/office/infopath/2007/PartnerControls"/>
    <ds:schemaRef ds:uri="http://www.w3.org/XML/1998/namespace"/>
    <ds:schemaRef ds:uri="http://schemas.microsoft.com/office/2006/documentManagement/types"/>
    <ds:schemaRef ds:uri="http://purl.org/dc/elements/1.1/"/>
    <ds:schemaRef ds:uri="http://schemas.openxmlformats.org/package/2006/metadata/core-properties"/>
    <ds:schemaRef ds:uri="2fce71c9-f178-4d0d-9606-05948308846e"/>
    <ds:schemaRef ds:uri="656253ab-15a0-475c-a398-93b0d4fb031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51973</Words>
  <Characters>296248</Characters>
  <Application>Microsoft Office Word</Application>
  <DocSecurity>0</DocSecurity>
  <Lines>2468</Lines>
  <Paragraphs>695</Paragraphs>
  <ScaleCrop>false</ScaleCrop>
  <HeadingPairs>
    <vt:vector size="2" baseType="variant">
      <vt:variant>
        <vt:lpstr>Title</vt:lpstr>
      </vt:variant>
      <vt:variant>
        <vt:i4>1</vt:i4>
      </vt:variant>
    </vt:vector>
  </HeadingPairs>
  <TitlesOfParts>
    <vt:vector size="1" baseType="lpstr">
      <vt:lpstr/>
    </vt:vector>
  </TitlesOfParts>
  <Company>Civil Engineering, McGill Univ.</Company>
  <LinksUpToDate>false</LinksUpToDate>
  <CharactersWithSpaces>347526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Naveen Eluru, Prof</dc:creator>
  <cp:lastModifiedBy>Naveen Eluru</cp:lastModifiedBy>
  <cp:revision>2</cp:revision>
  <cp:lastPrinted>2020-01-27T22:53:00Z</cp:lastPrinted>
  <dcterms:created xsi:type="dcterms:W3CDTF">2021-09-22T14:14:00Z</dcterms:created>
  <dcterms:modified xsi:type="dcterms:W3CDTF">2021-09-22T14:14:00Z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http://www.zotero.org/styles/transportation-research-part-b</vt:lpwstr>
  </property>
  <property fmtid="{D5CDD505-2E9C-101B-9397-08002B2CF9AE}" pid="19" name="Mendeley Recent Style Name 8_1">
    <vt:lpwstr>Transportation Research Part B</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ed493790-d9dc-30f4-8b52-f4c86545d5f4</vt:lpwstr>
  </property>
  <property fmtid="{D5CDD505-2E9C-101B-9397-08002B2CF9AE}" pid="24" name="Mendeley Citation Style_1">
    <vt:lpwstr>http://www.zotero.org/styles/transportation-research-part-b</vt:lpwstr>
  </property>
  <property fmtid="{D5CDD505-2E9C-101B-9397-08002B2CF9AE}" pid="25" name="ContentTypeId">
    <vt:lpwstr>0x010100365340BA041CDC4F86C3DA159808B7F7</vt:lpwstr>
  </property>
</Properties>
</file>